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F1C" w:rsidR="00E57ECC" w:rsidP="00463C9A" w:rsidRDefault="003E5AEF" w14:paraId="348D1AA5" w14:textId="67717871">
      <w:pPr>
        <w:tabs>
          <w:tab w:val="center" w:pos="4680"/>
          <w:tab w:val="right" w:pos="9360"/>
        </w:tabs>
        <w:spacing w:line="240" w:lineRule="auto"/>
        <w:ind w:firstLine="0"/>
        <w:rPr>
          <w:b/>
          <w:color w:val="000000" w:themeColor="text1"/>
        </w:rPr>
      </w:pPr>
      <w:r w:rsidRPr="00997F1C">
        <w:rPr>
          <w:color w:val="000000" w:themeColor="text1"/>
        </w:rPr>
        <w:t>ALJ/EF1</w:t>
      </w:r>
      <w:r w:rsidRPr="00997F1C" w:rsidR="00A54E87">
        <w:rPr>
          <w:color w:val="000000" w:themeColor="text1"/>
        </w:rPr>
        <w:t>/</w:t>
      </w:r>
      <w:proofErr w:type="spellStart"/>
      <w:r w:rsidRPr="00997F1C" w:rsidR="00A54E87">
        <w:rPr>
          <w:color w:val="000000" w:themeColor="text1"/>
        </w:rPr>
        <w:t>smt</w:t>
      </w:r>
      <w:proofErr w:type="spellEnd"/>
      <w:r w:rsidR="00E57ECC">
        <w:rPr>
          <w:color w:val="000000" w:themeColor="text1"/>
        </w:rPr>
        <w:t xml:space="preserve">          </w:t>
      </w:r>
      <w:r w:rsidR="00463C9A">
        <w:rPr>
          <w:color w:val="000000" w:themeColor="text1"/>
        </w:rPr>
        <w:tab/>
      </w:r>
      <w:r w:rsidR="00463C9A">
        <w:rPr>
          <w:color w:val="000000" w:themeColor="text1"/>
        </w:rPr>
        <w:tab/>
      </w:r>
      <w:r w:rsidRPr="00463C9A" w:rsidR="00463C9A">
        <w:rPr>
          <w:b/>
          <w:bCs/>
          <w:color w:val="000000" w:themeColor="text1"/>
        </w:rPr>
        <w:t>Date of Issuance 12/23/2025</w:t>
      </w:r>
    </w:p>
    <w:p w:rsidRPr="00997F1C" w:rsidR="001D7A45" w:rsidP="008F0116" w:rsidRDefault="001D7A45" w14:paraId="2E775939" w14:textId="77777777">
      <w:pPr>
        <w:ind w:firstLine="0"/>
        <w:rPr>
          <w:color w:val="000000" w:themeColor="text1"/>
        </w:rPr>
      </w:pPr>
    </w:p>
    <w:p w:rsidRPr="00997F1C" w:rsidR="00DA7B5D" w:rsidP="007E065A" w:rsidRDefault="00DA7B5D" w14:paraId="71CE8189" w14:textId="74A205F6">
      <w:pPr>
        <w:spacing w:line="240" w:lineRule="auto"/>
        <w:ind w:left="1080" w:hanging="1080"/>
        <w:rPr>
          <w:color w:val="000000" w:themeColor="text1"/>
        </w:rPr>
      </w:pPr>
      <w:r w:rsidRPr="00997F1C">
        <w:rPr>
          <w:color w:val="000000" w:themeColor="text1"/>
        </w:rPr>
        <w:t>Decision</w:t>
      </w:r>
      <w:r w:rsidR="00463C9A">
        <w:rPr>
          <w:color w:val="000000" w:themeColor="text1"/>
        </w:rPr>
        <w:t xml:space="preserve"> 25-12-</w:t>
      </w:r>
      <w:proofErr w:type="gramStart"/>
      <w:r w:rsidR="00463C9A">
        <w:rPr>
          <w:color w:val="000000" w:themeColor="text1"/>
        </w:rPr>
        <w:t>027  December</w:t>
      </w:r>
      <w:proofErr w:type="gramEnd"/>
      <w:r w:rsidR="00463C9A">
        <w:rPr>
          <w:color w:val="000000" w:themeColor="text1"/>
        </w:rPr>
        <w:t xml:space="preserve"> 18, 2025</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5040"/>
        <w:gridCol w:w="4320"/>
      </w:tblGrid>
      <w:tr w:rsidRPr="00997F1C" w:rsidR="004215F8" w:rsidTr="003E5AEF" w14:paraId="159B6874" w14:textId="77777777">
        <w:trPr>
          <w:jc w:val="center"/>
        </w:trPr>
        <w:tc>
          <w:tcPr>
            <w:tcW w:w="5040" w:type="dxa"/>
            <w:tcBorders>
              <w:top w:val="nil"/>
              <w:left w:val="nil"/>
              <w:bottom w:val="single" w:color="auto" w:sz="4" w:space="0"/>
              <w:right w:val="single" w:color="auto" w:sz="4" w:space="0"/>
            </w:tcBorders>
          </w:tcPr>
          <w:p w:rsidRPr="00997F1C" w:rsidR="003E5AEF" w:rsidRDefault="003E5AEF" w14:paraId="1551AECD" w14:textId="77777777">
            <w:pPr>
              <w:spacing w:line="240" w:lineRule="auto"/>
              <w:ind w:firstLine="0"/>
              <w:rPr>
                <w:rFonts w:cs="Arial"/>
                <w:color w:val="000000" w:themeColor="text1"/>
                <w:szCs w:val="26"/>
              </w:rPr>
            </w:pPr>
            <w:r w:rsidRPr="00997F1C">
              <w:rPr>
                <w:rFonts w:cs="Arial"/>
                <w:color w:val="000000" w:themeColor="text1"/>
                <w:szCs w:val="26"/>
              </w:rPr>
              <w:t>Application of Pacific Gas and Electric Company for adoption of Electric Revenue Requirements and Rates Associated with its 2026 Energy Resource Recovery Account (ERRA) and Generation Non-</w:t>
            </w:r>
            <w:proofErr w:type="spellStart"/>
            <w:r w:rsidRPr="00997F1C">
              <w:rPr>
                <w:rFonts w:cs="Arial"/>
                <w:color w:val="000000" w:themeColor="text1"/>
                <w:szCs w:val="26"/>
              </w:rPr>
              <w:t>Bypassable</w:t>
            </w:r>
            <w:proofErr w:type="spellEnd"/>
            <w:r w:rsidRPr="00997F1C">
              <w:rPr>
                <w:rFonts w:cs="Arial"/>
                <w:color w:val="000000" w:themeColor="text1"/>
                <w:szCs w:val="26"/>
              </w:rPr>
              <w:t xml:space="preserve"> Charges Forecast and Greenhouse Gas Forecast Revenue Return and Reconciliation.</w:t>
            </w:r>
          </w:p>
          <w:p w:rsidRPr="00997F1C" w:rsidR="003E5AEF" w:rsidRDefault="003E5AEF" w14:paraId="79ABA6E4" w14:textId="77777777">
            <w:pPr>
              <w:spacing w:line="240" w:lineRule="auto"/>
              <w:ind w:firstLine="0"/>
              <w:rPr>
                <w:rFonts w:cs="Arial"/>
                <w:color w:val="000000" w:themeColor="text1"/>
                <w:szCs w:val="26"/>
              </w:rPr>
            </w:pPr>
          </w:p>
        </w:tc>
        <w:tc>
          <w:tcPr>
            <w:tcW w:w="4320" w:type="dxa"/>
            <w:tcBorders>
              <w:top w:val="nil"/>
              <w:left w:val="single" w:color="auto" w:sz="4" w:space="0"/>
              <w:bottom w:val="nil"/>
              <w:right w:val="nil"/>
            </w:tcBorders>
            <w:vAlign w:val="center"/>
          </w:tcPr>
          <w:p w:rsidRPr="00997F1C" w:rsidR="003E5AEF" w:rsidRDefault="003E5AEF" w14:paraId="492E706A" w14:textId="77777777">
            <w:pPr>
              <w:spacing w:line="240" w:lineRule="auto"/>
              <w:ind w:firstLine="0"/>
              <w:jc w:val="center"/>
              <w:rPr>
                <w:rFonts w:cs="Arial"/>
                <w:color w:val="000000" w:themeColor="text1"/>
                <w:szCs w:val="26"/>
              </w:rPr>
            </w:pPr>
            <w:r w:rsidRPr="00997F1C">
              <w:rPr>
                <w:rFonts w:cs="Arial"/>
                <w:color w:val="000000" w:themeColor="text1"/>
                <w:szCs w:val="26"/>
              </w:rPr>
              <w:t>Application 25-05-011</w:t>
            </w:r>
          </w:p>
        </w:tc>
      </w:tr>
      <w:tr w:rsidRPr="00997F1C" w:rsidR="003E5AEF" w:rsidTr="003E5AEF" w14:paraId="0A890858" w14:textId="77777777">
        <w:trPr>
          <w:jc w:val="center"/>
        </w:trPr>
        <w:tc>
          <w:tcPr>
            <w:tcW w:w="5040" w:type="dxa"/>
            <w:tcBorders>
              <w:top w:val="single" w:color="auto" w:sz="4" w:space="0"/>
              <w:left w:val="nil"/>
              <w:bottom w:val="single" w:color="auto" w:sz="4" w:space="0"/>
              <w:right w:val="single" w:color="auto" w:sz="4" w:space="0"/>
            </w:tcBorders>
          </w:tcPr>
          <w:p w:rsidRPr="00997F1C" w:rsidR="003E5AEF" w:rsidRDefault="003E5AEF" w14:paraId="0602EABC" w14:textId="77777777">
            <w:pPr>
              <w:spacing w:line="240" w:lineRule="auto"/>
              <w:ind w:firstLine="0"/>
              <w:rPr>
                <w:rFonts w:cs="Arial"/>
                <w:color w:val="000000" w:themeColor="text1"/>
                <w:szCs w:val="26"/>
              </w:rPr>
            </w:pPr>
          </w:p>
          <w:p w:rsidRPr="00997F1C" w:rsidR="003E5AEF" w:rsidRDefault="003E5AEF" w14:paraId="38F3D170" w14:textId="77777777">
            <w:pPr>
              <w:spacing w:line="240" w:lineRule="auto"/>
              <w:ind w:firstLine="0"/>
              <w:rPr>
                <w:rFonts w:cs="Arial"/>
                <w:color w:val="000000" w:themeColor="text1"/>
                <w:szCs w:val="26"/>
              </w:rPr>
            </w:pPr>
            <w:r w:rsidRPr="00997F1C">
              <w:rPr>
                <w:rFonts w:cs="Arial"/>
                <w:color w:val="000000" w:themeColor="text1"/>
                <w:szCs w:val="26"/>
              </w:rPr>
              <w:t>Expedited Application of Pacific Gas and Electric Company Pursuant to the Commissions Approved Energy Resource Recovery Account (ERRA) Trigger Mechanism.  (U39E.)</w:t>
            </w:r>
          </w:p>
          <w:p w:rsidRPr="00997F1C" w:rsidR="003E5AEF" w:rsidRDefault="003E5AEF" w14:paraId="7CB696CB" w14:textId="77777777">
            <w:pPr>
              <w:spacing w:line="240" w:lineRule="auto"/>
              <w:ind w:firstLine="0"/>
              <w:rPr>
                <w:rFonts w:cs="Arial"/>
                <w:color w:val="000000" w:themeColor="text1"/>
                <w:szCs w:val="26"/>
              </w:rPr>
            </w:pPr>
          </w:p>
        </w:tc>
        <w:tc>
          <w:tcPr>
            <w:tcW w:w="4320" w:type="dxa"/>
            <w:tcBorders>
              <w:top w:val="nil"/>
              <w:left w:val="single" w:color="auto" w:sz="4" w:space="0"/>
              <w:bottom w:val="nil"/>
              <w:right w:val="nil"/>
            </w:tcBorders>
            <w:vAlign w:val="center"/>
          </w:tcPr>
          <w:p w:rsidRPr="00997F1C" w:rsidR="003E5AEF" w:rsidRDefault="003E5AEF" w14:paraId="03C3D32D" w14:textId="77777777">
            <w:pPr>
              <w:spacing w:line="240" w:lineRule="auto"/>
              <w:ind w:firstLine="0"/>
              <w:jc w:val="center"/>
              <w:rPr>
                <w:rFonts w:cs="Arial"/>
                <w:color w:val="000000" w:themeColor="text1"/>
                <w:szCs w:val="26"/>
              </w:rPr>
            </w:pPr>
            <w:r w:rsidRPr="00997F1C">
              <w:rPr>
                <w:rFonts w:cs="Arial"/>
                <w:color w:val="000000" w:themeColor="text1"/>
                <w:szCs w:val="26"/>
              </w:rPr>
              <w:t>Application 25-09-015</w:t>
            </w:r>
          </w:p>
        </w:tc>
      </w:tr>
    </w:tbl>
    <w:p w:rsidRPr="00997F1C" w:rsidR="003E5AEF" w:rsidP="003E5AEF" w:rsidRDefault="003E5AEF" w14:paraId="4611C4C7" w14:textId="77777777">
      <w:pPr>
        <w:pStyle w:val="Dummy"/>
        <w:jc w:val="center"/>
        <w:rPr>
          <w:color w:val="000000" w:themeColor="text1"/>
        </w:rPr>
      </w:pPr>
    </w:p>
    <w:p w:rsidRPr="00997F1C" w:rsidR="00DA7B5D" w:rsidP="008F0116" w:rsidRDefault="00DA7B5D" w14:paraId="7AB0DC2D" w14:textId="77777777">
      <w:pPr>
        <w:spacing w:line="240" w:lineRule="auto"/>
        <w:ind w:firstLine="0"/>
        <w:rPr>
          <w:rFonts w:ascii="Arial" w:hAnsi="Arial" w:cs="Arial"/>
          <w:color w:val="000000" w:themeColor="text1"/>
          <w:sz w:val="24"/>
          <w:szCs w:val="24"/>
        </w:rPr>
      </w:pPr>
    </w:p>
    <w:p w:rsidRPr="00997F1C" w:rsidR="00F92385" w:rsidP="00B3087D" w:rsidRDefault="00542ABD" w14:paraId="6DFBA9E0" w14:textId="3EE723F1">
      <w:pPr>
        <w:pStyle w:val="Dummy"/>
        <w:jc w:val="center"/>
        <w:rPr>
          <w:color w:val="000000" w:themeColor="text1"/>
        </w:rPr>
        <w:sectPr w:rsidRPr="00997F1C" w:rsidR="00F92385" w:rsidSect="00207D41">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bookmarkStart w:name="_Toc182841755" w:id="0"/>
      <w:bookmarkStart w:name="_Toc217384607" w:id="1"/>
      <w:r w:rsidRPr="00997F1C">
        <w:rPr>
          <w:color w:val="000000" w:themeColor="text1"/>
        </w:rPr>
        <w:t xml:space="preserve">DECISION APPROVING PACIFIC GAS AND ELECTRIC COMPANY’S </w:t>
      </w:r>
      <w:r w:rsidRPr="00997F1C">
        <w:rPr>
          <w:color w:val="000000" w:themeColor="text1"/>
        </w:rPr>
        <w:br/>
        <w:t xml:space="preserve">2026 ENERGY RESOURCE RECOVERY ACCOUNT RELATED </w:t>
      </w:r>
      <w:r w:rsidRPr="00997F1C">
        <w:rPr>
          <w:color w:val="000000" w:themeColor="text1"/>
        </w:rPr>
        <w:br/>
        <w:t xml:space="preserve">FORECAST REVENUE REQUIREMENT AND </w:t>
      </w:r>
      <w:r w:rsidRPr="00997F1C">
        <w:rPr>
          <w:color w:val="000000" w:themeColor="text1"/>
        </w:rPr>
        <w:br/>
        <w:t>2026 ELECTRIC SALES FORECAST</w:t>
      </w:r>
      <w:bookmarkEnd w:id="0"/>
      <w:bookmarkEnd w:id="1"/>
    </w:p>
    <w:sdt>
      <w:sdtPr>
        <w:rPr>
          <w:color w:val="000000" w:themeColor="text1"/>
        </w:rPr>
        <w:id w:val="-1224440197"/>
        <w:docPartObj>
          <w:docPartGallery w:val="Table of Contents"/>
          <w:docPartUnique/>
        </w:docPartObj>
      </w:sdtPr>
      <w:sdtEndPr>
        <w:rPr>
          <w:noProof/>
          <w:szCs w:val="26"/>
        </w:rPr>
      </w:sdtEndPr>
      <w:sdtContent>
        <w:p w:rsidRPr="00463C9A" w:rsidR="00463C9A" w:rsidRDefault="008C7413" w14:paraId="7413E401" w14:textId="1FBA2978">
          <w:pPr>
            <w:pStyle w:val="TOC1"/>
            <w:tabs>
              <w:tab w:val="right" w:leader="dot" w:pos="9350"/>
            </w:tabs>
            <w:rPr>
              <w:rFonts w:cstheme="minorBidi"/>
              <w:noProof/>
              <w:kern w:val="2"/>
              <w:szCs w:val="26"/>
              <w14:ligatures w14:val="standardContextual"/>
            </w:rPr>
          </w:pPr>
          <w:r w:rsidRPr="00D928F8">
            <w:rPr>
              <w:color w:val="000000" w:themeColor="text1"/>
              <w:szCs w:val="26"/>
            </w:rPr>
            <w:fldChar w:fldCharType="begin"/>
          </w:r>
          <w:r w:rsidRPr="00D928F8">
            <w:rPr>
              <w:color w:val="000000" w:themeColor="text1"/>
              <w:szCs w:val="26"/>
            </w:rPr>
            <w:instrText xml:space="preserve"> TOC \o "1-6" \h \z \u </w:instrText>
          </w:r>
          <w:r w:rsidRPr="00D928F8">
            <w:rPr>
              <w:color w:val="000000" w:themeColor="text1"/>
              <w:szCs w:val="26"/>
            </w:rPr>
            <w:fldChar w:fldCharType="separate"/>
          </w:r>
          <w:hyperlink w:history="1" w:anchor="_Toc217384607">
            <w:r w:rsidRPr="00463C9A" w:rsidR="00463C9A">
              <w:rPr>
                <w:rStyle w:val="Hyperlink"/>
                <w:noProof/>
                <w:szCs w:val="26"/>
              </w:rPr>
              <w:t>DECISION APPROVING PACIFIC GAS AND ELECTRIC COMPANY’S  2026 ENERGY RESOURCE RECOVERY ACCOUNT RELATED  FORECAST REVENUE REQUIREMENT AND  2026 ELECTRIC SALES FORECAST</w:t>
            </w:r>
            <w:r w:rsidRPr="00463C9A" w:rsidR="00463C9A">
              <w:rPr>
                <w:noProof/>
                <w:webHidden/>
                <w:szCs w:val="26"/>
              </w:rPr>
              <w:tab/>
            </w:r>
            <w:r w:rsidRPr="00463C9A" w:rsidR="00463C9A">
              <w:rPr>
                <w:noProof/>
                <w:webHidden/>
                <w:szCs w:val="26"/>
              </w:rPr>
              <w:fldChar w:fldCharType="begin"/>
            </w:r>
            <w:r w:rsidRPr="00463C9A" w:rsidR="00463C9A">
              <w:rPr>
                <w:noProof/>
                <w:webHidden/>
                <w:szCs w:val="26"/>
              </w:rPr>
              <w:instrText xml:space="preserve"> PAGEREF _Toc217384607 \h </w:instrText>
            </w:r>
            <w:r w:rsidRPr="00463C9A" w:rsidR="00463C9A">
              <w:rPr>
                <w:noProof/>
                <w:webHidden/>
                <w:szCs w:val="26"/>
              </w:rPr>
            </w:r>
            <w:r w:rsidRPr="00463C9A" w:rsidR="00463C9A">
              <w:rPr>
                <w:noProof/>
                <w:webHidden/>
                <w:szCs w:val="26"/>
              </w:rPr>
              <w:fldChar w:fldCharType="separate"/>
            </w:r>
            <w:r w:rsidR="00A93519">
              <w:rPr>
                <w:noProof/>
                <w:webHidden/>
                <w:szCs w:val="26"/>
              </w:rPr>
              <w:t>1</w:t>
            </w:r>
            <w:r w:rsidRPr="00463C9A" w:rsidR="00463C9A">
              <w:rPr>
                <w:noProof/>
                <w:webHidden/>
                <w:szCs w:val="26"/>
              </w:rPr>
              <w:fldChar w:fldCharType="end"/>
            </w:r>
          </w:hyperlink>
        </w:p>
        <w:p w:rsidRPr="00463C9A" w:rsidR="00463C9A" w:rsidRDefault="00463C9A" w14:paraId="52B5D074" w14:textId="3C61E55F">
          <w:pPr>
            <w:pStyle w:val="TOC1"/>
            <w:tabs>
              <w:tab w:val="right" w:leader="dot" w:pos="9350"/>
            </w:tabs>
            <w:rPr>
              <w:rFonts w:cstheme="minorBidi"/>
              <w:noProof/>
              <w:kern w:val="2"/>
              <w:szCs w:val="26"/>
              <w14:ligatures w14:val="standardContextual"/>
            </w:rPr>
          </w:pPr>
          <w:hyperlink w:history="1" w:anchor="_Toc217384609">
            <w:r w:rsidRPr="00463C9A">
              <w:rPr>
                <w:rStyle w:val="Hyperlink"/>
                <w:rFonts w:cs="Arial"/>
                <w:noProof/>
                <w:szCs w:val="26"/>
              </w:rPr>
              <w:t>Summary</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_Toc217384609 \h </w:instrText>
            </w:r>
            <w:r w:rsidRPr="00463C9A">
              <w:rPr>
                <w:noProof/>
                <w:webHidden/>
                <w:szCs w:val="26"/>
              </w:rPr>
            </w:r>
            <w:r w:rsidRPr="00463C9A">
              <w:rPr>
                <w:noProof/>
                <w:webHidden/>
                <w:szCs w:val="26"/>
              </w:rPr>
              <w:fldChar w:fldCharType="separate"/>
            </w:r>
            <w:r w:rsidR="00A93519">
              <w:rPr>
                <w:noProof/>
                <w:webHidden/>
                <w:szCs w:val="26"/>
              </w:rPr>
              <w:t>2</w:t>
            </w:r>
            <w:r w:rsidRPr="00463C9A">
              <w:rPr>
                <w:noProof/>
                <w:webHidden/>
                <w:szCs w:val="26"/>
              </w:rPr>
              <w:fldChar w:fldCharType="end"/>
            </w:r>
          </w:hyperlink>
        </w:p>
        <w:p w:rsidRPr="00463C9A" w:rsidR="00463C9A" w:rsidRDefault="00463C9A" w14:paraId="240AE1C9" w14:textId="0106B1AF">
          <w:pPr>
            <w:pStyle w:val="TOC1"/>
            <w:tabs>
              <w:tab w:val="right" w:leader="dot" w:pos="9350"/>
            </w:tabs>
            <w:rPr>
              <w:rFonts w:cstheme="minorBidi"/>
              <w:noProof/>
              <w:kern w:val="2"/>
              <w:szCs w:val="26"/>
              <w14:ligatures w14:val="standardContextual"/>
            </w:rPr>
          </w:pPr>
          <w:hyperlink w:history="1" w:anchor="_Toc217384610">
            <w:r w:rsidRPr="00463C9A">
              <w:rPr>
                <w:rStyle w:val="Hyperlink"/>
                <w:rFonts w:eastAsiaTheme="majorEastAsia" w:cstheme="majorBidi"/>
                <w:noProof/>
                <w:szCs w:val="26"/>
              </w:rPr>
              <w:t>1.</w:t>
            </w:r>
            <w:r w:rsidRPr="00463C9A">
              <w:rPr>
                <w:rFonts w:cstheme="minorBidi"/>
                <w:noProof/>
                <w:kern w:val="2"/>
                <w:szCs w:val="26"/>
                <w14:ligatures w14:val="standardContextual"/>
              </w:rPr>
              <w:tab/>
            </w:r>
            <w:r w:rsidRPr="00463C9A">
              <w:rPr>
                <w:rStyle w:val="Hyperlink"/>
                <w:rFonts w:eastAsiaTheme="majorEastAsia" w:cstheme="majorBidi"/>
                <w:noProof/>
                <w:szCs w:val="26"/>
              </w:rPr>
              <w:t>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_Toc217384610 \h </w:instrText>
            </w:r>
            <w:r w:rsidRPr="00463C9A">
              <w:rPr>
                <w:noProof/>
                <w:webHidden/>
                <w:szCs w:val="26"/>
              </w:rPr>
            </w:r>
            <w:r w:rsidRPr="00463C9A">
              <w:rPr>
                <w:noProof/>
                <w:webHidden/>
                <w:szCs w:val="26"/>
              </w:rPr>
              <w:fldChar w:fldCharType="separate"/>
            </w:r>
            <w:r w:rsidR="00A93519">
              <w:rPr>
                <w:noProof/>
                <w:webHidden/>
                <w:szCs w:val="26"/>
              </w:rPr>
              <w:t>3</w:t>
            </w:r>
            <w:r w:rsidRPr="00463C9A">
              <w:rPr>
                <w:noProof/>
                <w:webHidden/>
                <w:szCs w:val="26"/>
              </w:rPr>
              <w:fldChar w:fldCharType="end"/>
            </w:r>
          </w:hyperlink>
        </w:p>
        <w:p w:rsidRPr="00463C9A" w:rsidR="00463C9A" w:rsidRDefault="00463C9A" w14:paraId="5084A839" w14:textId="0E5D0A3E">
          <w:pPr>
            <w:pStyle w:val="TOC2"/>
            <w:tabs>
              <w:tab w:val="left" w:pos="1296"/>
              <w:tab w:val="right" w:leader="dot" w:pos="9350"/>
            </w:tabs>
            <w:rPr>
              <w:rFonts w:cstheme="minorBidi"/>
              <w:noProof/>
              <w:kern w:val="2"/>
              <w:szCs w:val="26"/>
              <w14:ligatures w14:val="standardContextual"/>
            </w:rPr>
          </w:pPr>
          <w:hyperlink w:history="1" w:anchor="_Toc217384611">
            <w:r w:rsidRPr="00463C9A">
              <w:rPr>
                <w:rStyle w:val="Hyperlink"/>
                <w:rFonts w:cs="Arial"/>
                <w:noProof/>
                <w:szCs w:val="26"/>
              </w:rPr>
              <w:t>1.1.</w:t>
            </w:r>
            <w:r w:rsidRPr="00463C9A">
              <w:rPr>
                <w:rFonts w:cstheme="minorBidi"/>
                <w:noProof/>
                <w:kern w:val="2"/>
                <w:szCs w:val="26"/>
                <w14:ligatures w14:val="standardContextual"/>
              </w:rPr>
              <w:tab/>
            </w:r>
            <w:r w:rsidRPr="00463C9A">
              <w:rPr>
                <w:rStyle w:val="Hyperlink"/>
                <w:rFonts w:cs="Arial"/>
                <w:noProof/>
                <w:szCs w:val="26"/>
              </w:rPr>
              <w:t>Energy Resource Recovery Account</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_Toc217384611 \h </w:instrText>
            </w:r>
            <w:r w:rsidRPr="00463C9A">
              <w:rPr>
                <w:noProof/>
                <w:webHidden/>
                <w:szCs w:val="26"/>
              </w:rPr>
            </w:r>
            <w:r w:rsidRPr="00463C9A">
              <w:rPr>
                <w:noProof/>
                <w:webHidden/>
                <w:szCs w:val="26"/>
              </w:rPr>
              <w:fldChar w:fldCharType="separate"/>
            </w:r>
            <w:r w:rsidR="00A93519">
              <w:rPr>
                <w:noProof/>
                <w:webHidden/>
                <w:szCs w:val="26"/>
              </w:rPr>
              <w:t>3</w:t>
            </w:r>
            <w:r w:rsidRPr="00463C9A">
              <w:rPr>
                <w:noProof/>
                <w:webHidden/>
                <w:szCs w:val="26"/>
              </w:rPr>
              <w:fldChar w:fldCharType="end"/>
            </w:r>
          </w:hyperlink>
        </w:p>
        <w:p w:rsidRPr="00463C9A" w:rsidR="00463C9A" w:rsidRDefault="00463C9A" w14:paraId="0C366222" w14:textId="2446A500">
          <w:pPr>
            <w:pStyle w:val="TOC2"/>
            <w:tabs>
              <w:tab w:val="left" w:pos="1296"/>
              <w:tab w:val="right" w:leader="dot" w:pos="9350"/>
            </w:tabs>
            <w:rPr>
              <w:rFonts w:cstheme="minorBidi"/>
              <w:noProof/>
              <w:kern w:val="2"/>
              <w:szCs w:val="26"/>
              <w14:ligatures w14:val="standardContextual"/>
            </w:rPr>
          </w:pPr>
          <w:hyperlink w:history="1" w:anchor="_Toc217384612">
            <w:r w:rsidRPr="00463C9A">
              <w:rPr>
                <w:rStyle w:val="Hyperlink"/>
                <w:rFonts w:cs="Arial"/>
                <w:noProof/>
                <w:szCs w:val="26"/>
              </w:rPr>
              <w:t>1.2.</w:t>
            </w:r>
            <w:r w:rsidRPr="00463C9A">
              <w:rPr>
                <w:rFonts w:cstheme="minorBidi"/>
                <w:noProof/>
                <w:kern w:val="2"/>
                <w:szCs w:val="26"/>
                <w14:ligatures w14:val="standardContextual"/>
              </w:rPr>
              <w:tab/>
            </w:r>
            <w:r w:rsidRPr="00463C9A">
              <w:rPr>
                <w:rStyle w:val="Hyperlink"/>
                <w:rFonts w:cs="Arial"/>
                <w:noProof/>
                <w:szCs w:val="26"/>
              </w:rPr>
              <w:t>Procedural 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_Toc217384612 \h </w:instrText>
            </w:r>
            <w:r w:rsidRPr="00463C9A">
              <w:rPr>
                <w:noProof/>
                <w:webHidden/>
                <w:szCs w:val="26"/>
              </w:rPr>
            </w:r>
            <w:r w:rsidRPr="00463C9A">
              <w:rPr>
                <w:noProof/>
                <w:webHidden/>
                <w:szCs w:val="26"/>
              </w:rPr>
              <w:fldChar w:fldCharType="separate"/>
            </w:r>
            <w:r w:rsidR="00A93519">
              <w:rPr>
                <w:noProof/>
                <w:webHidden/>
                <w:szCs w:val="26"/>
              </w:rPr>
              <w:t>5</w:t>
            </w:r>
            <w:r w:rsidRPr="00463C9A">
              <w:rPr>
                <w:noProof/>
                <w:webHidden/>
                <w:szCs w:val="26"/>
              </w:rPr>
              <w:fldChar w:fldCharType="end"/>
            </w:r>
          </w:hyperlink>
        </w:p>
        <w:p w:rsidRPr="00463C9A" w:rsidR="00463C9A" w:rsidRDefault="00463C9A" w14:paraId="1D5F7A83" w14:textId="123D0F79">
          <w:pPr>
            <w:pStyle w:val="TOC2"/>
            <w:tabs>
              <w:tab w:val="left" w:pos="1296"/>
              <w:tab w:val="right" w:leader="dot" w:pos="9350"/>
            </w:tabs>
            <w:rPr>
              <w:rFonts w:cstheme="minorBidi"/>
              <w:noProof/>
              <w:kern w:val="2"/>
              <w:szCs w:val="26"/>
              <w14:ligatures w14:val="standardContextual"/>
            </w:rPr>
          </w:pPr>
          <w:hyperlink w:history="1" w:anchor="_Toc217384613">
            <w:r w:rsidRPr="00463C9A">
              <w:rPr>
                <w:rStyle w:val="Hyperlink"/>
                <w:rFonts w:cs="Arial"/>
                <w:noProof/>
                <w:szCs w:val="26"/>
              </w:rPr>
              <w:t>1.3.</w:t>
            </w:r>
            <w:r w:rsidRPr="00463C9A">
              <w:rPr>
                <w:rFonts w:cstheme="minorBidi"/>
                <w:noProof/>
                <w:kern w:val="2"/>
                <w:szCs w:val="26"/>
                <w14:ligatures w14:val="standardContextual"/>
              </w:rPr>
              <w:tab/>
            </w:r>
            <w:r w:rsidRPr="00463C9A">
              <w:rPr>
                <w:rStyle w:val="Hyperlink"/>
                <w:rFonts w:cs="Arial"/>
                <w:noProof/>
                <w:szCs w:val="26"/>
              </w:rPr>
              <w:t>Submission Date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_Toc217384613 \h </w:instrText>
            </w:r>
            <w:r w:rsidRPr="00463C9A">
              <w:rPr>
                <w:noProof/>
                <w:webHidden/>
                <w:szCs w:val="26"/>
              </w:rPr>
            </w:r>
            <w:r w:rsidRPr="00463C9A">
              <w:rPr>
                <w:noProof/>
                <w:webHidden/>
                <w:szCs w:val="26"/>
              </w:rPr>
              <w:fldChar w:fldCharType="separate"/>
            </w:r>
            <w:r w:rsidR="00A93519">
              <w:rPr>
                <w:noProof/>
                <w:webHidden/>
                <w:szCs w:val="26"/>
              </w:rPr>
              <w:t>7</w:t>
            </w:r>
            <w:r w:rsidRPr="00463C9A">
              <w:rPr>
                <w:noProof/>
                <w:webHidden/>
                <w:szCs w:val="26"/>
              </w:rPr>
              <w:fldChar w:fldCharType="end"/>
            </w:r>
          </w:hyperlink>
        </w:p>
        <w:p w:rsidRPr="00463C9A" w:rsidR="00463C9A" w:rsidRDefault="00463C9A" w14:paraId="72EBA3FE" w14:textId="239BB1D6">
          <w:pPr>
            <w:pStyle w:val="TOC1"/>
            <w:tabs>
              <w:tab w:val="right" w:leader="dot" w:pos="9350"/>
            </w:tabs>
            <w:rPr>
              <w:rFonts w:cstheme="minorBidi"/>
              <w:noProof/>
              <w:kern w:val="2"/>
              <w:szCs w:val="26"/>
              <w14:ligatures w14:val="standardContextual"/>
            </w:rPr>
          </w:pPr>
          <w:hyperlink w:history="1" w:anchor="_Toc217384614">
            <w:r w:rsidRPr="00463C9A">
              <w:rPr>
                <w:rStyle w:val="Hyperlink"/>
                <w:rFonts w:eastAsiaTheme="majorEastAsia" w:cstheme="majorBidi"/>
                <w:noProof/>
                <w:szCs w:val="26"/>
              </w:rPr>
              <w:t>2.</w:t>
            </w:r>
            <w:r w:rsidRPr="00463C9A">
              <w:rPr>
                <w:rFonts w:cstheme="minorBidi"/>
                <w:noProof/>
                <w:kern w:val="2"/>
                <w:szCs w:val="26"/>
                <w14:ligatures w14:val="standardContextual"/>
              </w:rPr>
              <w:tab/>
            </w:r>
            <w:r w:rsidRPr="00463C9A">
              <w:rPr>
                <w:rStyle w:val="Hyperlink"/>
                <w:rFonts w:eastAsiaTheme="majorEastAsia" w:cstheme="majorBidi"/>
                <w:noProof/>
                <w:szCs w:val="26"/>
              </w:rPr>
              <w:t>Issues Before the Commission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_Toc217384614 \h </w:instrText>
            </w:r>
            <w:r w:rsidRPr="00463C9A">
              <w:rPr>
                <w:noProof/>
                <w:webHidden/>
                <w:szCs w:val="26"/>
              </w:rPr>
            </w:r>
            <w:r w:rsidRPr="00463C9A">
              <w:rPr>
                <w:noProof/>
                <w:webHidden/>
                <w:szCs w:val="26"/>
              </w:rPr>
              <w:fldChar w:fldCharType="separate"/>
            </w:r>
            <w:r w:rsidR="00A93519">
              <w:rPr>
                <w:noProof/>
                <w:webHidden/>
                <w:szCs w:val="26"/>
              </w:rPr>
              <w:t>7</w:t>
            </w:r>
            <w:r w:rsidRPr="00463C9A">
              <w:rPr>
                <w:noProof/>
                <w:webHidden/>
                <w:szCs w:val="26"/>
              </w:rPr>
              <w:fldChar w:fldCharType="end"/>
            </w:r>
          </w:hyperlink>
        </w:p>
        <w:p w:rsidRPr="00463C9A" w:rsidR="00463C9A" w:rsidRDefault="00463C9A" w14:paraId="54FF2E26" w14:textId="1B137FDF">
          <w:pPr>
            <w:pStyle w:val="TOC1"/>
            <w:tabs>
              <w:tab w:val="right" w:leader="dot" w:pos="9350"/>
            </w:tabs>
            <w:rPr>
              <w:rFonts w:cstheme="minorBidi"/>
              <w:noProof/>
              <w:kern w:val="2"/>
              <w:szCs w:val="26"/>
              <w14:ligatures w14:val="standardContextual"/>
            </w:rPr>
          </w:pPr>
          <w:hyperlink w:history="1" w:anchor="_Toc217384615">
            <w:r w:rsidRPr="00463C9A">
              <w:rPr>
                <w:rStyle w:val="Hyperlink"/>
                <w:rFonts w:eastAsiaTheme="majorEastAsia" w:cstheme="majorBidi"/>
                <w:noProof/>
                <w:szCs w:val="26"/>
              </w:rPr>
              <w:t>3.</w:t>
            </w:r>
            <w:r w:rsidRPr="00463C9A">
              <w:rPr>
                <w:rFonts w:cstheme="minorBidi"/>
                <w:noProof/>
                <w:kern w:val="2"/>
                <w:szCs w:val="26"/>
                <w14:ligatures w14:val="standardContextual"/>
              </w:rPr>
              <w:tab/>
            </w:r>
            <w:r w:rsidRPr="00463C9A">
              <w:rPr>
                <w:rStyle w:val="Hyperlink"/>
                <w:rFonts w:eastAsiaTheme="majorEastAsia" w:cstheme="majorBidi"/>
                <w:noProof/>
                <w:szCs w:val="26"/>
              </w:rPr>
              <w:t>Revenue Requirement</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_Toc217384615 \h </w:instrText>
            </w:r>
            <w:r w:rsidRPr="00463C9A">
              <w:rPr>
                <w:noProof/>
                <w:webHidden/>
                <w:szCs w:val="26"/>
              </w:rPr>
            </w:r>
            <w:r w:rsidRPr="00463C9A">
              <w:rPr>
                <w:noProof/>
                <w:webHidden/>
                <w:szCs w:val="26"/>
              </w:rPr>
              <w:fldChar w:fldCharType="separate"/>
            </w:r>
            <w:r w:rsidR="00A93519">
              <w:rPr>
                <w:noProof/>
                <w:webHidden/>
                <w:szCs w:val="26"/>
              </w:rPr>
              <w:t>8</w:t>
            </w:r>
            <w:r w:rsidRPr="00463C9A">
              <w:rPr>
                <w:noProof/>
                <w:webHidden/>
                <w:szCs w:val="26"/>
              </w:rPr>
              <w:fldChar w:fldCharType="end"/>
            </w:r>
          </w:hyperlink>
        </w:p>
        <w:p w:rsidRPr="00463C9A" w:rsidR="00463C9A" w:rsidRDefault="00463C9A" w14:paraId="5C9A50C7" w14:textId="3F76BB44">
          <w:pPr>
            <w:pStyle w:val="TOC2"/>
            <w:tabs>
              <w:tab w:val="left" w:pos="1296"/>
              <w:tab w:val="right" w:leader="dot" w:pos="9350"/>
            </w:tabs>
            <w:rPr>
              <w:rFonts w:cstheme="minorBidi"/>
              <w:noProof/>
              <w:kern w:val="2"/>
              <w:szCs w:val="26"/>
              <w14:ligatures w14:val="standardContextual"/>
            </w:rPr>
          </w:pPr>
          <w:hyperlink w:history="1" w:anchor="_Toc217384616">
            <w:r w:rsidRPr="00463C9A">
              <w:rPr>
                <w:rStyle w:val="Hyperlink"/>
                <w:rFonts w:cs="Arial"/>
                <w:noProof/>
                <w:szCs w:val="26"/>
              </w:rPr>
              <w:t>3.1.</w:t>
            </w:r>
            <w:r w:rsidRPr="00463C9A">
              <w:rPr>
                <w:rFonts w:cstheme="minorBidi"/>
                <w:noProof/>
                <w:kern w:val="2"/>
                <w:szCs w:val="26"/>
                <w14:ligatures w14:val="standardContextual"/>
              </w:rPr>
              <w:tab/>
            </w:r>
            <w:r w:rsidRPr="00463C9A">
              <w:rPr>
                <w:rStyle w:val="Hyperlink"/>
                <w:rFonts w:cs="Arial"/>
                <w:noProof/>
                <w:szCs w:val="26"/>
              </w:rPr>
              <w:t>Cost Allocation Mechanism</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_Toc217384616 \h </w:instrText>
            </w:r>
            <w:r w:rsidRPr="00463C9A">
              <w:rPr>
                <w:noProof/>
                <w:webHidden/>
                <w:szCs w:val="26"/>
              </w:rPr>
            </w:r>
            <w:r w:rsidRPr="00463C9A">
              <w:rPr>
                <w:noProof/>
                <w:webHidden/>
                <w:szCs w:val="26"/>
              </w:rPr>
              <w:fldChar w:fldCharType="separate"/>
            </w:r>
            <w:r w:rsidR="00A93519">
              <w:rPr>
                <w:noProof/>
                <w:webHidden/>
                <w:szCs w:val="26"/>
              </w:rPr>
              <w:t>10</w:t>
            </w:r>
            <w:r w:rsidRPr="00463C9A">
              <w:rPr>
                <w:noProof/>
                <w:webHidden/>
                <w:szCs w:val="26"/>
              </w:rPr>
              <w:fldChar w:fldCharType="end"/>
            </w:r>
          </w:hyperlink>
        </w:p>
        <w:p w:rsidRPr="00463C9A" w:rsidR="00463C9A" w:rsidRDefault="00463C9A" w14:paraId="2719CE7E" w14:textId="5FD99471">
          <w:pPr>
            <w:pStyle w:val="TOC2"/>
            <w:tabs>
              <w:tab w:val="left" w:pos="1296"/>
              <w:tab w:val="right" w:leader="dot" w:pos="9350"/>
            </w:tabs>
            <w:rPr>
              <w:rFonts w:cstheme="minorBidi"/>
              <w:noProof/>
              <w:kern w:val="2"/>
              <w:szCs w:val="26"/>
              <w14:ligatures w14:val="standardContextual"/>
            </w:rPr>
          </w:pPr>
          <w:hyperlink w:history="1" w:anchor="_Toc217384617">
            <w:r w:rsidRPr="00463C9A">
              <w:rPr>
                <w:rStyle w:val="Hyperlink"/>
                <w:rFonts w:cs="Arial"/>
                <w:noProof/>
                <w:szCs w:val="26"/>
              </w:rPr>
              <w:t>3.2.</w:t>
            </w:r>
            <w:r w:rsidRPr="00463C9A">
              <w:rPr>
                <w:rFonts w:cstheme="minorBidi"/>
                <w:noProof/>
                <w:kern w:val="2"/>
                <w:szCs w:val="26"/>
                <w14:ligatures w14:val="standardContextual"/>
              </w:rPr>
              <w:tab/>
            </w:r>
            <w:r w:rsidRPr="00463C9A">
              <w:rPr>
                <w:rStyle w:val="Hyperlink"/>
                <w:rFonts w:cs="Arial"/>
                <w:noProof/>
                <w:szCs w:val="26"/>
              </w:rPr>
              <w:t>Voluntary Allocation Market Offer Memorandum Account</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_Toc217384617 \h </w:instrText>
            </w:r>
            <w:r w:rsidRPr="00463C9A">
              <w:rPr>
                <w:noProof/>
                <w:webHidden/>
                <w:szCs w:val="26"/>
              </w:rPr>
            </w:r>
            <w:r w:rsidRPr="00463C9A">
              <w:rPr>
                <w:noProof/>
                <w:webHidden/>
                <w:szCs w:val="26"/>
              </w:rPr>
              <w:fldChar w:fldCharType="separate"/>
            </w:r>
            <w:r w:rsidR="00A93519">
              <w:rPr>
                <w:noProof/>
                <w:webHidden/>
                <w:szCs w:val="26"/>
              </w:rPr>
              <w:t>11</w:t>
            </w:r>
            <w:r w:rsidRPr="00463C9A">
              <w:rPr>
                <w:noProof/>
                <w:webHidden/>
                <w:szCs w:val="26"/>
              </w:rPr>
              <w:fldChar w:fldCharType="end"/>
            </w:r>
          </w:hyperlink>
        </w:p>
        <w:p w:rsidRPr="00463C9A" w:rsidR="00463C9A" w:rsidRDefault="00463C9A" w14:paraId="24137657" w14:textId="3319FDDC">
          <w:pPr>
            <w:pStyle w:val="TOC2"/>
            <w:tabs>
              <w:tab w:val="left" w:pos="1296"/>
              <w:tab w:val="right" w:leader="dot" w:pos="9350"/>
            </w:tabs>
            <w:rPr>
              <w:rFonts w:cstheme="minorBidi"/>
              <w:noProof/>
              <w:kern w:val="2"/>
              <w:szCs w:val="26"/>
              <w14:ligatures w14:val="standardContextual"/>
            </w:rPr>
          </w:pPr>
          <w:hyperlink w:history="1" w:anchor="_Toc217384618">
            <w:r w:rsidRPr="00463C9A">
              <w:rPr>
                <w:rStyle w:val="Hyperlink"/>
                <w:rFonts w:cs="Arial"/>
                <w:noProof/>
                <w:szCs w:val="26"/>
              </w:rPr>
              <w:t>3.3.</w:t>
            </w:r>
            <w:r w:rsidRPr="00463C9A">
              <w:rPr>
                <w:rFonts w:cstheme="minorBidi"/>
                <w:noProof/>
                <w:kern w:val="2"/>
                <w:szCs w:val="26"/>
                <w14:ligatures w14:val="standardContextual"/>
              </w:rPr>
              <w:tab/>
            </w:r>
            <w:r w:rsidRPr="00463C9A">
              <w:rPr>
                <w:rStyle w:val="Hyperlink"/>
                <w:rFonts w:cs="Arial"/>
                <w:noProof/>
                <w:szCs w:val="26"/>
              </w:rPr>
              <w:t>Power Charge Indifference Adjustment</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_Toc217384618 \h </w:instrText>
            </w:r>
            <w:r w:rsidRPr="00463C9A">
              <w:rPr>
                <w:noProof/>
                <w:webHidden/>
                <w:szCs w:val="26"/>
              </w:rPr>
            </w:r>
            <w:r w:rsidRPr="00463C9A">
              <w:rPr>
                <w:noProof/>
                <w:webHidden/>
                <w:szCs w:val="26"/>
              </w:rPr>
              <w:fldChar w:fldCharType="separate"/>
            </w:r>
            <w:r w:rsidR="00A93519">
              <w:rPr>
                <w:noProof/>
                <w:webHidden/>
                <w:szCs w:val="26"/>
              </w:rPr>
              <w:t>11</w:t>
            </w:r>
            <w:r w:rsidRPr="00463C9A">
              <w:rPr>
                <w:noProof/>
                <w:webHidden/>
                <w:szCs w:val="26"/>
              </w:rPr>
              <w:fldChar w:fldCharType="end"/>
            </w:r>
          </w:hyperlink>
        </w:p>
        <w:p w:rsidRPr="00463C9A" w:rsidR="00463C9A" w:rsidRDefault="00463C9A" w14:paraId="19AFB4C9" w14:textId="5936A5D2">
          <w:pPr>
            <w:pStyle w:val="TOC3"/>
            <w:tabs>
              <w:tab w:val="left" w:pos="1728"/>
              <w:tab w:val="right" w:leader="dot" w:pos="9350"/>
            </w:tabs>
            <w:rPr>
              <w:rFonts w:cstheme="minorBidi"/>
              <w:noProof/>
              <w:kern w:val="2"/>
              <w:szCs w:val="26"/>
              <w14:ligatures w14:val="standardContextual"/>
            </w:rPr>
          </w:pPr>
          <w:hyperlink w:history="1" w:anchor="_Toc217384619">
            <w:r w:rsidRPr="00463C9A">
              <w:rPr>
                <w:rStyle w:val="Hyperlink"/>
                <w:rFonts w:eastAsiaTheme="majorEastAsia" w:cstheme="majorBidi"/>
                <w:noProof/>
                <w:szCs w:val="26"/>
              </w:rPr>
              <w:t>3.3.1.</w:t>
            </w:r>
            <w:r w:rsidRPr="00463C9A">
              <w:rPr>
                <w:rFonts w:cstheme="minorBidi"/>
                <w:noProof/>
                <w:kern w:val="2"/>
                <w:szCs w:val="26"/>
                <w14:ligatures w14:val="standardContextual"/>
              </w:rPr>
              <w:tab/>
            </w:r>
            <w:r w:rsidRPr="00463C9A">
              <w:rPr>
                <w:rStyle w:val="Hyperlink"/>
                <w:rFonts w:eastAsiaTheme="majorEastAsia" w:cstheme="majorBidi"/>
                <w:noProof/>
                <w:szCs w:val="26"/>
              </w:rPr>
              <w:t>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_Toc217384619 \h </w:instrText>
            </w:r>
            <w:r w:rsidRPr="00463C9A">
              <w:rPr>
                <w:noProof/>
                <w:webHidden/>
                <w:szCs w:val="26"/>
              </w:rPr>
            </w:r>
            <w:r w:rsidRPr="00463C9A">
              <w:rPr>
                <w:noProof/>
                <w:webHidden/>
                <w:szCs w:val="26"/>
              </w:rPr>
              <w:fldChar w:fldCharType="separate"/>
            </w:r>
            <w:r w:rsidR="00A93519">
              <w:rPr>
                <w:noProof/>
                <w:webHidden/>
                <w:szCs w:val="26"/>
              </w:rPr>
              <w:t>12</w:t>
            </w:r>
            <w:r w:rsidRPr="00463C9A">
              <w:rPr>
                <w:noProof/>
                <w:webHidden/>
                <w:szCs w:val="26"/>
              </w:rPr>
              <w:fldChar w:fldCharType="end"/>
            </w:r>
          </w:hyperlink>
        </w:p>
        <w:p w:rsidRPr="00463C9A" w:rsidR="00463C9A" w:rsidRDefault="00463C9A" w14:paraId="04B739F2" w14:textId="1137AAD0">
          <w:pPr>
            <w:pStyle w:val="TOC3"/>
            <w:tabs>
              <w:tab w:val="left" w:pos="1728"/>
              <w:tab w:val="right" w:leader="dot" w:pos="9350"/>
            </w:tabs>
            <w:rPr>
              <w:rFonts w:cstheme="minorBidi"/>
              <w:noProof/>
              <w:kern w:val="2"/>
              <w:szCs w:val="26"/>
              <w14:ligatures w14:val="standardContextual"/>
            </w:rPr>
          </w:pPr>
          <w:hyperlink w:history="1" w:anchor="_Toc217384620">
            <w:r w:rsidRPr="00463C9A">
              <w:rPr>
                <w:rStyle w:val="Hyperlink"/>
                <w:rFonts w:eastAsiaTheme="majorEastAsia" w:cstheme="majorBidi"/>
                <w:noProof/>
                <w:szCs w:val="26"/>
              </w:rPr>
              <w:t>3.3.2.</w:t>
            </w:r>
            <w:r w:rsidRPr="00463C9A">
              <w:rPr>
                <w:rFonts w:cstheme="minorBidi"/>
                <w:noProof/>
                <w:kern w:val="2"/>
                <w:szCs w:val="26"/>
                <w14:ligatures w14:val="standardContextual"/>
              </w:rPr>
              <w:tab/>
            </w:r>
            <w:r w:rsidRPr="00463C9A">
              <w:rPr>
                <w:rStyle w:val="Hyperlink"/>
                <w:rFonts w:eastAsiaTheme="majorEastAsia" w:cstheme="majorBidi"/>
                <w:noProof/>
                <w:szCs w:val="26"/>
              </w:rPr>
              <w:t>PABA</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_Toc217384620 \h </w:instrText>
            </w:r>
            <w:r w:rsidRPr="00463C9A">
              <w:rPr>
                <w:noProof/>
                <w:webHidden/>
                <w:szCs w:val="26"/>
              </w:rPr>
            </w:r>
            <w:r w:rsidRPr="00463C9A">
              <w:rPr>
                <w:noProof/>
                <w:webHidden/>
                <w:szCs w:val="26"/>
              </w:rPr>
              <w:fldChar w:fldCharType="separate"/>
            </w:r>
            <w:r w:rsidR="00A93519">
              <w:rPr>
                <w:noProof/>
                <w:webHidden/>
                <w:szCs w:val="26"/>
              </w:rPr>
              <w:t>13</w:t>
            </w:r>
            <w:r w:rsidRPr="00463C9A">
              <w:rPr>
                <w:noProof/>
                <w:webHidden/>
                <w:szCs w:val="26"/>
              </w:rPr>
              <w:fldChar w:fldCharType="end"/>
            </w:r>
          </w:hyperlink>
        </w:p>
        <w:p w:rsidRPr="00463C9A" w:rsidR="00463C9A" w:rsidRDefault="00463C9A" w14:paraId="0436B1DD" w14:textId="71B33E44">
          <w:pPr>
            <w:pStyle w:val="TOC2"/>
            <w:tabs>
              <w:tab w:val="left" w:pos="1296"/>
              <w:tab w:val="right" w:leader="dot" w:pos="9350"/>
            </w:tabs>
            <w:rPr>
              <w:rFonts w:cstheme="minorBidi"/>
              <w:noProof/>
              <w:kern w:val="2"/>
              <w:szCs w:val="26"/>
              <w14:ligatures w14:val="standardContextual"/>
            </w:rPr>
          </w:pPr>
          <w:hyperlink w:history="1" w:anchor="_Toc217384621">
            <w:r w:rsidRPr="00463C9A">
              <w:rPr>
                <w:rStyle w:val="Hyperlink"/>
                <w:rFonts w:cs="Arial"/>
                <w:noProof/>
                <w:szCs w:val="26"/>
              </w:rPr>
              <w:t>3.4.</w:t>
            </w:r>
            <w:r w:rsidRPr="00463C9A">
              <w:rPr>
                <w:rFonts w:cstheme="minorBidi"/>
                <w:noProof/>
                <w:kern w:val="2"/>
                <w:szCs w:val="26"/>
                <w14:ligatures w14:val="standardContextual"/>
              </w:rPr>
              <w:tab/>
            </w:r>
            <w:r w:rsidRPr="00463C9A">
              <w:rPr>
                <w:rStyle w:val="Hyperlink"/>
                <w:rFonts w:cs="Arial"/>
                <w:noProof/>
                <w:szCs w:val="26"/>
              </w:rPr>
              <w:t>Ongoing Competition Transition Charge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_Toc217384621 \h </w:instrText>
            </w:r>
            <w:r w:rsidRPr="00463C9A">
              <w:rPr>
                <w:noProof/>
                <w:webHidden/>
                <w:szCs w:val="26"/>
              </w:rPr>
            </w:r>
            <w:r w:rsidRPr="00463C9A">
              <w:rPr>
                <w:noProof/>
                <w:webHidden/>
                <w:szCs w:val="26"/>
              </w:rPr>
              <w:fldChar w:fldCharType="separate"/>
            </w:r>
            <w:r w:rsidR="00A93519">
              <w:rPr>
                <w:noProof/>
                <w:webHidden/>
                <w:szCs w:val="26"/>
              </w:rPr>
              <w:t>16</w:t>
            </w:r>
            <w:r w:rsidRPr="00463C9A">
              <w:rPr>
                <w:noProof/>
                <w:webHidden/>
                <w:szCs w:val="26"/>
              </w:rPr>
              <w:fldChar w:fldCharType="end"/>
            </w:r>
          </w:hyperlink>
        </w:p>
        <w:p w:rsidRPr="00463C9A" w:rsidR="00463C9A" w:rsidRDefault="00463C9A" w14:paraId="4152208F" w14:textId="3E550A04">
          <w:pPr>
            <w:pStyle w:val="TOC2"/>
            <w:tabs>
              <w:tab w:val="left" w:pos="1296"/>
              <w:tab w:val="right" w:leader="dot" w:pos="9350"/>
            </w:tabs>
            <w:rPr>
              <w:rFonts w:cstheme="minorBidi"/>
              <w:noProof/>
              <w:kern w:val="2"/>
              <w:szCs w:val="26"/>
              <w14:ligatures w14:val="standardContextual"/>
            </w:rPr>
          </w:pPr>
          <w:hyperlink w:history="1" w:anchor="_Toc217384622">
            <w:r w:rsidRPr="00463C9A">
              <w:rPr>
                <w:rStyle w:val="Hyperlink"/>
                <w:rFonts w:cs="Arial"/>
                <w:noProof/>
                <w:szCs w:val="26"/>
              </w:rPr>
              <w:t>3.5.</w:t>
            </w:r>
            <w:r w:rsidRPr="00463C9A">
              <w:rPr>
                <w:rFonts w:cstheme="minorBidi"/>
                <w:noProof/>
                <w:kern w:val="2"/>
                <w:szCs w:val="26"/>
                <w14:ligatures w14:val="standardContextual"/>
              </w:rPr>
              <w:tab/>
            </w:r>
            <w:r w:rsidRPr="00463C9A">
              <w:rPr>
                <w:rStyle w:val="Hyperlink"/>
                <w:rFonts w:cs="Arial"/>
                <w:noProof/>
                <w:szCs w:val="26"/>
              </w:rPr>
              <w:t>Energy Resource Recovery Account –  Main and Trigger Application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_Toc217384622 \h </w:instrText>
            </w:r>
            <w:r w:rsidRPr="00463C9A">
              <w:rPr>
                <w:noProof/>
                <w:webHidden/>
                <w:szCs w:val="26"/>
              </w:rPr>
            </w:r>
            <w:r w:rsidRPr="00463C9A">
              <w:rPr>
                <w:noProof/>
                <w:webHidden/>
                <w:szCs w:val="26"/>
              </w:rPr>
              <w:fldChar w:fldCharType="separate"/>
            </w:r>
            <w:r w:rsidR="00A93519">
              <w:rPr>
                <w:noProof/>
                <w:webHidden/>
                <w:szCs w:val="26"/>
              </w:rPr>
              <w:t>17</w:t>
            </w:r>
            <w:r w:rsidRPr="00463C9A">
              <w:rPr>
                <w:noProof/>
                <w:webHidden/>
                <w:szCs w:val="26"/>
              </w:rPr>
              <w:fldChar w:fldCharType="end"/>
            </w:r>
          </w:hyperlink>
        </w:p>
        <w:p w:rsidRPr="00463C9A" w:rsidR="00463C9A" w:rsidRDefault="00463C9A" w14:paraId="06B7ED69" w14:textId="19EF358E">
          <w:pPr>
            <w:pStyle w:val="TOC3"/>
            <w:tabs>
              <w:tab w:val="left" w:pos="1728"/>
              <w:tab w:val="right" w:leader="dot" w:pos="9350"/>
            </w:tabs>
            <w:rPr>
              <w:rFonts w:cstheme="minorBidi"/>
              <w:noProof/>
              <w:kern w:val="2"/>
              <w:szCs w:val="26"/>
              <w14:ligatures w14:val="standardContextual"/>
            </w:rPr>
          </w:pPr>
          <w:hyperlink w:history="1" w:anchor="_Toc217384623">
            <w:r w:rsidRPr="00463C9A">
              <w:rPr>
                <w:rStyle w:val="Hyperlink"/>
                <w:rFonts w:eastAsiaTheme="majorEastAsia" w:cstheme="majorBidi"/>
                <w:noProof/>
                <w:szCs w:val="26"/>
              </w:rPr>
              <w:t>3.5.1.</w:t>
            </w:r>
            <w:r w:rsidRPr="00463C9A">
              <w:rPr>
                <w:rFonts w:cstheme="minorBidi"/>
                <w:noProof/>
                <w:kern w:val="2"/>
                <w:szCs w:val="26"/>
                <w14:ligatures w14:val="standardContextual"/>
              </w:rPr>
              <w:tab/>
            </w:r>
            <w:r w:rsidRPr="00463C9A">
              <w:rPr>
                <w:rStyle w:val="Hyperlink"/>
                <w:rFonts w:eastAsiaTheme="majorEastAsia" w:cstheme="majorBidi"/>
                <w:noProof/>
                <w:szCs w:val="26"/>
              </w:rPr>
              <w:t>ERRA</w:t>
            </w:r>
            <w:r w:rsidRPr="00463C9A">
              <w:rPr>
                <w:rStyle w:val="Hyperlink"/>
                <w:noProof/>
                <w:szCs w:val="26"/>
              </w:rPr>
              <w:t>-</w:t>
            </w:r>
            <w:r w:rsidRPr="00463C9A">
              <w:rPr>
                <w:rStyle w:val="Hyperlink"/>
                <w:rFonts w:eastAsiaTheme="majorEastAsia" w:cstheme="majorBidi"/>
                <w:noProof/>
                <w:szCs w:val="26"/>
              </w:rPr>
              <w:t>Main 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_Toc217384623 \h </w:instrText>
            </w:r>
            <w:r w:rsidRPr="00463C9A">
              <w:rPr>
                <w:noProof/>
                <w:webHidden/>
                <w:szCs w:val="26"/>
              </w:rPr>
            </w:r>
            <w:r w:rsidRPr="00463C9A">
              <w:rPr>
                <w:noProof/>
                <w:webHidden/>
                <w:szCs w:val="26"/>
              </w:rPr>
              <w:fldChar w:fldCharType="separate"/>
            </w:r>
            <w:r w:rsidR="00A93519">
              <w:rPr>
                <w:noProof/>
                <w:webHidden/>
                <w:szCs w:val="26"/>
              </w:rPr>
              <w:t>17</w:t>
            </w:r>
            <w:r w:rsidRPr="00463C9A">
              <w:rPr>
                <w:noProof/>
                <w:webHidden/>
                <w:szCs w:val="26"/>
              </w:rPr>
              <w:fldChar w:fldCharType="end"/>
            </w:r>
          </w:hyperlink>
        </w:p>
        <w:p w:rsidRPr="00463C9A" w:rsidR="00463C9A" w:rsidRDefault="00463C9A" w14:paraId="591B985B" w14:textId="05081310">
          <w:pPr>
            <w:pStyle w:val="TOC3"/>
            <w:tabs>
              <w:tab w:val="left" w:pos="1296"/>
              <w:tab w:val="right" w:leader="dot" w:pos="9350"/>
            </w:tabs>
            <w:rPr>
              <w:rFonts w:cstheme="minorBidi"/>
              <w:noProof/>
              <w:kern w:val="2"/>
              <w:szCs w:val="26"/>
              <w14:ligatures w14:val="standardContextual"/>
            </w:rPr>
          </w:pPr>
          <w:hyperlink w:history="1" w:anchor="_Toc217384624">
            <w:r w:rsidRPr="00463C9A">
              <w:rPr>
                <w:rStyle w:val="Hyperlink"/>
                <w:noProof/>
                <w:szCs w:val="26"/>
              </w:rPr>
              <w:t>3.5.2.</w:t>
            </w:r>
            <w:r w:rsidRPr="00463C9A">
              <w:rPr>
                <w:rFonts w:cstheme="minorBidi"/>
                <w:noProof/>
                <w:kern w:val="2"/>
                <w:szCs w:val="26"/>
                <w14:ligatures w14:val="standardContextual"/>
              </w:rPr>
              <w:tab/>
            </w:r>
            <w:r w:rsidRPr="00463C9A">
              <w:rPr>
                <w:rStyle w:val="Hyperlink"/>
                <w:noProof/>
                <w:szCs w:val="26"/>
              </w:rPr>
              <w:t>Trigger 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_Toc217384624 \h </w:instrText>
            </w:r>
            <w:r w:rsidRPr="00463C9A">
              <w:rPr>
                <w:noProof/>
                <w:webHidden/>
                <w:szCs w:val="26"/>
              </w:rPr>
            </w:r>
            <w:r w:rsidRPr="00463C9A">
              <w:rPr>
                <w:noProof/>
                <w:webHidden/>
                <w:szCs w:val="26"/>
              </w:rPr>
              <w:fldChar w:fldCharType="separate"/>
            </w:r>
            <w:r w:rsidR="00A93519">
              <w:rPr>
                <w:noProof/>
                <w:webHidden/>
                <w:szCs w:val="26"/>
              </w:rPr>
              <w:t>18</w:t>
            </w:r>
            <w:r w:rsidRPr="00463C9A">
              <w:rPr>
                <w:noProof/>
                <w:webHidden/>
                <w:szCs w:val="26"/>
              </w:rPr>
              <w:fldChar w:fldCharType="end"/>
            </w:r>
          </w:hyperlink>
        </w:p>
        <w:p w:rsidRPr="00463C9A" w:rsidR="00463C9A" w:rsidRDefault="00463C9A" w14:paraId="12B0B247" w14:textId="45A4B1AA">
          <w:pPr>
            <w:pStyle w:val="TOC3"/>
            <w:tabs>
              <w:tab w:val="left" w:pos="1728"/>
              <w:tab w:val="right" w:leader="dot" w:pos="9350"/>
            </w:tabs>
            <w:rPr>
              <w:rFonts w:cstheme="minorBidi"/>
              <w:noProof/>
              <w:kern w:val="2"/>
              <w:szCs w:val="26"/>
              <w14:ligatures w14:val="standardContextual"/>
            </w:rPr>
          </w:pPr>
          <w:hyperlink w:history="1" w:anchor="_Toc217384625">
            <w:r w:rsidRPr="00463C9A">
              <w:rPr>
                <w:rStyle w:val="Hyperlink"/>
                <w:rFonts w:eastAsiaTheme="majorEastAsia" w:cstheme="majorBidi"/>
                <w:noProof/>
                <w:szCs w:val="26"/>
              </w:rPr>
              <w:t>3.5.3.</w:t>
            </w:r>
            <w:r w:rsidRPr="00463C9A">
              <w:rPr>
                <w:rFonts w:cstheme="minorBidi"/>
                <w:noProof/>
                <w:kern w:val="2"/>
                <w:szCs w:val="26"/>
                <w14:ligatures w14:val="standardContextual"/>
              </w:rPr>
              <w:tab/>
            </w:r>
            <w:r w:rsidRPr="00463C9A">
              <w:rPr>
                <w:rStyle w:val="Hyperlink"/>
                <w:rFonts w:eastAsiaTheme="majorEastAsia" w:cstheme="majorBidi"/>
                <w:noProof/>
                <w:szCs w:val="26"/>
              </w:rPr>
              <w:t>Trigger Party Comments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_Toc217384625 \h </w:instrText>
            </w:r>
            <w:r w:rsidRPr="00463C9A">
              <w:rPr>
                <w:noProof/>
                <w:webHidden/>
                <w:szCs w:val="26"/>
              </w:rPr>
            </w:r>
            <w:r w:rsidRPr="00463C9A">
              <w:rPr>
                <w:noProof/>
                <w:webHidden/>
                <w:szCs w:val="26"/>
              </w:rPr>
              <w:fldChar w:fldCharType="separate"/>
            </w:r>
            <w:r w:rsidR="00A93519">
              <w:rPr>
                <w:noProof/>
                <w:webHidden/>
                <w:szCs w:val="26"/>
              </w:rPr>
              <w:t>19</w:t>
            </w:r>
            <w:r w:rsidRPr="00463C9A">
              <w:rPr>
                <w:noProof/>
                <w:webHidden/>
                <w:szCs w:val="26"/>
              </w:rPr>
              <w:fldChar w:fldCharType="end"/>
            </w:r>
          </w:hyperlink>
        </w:p>
        <w:p w:rsidRPr="00463C9A" w:rsidR="00463C9A" w:rsidRDefault="00463C9A" w14:paraId="1FB411C1" w14:textId="7C3880EF">
          <w:pPr>
            <w:pStyle w:val="TOC3"/>
            <w:tabs>
              <w:tab w:val="left" w:pos="1296"/>
              <w:tab w:val="right" w:leader="dot" w:pos="9350"/>
            </w:tabs>
            <w:rPr>
              <w:rFonts w:cstheme="minorBidi"/>
              <w:noProof/>
              <w:kern w:val="2"/>
              <w:szCs w:val="26"/>
              <w14:ligatures w14:val="standardContextual"/>
            </w:rPr>
          </w:pPr>
          <w:hyperlink w:history="1" w:anchor="_Toc217384626">
            <w:r w:rsidRPr="00463C9A">
              <w:rPr>
                <w:rStyle w:val="Hyperlink"/>
                <w:noProof/>
                <w:szCs w:val="26"/>
              </w:rPr>
              <w:t>3.5.3.</w:t>
            </w:r>
            <w:r w:rsidRPr="00463C9A">
              <w:rPr>
                <w:rFonts w:cstheme="minorBidi"/>
                <w:noProof/>
                <w:kern w:val="2"/>
                <w:szCs w:val="26"/>
                <w14:ligatures w14:val="standardContextual"/>
              </w:rPr>
              <w:tab/>
            </w:r>
            <w:r w:rsidRPr="00463C9A">
              <w:rPr>
                <w:rStyle w:val="Hyperlink"/>
                <w:noProof/>
                <w:szCs w:val="26"/>
              </w:rPr>
              <w:t>Trigger Discussion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_Toc217384626 \h </w:instrText>
            </w:r>
            <w:r w:rsidRPr="00463C9A">
              <w:rPr>
                <w:noProof/>
                <w:webHidden/>
                <w:szCs w:val="26"/>
              </w:rPr>
            </w:r>
            <w:r w:rsidRPr="00463C9A">
              <w:rPr>
                <w:noProof/>
                <w:webHidden/>
                <w:szCs w:val="26"/>
              </w:rPr>
              <w:fldChar w:fldCharType="separate"/>
            </w:r>
            <w:r w:rsidR="00A93519">
              <w:rPr>
                <w:noProof/>
                <w:webHidden/>
                <w:szCs w:val="26"/>
              </w:rPr>
              <w:t>19</w:t>
            </w:r>
            <w:r w:rsidRPr="00463C9A">
              <w:rPr>
                <w:noProof/>
                <w:webHidden/>
                <w:szCs w:val="26"/>
              </w:rPr>
              <w:fldChar w:fldCharType="end"/>
            </w:r>
          </w:hyperlink>
        </w:p>
        <w:p w:rsidRPr="00463C9A" w:rsidR="00463C9A" w:rsidRDefault="00463C9A" w14:paraId="5A19E949" w14:textId="7622D3F3">
          <w:pPr>
            <w:pStyle w:val="TOC2"/>
            <w:tabs>
              <w:tab w:val="right" w:leader="dot" w:pos="9350"/>
            </w:tabs>
            <w:rPr>
              <w:rFonts w:cstheme="minorBidi"/>
              <w:noProof/>
              <w:kern w:val="2"/>
              <w:szCs w:val="26"/>
              <w14:ligatures w14:val="standardContextual"/>
            </w:rPr>
          </w:pPr>
          <w:hyperlink w:history="1" w:anchor="_Toc217384627">
            <w:r w:rsidRPr="00463C9A">
              <w:rPr>
                <w:rStyle w:val="Hyperlink"/>
                <w:noProof/>
                <w:szCs w:val="26"/>
              </w:rPr>
              <w:t>3.6.</w:t>
            </w:r>
            <w:r w:rsidRPr="00463C9A">
              <w:rPr>
                <w:rFonts w:cstheme="minorBidi"/>
                <w:noProof/>
                <w:kern w:val="2"/>
                <w:szCs w:val="26"/>
                <w14:ligatures w14:val="standardContextual"/>
              </w:rPr>
              <w:tab/>
            </w:r>
            <w:r w:rsidRPr="00463C9A">
              <w:rPr>
                <w:rStyle w:val="Hyperlink"/>
                <w:noProof/>
                <w:szCs w:val="26"/>
              </w:rPr>
              <w:t>Public Policy Charge Procurement</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_Toc217384627 \h </w:instrText>
            </w:r>
            <w:r w:rsidRPr="00463C9A">
              <w:rPr>
                <w:noProof/>
                <w:webHidden/>
                <w:szCs w:val="26"/>
              </w:rPr>
            </w:r>
            <w:r w:rsidRPr="00463C9A">
              <w:rPr>
                <w:noProof/>
                <w:webHidden/>
                <w:szCs w:val="26"/>
              </w:rPr>
              <w:fldChar w:fldCharType="separate"/>
            </w:r>
            <w:r w:rsidR="00A93519">
              <w:rPr>
                <w:noProof/>
                <w:webHidden/>
                <w:szCs w:val="26"/>
              </w:rPr>
              <w:t>20</w:t>
            </w:r>
            <w:r w:rsidRPr="00463C9A">
              <w:rPr>
                <w:noProof/>
                <w:webHidden/>
                <w:szCs w:val="26"/>
              </w:rPr>
              <w:fldChar w:fldCharType="end"/>
            </w:r>
          </w:hyperlink>
        </w:p>
        <w:p w:rsidRPr="00463C9A" w:rsidR="00463C9A" w:rsidRDefault="00463C9A" w14:paraId="2F177CFF" w14:textId="34ED9904">
          <w:pPr>
            <w:pStyle w:val="TOC2"/>
            <w:tabs>
              <w:tab w:val="right" w:leader="dot" w:pos="9350"/>
            </w:tabs>
            <w:rPr>
              <w:rFonts w:cstheme="minorBidi"/>
              <w:noProof/>
              <w:kern w:val="2"/>
              <w:szCs w:val="26"/>
              <w14:ligatures w14:val="standardContextual"/>
            </w:rPr>
          </w:pPr>
          <w:hyperlink w:history="1" w:anchor="_Toc217384628">
            <w:r w:rsidRPr="00463C9A">
              <w:rPr>
                <w:rStyle w:val="Hyperlink"/>
                <w:noProof/>
                <w:szCs w:val="26"/>
              </w:rPr>
              <w:t>3.7.</w:t>
            </w:r>
            <w:r w:rsidRPr="00463C9A">
              <w:rPr>
                <w:rFonts w:cstheme="minorBidi"/>
                <w:noProof/>
                <w:kern w:val="2"/>
                <w:szCs w:val="26"/>
                <w14:ligatures w14:val="standardContextual"/>
              </w:rPr>
              <w:tab/>
            </w:r>
            <w:r w:rsidRPr="00463C9A">
              <w:rPr>
                <w:rStyle w:val="Hyperlink"/>
                <w:noProof/>
                <w:szCs w:val="26"/>
              </w:rPr>
              <w:t>Tree Mortality Non-bypassable Charge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_Toc217384628 \h </w:instrText>
            </w:r>
            <w:r w:rsidRPr="00463C9A">
              <w:rPr>
                <w:noProof/>
                <w:webHidden/>
                <w:szCs w:val="26"/>
              </w:rPr>
            </w:r>
            <w:r w:rsidRPr="00463C9A">
              <w:rPr>
                <w:noProof/>
                <w:webHidden/>
                <w:szCs w:val="26"/>
              </w:rPr>
              <w:fldChar w:fldCharType="separate"/>
            </w:r>
            <w:r w:rsidR="00A93519">
              <w:rPr>
                <w:noProof/>
                <w:webHidden/>
                <w:szCs w:val="26"/>
              </w:rPr>
              <w:t>20</w:t>
            </w:r>
            <w:r w:rsidRPr="00463C9A">
              <w:rPr>
                <w:noProof/>
                <w:webHidden/>
                <w:szCs w:val="26"/>
              </w:rPr>
              <w:fldChar w:fldCharType="end"/>
            </w:r>
          </w:hyperlink>
        </w:p>
        <w:p w:rsidRPr="00463C9A" w:rsidR="00463C9A" w:rsidRDefault="00463C9A" w14:paraId="3323168F" w14:textId="0D0D9CBE">
          <w:pPr>
            <w:pStyle w:val="TOC2"/>
            <w:tabs>
              <w:tab w:val="right" w:leader="dot" w:pos="9350"/>
            </w:tabs>
            <w:rPr>
              <w:rFonts w:cstheme="minorBidi"/>
              <w:noProof/>
              <w:kern w:val="2"/>
              <w:szCs w:val="26"/>
              <w14:ligatures w14:val="standardContextual"/>
            </w:rPr>
          </w:pPr>
          <w:hyperlink w:history="1" w:anchor="_Toc217384629">
            <w:r w:rsidRPr="00463C9A">
              <w:rPr>
                <w:rStyle w:val="Hyperlink"/>
                <w:noProof/>
                <w:szCs w:val="26"/>
              </w:rPr>
              <w:t>3.8.</w:t>
            </w:r>
            <w:r w:rsidRPr="00463C9A">
              <w:rPr>
                <w:rFonts w:cstheme="minorBidi"/>
                <w:noProof/>
                <w:kern w:val="2"/>
                <w:szCs w:val="26"/>
                <w14:ligatures w14:val="standardContextual"/>
              </w:rPr>
              <w:tab/>
            </w:r>
            <w:r w:rsidRPr="00463C9A">
              <w:rPr>
                <w:rStyle w:val="Hyperlink"/>
                <w:noProof/>
                <w:szCs w:val="26"/>
              </w:rPr>
              <w:t>Bioenergy Market Adjusting Tariff</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_Toc217384629 \h </w:instrText>
            </w:r>
            <w:r w:rsidRPr="00463C9A">
              <w:rPr>
                <w:noProof/>
                <w:webHidden/>
                <w:szCs w:val="26"/>
              </w:rPr>
            </w:r>
            <w:r w:rsidRPr="00463C9A">
              <w:rPr>
                <w:noProof/>
                <w:webHidden/>
                <w:szCs w:val="26"/>
              </w:rPr>
              <w:fldChar w:fldCharType="separate"/>
            </w:r>
            <w:r w:rsidR="00A93519">
              <w:rPr>
                <w:noProof/>
                <w:webHidden/>
                <w:szCs w:val="26"/>
              </w:rPr>
              <w:t>22</w:t>
            </w:r>
            <w:r w:rsidRPr="00463C9A">
              <w:rPr>
                <w:noProof/>
                <w:webHidden/>
                <w:szCs w:val="26"/>
              </w:rPr>
              <w:fldChar w:fldCharType="end"/>
            </w:r>
          </w:hyperlink>
        </w:p>
        <w:p w:rsidRPr="00463C9A" w:rsidR="00463C9A" w:rsidRDefault="00463C9A" w14:paraId="64253035" w14:textId="4472E3F1">
          <w:pPr>
            <w:pStyle w:val="TOC1"/>
            <w:tabs>
              <w:tab w:val="right" w:leader="dot" w:pos="9350"/>
            </w:tabs>
            <w:rPr>
              <w:rFonts w:cstheme="minorBidi"/>
              <w:noProof/>
              <w:kern w:val="2"/>
              <w:szCs w:val="26"/>
              <w14:ligatures w14:val="standardContextual"/>
            </w:rPr>
          </w:pPr>
          <w:hyperlink w:history="1" w:anchor="_Toc217384630">
            <w:r w:rsidRPr="00463C9A">
              <w:rPr>
                <w:rStyle w:val="Hyperlink"/>
                <w:rFonts w:eastAsiaTheme="majorEastAsia" w:cstheme="majorBidi"/>
                <w:noProof/>
                <w:szCs w:val="26"/>
              </w:rPr>
              <w:t>4.</w:t>
            </w:r>
            <w:r w:rsidRPr="00463C9A">
              <w:rPr>
                <w:rFonts w:cstheme="minorBidi"/>
                <w:noProof/>
                <w:kern w:val="2"/>
                <w:szCs w:val="26"/>
                <w14:ligatures w14:val="standardContextual"/>
              </w:rPr>
              <w:tab/>
            </w:r>
            <w:r w:rsidRPr="00463C9A">
              <w:rPr>
                <w:rStyle w:val="Hyperlink"/>
                <w:rFonts w:eastAsiaTheme="majorEastAsia" w:cstheme="majorBidi"/>
                <w:noProof/>
                <w:szCs w:val="26"/>
              </w:rPr>
              <w:t>Revenue Requirement Adjustments  Authorized in Other Proceedings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_Toc217384630 \h </w:instrText>
            </w:r>
            <w:r w:rsidRPr="00463C9A">
              <w:rPr>
                <w:noProof/>
                <w:webHidden/>
                <w:szCs w:val="26"/>
              </w:rPr>
            </w:r>
            <w:r w:rsidRPr="00463C9A">
              <w:rPr>
                <w:noProof/>
                <w:webHidden/>
                <w:szCs w:val="26"/>
              </w:rPr>
              <w:fldChar w:fldCharType="separate"/>
            </w:r>
            <w:r w:rsidR="00A93519">
              <w:rPr>
                <w:noProof/>
                <w:webHidden/>
                <w:szCs w:val="26"/>
              </w:rPr>
              <w:t>22</w:t>
            </w:r>
            <w:r w:rsidRPr="00463C9A">
              <w:rPr>
                <w:noProof/>
                <w:webHidden/>
                <w:szCs w:val="26"/>
              </w:rPr>
              <w:fldChar w:fldCharType="end"/>
            </w:r>
          </w:hyperlink>
        </w:p>
        <w:p w:rsidRPr="00463C9A" w:rsidR="00463C9A" w:rsidRDefault="00463C9A" w14:paraId="01B74D4E" w14:textId="2BFEF3A6">
          <w:pPr>
            <w:pStyle w:val="TOC2"/>
            <w:tabs>
              <w:tab w:val="left" w:pos="1296"/>
              <w:tab w:val="right" w:leader="dot" w:pos="9350"/>
            </w:tabs>
            <w:rPr>
              <w:rFonts w:cstheme="minorBidi"/>
              <w:noProof/>
              <w:kern w:val="2"/>
              <w:szCs w:val="26"/>
              <w14:ligatures w14:val="standardContextual"/>
            </w:rPr>
          </w:pPr>
          <w:hyperlink w:history="1" w:anchor="_Toc217384631">
            <w:r w:rsidRPr="00463C9A">
              <w:rPr>
                <w:rStyle w:val="Hyperlink"/>
                <w:rFonts w:cs="Arial"/>
                <w:noProof/>
                <w:szCs w:val="26"/>
              </w:rPr>
              <w:t>4.1.</w:t>
            </w:r>
            <w:r w:rsidRPr="00463C9A">
              <w:rPr>
                <w:rFonts w:cstheme="minorBidi"/>
                <w:noProof/>
                <w:kern w:val="2"/>
                <w:szCs w:val="26"/>
                <w14:ligatures w14:val="standardContextual"/>
              </w:rPr>
              <w:tab/>
            </w:r>
            <w:r w:rsidRPr="00463C9A">
              <w:rPr>
                <w:rStyle w:val="Hyperlink"/>
                <w:rFonts w:cs="Arial"/>
                <w:noProof/>
                <w:szCs w:val="26"/>
              </w:rPr>
              <w:t>Utility-Owned Generation –  Related Costs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_Toc217384631 \h </w:instrText>
            </w:r>
            <w:r w:rsidRPr="00463C9A">
              <w:rPr>
                <w:noProof/>
                <w:webHidden/>
                <w:szCs w:val="26"/>
              </w:rPr>
            </w:r>
            <w:r w:rsidRPr="00463C9A">
              <w:rPr>
                <w:noProof/>
                <w:webHidden/>
                <w:szCs w:val="26"/>
              </w:rPr>
              <w:fldChar w:fldCharType="separate"/>
            </w:r>
            <w:r w:rsidR="00A93519">
              <w:rPr>
                <w:noProof/>
                <w:webHidden/>
                <w:szCs w:val="26"/>
              </w:rPr>
              <w:t>22</w:t>
            </w:r>
            <w:r w:rsidRPr="00463C9A">
              <w:rPr>
                <w:noProof/>
                <w:webHidden/>
                <w:szCs w:val="26"/>
              </w:rPr>
              <w:fldChar w:fldCharType="end"/>
            </w:r>
          </w:hyperlink>
        </w:p>
        <w:p w:rsidRPr="00463C9A" w:rsidR="00463C9A" w:rsidRDefault="00463C9A" w14:paraId="701D59F6" w14:textId="22E29B05">
          <w:pPr>
            <w:pStyle w:val="TOC2"/>
            <w:tabs>
              <w:tab w:val="left" w:pos="1296"/>
              <w:tab w:val="right" w:leader="dot" w:pos="9350"/>
            </w:tabs>
            <w:rPr>
              <w:rFonts w:cstheme="minorBidi"/>
              <w:noProof/>
              <w:kern w:val="2"/>
              <w:szCs w:val="26"/>
              <w14:ligatures w14:val="standardContextual"/>
            </w:rPr>
          </w:pPr>
          <w:hyperlink w:history="1" w:anchor="_Toc217384632">
            <w:r w:rsidRPr="00463C9A">
              <w:rPr>
                <w:rStyle w:val="Hyperlink"/>
                <w:rFonts w:cs="Arial"/>
                <w:noProof/>
                <w:szCs w:val="26"/>
              </w:rPr>
              <w:t>4.2.</w:t>
            </w:r>
            <w:r w:rsidRPr="00463C9A">
              <w:rPr>
                <w:rFonts w:cstheme="minorBidi"/>
                <w:noProof/>
                <w:kern w:val="2"/>
                <w:szCs w:val="26"/>
                <w14:ligatures w14:val="standardContextual"/>
              </w:rPr>
              <w:tab/>
            </w:r>
            <w:r w:rsidRPr="00463C9A">
              <w:rPr>
                <w:rStyle w:val="Hyperlink"/>
                <w:rFonts w:cs="Arial"/>
                <w:noProof/>
                <w:szCs w:val="26"/>
              </w:rPr>
              <w:t>Residential Uncollectibles  Balancing Account (RUBA-E)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_Toc217384632 \h </w:instrText>
            </w:r>
            <w:r w:rsidRPr="00463C9A">
              <w:rPr>
                <w:noProof/>
                <w:webHidden/>
                <w:szCs w:val="26"/>
              </w:rPr>
            </w:r>
            <w:r w:rsidRPr="00463C9A">
              <w:rPr>
                <w:noProof/>
                <w:webHidden/>
                <w:szCs w:val="26"/>
              </w:rPr>
              <w:fldChar w:fldCharType="separate"/>
            </w:r>
            <w:r w:rsidR="00A93519">
              <w:rPr>
                <w:noProof/>
                <w:webHidden/>
                <w:szCs w:val="26"/>
              </w:rPr>
              <w:t>23</w:t>
            </w:r>
            <w:r w:rsidRPr="00463C9A">
              <w:rPr>
                <w:noProof/>
                <w:webHidden/>
                <w:szCs w:val="26"/>
              </w:rPr>
              <w:fldChar w:fldCharType="end"/>
            </w:r>
          </w:hyperlink>
        </w:p>
        <w:p w:rsidRPr="00463C9A" w:rsidR="00463C9A" w:rsidRDefault="00463C9A" w14:paraId="31112E27" w14:textId="47ABD7C6">
          <w:pPr>
            <w:pStyle w:val="TOC1"/>
            <w:tabs>
              <w:tab w:val="right" w:leader="dot" w:pos="9350"/>
            </w:tabs>
            <w:rPr>
              <w:rFonts w:cstheme="minorBidi"/>
              <w:noProof/>
              <w:kern w:val="2"/>
              <w:szCs w:val="26"/>
              <w14:ligatures w14:val="standardContextual"/>
            </w:rPr>
          </w:pPr>
          <w:hyperlink w:history="1" w:anchor="_Toc217384633">
            <w:r w:rsidRPr="00463C9A">
              <w:rPr>
                <w:rStyle w:val="Hyperlink"/>
                <w:rFonts w:eastAsiaTheme="majorEastAsia" w:cstheme="majorBidi"/>
                <w:noProof/>
                <w:szCs w:val="26"/>
              </w:rPr>
              <w:t>5.</w:t>
            </w:r>
            <w:r w:rsidRPr="00463C9A">
              <w:rPr>
                <w:rFonts w:cstheme="minorBidi"/>
                <w:noProof/>
                <w:kern w:val="2"/>
                <w:szCs w:val="26"/>
                <w14:ligatures w14:val="standardContextual"/>
              </w:rPr>
              <w:tab/>
            </w:r>
            <w:r w:rsidRPr="00463C9A">
              <w:rPr>
                <w:rStyle w:val="Hyperlink"/>
                <w:rFonts w:eastAsiaTheme="majorEastAsia" w:cstheme="majorBidi"/>
                <w:noProof/>
                <w:szCs w:val="26"/>
              </w:rPr>
              <w:t>Pre-2019 Banked Renewable Energy Credits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_Toc217384633 \h </w:instrText>
            </w:r>
            <w:r w:rsidRPr="00463C9A">
              <w:rPr>
                <w:noProof/>
                <w:webHidden/>
                <w:szCs w:val="26"/>
              </w:rPr>
            </w:r>
            <w:r w:rsidRPr="00463C9A">
              <w:rPr>
                <w:noProof/>
                <w:webHidden/>
                <w:szCs w:val="26"/>
              </w:rPr>
              <w:fldChar w:fldCharType="separate"/>
            </w:r>
            <w:r w:rsidR="00A93519">
              <w:rPr>
                <w:noProof/>
                <w:webHidden/>
                <w:szCs w:val="26"/>
              </w:rPr>
              <w:t>24</w:t>
            </w:r>
            <w:r w:rsidRPr="00463C9A">
              <w:rPr>
                <w:noProof/>
                <w:webHidden/>
                <w:szCs w:val="26"/>
              </w:rPr>
              <w:fldChar w:fldCharType="end"/>
            </w:r>
          </w:hyperlink>
        </w:p>
        <w:p w:rsidRPr="00463C9A" w:rsidR="00463C9A" w:rsidRDefault="00463C9A" w14:paraId="7B245B6A" w14:textId="56F8AC1D">
          <w:pPr>
            <w:pStyle w:val="TOC2"/>
            <w:tabs>
              <w:tab w:val="left" w:pos="1296"/>
              <w:tab w:val="right" w:leader="dot" w:pos="9350"/>
            </w:tabs>
            <w:rPr>
              <w:rFonts w:cstheme="minorBidi"/>
              <w:noProof/>
              <w:kern w:val="2"/>
              <w:szCs w:val="26"/>
              <w14:ligatures w14:val="standardContextual"/>
            </w:rPr>
          </w:pPr>
          <w:hyperlink w:history="1" w:anchor="_Toc217384634">
            <w:r w:rsidRPr="00463C9A">
              <w:rPr>
                <w:rStyle w:val="Hyperlink"/>
                <w:rFonts w:cs="Arial"/>
                <w:noProof/>
                <w:szCs w:val="26"/>
              </w:rPr>
              <w:t>5.1.</w:t>
            </w:r>
            <w:r w:rsidRPr="00463C9A">
              <w:rPr>
                <w:rFonts w:cstheme="minorBidi"/>
                <w:noProof/>
                <w:kern w:val="2"/>
                <w:szCs w:val="26"/>
                <w14:ligatures w14:val="standardContextual"/>
              </w:rPr>
              <w:tab/>
            </w:r>
            <w:r w:rsidRPr="00463C9A">
              <w:rPr>
                <w:rStyle w:val="Hyperlink"/>
                <w:rFonts w:cs="Arial"/>
                <w:noProof/>
                <w:szCs w:val="26"/>
              </w:rPr>
              <w:t>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_Toc217384634 \h </w:instrText>
            </w:r>
            <w:r w:rsidRPr="00463C9A">
              <w:rPr>
                <w:noProof/>
                <w:webHidden/>
                <w:szCs w:val="26"/>
              </w:rPr>
            </w:r>
            <w:r w:rsidRPr="00463C9A">
              <w:rPr>
                <w:noProof/>
                <w:webHidden/>
                <w:szCs w:val="26"/>
              </w:rPr>
              <w:fldChar w:fldCharType="separate"/>
            </w:r>
            <w:r w:rsidR="00A93519">
              <w:rPr>
                <w:noProof/>
                <w:webHidden/>
                <w:szCs w:val="26"/>
              </w:rPr>
              <w:t>24</w:t>
            </w:r>
            <w:r w:rsidRPr="00463C9A">
              <w:rPr>
                <w:noProof/>
                <w:webHidden/>
                <w:szCs w:val="26"/>
              </w:rPr>
              <w:fldChar w:fldCharType="end"/>
            </w:r>
          </w:hyperlink>
        </w:p>
        <w:p w:rsidRPr="00463C9A" w:rsidR="00463C9A" w:rsidRDefault="00463C9A" w14:paraId="3CD3FC20" w14:textId="365138E3">
          <w:pPr>
            <w:pStyle w:val="TOC2"/>
            <w:tabs>
              <w:tab w:val="left" w:pos="1296"/>
              <w:tab w:val="right" w:leader="dot" w:pos="9350"/>
            </w:tabs>
            <w:rPr>
              <w:rFonts w:cstheme="minorBidi"/>
              <w:noProof/>
              <w:kern w:val="2"/>
              <w:szCs w:val="26"/>
              <w14:ligatures w14:val="standardContextual"/>
            </w:rPr>
          </w:pPr>
          <w:hyperlink w:history="1" w:anchor="_Toc217384635">
            <w:r w:rsidRPr="00463C9A">
              <w:rPr>
                <w:rStyle w:val="Hyperlink"/>
                <w:rFonts w:cs="Arial"/>
                <w:noProof/>
                <w:szCs w:val="26"/>
              </w:rPr>
              <w:t>5.2.</w:t>
            </w:r>
            <w:r w:rsidRPr="00463C9A">
              <w:rPr>
                <w:rFonts w:cstheme="minorBidi"/>
                <w:noProof/>
                <w:kern w:val="2"/>
                <w:szCs w:val="26"/>
                <w14:ligatures w14:val="standardContextual"/>
              </w:rPr>
              <w:tab/>
            </w:r>
            <w:r w:rsidRPr="00463C9A">
              <w:rPr>
                <w:rStyle w:val="Hyperlink"/>
                <w:rFonts w:cs="Arial"/>
                <w:noProof/>
                <w:szCs w:val="26"/>
              </w:rPr>
              <w:t>Party Comments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_Toc217384635 \h </w:instrText>
            </w:r>
            <w:r w:rsidRPr="00463C9A">
              <w:rPr>
                <w:noProof/>
                <w:webHidden/>
                <w:szCs w:val="26"/>
              </w:rPr>
            </w:r>
            <w:r w:rsidRPr="00463C9A">
              <w:rPr>
                <w:noProof/>
                <w:webHidden/>
                <w:szCs w:val="26"/>
              </w:rPr>
              <w:fldChar w:fldCharType="separate"/>
            </w:r>
            <w:r w:rsidR="00A93519">
              <w:rPr>
                <w:noProof/>
                <w:webHidden/>
                <w:szCs w:val="26"/>
              </w:rPr>
              <w:t>25</w:t>
            </w:r>
            <w:r w:rsidRPr="00463C9A">
              <w:rPr>
                <w:noProof/>
                <w:webHidden/>
                <w:szCs w:val="26"/>
              </w:rPr>
              <w:fldChar w:fldCharType="end"/>
            </w:r>
          </w:hyperlink>
        </w:p>
        <w:p w:rsidRPr="00463C9A" w:rsidR="00463C9A" w:rsidRDefault="00463C9A" w14:paraId="2B7C32F7" w14:textId="52AEF156">
          <w:pPr>
            <w:pStyle w:val="TOC3"/>
            <w:tabs>
              <w:tab w:val="left" w:pos="1728"/>
              <w:tab w:val="right" w:leader="dot" w:pos="9350"/>
            </w:tabs>
            <w:rPr>
              <w:rFonts w:cstheme="minorBidi"/>
              <w:noProof/>
              <w:kern w:val="2"/>
              <w:szCs w:val="26"/>
              <w14:ligatures w14:val="standardContextual"/>
            </w:rPr>
          </w:pPr>
          <w:hyperlink w:history="1" w:anchor="_Toc217384636">
            <w:r w:rsidRPr="00463C9A">
              <w:rPr>
                <w:rStyle w:val="Hyperlink"/>
                <w:rFonts w:eastAsiaTheme="majorEastAsia" w:cstheme="majorBidi"/>
                <w:noProof/>
                <w:szCs w:val="26"/>
              </w:rPr>
              <w:t>5.2.1.</w:t>
            </w:r>
            <w:r w:rsidRPr="00463C9A">
              <w:rPr>
                <w:rFonts w:cstheme="minorBidi"/>
                <w:noProof/>
                <w:kern w:val="2"/>
                <w:szCs w:val="26"/>
                <w14:ligatures w14:val="standardContextual"/>
              </w:rPr>
              <w:tab/>
            </w:r>
            <w:r w:rsidRPr="00463C9A">
              <w:rPr>
                <w:rStyle w:val="Hyperlink"/>
                <w:rFonts w:eastAsiaTheme="majorEastAsia" w:cstheme="majorBidi"/>
                <w:noProof/>
                <w:szCs w:val="26"/>
              </w:rPr>
              <w:t>CalCCA</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_Toc217384636 \h </w:instrText>
            </w:r>
            <w:r w:rsidRPr="00463C9A">
              <w:rPr>
                <w:noProof/>
                <w:webHidden/>
                <w:szCs w:val="26"/>
              </w:rPr>
            </w:r>
            <w:r w:rsidRPr="00463C9A">
              <w:rPr>
                <w:noProof/>
                <w:webHidden/>
                <w:szCs w:val="26"/>
              </w:rPr>
              <w:fldChar w:fldCharType="separate"/>
            </w:r>
            <w:r w:rsidR="00A93519">
              <w:rPr>
                <w:noProof/>
                <w:webHidden/>
                <w:szCs w:val="26"/>
              </w:rPr>
              <w:t>25</w:t>
            </w:r>
            <w:r w:rsidRPr="00463C9A">
              <w:rPr>
                <w:noProof/>
                <w:webHidden/>
                <w:szCs w:val="26"/>
              </w:rPr>
              <w:fldChar w:fldCharType="end"/>
            </w:r>
          </w:hyperlink>
        </w:p>
        <w:p w:rsidRPr="00463C9A" w:rsidR="00463C9A" w:rsidRDefault="00463C9A" w14:paraId="56BBF151" w14:textId="29F33FF4">
          <w:pPr>
            <w:pStyle w:val="TOC3"/>
            <w:tabs>
              <w:tab w:val="left" w:pos="1728"/>
              <w:tab w:val="right" w:leader="dot" w:pos="9350"/>
            </w:tabs>
            <w:rPr>
              <w:rFonts w:cstheme="minorBidi"/>
              <w:noProof/>
              <w:kern w:val="2"/>
              <w:szCs w:val="26"/>
              <w14:ligatures w14:val="standardContextual"/>
            </w:rPr>
          </w:pPr>
          <w:hyperlink w:history="1" w:anchor="_Toc217384637">
            <w:r w:rsidRPr="00463C9A">
              <w:rPr>
                <w:rStyle w:val="Hyperlink"/>
                <w:rFonts w:eastAsiaTheme="majorEastAsia" w:cstheme="majorBidi"/>
                <w:noProof/>
                <w:szCs w:val="26"/>
              </w:rPr>
              <w:t>5.2.2.</w:t>
            </w:r>
            <w:r w:rsidRPr="00463C9A">
              <w:rPr>
                <w:rFonts w:cstheme="minorBidi"/>
                <w:noProof/>
                <w:kern w:val="2"/>
                <w:szCs w:val="26"/>
                <w14:ligatures w14:val="standardContextual"/>
              </w:rPr>
              <w:tab/>
            </w:r>
            <w:r w:rsidRPr="00463C9A">
              <w:rPr>
                <w:rStyle w:val="Hyperlink"/>
                <w:rFonts w:eastAsiaTheme="majorEastAsia" w:cstheme="majorBidi"/>
                <w:noProof/>
                <w:szCs w:val="26"/>
              </w:rPr>
              <w:t>DACC</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_Toc217384637 \h </w:instrText>
            </w:r>
            <w:r w:rsidRPr="00463C9A">
              <w:rPr>
                <w:noProof/>
                <w:webHidden/>
                <w:szCs w:val="26"/>
              </w:rPr>
            </w:r>
            <w:r w:rsidRPr="00463C9A">
              <w:rPr>
                <w:noProof/>
                <w:webHidden/>
                <w:szCs w:val="26"/>
              </w:rPr>
              <w:fldChar w:fldCharType="separate"/>
            </w:r>
            <w:r w:rsidR="00A93519">
              <w:rPr>
                <w:noProof/>
                <w:webHidden/>
                <w:szCs w:val="26"/>
              </w:rPr>
              <w:t>26</w:t>
            </w:r>
            <w:r w:rsidRPr="00463C9A">
              <w:rPr>
                <w:noProof/>
                <w:webHidden/>
                <w:szCs w:val="26"/>
              </w:rPr>
              <w:fldChar w:fldCharType="end"/>
            </w:r>
          </w:hyperlink>
        </w:p>
        <w:p w:rsidRPr="00463C9A" w:rsidR="00463C9A" w:rsidRDefault="00463C9A" w14:paraId="03258420" w14:textId="57EC7DC0">
          <w:pPr>
            <w:pStyle w:val="TOC3"/>
            <w:tabs>
              <w:tab w:val="left" w:pos="1728"/>
              <w:tab w:val="right" w:leader="dot" w:pos="9350"/>
            </w:tabs>
            <w:rPr>
              <w:rFonts w:cstheme="minorBidi"/>
              <w:noProof/>
              <w:kern w:val="2"/>
              <w:szCs w:val="26"/>
              <w14:ligatures w14:val="standardContextual"/>
            </w:rPr>
          </w:pPr>
          <w:hyperlink w:history="1" w:anchor="_Toc217384638">
            <w:r w:rsidRPr="00463C9A">
              <w:rPr>
                <w:rStyle w:val="Hyperlink"/>
                <w:rFonts w:eastAsiaTheme="majorEastAsia" w:cstheme="majorBidi"/>
                <w:noProof/>
                <w:szCs w:val="26"/>
              </w:rPr>
              <w:t>5.2.3.</w:t>
            </w:r>
            <w:r w:rsidRPr="00463C9A">
              <w:rPr>
                <w:rFonts w:cstheme="minorBidi"/>
                <w:noProof/>
                <w:kern w:val="2"/>
                <w:szCs w:val="26"/>
                <w14:ligatures w14:val="standardContextual"/>
              </w:rPr>
              <w:tab/>
            </w:r>
            <w:r w:rsidRPr="00463C9A">
              <w:rPr>
                <w:rStyle w:val="Hyperlink"/>
                <w:rFonts w:eastAsiaTheme="majorEastAsia" w:cstheme="majorBidi"/>
                <w:noProof/>
                <w:szCs w:val="26"/>
              </w:rPr>
              <w:t>PG&amp;E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_Toc217384638 \h </w:instrText>
            </w:r>
            <w:r w:rsidRPr="00463C9A">
              <w:rPr>
                <w:noProof/>
                <w:webHidden/>
                <w:szCs w:val="26"/>
              </w:rPr>
            </w:r>
            <w:r w:rsidRPr="00463C9A">
              <w:rPr>
                <w:noProof/>
                <w:webHidden/>
                <w:szCs w:val="26"/>
              </w:rPr>
              <w:fldChar w:fldCharType="separate"/>
            </w:r>
            <w:r w:rsidR="00A93519">
              <w:rPr>
                <w:noProof/>
                <w:webHidden/>
                <w:szCs w:val="26"/>
              </w:rPr>
              <w:t>27</w:t>
            </w:r>
            <w:r w:rsidRPr="00463C9A">
              <w:rPr>
                <w:noProof/>
                <w:webHidden/>
                <w:szCs w:val="26"/>
              </w:rPr>
              <w:fldChar w:fldCharType="end"/>
            </w:r>
          </w:hyperlink>
        </w:p>
        <w:p w:rsidRPr="00463C9A" w:rsidR="00463C9A" w:rsidRDefault="00463C9A" w14:paraId="514A6EFB" w14:textId="0E82301D">
          <w:pPr>
            <w:pStyle w:val="TOC2"/>
            <w:tabs>
              <w:tab w:val="left" w:pos="1296"/>
              <w:tab w:val="right" w:leader="dot" w:pos="9350"/>
            </w:tabs>
            <w:rPr>
              <w:rFonts w:cstheme="minorBidi"/>
              <w:noProof/>
              <w:kern w:val="2"/>
              <w:szCs w:val="26"/>
              <w14:ligatures w14:val="standardContextual"/>
            </w:rPr>
          </w:pPr>
          <w:hyperlink w:history="1" w:anchor="_Toc217384639">
            <w:r w:rsidRPr="00463C9A">
              <w:rPr>
                <w:rStyle w:val="Hyperlink"/>
                <w:rFonts w:cs="Arial"/>
                <w:noProof/>
                <w:szCs w:val="26"/>
              </w:rPr>
              <w:t>5.3.</w:t>
            </w:r>
            <w:r w:rsidRPr="00463C9A">
              <w:rPr>
                <w:rFonts w:cstheme="minorBidi"/>
                <w:noProof/>
                <w:kern w:val="2"/>
                <w:szCs w:val="26"/>
                <w14:ligatures w14:val="standardContextual"/>
              </w:rPr>
              <w:tab/>
            </w:r>
            <w:r w:rsidRPr="00463C9A">
              <w:rPr>
                <w:rStyle w:val="Hyperlink"/>
                <w:rFonts w:cs="Arial"/>
                <w:noProof/>
                <w:szCs w:val="26"/>
              </w:rPr>
              <w:t>Discussion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_Toc217384639 \h </w:instrText>
            </w:r>
            <w:r w:rsidRPr="00463C9A">
              <w:rPr>
                <w:noProof/>
                <w:webHidden/>
                <w:szCs w:val="26"/>
              </w:rPr>
            </w:r>
            <w:r w:rsidRPr="00463C9A">
              <w:rPr>
                <w:noProof/>
                <w:webHidden/>
                <w:szCs w:val="26"/>
              </w:rPr>
              <w:fldChar w:fldCharType="separate"/>
            </w:r>
            <w:r w:rsidR="00A93519">
              <w:rPr>
                <w:noProof/>
                <w:webHidden/>
                <w:szCs w:val="26"/>
              </w:rPr>
              <w:t>28</w:t>
            </w:r>
            <w:r w:rsidRPr="00463C9A">
              <w:rPr>
                <w:noProof/>
                <w:webHidden/>
                <w:szCs w:val="26"/>
              </w:rPr>
              <w:fldChar w:fldCharType="end"/>
            </w:r>
          </w:hyperlink>
        </w:p>
        <w:p w:rsidRPr="00463C9A" w:rsidR="00463C9A" w:rsidRDefault="00463C9A" w14:paraId="2F90653C" w14:textId="4844210E">
          <w:pPr>
            <w:pStyle w:val="TOC1"/>
            <w:tabs>
              <w:tab w:val="right" w:leader="dot" w:pos="9350"/>
            </w:tabs>
            <w:rPr>
              <w:rFonts w:cstheme="minorBidi"/>
              <w:noProof/>
              <w:kern w:val="2"/>
              <w:szCs w:val="26"/>
              <w14:ligatures w14:val="standardContextual"/>
            </w:rPr>
          </w:pPr>
          <w:hyperlink w:history="1" w:anchor="_Toc217384640">
            <w:r w:rsidRPr="00463C9A">
              <w:rPr>
                <w:rStyle w:val="Hyperlink"/>
                <w:rFonts w:eastAsiaTheme="majorEastAsia" w:cstheme="majorBidi"/>
                <w:noProof/>
                <w:szCs w:val="26"/>
              </w:rPr>
              <w:t>6.</w:t>
            </w:r>
            <w:r w:rsidRPr="00463C9A">
              <w:rPr>
                <w:rFonts w:cstheme="minorBidi"/>
                <w:noProof/>
                <w:kern w:val="2"/>
                <w:szCs w:val="26"/>
                <w14:ligatures w14:val="standardContextual"/>
              </w:rPr>
              <w:tab/>
            </w:r>
            <w:r w:rsidRPr="00463C9A">
              <w:rPr>
                <w:rStyle w:val="Hyperlink"/>
                <w:rFonts w:eastAsiaTheme="majorEastAsia" w:cstheme="majorBidi"/>
                <w:noProof/>
                <w:szCs w:val="26"/>
              </w:rPr>
              <w:t>Slice-of-Day Resource Adequacy Counting Methodology</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_Toc217384640 \h </w:instrText>
            </w:r>
            <w:r w:rsidRPr="00463C9A">
              <w:rPr>
                <w:noProof/>
                <w:webHidden/>
                <w:szCs w:val="26"/>
              </w:rPr>
            </w:r>
            <w:r w:rsidRPr="00463C9A">
              <w:rPr>
                <w:noProof/>
                <w:webHidden/>
                <w:szCs w:val="26"/>
              </w:rPr>
              <w:fldChar w:fldCharType="separate"/>
            </w:r>
            <w:r w:rsidR="00A93519">
              <w:rPr>
                <w:noProof/>
                <w:webHidden/>
                <w:szCs w:val="26"/>
              </w:rPr>
              <w:t>29</w:t>
            </w:r>
            <w:r w:rsidRPr="00463C9A">
              <w:rPr>
                <w:noProof/>
                <w:webHidden/>
                <w:szCs w:val="26"/>
              </w:rPr>
              <w:fldChar w:fldCharType="end"/>
            </w:r>
          </w:hyperlink>
        </w:p>
        <w:p w:rsidRPr="00463C9A" w:rsidR="00463C9A" w:rsidRDefault="00463C9A" w14:paraId="5188754E" w14:textId="5367861C">
          <w:pPr>
            <w:pStyle w:val="TOC2"/>
            <w:tabs>
              <w:tab w:val="left" w:pos="1296"/>
              <w:tab w:val="right" w:leader="dot" w:pos="9350"/>
            </w:tabs>
            <w:rPr>
              <w:rFonts w:cstheme="minorBidi"/>
              <w:noProof/>
              <w:kern w:val="2"/>
              <w:szCs w:val="26"/>
              <w14:ligatures w14:val="standardContextual"/>
            </w:rPr>
          </w:pPr>
          <w:hyperlink w:history="1" w:anchor="_Toc217384641">
            <w:r w:rsidRPr="00463C9A">
              <w:rPr>
                <w:rStyle w:val="Hyperlink"/>
                <w:rFonts w:cs="Arial"/>
                <w:noProof/>
                <w:szCs w:val="26"/>
              </w:rPr>
              <w:t>6.1.</w:t>
            </w:r>
            <w:r w:rsidRPr="00463C9A">
              <w:rPr>
                <w:rFonts w:cstheme="minorBidi"/>
                <w:noProof/>
                <w:kern w:val="2"/>
                <w:szCs w:val="26"/>
                <w14:ligatures w14:val="standardContextual"/>
              </w:rPr>
              <w:tab/>
            </w:r>
            <w:r w:rsidRPr="00463C9A">
              <w:rPr>
                <w:rStyle w:val="Hyperlink"/>
                <w:rFonts w:cs="Arial"/>
                <w:noProof/>
                <w:szCs w:val="26"/>
              </w:rPr>
              <w:t>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_Toc217384641 \h </w:instrText>
            </w:r>
            <w:r w:rsidRPr="00463C9A">
              <w:rPr>
                <w:noProof/>
                <w:webHidden/>
                <w:szCs w:val="26"/>
              </w:rPr>
            </w:r>
            <w:r w:rsidRPr="00463C9A">
              <w:rPr>
                <w:noProof/>
                <w:webHidden/>
                <w:szCs w:val="26"/>
              </w:rPr>
              <w:fldChar w:fldCharType="separate"/>
            </w:r>
            <w:r w:rsidR="00A93519">
              <w:rPr>
                <w:noProof/>
                <w:webHidden/>
                <w:szCs w:val="26"/>
              </w:rPr>
              <w:t>30</w:t>
            </w:r>
            <w:r w:rsidRPr="00463C9A">
              <w:rPr>
                <w:noProof/>
                <w:webHidden/>
                <w:szCs w:val="26"/>
              </w:rPr>
              <w:fldChar w:fldCharType="end"/>
            </w:r>
          </w:hyperlink>
        </w:p>
        <w:p w:rsidRPr="00463C9A" w:rsidR="00463C9A" w:rsidRDefault="00463C9A" w14:paraId="7B090840" w14:textId="5D67C94F">
          <w:pPr>
            <w:pStyle w:val="TOC2"/>
            <w:tabs>
              <w:tab w:val="left" w:pos="1296"/>
              <w:tab w:val="right" w:leader="dot" w:pos="9350"/>
            </w:tabs>
            <w:rPr>
              <w:rFonts w:cstheme="minorBidi"/>
              <w:noProof/>
              <w:kern w:val="2"/>
              <w:szCs w:val="26"/>
              <w14:ligatures w14:val="standardContextual"/>
            </w:rPr>
          </w:pPr>
          <w:hyperlink w:history="1" w:anchor="_Toc217384642">
            <w:r w:rsidRPr="00463C9A">
              <w:rPr>
                <w:rStyle w:val="Hyperlink"/>
                <w:rFonts w:cs="Arial"/>
                <w:noProof/>
                <w:szCs w:val="26"/>
              </w:rPr>
              <w:t>6.2.</w:t>
            </w:r>
            <w:r w:rsidRPr="00463C9A">
              <w:rPr>
                <w:rFonts w:cstheme="minorBidi"/>
                <w:noProof/>
                <w:kern w:val="2"/>
                <w:szCs w:val="26"/>
                <w14:ligatures w14:val="standardContextual"/>
              </w:rPr>
              <w:tab/>
            </w:r>
            <w:r w:rsidRPr="00463C9A">
              <w:rPr>
                <w:rStyle w:val="Hyperlink"/>
                <w:rFonts w:cs="Arial"/>
                <w:noProof/>
                <w:szCs w:val="26"/>
              </w:rPr>
              <w:t>PG&amp;E Proposal</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_Toc217384642 \h </w:instrText>
            </w:r>
            <w:r w:rsidRPr="00463C9A">
              <w:rPr>
                <w:noProof/>
                <w:webHidden/>
                <w:szCs w:val="26"/>
              </w:rPr>
            </w:r>
            <w:r w:rsidRPr="00463C9A">
              <w:rPr>
                <w:noProof/>
                <w:webHidden/>
                <w:szCs w:val="26"/>
              </w:rPr>
              <w:fldChar w:fldCharType="separate"/>
            </w:r>
            <w:r w:rsidR="00A93519">
              <w:rPr>
                <w:noProof/>
                <w:webHidden/>
                <w:szCs w:val="26"/>
              </w:rPr>
              <w:t>30</w:t>
            </w:r>
            <w:r w:rsidRPr="00463C9A">
              <w:rPr>
                <w:noProof/>
                <w:webHidden/>
                <w:szCs w:val="26"/>
              </w:rPr>
              <w:fldChar w:fldCharType="end"/>
            </w:r>
          </w:hyperlink>
        </w:p>
        <w:p w:rsidRPr="00463C9A" w:rsidR="00463C9A" w:rsidRDefault="00463C9A" w14:paraId="248E7411" w14:textId="0ECCCAC0">
          <w:pPr>
            <w:pStyle w:val="TOC2"/>
            <w:tabs>
              <w:tab w:val="left" w:pos="1296"/>
              <w:tab w:val="right" w:leader="dot" w:pos="9350"/>
            </w:tabs>
            <w:rPr>
              <w:rFonts w:cstheme="minorBidi"/>
              <w:noProof/>
              <w:kern w:val="2"/>
              <w:szCs w:val="26"/>
              <w14:ligatures w14:val="standardContextual"/>
            </w:rPr>
          </w:pPr>
          <w:hyperlink w:history="1" w:anchor="_Toc217384643">
            <w:r w:rsidRPr="00463C9A">
              <w:rPr>
                <w:rStyle w:val="Hyperlink"/>
                <w:rFonts w:cs="Arial"/>
                <w:noProof/>
                <w:szCs w:val="26"/>
              </w:rPr>
              <w:t>6.3.</w:t>
            </w:r>
            <w:r w:rsidRPr="00463C9A">
              <w:rPr>
                <w:rFonts w:cstheme="minorBidi"/>
                <w:noProof/>
                <w:kern w:val="2"/>
                <w:szCs w:val="26"/>
                <w14:ligatures w14:val="standardContextual"/>
              </w:rPr>
              <w:tab/>
            </w:r>
            <w:r w:rsidRPr="00463C9A">
              <w:rPr>
                <w:rStyle w:val="Hyperlink"/>
                <w:rFonts w:cs="Arial"/>
                <w:noProof/>
                <w:szCs w:val="26"/>
              </w:rPr>
              <w:t>CalCCA Comments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_Toc217384643 \h </w:instrText>
            </w:r>
            <w:r w:rsidRPr="00463C9A">
              <w:rPr>
                <w:noProof/>
                <w:webHidden/>
                <w:szCs w:val="26"/>
              </w:rPr>
            </w:r>
            <w:r w:rsidRPr="00463C9A">
              <w:rPr>
                <w:noProof/>
                <w:webHidden/>
                <w:szCs w:val="26"/>
              </w:rPr>
              <w:fldChar w:fldCharType="separate"/>
            </w:r>
            <w:r w:rsidR="00A93519">
              <w:rPr>
                <w:noProof/>
                <w:webHidden/>
                <w:szCs w:val="26"/>
              </w:rPr>
              <w:t>31</w:t>
            </w:r>
            <w:r w:rsidRPr="00463C9A">
              <w:rPr>
                <w:noProof/>
                <w:webHidden/>
                <w:szCs w:val="26"/>
              </w:rPr>
              <w:fldChar w:fldCharType="end"/>
            </w:r>
          </w:hyperlink>
        </w:p>
        <w:p w:rsidRPr="00463C9A" w:rsidR="00463C9A" w:rsidRDefault="00463C9A" w14:paraId="08076A8C" w14:textId="27878C0E">
          <w:pPr>
            <w:pStyle w:val="TOC2"/>
            <w:tabs>
              <w:tab w:val="left" w:pos="1296"/>
              <w:tab w:val="right" w:leader="dot" w:pos="9350"/>
            </w:tabs>
            <w:rPr>
              <w:rFonts w:cstheme="minorBidi"/>
              <w:noProof/>
              <w:kern w:val="2"/>
              <w:szCs w:val="26"/>
              <w14:ligatures w14:val="standardContextual"/>
            </w:rPr>
          </w:pPr>
          <w:hyperlink w:history="1" w:anchor="_Toc217384644">
            <w:r w:rsidRPr="00463C9A">
              <w:rPr>
                <w:rStyle w:val="Hyperlink"/>
                <w:rFonts w:cs="Arial"/>
                <w:noProof/>
                <w:szCs w:val="26"/>
              </w:rPr>
              <w:t>6.4.</w:t>
            </w:r>
            <w:r w:rsidRPr="00463C9A">
              <w:rPr>
                <w:rFonts w:cstheme="minorBidi"/>
                <w:noProof/>
                <w:kern w:val="2"/>
                <w:szCs w:val="26"/>
                <w14:ligatures w14:val="standardContextual"/>
              </w:rPr>
              <w:tab/>
            </w:r>
            <w:r w:rsidRPr="00463C9A">
              <w:rPr>
                <w:rStyle w:val="Hyperlink"/>
                <w:rFonts w:cs="Arial"/>
                <w:noProof/>
                <w:szCs w:val="26"/>
              </w:rPr>
              <w:t>PG&amp;E Response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_Toc217384644 \h </w:instrText>
            </w:r>
            <w:r w:rsidRPr="00463C9A">
              <w:rPr>
                <w:noProof/>
                <w:webHidden/>
                <w:szCs w:val="26"/>
              </w:rPr>
            </w:r>
            <w:r w:rsidRPr="00463C9A">
              <w:rPr>
                <w:noProof/>
                <w:webHidden/>
                <w:szCs w:val="26"/>
              </w:rPr>
              <w:fldChar w:fldCharType="separate"/>
            </w:r>
            <w:r w:rsidR="00A93519">
              <w:rPr>
                <w:noProof/>
                <w:webHidden/>
                <w:szCs w:val="26"/>
              </w:rPr>
              <w:t>32</w:t>
            </w:r>
            <w:r w:rsidRPr="00463C9A">
              <w:rPr>
                <w:noProof/>
                <w:webHidden/>
                <w:szCs w:val="26"/>
              </w:rPr>
              <w:fldChar w:fldCharType="end"/>
            </w:r>
          </w:hyperlink>
        </w:p>
        <w:p w:rsidRPr="00463C9A" w:rsidR="00463C9A" w:rsidRDefault="00463C9A" w14:paraId="1F8F4372" w14:textId="33149CA8">
          <w:pPr>
            <w:pStyle w:val="TOC2"/>
            <w:tabs>
              <w:tab w:val="left" w:pos="1296"/>
              <w:tab w:val="right" w:leader="dot" w:pos="9350"/>
            </w:tabs>
            <w:rPr>
              <w:rFonts w:cstheme="minorBidi"/>
              <w:noProof/>
              <w:kern w:val="2"/>
              <w:szCs w:val="26"/>
              <w14:ligatures w14:val="standardContextual"/>
            </w:rPr>
          </w:pPr>
          <w:hyperlink w:history="1" w:anchor="_Toc217384645">
            <w:r w:rsidRPr="00463C9A">
              <w:rPr>
                <w:rStyle w:val="Hyperlink"/>
                <w:rFonts w:cs="Arial"/>
                <w:noProof/>
                <w:szCs w:val="26"/>
              </w:rPr>
              <w:t>6.5.</w:t>
            </w:r>
            <w:r w:rsidRPr="00463C9A">
              <w:rPr>
                <w:rFonts w:cstheme="minorBidi"/>
                <w:noProof/>
                <w:kern w:val="2"/>
                <w:szCs w:val="26"/>
                <w14:ligatures w14:val="standardContextual"/>
              </w:rPr>
              <w:tab/>
            </w:r>
            <w:r w:rsidRPr="00463C9A">
              <w:rPr>
                <w:rStyle w:val="Hyperlink"/>
                <w:rFonts w:cs="Arial"/>
                <w:noProof/>
                <w:szCs w:val="26"/>
              </w:rPr>
              <w:t>CalCCA Response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_Toc217384645 \h </w:instrText>
            </w:r>
            <w:r w:rsidRPr="00463C9A">
              <w:rPr>
                <w:noProof/>
                <w:webHidden/>
                <w:szCs w:val="26"/>
              </w:rPr>
            </w:r>
            <w:r w:rsidRPr="00463C9A">
              <w:rPr>
                <w:noProof/>
                <w:webHidden/>
                <w:szCs w:val="26"/>
              </w:rPr>
              <w:fldChar w:fldCharType="separate"/>
            </w:r>
            <w:r w:rsidR="00A93519">
              <w:rPr>
                <w:noProof/>
                <w:webHidden/>
                <w:szCs w:val="26"/>
              </w:rPr>
              <w:t>34</w:t>
            </w:r>
            <w:r w:rsidRPr="00463C9A">
              <w:rPr>
                <w:noProof/>
                <w:webHidden/>
                <w:szCs w:val="26"/>
              </w:rPr>
              <w:fldChar w:fldCharType="end"/>
            </w:r>
          </w:hyperlink>
        </w:p>
        <w:p w:rsidRPr="00463C9A" w:rsidR="00463C9A" w:rsidRDefault="00463C9A" w14:paraId="561B23EF" w14:textId="50E70195">
          <w:pPr>
            <w:pStyle w:val="TOC2"/>
            <w:tabs>
              <w:tab w:val="left" w:pos="1296"/>
              <w:tab w:val="right" w:leader="dot" w:pos="9350"/>
            </w:tabs>
            <w:rPr>
              <w:rFonts w:cstheme="minorBidi"/>
              <w:noProof/>
              <w:kern w:val="2"/>
              <w:szCs w:val="26"/>
              <w14:ligatures w14:val="standardContextual"/>
            </w:rPr>
          </w:pPr>
          <w:hyperlink w:history="1" w:anchor="_Toc217384646">
            <w:r w:rsidRPr="00463C9A">
              <w:rPr>
                <w:rStyle w:val="Hyperlink"/>
                <w:rFonts w:cs="Arial"/>
                <w:noProof/>
                <w:szCs w:val="26"/>
              </w:rPr>
              <w:t>6.6.</w:t>
            </w:r>
            <w:r w:rsidRPr="00463C9A">
              <w:rPr>
                <w:rFonts w:cstheme="minorBidi"/>
                <w:noProof/>
                <w:kern w:val="2"/>
                <w:szCs w:val="26"/>
                <w14:ligatures w14:val="standardContextual"/>
              </w:rPr>
              <w:tab/>
            </w:r>
            <w:r w:rsidRPr="00463C9A">
              <w:rPr>
                <w:rStyle w:val="Hyperlink"/>
                <w:rFonts w:cs="Arial"/>
                <w:noProof/>
                <w:szCs w:val="26"/>
              </w:rPr>
              <w:t>Discussion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_Toc217384646 \h </w:instrText>
            </w:r>
            <w:r w:rsidRPr="00463C9A">
              <w:rPr>
                <w:noProof/>
                <w:webHidden/>
                <w:szCs w:val="26"/>
              </w:rPr>
            </w:r>
            <w:r w:rsidRPr="00463C9A">
              <w:rPr>
                <w:noProof/>
                <w:webHidden/>
                <w:szCs w:val="26"/>
              </w:rPr>
              <w:fldChar w:fldCharType="separate"/>
            </w:r>
            <w:r w:rsidR="00A93519">
              <w:rPr>
                <w:noProof/>
                <w:webHidden/>
                <w:szCs w:val="26"/>
              </w:rPr>
              <w:t>34</w:t>
            </w:r>
            <w:r w:rsidRPr="00463C9A">
              <w:rPr>
                <w:noProof/>
                <w:webHidden/>
                <w:szCs w:val="26"/>
              </w:rPr>
              <w:fldChar w:fldCharType="end"/>
            </w:r>
          </w:hyperlink>
        </w:p>
        <w:p w:rsidRPr="00463C9A" w:rsidR="00463C9A" w:rsidRDefault="00463C9A" w14:paraId="6A3E7884" w14:textId="01ACC7C9">
          <w:pPr>
            <w:pStyle w:val="TOC1"/>
            <w:tabs>
              <w:tab w:val="right" w:leader="dot" w:pos="9350"/>
            </w:tabs>
            <w:rPr>
              <w:rFonts w:cstheme="minorBidi"/>
              <w:noProof/>
              <w:kern w:val="2"/>
              <w:szCs w:val="26"/>
              <w14:ligatures w14:val="standardContextual"/>
            </w:rPr>
          </w:pPr>
          <w:hyperlink w:history="1" w:anchor="_Toc217384647">
            <w:r w:rsidRPr="00463C9A">
              <w:rPr>
                <w:rStyle w:val="Hyperlink"/>
                <w:rFonts w:eastAsiaTheme="majorEastAsia" w:cstheme="majorBidi"/>
                <w:noProof/>
                <w:szCs w:val="26"/>
              </w:rPr>
              <w:t>7.</w:t>
            </w:r>
            <w:r w:rsidRPr="00463C9A">
              <w:rPr>
                <w:rFonts w:cstheme="minorBidi"/>
                <w:noProof/>
                <w:kern w:val="2"/>
                <w:szCs w:val="26"/>
                <w14:ligatures w14:val="standardContextual"/>
              </w:rPr>
              <w:tab/>
            </w:r>
            <w:r w:rsidRPr="00463C9A">
              <w:rPr>
                <w:rStyle w:val="Hyperlink"/>
                <w:rFonts w:eastAsiaTheme="majorEastAsia" w:cstheme="majorBidi"/>
                <w:noProof/>
                <w:szCs w:val="26"/>
              </w:rPr>
              <w:t>2026 Sales and Peak Demand Forecast</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_Toc217384647 \h </w:instrText>
            </w:r>
            <w:r w:rsidRPr="00463C9A">
              <w:rPr>
                <w:noProof/>
                <w:webHidden/>
                <w:szCs w:val="26"/>
              </w:rPr>
            </w:r>
            <w:r w:rsidRPr="00463C9A">
              <w:rPr>
                <w:noProof/>
                <w:webHidden/>
                <w:szCs w:val="26"/>
              </w:rPr>
              <w:fldChar w:fldCharType="separate"/>
            </w:r>
            <w:r w:rsidR="00A93519">
              <w:rPr>
                <w:noProof/>
                <w:webHidden/>
                <w:szCs w:val="26"/>
              </w:rPr>
              <w:t>35</w:t>
            </w:r>
            <w:r w:rsidRPr="00463C9A">
              <w:rPr>
                <w:noProof/>
                <w:webHidden/>
                <w:szCs w:val="26"/>
              </w:rPr>
              <w:fldChar w:fldCharType="end"/>
            </w:r>
          </w:hyperlink>
        </w:p>
        <w:p w:rsidRPr="00463C9A" w:rsidR="00463C9A" w:rsidRDefault="00463C9A" w14:paraId="79A240FB" w14:textId="2BDAF4EB">
          <w:pPr>
            <w:pStyle w:val="TOC2"/>
            <w:tabs>
              <w:tab w:val="left" w:pos="1296"/>
              <w:tab w:val="right" w:leader="dot" w:pos="9350"/>
            </w:tabs>
            <w:rPr>
              <w:rFonts w:cstheme="minorBidi"/>
              <w:noProof/>
              <w:kern w:val="2"/>
              <w:szCs w:val="26"/>
              <w14:ligatures w14:val="standardContextual"/>
            </w:rPr>
          </w:pPr>
          <w:hyperlink w:history="1" w:anchor="_Toc217384648">
            <w:r w:rsidRPr="00463C9A">
              <w:rPr>
                <w:rStyle w:val="Hyperlink"/>
                <w:rFonts w:cs="Arial"/>
                <w:noProof/>
                <w:szCs w:val="26"/>
              </w:rPr>
              <w:t>7.1.</w:t>
            </w:r>
            <w:r w:rsidRPr="00463C9A">
              <w:rPr>
                <w:rFonts w:cstheme="minorBidi"/>
                <w:noProof/>
                <w:kern w:val="2"/>
                <w:szCs w:val="26"/>
                <w14:ligatures w14:val="standardContextual"/>
              </w:rPr>
              <w:tab/>
            </w:r>
            <w:r w:rsidRPr="00463C9A">
              <w:rPr>
                <w:rStyle w:val="Hyperlink"/>
                <w:rFonts w:cs="Arial"/>
                <w:noProof/>
                <w:szCs w:val="26"/>
              </w:rPr>
              <w:t>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_Toc217384648 \h </w:instrText>
            </w:r>
            <w:r w:rsidRPr="00463C9A">
              <w:rPr>
                <w:noProof/>
                <w:webHidden/>
                <w:szCs w:val="26"/>
              </w:rPr>
            </w:r>
            <w:r w:rsidRPr="00463C9A">
              <w:rPr>
                <w:noProof/>
                <w:webHidden/>
                <w:szCs w:val="26"/>
              </w:rPr>
              <w:fldChar w:fldCharType="separate"/>
            </w:r>
            <w:r w:rsidR="00A93519">
              <w:rPr>
                <w:noProof/>
                <w:webHidden/>
                <w:szCs w:val="26"/>
              </w:rPr>
              <w:t>35</w:t>
            </w:r>
            <w:r w:rsidRPr="00463C9A">
              <w:rPr>
                <w:noProof/>
                <w:webHidden/>
                <w:szCs w:val="26"/>
              </w:rPr>
              <w:fldChar w:fldCharType="end"/>
            </w:r>
          </w:hyperlink>
        </w:p>
        <w:p w:rsidRPr="00463C9A" w:rsidR="00463C9A" w:rsidRDefault="00463C9A" w14:paraId="60A3E600" w14:textId="3CF9A2FE">
          <w:pPr>
            <w:pStyle w:val="TOC2"/>
            <w:tabs>
              <w:tab w:val="left" w:pos="1296"/>
              <w:tab w:val="right" w:leader="dot" w:pos="9350"/>
            </w:tabs>
            <w:rPr>
              <w:rFonts w:cstheme="minorBidi"/>
              <w:noProof/>
              <w:kern w:val="2"/>
              <w:szCs w:val="26"/>
              <w14:ligatures w14:val="standardContextual"/>
            </w:rPr>
          </w:pPr>
          <w:hyperlink w:history="1" w:anchor="_Toc217384649">
            <w:r w:rsidRPr="00463C9A">
              <w:rPr>
                <w:rStyle w:val="Hyperlink"/>
                <w:rFonts w:cs="Arial"/>
                <w:noProof/>
                <w:szCs w:val="26"/>
              </w:rPr>
              <w:t>7.2.</w:t>
            </w:r>
            <w:r w:rsidRPr="00463C9A">
              <w:rPr>
                <w:rFonts w:cstheme="minorBidi"/>
                <w:noProof/>
                <w:kern w:val="2"/>
                <w:szCs w:val="26"/>
                <w14:ligatures w14:val="standardContextual"/>
              </w:rPr>
              <w:tab/>
            </w:r>
            <w:r w:rsidRPr="00463C9A">
              <w:rPr>
                <w:rStyle w:val="Hyperlink"/>
                <w:rFonts w:cs="Arial"/>
                <w:noProof/>
                <w:szCs w:val="26"/>
              </w:rPr>
              <w:t>Methodology</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_Toc217384649 \h </w:instrText>
            </w:r>
            <w:r w:rsidRPr="00463C9A">
              <w:rPr>
                <w:noProof/>
                <w:webHidden/>
                <w:szCs w:val="26"/>
              </w:rPr>
            </w:r>
            <w:r w:rsidRPr="00463C9A">
              <w:rPr>
                <w:noProof/>
                <w:webHidden/>
                <w:szCs w:val="26"/>
              </w:rPr>
              <w:fldChar w:fldCharType="separate"/>
            </w:r>
            <w:r w:rsidR="00A93519">
              <w:rPr>
                <w:noProof/>
                <w:webHidden/>
                <w:szCs w:val="26"/>
              </w:rPr>
              <w:t>36</w:t>
            </w:r>
            <w:r w:rsidRPr="00463C9A">
              <w:rPr>
                <w:noProof/>
                <w:webHidden/>
                <w:szCs w:val="26"/>
              </w:rPr>
              <w:fldChar w:fldCharType="end"/>
            </w:r>
          </w:hyperlink>
        </w:p>
        <w:p w:rsidRPr="00463C9A" w:rsidR="00463C9A" w:rsidRDefault="00463C9A" w14:paraId="0ABB81EB" w14:textId="130F1EEE">
          <w:pPr>
            <w:pStyle w:val="TOC3"/>
            <w:tabs>
              <w:tab w:val="left" w:pos="1296"/>
              <w:tab w:val="right" w:leader="dot" w:pos="9350"/>
            </w:tabs>
            <w:rPr>
              <w:rFonts w:cstheme="minorBidi"/>
              <w:noProof/>
              <w:kern w:val="2"/>
              <w:szCs w:val="26"/>
              <w14:ligatures w14:val="standardContextual"/>
            </w:rPr>
          </w:pPr>
          <w:hyperlink w:history="1" w:anchor="_Toc217384650">
            <w:r w:rsidRPr="00463C9A">
              <w:rPr>
                <w:rStyle w:val="Hyperlink"/>
                <w:noProof/>
                <w:szCs w:val="26"/>
              </w:rPr>
              <w:t>7.2.1.</w:t>
            </w:r>
            <w:r w:rsidRPr="00463C9A">
              <w:rPr>
                <w:rFonts w:cstheme="minorBidi"/>
                <w:noProof/>
                <w:kern w:val="2"/>
                <w:szCs w:val="26"/>
                <w14:ligatures w14:val="standardContextual"/>
              </w:rPr>
              <w:tab/>
            </w:r>
            <w:r w:rsidRPr="00463C9A">
              <w:rPr>
                <w:rStyle w:val="Hyperlink"/>
                <w:noProof/>
                <w:szCs w:val="26"/>
              </w:rPr>
              <w:t>Party Comments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_Toc217384650 \h </w:instrText>
            </w:r>
            <w:r w:rsidRPr="00463C9A">
              <w:rPr>
                <w:noProof/>
                <w:webHidden/>
                <w:szCs w:val="26"/>
              </w:rPr>
            </w:r>
            <w:r w:rsidRPr="00463C9A">
              <w:rPr>
                <w:noProof/>
                <w:webHidden/>
                <w:szCs w:val="26"/>
              </w:rPr>
              <w:fldChar w:fldCharType="separate"/>
            </w:r>
            <w:r w:rsidR="00A93519">
              <w:rPr>
                <w:noProof/>
                <w:webHidden/>
                <w:szCs w:val="26"/>
              </w:rPr>
              <w:t>37</w:t>
            </w:r>
            <w:r w:rsidRPr="00463C9A">
              <w:rPr>
                <w:noProof/>
                <w:webHidden/>
                <w:szCs w:val="26"/>
              </w:rPr>
              <w:fldChar w:fldCharType="end"/>
            </w:r>
          </w:hyperlink>
        </w:p>
        <w:p w:rsidRPr="00463C9A" w:rsidR="00463C9A" w:rsidRDefault="00463C9A" w14:paraId="5673C7C5" w14:textId="2C8974DE">
          <w:pPr>
            <w:pStyle w:val="TOC3"/>
            <w:tabs>
              <w:tab w:val="left" w:pos="1296"/>
              <w:tab w:val="right" w:leader="dot" w:pos="9350"/>
            </w:tabs>
            <w:rPr>
              <w:rFonts w:cstheme="minorBidi"/>
              <w:noProof/>
              <w:kern w:val="2"/>
              <w:szCs w:val="26"/>
              <w14:ligatures w14:val="standardContextual"/>
            </w:rPr>
          </w:pPr>
          <w:hyperlink w:history="1" w:anchor="_Toc217384651">
            <w:r w:rsidRPr="00463C9A">
              <w:rPr>
                <w:rStyle w:val="Hyperlink"/>
                <w:noProof/>
                <w:szCs w:val="26"/>
              </w:rPr>
              <w:t>7.2.2.</w:t>
            </w:r>
            <w:r w:rsidRPr="00463C9A">
              <w:rPr>
                <w:rFonts w:cstheme="minorBidi"/>
                <w:noProof/>
                <w:kern w:val="2"/>
                <w:szCs w:val="26"/>
                <w14:ligatures w14:val="standardContextual"/>
              </w:rPr>
              <w:tab/>
            </w:r>
            <w:r w:rsidRPr="00463C9A">
              <w:rPr>
                <w:rStyle w:val="Hyperlink"/>
                <w:noProof/>
                <w:szCs w:val="26"/>
              </w:rPr>
              <w:t>Discussion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_Toc217384651 \h </w:instrText>
            </w:r>
            <w:r w:rsidRPr="00463C9A">
              <w:rPr>
                <w:noProof/>
                <w:webHidden/>
                <w:szCs w:val="26"/>
              </w:rPr>
            </w:r>
            <w:r w:rsidRPr="00463C9A">
              <w:rPr>
                <w:noProof/>
                <w:webHidden/>
                <w:szCs w:val="26"/>
              </w:rPr>
              <w:fldChar w:fldCharType="separate"/>
            </w:r>
            <w:r w:rsidR="00A93519">
              <w:rPr>
                <w:noProof/>
                <w:webHidden/>
                <w:szCs w:val="26"/>
              </w:rPr>
              <w:t>37</w:t>
            </w:r>
            <w:r w:rsidRPr="00463C9A">
              <w:rPr>
                <w:noProof/>
                <w:webHidden/>
                <w:szCs w:val="26"/>
              </w:rPr>
              <w:fldChar w:fldCharType="end"/>
            </w:r>
          </w:hyperlink>
        </w:p>
        <w:p w:rsidRPr="00463C9A" w:rsidR="00463C9A" w:rsidRDefault="00463C9A" w14:paraId="32C3C1A2" w14:textId="5112B086">
          <w:pPr>
            <w:pStyle w:val="TOC4"/>
            <w:tabs>
              <w:tab w:val="left" w:pos="2160"/>
              <w:tab w:val="right" w:leader="dot" w:pos="9350"/>
            </w:tabs>
            <w:rPr>
              <w:rFonts w:eastAsiaTheme="minorEastAsia"/>
              <w:noProof/>
              <w:kern w:val="2"/>
              <w:szCs w:val="26"/>
              <w14:ligatures w14:val="standardContextual"/>
            </w:rPr>
          </w:pPr>
          <w:hyperlink w:history="1" w:anchor="_Toc217384652">
            <w:r w:rsidRPr="00463C9A">
              <w:rPr>
                <w:rStyle w:val="Hyperlink"/>
                <w:rFonts w:eastAsiaTheme="majorEastAsia" w:cstheme="majorBidi"/>
                <w:iCs/>
                <w:noProof/>
                <w:szCs w:val="26"/>
              </w:rPr>
              <w:t>7.2.2.1.</w:t>
            </w:r>
            <w:r w:rsidRPr="00463C9A">
              <w:rPr>
                <w:rFonts w:eastAsiaTheme="minorEastAsia"/>
                <w:noProof/>
                <w:kern w:val="2"/>
                <w:szCs w:val="26"/>
                <w14:ligatures w14:val="standardContextual"/>
              </w:rPr>
              <w:tab/>
            </w:r>
            <w:r w:rsidRPr="00463C9A">
              <w:rPr>
                <w:rStyle w:val="Hyperlink"/>
                <w:rFonts w:eastAsiaTheme="majorEastAsia" w:cstheme="majorBidi"/>
                <w:iCs/>
                <w:noProof/>
                <w:szCs w:val="26"/>
              </w:rPr>
              <w:t>Post-COVID Demand Forecasts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_Toc217384652 \h </w:instrText>
            </w:r>
            <w:r w:rsidRPr="00463C9A">
              <w:rPr>
                <w:noProof/>
                <w:webHidden/>
                <w:szCs w:val="26"/>
              </w:rPr>
            </w:r>
            <w:r w:rsidRPr="00463C9A">
              <w:rPr>
                <w:noProof/>
                <w:webHidden/>
                <w:szCs w:val="26"/>
              </w:rPr>
              <w:fldChar w:fldCharType="separate"/>
            </w:r>
            <w:r w:rsidR="00A93519">
              <w:rPr>
                <w:noProof/>
                <w:webHidden/>
                <w:szCs w:val="26"/>
              </w:rPr>
              <w:t>37</w:t>
            </w:r>
            <w:r w:rsidRPr="00463C9A">
              <w:rPr>
                <w:noProof/>
                <w:webHidden/>
                <w:szCs w:val="26"/>
              </w:rPr>
              <w:fldChar w:fldCharType="end"/>
            </w:r>
          </w:hyperlink>
        </w:p>
        <w:p w:rsidRPr="00463C9A" w:rsidR="00463C9A" w:rsidRDefault="00463C9A" w14:paraId="1AE8415D" w14:textId="1C0D513E">
          <w:pPr>
            <w:pStyle w:val="TOC4"/>
            <w:tabs>
              <w:tab w:val="left" w:pos="1728"/>
              <w:tab w:val="right" w:leader="dot" w:pos="9350"/>
            </w:tabs>
            <w:rPr>
              <w:rFonts w:eastAsiaTheme="minorEastAsia"/>
              <w:noProof/>
              <w:kern w:val="2"/>
              <w:szCs w:val="26"/>
              <w14:ligatures w14:val="standardContextual"/>
            </w:rPr>
          </w:pPr>
          <w:hyperlink w:history="1" w:anchor="_Toc217384653">
            <w:r w:rsidRPr="00463C9A">
              <w:rPr>
                <w:rStyle w:val="Hyperlink"/>
                <w:noProof/>
                <w:szCs w:val="26"/>
              </w:rPr>
              <w:t>7.2.2.2.</w:t>
            </w:r>
            <w:r w:rsidRPr="00463C9A">
              <w:rPr>
                <w:rFonts w:eastAsiaTheme="minorEastAsia"/>
                <w:noProof/>
                <w:kern w:val="2"/>
                <w:szCs w:val="26"/>
                <w14:ligatures w14:val="standardContextual"/>
              </w:rPr>
              <w:tab/>
            </w:r>
            <w:r w:rsidRPr="00463C9A">
              <w:rPr>
                <w:rStyle w:val="Hyperlink"/>
                <w:noProof/>
                <w:szCs w:val="26"/>
              </w:rPr>
              <w:t>Bass Diffusion Model</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_Toc217384653 \h </w:instrText>
            </w:r>
            <w:r w:rsidRPr="00463C9A">
              <w:rPr>
                <w:noProof/>
                <w:webHidden/>
                <w:szCs w:val="26"/>
              </w:rPr>
            </w:r>
            <w:r w:rsidRPr="00463C9A">
              <w:rPr>
                <w:noProof/>
                <w:webHidden/>
                <w:szCs w:val="26"/>
              </w:rPr>
              <w:fldChar w:fldCharType="separate"/>
            </w:r>
            <w:r w:rsidR="00A93519">
              <w:rPr>
                <w:noProof/>
                <w:webHidden/>
                <w:szCs w:val="26"/>
              </w:rPr>
              <w:t>38</w:t>
            </w:r>
            <w:r w:rsidRPr="00463C9A">
              <w:rPr>
                <w:noProof/>
                <w:webHidden/>
                <w:szCs w:val="26"/>
              </w:rPr>
              <w:fldChar w:fldCharType="end"/>
            </w:r>
          </w:hyperlink>
        </w:p>
        <w:p w:rsidRPr="00463C9A" w:rsidR="00463C9A" w:rsidRDefault="00463C9A" w14:paraId="5B205AA2" w14:textId="01EB3A90">
          <w:pPr>
            <w:pStyle w:val="TOC2"/>
            <w:tabs>
              <w:tab w:val="left" w:pos="1296"/>
              <w:tab w:val="right" w:leader="dot" w:pos="9350"/>
            </w:tabs>
            <w:rPr>
              <w:rFonts w:cstheme="minorBidi"/>
              <w:noProof/>
              <w:kern w:val="2"/>
              <w:szCs w:val="26"/>
              <w14:ligatures w14:val="standardContextual"/>
            </w:rPr>
          </w:pPr>
          <w:hyperlink w:history="1" w:anchor="_Toc217384654">
            <w:r w:rsidRPr="00463C9A">
              <w:rPr>
                <w:rStyle w:val="Hyperlink"/>
                <w:rFonts w:cs="Arial"/>
                <w:noProof/>
                <w:szCs w:val="26"/>
              </w:rPr>
              <w:t>7.3.</w:t>
            </w:r>
            <w:r w:rsidRPr="00463C9A">
              <w:rPr>
                <w:rFonts w:cstheme="minorBidi"/>
                <w:noProof/>
                <w:kern w:val="2"/>
                <w:szCs w:val="26"/>
                <w14:ligatures w14:val="standardContextual"/>
              </w:rPr>
              <w:tab/>
            </w:r>
            <w:r w:rsidRPr="00463C9A">
              <w:rPr>
                <w:rStyle w:val="Hyperlink"/>
                <w:rFonts w:cs="Arial"/>
                <w:noProof/>
                <w:szCs w:val="26"/>
              </w:rPr>
              <w:t>Data Center Demand Forecasting</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_Toc217384654 \h </w:instrText>
            </w:r>
            <w:r w:rsidRPr="00463C9A">
              <w:rPr>
                <w:noProof/>
                <w:webHidden/>
                <w:szCs w:val="26"/>
              </w:rPr>
            </w:r>
            <w:r w:rsidRPr="00463C9A">
              <w:rPr>
                <w:noProof/>
                <w:webHidden/>
                <w:szCs w:val="26"/>
              </w:rPr>
              <w:fldChar w:fldCharType="separate"/>
            </w:r>
            <w:r w:rsidR="00A93519">
              <w:rPr>
                <w:noProof/>
                <w:webHidden/>
                <w:szCs w:val="26"/>
              </w:rPr>
              <w:t>38</w:t>
            </w:r>
            <w:r w:rsidRPr="00463C9A">
              <w:rPr>
                <w:noProof/>
                <w:webHidden/>
                <w:szCs w:val="26"/>
              </w:rPr>
              <w:fldChar w:fldCharType="end"/>
            </w:r>
          </w:hyperlink>
        </w:p>
        <w:p w:rsidRPr="00463C9A" w:rsidR="00463C9A" w:rsidRDefault="00463C9A" w14:paraId="0341EE7E" w14:textId="7C7AE546">
          <w:pPr>
            <w:pStyle w:val="TOC3"/>
            <w:tabs>
              <w:tab w:val="left" w:pos="1728"/>
              <w:tab w:val="right" w:leader="dot" w:pos="9350"/>
            </w:tabs>
            <w:rPr>
              <w:rFonts w:cstheme="minorBidi"/>
              <w:noProof/>
              <w:kern w:val="2"/>
              <w:szCs w:val="26"/>
              <w14:ligatures w14:val="standardContextual"/>
            </w:rPr>
          </w:pPr>
          <w:hyperlink w:history="1" w:anchor="_Toc217384655">
            <w:r w:rsidRPr="00463C9A">
              <w:rPr>
                <w:rStyle w:val="Hyperlink"/>
                <w:rFonts w:eastAsiaTheme="majorEastAsia" w:cstheme="majorBidi"/>
                <w:noProof/>
                <w:szCs w:val="26"/>
              </w:rPr>
              <w:t>7.3.1.</w:t>
            </w:r>
            <w:r w:rsidRPr="00463C9A">
              <w:rPr>
                <w:rFonts w:cstheme="minorBidi"/>
                <w:noProof/>
                <w:kern w:val="2"/>
                <w:szCs w:val="26"/>
                <w14:ligatures w14:val="standardContextual"/>
              </w:rPr>
              <w:tab/>
            </w:r>
            <w:r w:rsidRPr="00463C9A">
              <w:rPr>
                <w:rStyle w:val="Hyperlink"/>
                <w:rFonts w:eastAsiaTheme="majorEastAsia" w:cstheme="majorBidi"/>
                <w:noProof/>
                <w:szCs w:val="26"/>
              </w:rPr>
              <w:t>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_Toc217384655 \h </w:instrText>
            </w:r>
            <w:r w:rsidRPr="00463C9A">
              <w:rPr>
                <w:noProof/>
                <w:webHidden/>
                <w:szCs w:val="26"/>
              </w:rPr>
            </w:r>
            <w:r w:rsidRPr="00463C9A">
              <w:rPr>
                <w:noProof/>
                <w:webHidden/>
                <w:szCs w:val="26"/>
              </w:rPr>
              <w:fldChar w:fldCharType="separate"/>
            </w:r>
            <w:r w:rsidR="00A93519">
              <w:rPr>
                <w:noProof/>
                <w:webHidden/>
                <w:szCs w:val="26"/>
              </w:rPr>
              <w:t>39</w:t>
            </w:r>
            <w:r w:rsidRPr="00463C9A">
              <w:rPr>
                <w:noProof/>
                <w:webHidden/>
                <w:szCs w:val="26"/>
              </w:rPr>
              <w:fldChar w:fldCharType="end"/>
            </w:r>
          </w:hyperlink>
        </w:p>
        <w:p w:rsidRPr="00463C9A" w:rsidR="00463C9A" w:rsidRDefault="00463C9A" w14:paraId="136711FF" w14:textId="3F1E2D61">
          <w:pPr>
            <w:pStyle w:val="TOC3"/>
            <w:tabs>
              <w:tab w:val="left" w:pos="1728"/>
              <w:tab w:val="right" w:leader="dot" w:pos="9350"/>
            </w:tabs>
            <w:rPr>
              <w:rFonts w:cstheme="minorBidi"/>
              <w:noProof/>
              <w:kern w:val="2"/>
              <w:szCs w:val="26"/>
              <w14:ligatures w14:val="standardContextual"/>
            </w:rPr>
          </w:pPr>
          <w:hyperlink w:history="1" w:anchor="_Toc217384656">
            <w:r w:rsidRPr="00463C9A">
              <w:rPr>
                <w:rStyle w:val="Hyperlink"/>
                <w:rFonts w:eastAsiaTheme="majorEastAsia" w:cstheme="majorBidi"/>
                <w:noProof/>
                <w:szCs w:val="26"/>
              </w:rPr>
              <w:t>7.3.2.</w:t>
            </w:r>
            <w:r w:rsidRPr="00463C9A">
              <w:rPr>
                <w:rFonts w:cstheme="minorBidi"/>
                <w:noProof/>
                <w:kern w:val="2"/>
                <w:szCs w:val="26"/>
                <w14:ligatures w14:val="standardContextual"/>
              </w:rPr>
              <w:tab/>
            </w:r>
            <w:r w:rsidRPr="00463C9A">
              <w:rPr>
                <w:rStyle w:val="Hyperlink"/>
                <w:rFonts w:eastAsiaTheme="majorEastAsia" w:cstheme="majorBidi"/>
                <w:noProof/>
                <w:szCs w:val="26"/>
              </w:rPr>
              <w:t>Party Comments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_Toc217384656 \h </w:instrText>
            </w:r>
            <w:r w:rsidRPr="00463C9A">
              <w:rPr>
                <w:noProof/>
                <w:webHidden/>
                <w:szCs w:val="26"/>
              </w:rPr>
            </w:r>
            <w:r w:rsidRPr="00463C9A">
              <w:rPr>
                <w:noProof/>
                <w:webHidden/>
                <w:szCs w:val="26"/>
              </w:rPr>
              <w:fldChar w:fldCharType="separate"/>
            </w:r>
            <w:r w:rsidR="00A93519">
              <w:rPr>
                <w:noProof/>
                <w:webHidden/>
                <w:szCs w:val="26"/>
              </w:rPr>
              <w:t>40</w:t>
            </w:r>
            <w:r w:rsidRPr="00463C9A">
              <w:rPr>
                <w:noProof/>
                <w:webHidden/>
                <w:szCs w:val="26"/>
              </w:rPr>
              <w:fldChar w:fldCharType="end"/>
            </w:r>
          </w:hyperlink>
        </w:p>
        <w:p w:rsidRPr="00463C9A" w:rsidR="00463C9A" w:rsidRDefault="00463C9A" w14:paraId="742A1C48" w14:textId="6C1B0E65">
          <w:pPr>
            <w:pStyle w:val="TOC3"/>
            <w:tabs>
              <w:tab w:val="left" w:pos="1728"/>
              <w:tab w:val="right" w:leader="dot" w:pos="9350"/>
            </w:tabs>
            <w:rPr>
              <w:rFonts w:cstheme="minorBidi"/>
              <w:noProof/>
              <w:kern w:val="2"/>
              <w:szCs w:val="26"/>
              <w14:ligatures w14:val="standardContextual"/>
            </w:rPr>
          </w:pPr>
          <w:hyperlink w:history="1" w:anchor="_Toc217384657">
            <w:r w:rsidRPr="00463C9A">
              <w:rPr>
                <w:rStyle w:val="Hyperlink"/>
                <w:rFonts w:eastAsiaTheme="majorEastAsia" w:cstheme="majorBidi"/>
                <w:noProof/>
                <w:szCs w:val="26"/>
              </w:rPr>
              <w:t>7.3.3.</w:t>
            </w:r>
            <w:r w:rsidRPr="00463C9A">
              <w:rPr>
                <w:rFonts w:cstheme="minorBidi"/>
                <w:noProof/>
                <w:kern w:val="2"/>
                <w:szCs w:val="26"/>
                <w14:ligatures w14:val="standardContextual"/>
              </w:rPr>
              <w:tab/>
            </w:r>
            <w:r w:rsidRPr="00463C9A">
              <w:rPr>
                <w:rStyle w:val="Hyperlink"/>
                <w:rFonts w:eastAsiaTheme="majorEastAsia" w:cstheme="majorBidi"/>
                <w:noProof/>
                <w:szCs w:val="26"/>
              </w:rPr>
              <w:t>Discussion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_Toc217384657 \h </w:instrText>
            </w:r>
            <w:r w:rsidRPr="00463C9A">
              <w:rPr>
                <w:noProof/>
                <w:webHidden/>
                <w:szCs w:val="26"/>
              </w:rPr>
            </w:r>
            <w:r w:rsidRPr="00463C9A">
              <w:rPr>
                <w:noProof/>
                <w:webHidden/>
                <w:szCs w:val="26"/>
              </w:rPr>
              <w:fldChar w:fldCharType="separate"/>
            </w:r>
            <w:r w:rsidR="00A93519">
              <w:rPr>
                <w:noProof/>
                <w:webHidden/>
                <w:szCs w:val="26"/>
              </w:rPr>
              <w:t>40</w:t>
            </w:r>
            <w:r w:rsidRPr="00463C9A">
              <w:rPr>
                <w:noProof/>
                <w:webHidden/>
                <w:szCs w:val="26"/>
              </w:rPr>
              <w:fldChar w:fldCharType="end"/>
            </w:r>
          </w:hyperlink>
        </w:p>
        <w:p w:rsidRPr="00463C9A" w:rsidR="00463C9A" w:rsidRDefault="00463C9A" w14:paraId="0E8BF34A" w14:textId="6B193CC4">
          <w:pPr>
            <w:pStyle w:val="TOC1"/>
            <w:tabs>
              <w:tab w:val="right" w:leader="dot" w:pos="9350"/>
            </w:tabs>
            <w:rPr>
              <w:rFonts w:cstheme="minorBidi"/>
              <w:noProof/>
              <w:kern w:val="2"/>
              <w:szCs w:val="26"/>
              <w14:ligatures w14:val="standardContextual"/>
            </w:rPr>
          </w:pPr>
          <w:hyperlink w:history="1" w:anchor="_Toc217384658">
            <w:r w:rsidRPr="00463C9A">
              <w:rPr>
                <w:rStyle w:val="Hyperlink"/>
                <w:rFonts w:eastAsiaTheme="majorEastAsia" w:cstheme="majorBidi"/>
                <w:noProof/>
                <w:szCs w:val="26"/>
              </w:rPr>
              <w:t>8.</w:t>
            </w:r>
            <w:r w:rsidRPr="00463C9A">
              <w:rPr>
                <w:rFonts w:cstheme="minorBidi"/>
                <w:noProof/>
                <w:kern w:val="2"/>
                <w:szCs w:val="26"/>
                <w14:ligatures w14:val="standardContextual"/>
              </w:rPr>
              <w:tab/>
            </w:r>
            <w:r w:rsidRPr="00463C9A">
              <w:rPr>
                <w:rStyle w:val="Hyperlink"/>
                <w:rFonts w:eastAsiaTheme="majorEastAsia" w:cstheme="majorBidi"/>
                <w:noProof/>
                <w:szCs w:val="26"/>
              </w:rPr>
              <w:t>GHG Forecast Costs, Auction Proceeds,  and Reconciliation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_Toc217384658 \h </w:instrText>
            </w:r>
            <w:r w:rsidRPr="00463C9A">
              <w:rPr>
                <w:noProof/>
                <w:webHidden/>
                <w:szCs w:val="26"/>
              </w:rPr>
            </w:r>
            <w:r w:rsidRPr="00463C9A">
              <w:rPr>
                <w:noProof/>
                <w:webHidden/>
                <w:szCs w:val="26"/>
              </w:rPr>
              <w:fldChar w:fldCharType="separate"/>
            </w:r>
            <w:r w:rsidR="00A93519">
              <w:rPr>
                <w:noProof/>
                <w:webHidden/>
                <w:szCs w:val="26"/>
              </w:rPr>
              <w:t>41</w:t>
            </w:r>
            <w:r w:rsidRPr="00463C9A">
              <w:rPr>
                <w:noProof/>
                <w:webHidden/>
                <w:szCs w:val="26"/>
              </w:rPr>
              <w:fldChar w:fldCharType="end"/>
            </w:r>
          </w:hyperlink>
        </w:p>
        <w:p w:rsidRPr="00463C9A" w:rsidR="00463C9A" w:rsidRDefault="00463C9A" w14:paraId="2A011E8C" w14:textId="3C334F15">
          <w:pPr>
            <w:pStyle w:val="TOC2"/>
            <w:tabs>
              <w:tab w:val="left" w:pos="1296"/>
              <w:tab w:val="right" w:leader="dot" w:pos="9350"/>
            </w:tabs>
            <w:rPr>
              <w:rFonts w:cstheme="minorBidi"/>
              <w:noProof/>
              <w:kern w:val="2"/>
              <w:szCs w:val="26"/>
              <w14:ligatures w14:val="standardContextual"/>
            </w:rPr>
          </w:pPr>
          <w:hyperlink w:history="1" w:anchor="_Toc217384659">
            <w:r w:rsidRPr="00463C9A">
              <w:rPr>
                <w:rStyle w:val="Hyperlink"/>
                <w:rFonts w:cs="Arial"/>
                <w:noProof/>
                <w:szCs w:val="26"/>
              </w:rPr>
              <w:t>8.1.</w:t>
            </w:r>
            <w:r w:rsidRPr="00463C9A">
              <w:rPr>
                <w:rFonts w:cstheme="minorBidi"/>
                <w:noProof/>
                <w:kern w:val="2"/>
                <w:szCs w:val="26"/>
                <w14:ligatures w14:val="standardContextual"/>
              </w:rPr>
              <w:tab/>
            </w:r>
            <w:r w:rsidRPr="00463C9A">
              <w:rPr>
                <w:rStyle w:val="Hyperlink"/>
                <w:rFonts w:cs="Arial"/>
                <w:noProof/>
                <w:szCs w:val="26"/>
              </w:rPr>
              <w:t>GHG Costs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_Toc217384659 \h </w:instrText>
            </w:r>
            <w:r w:rsidRPr="00463C9A">
              <w:rPr>
                <w:noProof/>
                <w:webHidden/>
                <w:szCs w:val="26"/>
              </w:rPr>
            </w:r>
            <w:r w:rsidRPr="00463C9A">
              <w:rPr>
                <w:noProof/>
                <w:webHidden/>
                <w:szCs w:val="26"/>
              </w:rPr>
              <w:fldChar w:fldCharType="separate"/>
            </w:r>
            <w:r w:rsidR="00A93519">
              <w:rPr>
                <w:noProof/>
                <w:webHidden/>
                <w:szCs w:val="26"/>
              </w:rPr>
              <w:t>43</w:t>
            </w:r>
            <w:r w:rsidRPr="00463C9A">
              <w:rPr>
                <w:noProof/>
                <w:webHidden/>
                <w:szCs w:val="26"/>
              </w:rPr>
              <w:fldChar w:fldCharType="end"/>
            </w:r>
          </w:hyperlink>
        </w:p>
        <w:p w:rsidRPr="00463C9A" w:rsidR="00463C9A" w:rsidRDefault="00463C9A" w14:paraId="07FDB156" w14:textId="663F18F2">
          <w:pPr>
            <w:pStyle w:val="TOC2"/>
            <w:tabs>
              <w:tab w:val="left" w:pos="1296"/>
              <w:tab w:val="right" w:leader="dot" w:pos="9350"/>
            </w:tabs>
            <w:rPr>
              <w:rFonts w:cstheme="minorBidi"/>
              <w:noProof/>
              <w:kern w:val="2"/>
              <w:szCs w:val="26"/>
              <w14:ligatures w14:val="standardContextual"/>
            </w:rPr>
          </w:pPr>
          <w:hyperlink w:history="1" w:anchor="_Toc217384660">
            <w:r w:rsidRPr="00463C9A">
              <w:rPr>
                <w:rStyle w:val="Hyperlink"/>
                <w:rFonts w:cs="Arial"/>
                <w:noProof/>
                <w:szCs w:val="26"/>
              </w:rPr>
              <w:t>8.2.</w:t>
            </w:r>
            <w:r w:rsidRPr="00463C9A">
              <w:rPr>
                <w:rFonts w:cstheme="minorBidi"/>
                <w:noProof/>
                <w:kern w:val="2"/>
                <w:szCs w:val="26"/>
                <w14:ligatures w14:val="standardContextual"/>
              </w:rPr>
              <w:tab/>
            </w:r>
            <w:r w:rsidRPr="00463C9A">
              <w:rPr>
                <w:rStyle w:val="Hyperlink"/>
                <w:rFonts w:cs="Arial"/>
                <w:noProof/>
                <w:szCs w:val="26"/>
              </w:rPr>
              <w:t>GHG Allowance Proceeds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_Toc217384660 \h </w:instrText>
            </w:r>
            <w:r w:rsidRPr="00463C9A">
              <w:rPr>
                <w:noProof/>
                <w:webHidden/>
                <w:szCs w:val="26"/>
              </w:rPr>
            </w:r>
            <w:r w:rsidRPr="00463C9A">
              <w:rPr>
                <w:noProof/>
                <w:webHidden/>
                <w:szCs w:val="26"/>
              </w:rPr>
              <w:fldChar w:fldCharType="separate"/>
            </w:r>
            <w:r w:rsidR="00A93519">
              <w:rPr>
                <w:noProof/>
                <w:webHidden/>
                <w:szCs w:val="26"/>
              </w:rPr>
              <w:t>44</w:t>
            </w:r>
            <w:r w:rsidRPr="00463C9A">
              <w:rPr>
                <w:noProof/>
                <w:webHidden/>
                <w:szCs w:val="26"/>
              </w:rPr>
              <w:fldChar w:fldCharType="end"/>
            </w:r>
          </w:hyperlink>
        </w:p>
        <w:p w:rsidRPr="00463C9A" w:rsidR="00463C9A" w:rsidRDefault="00463C9A" w14:paraId="2A88E6DE" w14:textId="0CC76550">
          <w:pPr>
            <w:pStyle w:val="TOC2"/>
            <w:tabs>
              <w:tab w:val="left" w:pos="1296"/>
              <w:tab w:val="right" w:leader="dot" w:pos="9350"/>
            </w:tabs>
            <w:rPr>
              <w:rFonts w:cstheme="minorBidi"/>
              <w:noProof/>
              <w:kern w:val="2"/>
              <w:szCs w:val="26"/>
              <w14:ligatures w14:val="standardContextual"/>
            </w:rPr>
          </w:pPr>
          <w:hyperlink w:history="1" w:anchor="_Toc217384661">
            <w:r w:rsidRPr="00463C9A">
              <w:rPr>
                <w:rStyle w:val="Hyperlink"/>
                <w:rFonts w:cs="Arial"/>
                <w:noProof/>
                <w:szCs w:val="26"/>
              </w:rPr>
              <w:t>8.3.</w:t>
            </w:r>
            <w:r w:rsidRPr="00463C9A">
              <w:rPr>
                <w:rFonts w:cstheme="minorBidi"/>
                <w:noProof/>
                <w:kern w:val="2"/>
                <w:szCs w:val="26"/>
                <w14:ligatures w14:val="standardContextual"/>
              </w:rPr>
              <w:tab/>
            </w:r>
            <w:r w:rsidRPr="00463C9A">
              <w:rPr>
                <w:rStyle w:val="Hyperlink"/>
                <w:rFonts w:cs="Arial"/>
                <w:noProof/>
                <w:szCs w:val="26"/>
              </w:rPr>
              <w:t>Administrative and Customer  Outreach Expenses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_Toc217384661 \h </w:instrText>
            </w:r>
            <w:r w:rsidRPr="00463C9A">
              <w:rPr>
                <w:noProof/>
                <w:webHidden/>
                <w:szCs w:val="26"/>
              </w:rPr>
            </w:r>
            <w:r w:rsidRPr="00463C9A">
              <w:rPr>
                <w:noProof/>
                <w:webHidden/>
                <w:szCs w:val="26"/>
              </w:rPr>
              <w:fldChar w:fldCharType="separate"/>
            </w:r>
            <w:r w:rsidR="00A93519">
              <w:rPr>
                <w:noProof/>
                <w:webHidden/>
                <w:szCs w:val="26"/>
              </w:rPr>
              <w:t>45</w:t>
            </w:r>
            <w:r w:rsidRPr="00463C9A">
              <w:rPr>
                <w:noProof/>
                <w:webHidden/>
                <w:szCs w:val="26"/>
              </w:rPr>
              <w:fldChar w:fldCharType="end"/>
            </w:r>
          </w:hyperlink>
        </w:p>
        <w:p w:rsidRPr="00463C9A" w:rsidR="00463C9A" w:rsidRDefault="00463C9A" w14:paraId="610D9615" w14:textId="3558E851">
          <w:pPr>
            <w:pStyle w:val="TOC3"/>
            <w:tabs>
              <w:tab w:val="left" w:pos="1296"/>
              <w:tab w:val="right" w:leader="dot" w:pos="9350"/>
            </w:tabs>
            <w:rPr>
              <w:rFonts w:cstheme="minorBidi"/>
              <w:noProof/>
              <w:kern w:val="2"/>
              <w:szCs w:val="26"/>
              <w14:ligatures w14:val="standardContextual"/>
            </w:rPr>
          </w:pPr>
          <w:hyperlink w:history="1" w:anchor="_Toc217384662">
            <w:r w:rsidRPr="00463C9A">
              <w:rPr>
                <w:rStyle w:val="Hyperlink"/>
                <w:noProof/>
                <w:szCs w:val="26"/>
              </w:rPr>
              <w:t>8.3.1.</w:t>
            </w:r>
            <w:r w:rsidRPr="00463C9A">
              <w:rPr>
                <w:rFonts w:cstheme="minorBidi"/>
                <w:noProof/>
                <w:kern w:val="2"/>
                <w:szCs w:val="26"/>
                <w14:ligatures w14:val="standardContextual"/>
              </w:rPr>
              <w:tab/>
            </w:r>
            <w:r w:rsidRPr="00463C9A">
              <w:rPr>
                <w:rStyle w:val="Hyperlink"/>
                <w:noProof/>
                <w:szCs w:val="26"/>
              </w:rPr>
              <w:t>2024 Recorded Administrative and Customer Outreach Costs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_Toc217384662 \h </w:instrText>
            </w:r>
            <w:r w:rsidRPr="00463C9A">
              <w:rPr>
                <w:noProof/>
                <w:webHidden/>
                <w:szCs w:val="26"/>
              </w:rPr>
            </w:r>
            <w:r w:rsidRPr="00463C9A">
              <w:rPr>
                <w:noProof/>
                <w:webHidden/>
                <w:szCs w:val="26"/>
              </w:rPr>
              <w:fldChar w:fldCharType="separate"/>
            </w:r>
            <w:r w:rsidR="00A93519">
              <w:rPr>
                <w:noProof/>
                <w:webHidden/>
                <w:szCs w:val="26"/>
              </w:rPr>
              <w:t>45</w:t>
            </w:r>
            <w:r w:rsidRPr="00463C9A">
              <w:rPr>
                <w:noProof/>
                <w:webHidden/>
                <w:szCs w:val="26"/>
              </w:rPr>
              <w:fldChar w:fldCharType="end"/>
            </w:r>
          </w:hyperlink>
        </w:p>
        <w:p w:rsidRPr="00463C9A" w:rsidR="00463C9A" w:rsidRDefault="00463C9A" w14:paraId="61438FC0" w14:textId="44371140">
          <w:pPr>
            <w:pStyle w:val="TOC3"/>
            <w:tabs>
              <w:tab w:val="left" w:pos="1296"/>
              <w:tab w:val="right" w:leader="dot" w:pos="9350"/>
            </w:tabs>
            <w:rPr>
              <w:rFonts w:cstheme="minorBidi"/>
              <w:noProof/>
              <w:kern w:val="2"/>
              <w:szCs w:val="26"/>
              <w14:ligatures w14:val="standardContextual"/>
            </w:rPr>
          </w:pPr>
          <w:hyperlink w:history="1" w:anchor="_Toc217384663">
            <w:r w:rsidRPr="00463C9A">
              <w:rPr>
                <w:rStyle w:val="Hyperlink"/>
                <w:noProof/>
                <w:szCs w:val="26"/>
              </w:rPr>
              <w:t>8.3.2.</w:t>
            </w:r>
            <w:r w:rsidRPr="00463C9A">
              <w:rPr>
                <w:rFonts w:cstheme="minorBidi"/>
                <w:noProof/>
                <w:kern w:val="2"/>
                <w:szCs w:val="26"/>
                <w14:ligatures w14:val="standardContextual"/>
              </w:rPr>
              <w:tab/>
            </w:r>
            <w:r w:rsidRPr="00463C9A">
              <w:rPr>
                <w:rStyle w:val="Hyperlink"/>
                <w:noProof/>
                <w:szCs w:val="26"/>
              </w:rPr>
              <w:t>2026 Forecast GHG Administrative and Customer Outreach Costs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_Toc217384663 \h </w:instrText>
            </w:r>
            <w:r w:rsidRPr="00463C9A">
              <w:rPr>
                <w:noProof/>
                <w:webHidden/>
                <w:szCs w:val="26"/>
              </w:rPr>
            </w:r>
            <w:r w:rsidRPr="00463C9A">
              <w:rPr>
                <w:noProof/>
                <w:webHidden/>
                <w:szCs w:val="26"/>
              </w:rPr>
              <w:fldChar w:fldCharType="separate"/>
            </w:r>
            <w:r w:rsidR="00A93519">
              <w:rPr>
                <w:noProof/>
                <w:webHidden/>
                <w:szCs w:val="26"/>
              </w:rPr>
              <w:t>46</w:t>
            </w:r>
            <w:r w:rsidRPr="00463C9A">
              <w:rPr>
                <w:noProof/>
                <w:webHidden/>
                <w:szCs w:val="26"/>
              </w:rPr>
              <w:fldChar w:fldCharType="end"/>
            </w:r>
          </w:hyperlink>
        </w:p>
        <w:p w:rsidRPr="00463C9A" w:rsidR="00463C9A" w:rsidRDefault="00463C9A" w14:paraId="77EE96B5" w14:textId="2BA45717">
          <w:pPr>
            <w:pStyle w:val="TOC2"/>
            <w:tabs>
              <w:tab w:val="left" w:pos="1296"/>
              <w:tab w:val="right" w:leader="dot" w:pos="9350"/>
            </w:tabs>
            <w:rPr>
              <w:rFonts w:cstheme="minorBidi"/>
              <w:noProof/>
              <w:kern w:val="2"/>
              <w:szCs w:val="26"/>
              <w14:ligatures w14:val="standardContextual"/>
            </w:rPr>
          </w:pPr>
          <w:hyperlink w:history="1" w:anchor="_Toc217384664">
            <w:r w:rsidRPr="00463C9A">
              <w:rPr>
                <w:rStyle w:val="Hyperlink"/>
                <w:rFonts w:cs="Arial"/>
                <w:noProof/>
                <w:szCs w:val="26"/>
              </w:rPr>
              <w:t>8.4.</w:t>
            </w:r>
            <w:r w:rsidRPr="00463C9A">
              <w:rPr>
                <w:rFonts w:cstheme="minorBidi"/>
                <w:noProof/>
                <w:kern w:val="2"/>
                <w:szCs w:val="26"/>
                <w14:ligatures w14:val="standardContextual"/>
              </w:rPr>
              <w:tab/>
            </w:r>
            <w:r w:rsidRPr="00463C9A">
              <w:rPr>
                <w:rStyle w:val="Hyperlink"/>
                <w:rFonts w:cs="Arial"/>
                <w:noProof/>
                <w:szCs w:val="26"/>
              </w:rPr>
              <w:t>Clean Energy and Energy  Efficiency Projects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_Toc217384664 \h </w:instrText>
            </w:r>
            <w:r w:rsidRPr="00463C9A">
              <w:rPr>
                <w:noProof/>
                <w:webHidden/>
                <w:szCs w:val="26"/>
              </w:rPr>
            </w:r>
            <w:r w:rsidRPr="00463C9A">
              <w:rPr>
                <w:noProof/>
                <w:webHidden/>
                <w:szCs w:val="26"/>
              </w:rPr>
              <w:fldChar w:fldCharType="separate"/>
            </w:r>
            <w:r w:rsidR="00A93519">
              <w:rPr>
                <w:noProof/>
                <w:webHidden/>
                <w:szCs w:val="26"/>
              </w:rPr>
              <w:t>46</w:t>
            </w:r>
            <w:r w:rsidRPr="00463C9A">
              <w:rPr>
                <w:noProof/>
                <w:webHidden/>
                <w:szCs w:val="26"/>
              </w:rPr>
              <w:fldChar w:fldCharType="end"/>
            </w:r>
          </w:hyperlink>
        </w:p>
        <w:p w:rsidRPr="00463C9A" w:rsidR="00463C9A" w:rsidRDefault="00463C9A" w14:paraId="1718956B" w14:textId="5B9CA592">
          <w:pPr>
            <w:pStyle w:val="TOC2"/>
            <w:tabs>
              <w:tab w:val="left" w:pos="1296"/>
              <w:tab w:val="right" w:leader="dot" w:pos="9350"/>
            </w:tabs>
            <w:rPr>
              <w:rFonts w:cstheme="minorBidi"/>
              <w:noProof/>
              <w:kern w:val="2"/>
              <w:szCs w:val="26"/>
              <w14:ligatures w14:val="standardContextual"/>
            </w:rPr>
          </w:pPr>
          <w:hyperlink w:history="1" w:anchor="_Toc217384665">
            <w:r w:rsidRPr="00463C9A">
              <w:rPr>
                <w:rStyle w:val="Hyperlink"/>
                <w:rFonts w:cs="Arial"/>
                <w:noProof/>
                <w:szCs w:val="26"/>
              </w:rPr>
              <w:t>8.5.</w:t>
            </w:r>
            <w:r w:rsidRPr="00463C9A">
              <w:rPr>
                <w:rFonts w:cstheme="minorBidi"/>
                <w:noProof/>
                <w:kern w:val="2"/>
                <w:szCs w:val="26"/>
                <w14:ligatures w14:val="standardContextual"/>
              </w:rPr>
              <w:tab/>
            </w:r>
            <w:r w:rsidRPr="00463C9A">
              <w:rPr>
                <w:rStyle w:val="Hyperlink"/>
                <w:rFonts w:cs="Arial"/>
                <w:noProof/>
                <w:szCs w:val="26"/>
              </w:rPr>
              <w:t>EITE Emissions Customer Return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_Toc217384665 \h </w:instrText>
            </w:r>
            <w:r w:rsidRPr="00463C9A">
              <w:rPr>
                <w:noProof/>
                <w:webHidden/>
                <w:szCs w:val="26"/>
              </w:rPr>
            </w:r>
            <w:r w:rsidRPr="00463C9A">
              <w:rPr>
                <w:noProof/>
                <w:webHidden/>
                <w:szCs w:val="26"/>
              </w:rPr>
              <w:fldChar w:fldCharType="separate"/>
            </w:r>
            <w:r w:rsidR="00A93519">
              <w:rPr>
                <w:noProof/>
                <w:webHidden/>
                <w:szCs w:val="26"/>
              </w:rPr>
              <w:t>47</w:t>
            </w:r>
            <w:r w:rsidRPr="00463C9A">
              <w:rPr>
                <w:noProof/>
                <w:webHidden/>
                <w:szCs w:val="26"/>
              </w:rPr>
              <w:fldChar w:fldCharType="end"/>
            </w:r>
          </w:hyperlink>
        </w:p>
        <w:p w:rsidRPr="00463C9A" w:rsidR="00463C9A" w:rsidRDefault="00463C9A" w14:paraId="2528E07F" w14:textId="4CA9CEBF">
          <w:pPr>
            <w:pStyle w:val="TOC2"/>
            <w:tabs>
              <w:tab w:val="left" w:pos="1296"/>
              <w:tab w:val="right" w:leader="dot" w:pos="9350"/>
            </w:tabs>
            <w:rPr>
              <w:rFonts w:cstheme="minorBidi"/>
              <w:noProof/>
              <w:kern w:val="2"/>
              <w:szCs w:val="26"/>
              <w14:ligatures w14:val="standardContextual"/>
            </w:rPr>
          </w:pPr>
          <w:hyperlink w:history="1" w:anchor="_Toc217384666">
            <w:r w:rsidRPr="00463C9A">
              <w:rPr>
                <w:rStyle w:val="Hyperlink"/>
                <w:rFonts w:cs="Arial"/>
                <w:noProof/>
                <w:szCs w:val="26"/>
              </w:rPr>
              <w:t>8.6.</w:t>
            </w:r>
            <w:r w:rsidRPr="00463C9A">
              <w:rPr>
                <w:rFonts w:cstheme="minorBidi"/>
                <w:noProof/>
                <w:kern w:val="2"/>
                <w:szCs w:val="26"/>
                <w14:ligatures w14:val="standardContextual"/>
              </w:rPr>
              <w:tab/>
            </w:r>
            <w:r w:rsidRPr="00463C9A">
              <w:rPr>
                <w:rStyle w:val="Hyperlink"/>
                <w:rFonts w:cs="Arial"/>
                <w:noProof/>
                <w:szCs w:val="26"/>
              </w:rPr>
              <w:t>California Climate Credit</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_Toc217384666 \h </w:instrText>
            </w:r>
            <w:r w:rsidRPr="00463C9A">
              <w:rPr>
                <w:noProof/>
                <w:webHidden/>
                <w:szCs w:val="26"/>
              </w:rPr>
            </w:r>
            <w:r w:rsidRPr="00463C9A">
              <w:rPr>
                <w:noProof/>
                <w:webHidden/>
                <w:szCs w:val="26"/>
              </w:rPr>
              <w:fldChar w:fldCharType="separate"/>
            </w:r>
            <w:r w:rsidR="00A93519">
              <w:rPr>
                <w:noProof/>
                <w:webHidden/>
                <w:szCs w:val="26"/>
              </w:rPr>
              <w:t>47</w:t>
            </w:r>
            <w:r w:rsidRPr="00463C9A">
              <w:rPr>
                <w:noProof/>
                <w:webHidden/>
                <w:szCs w:val="26"/>
              </w:rPr>
              <w:fldChar w:fldCharType="end"/>
            </w:r>
          </w:hyperlink>
        </w:p>
        <w:p w:rsidRPr="00463C9A" w:rsidR="00463C9A" w:rsidRDefault="00463C9A" w14:paraId="2C392B93" w14:textId="62F8050F">
          <w:pPr>
            <w:pStyle w:val="TOC1"/>
            <w:tabs>
              <w:tab w:val="right" w:leader="dot" w:pos="9350"/>
            </w:tabs>
            <w:rPr>
              <w:rFonts w:cstheme="minorBidi"/>
              <w:noProof/>
              <w:kern w:val="2"/>
              <w:szCs w:val="26"/>
              <w14:ligatures w14:val="standardContextual"/>
            </w:rPr>
          </w:pPr>
          <w:hyperlink w:history="1" w:anchor="_Toc217384667">
            <w:r w:rsidRPr="00463C9A">
              <w:rPr>
                <w:rStyle w:val="Hyperlink"/>
                <w:rFonts w:eastAsiaTheme="majorEastAsia" w:cstheme="majorBidi"/>
                <w:noProof/>
                <w:szCs w:val="26"/>
              </w:rPr>
              <w:t>9.</w:t>
            </w:r>
            <w:r w:rsidRPr="00463C9A">
              <w:rPr>
                <w:rFonts w:cstheme="minorBidi"/>
                <w:noProof/>
                <w:kern w:val="2"/>
                <w:szCs w:val="26"/>
                <w14:ligatures w14:val="standardContextual"/>
              </w:rPr>
              <w:tab/>
            </w:r>
            <w:r w:rsidRPr="00463C9A">
              <w:rPr>
                <w:rStyle w:val="Hyperlink"/>
                <w:rFonts w:eastAsiaTheme="majorEastAsia" w:cstheme="majorBidi"/>
                <w:noProof/>
                <w:szCs w:val="26"/>
              </w:rPr>
              <w:t>Rate Design Proposal</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_Toc217384667 \h </w:instrText>
            </w:r>
            <w:r w:rsidRPr="00463C9A">
              <w:rPr>
                <w:noProof/>
                <w:webHidden/>
                <w:szCs w:val="26"/>
              </w:rPr>
            </w:r>
            <w:r w:rsidRPr="00463C9A">
              <w:rPr>
                <w:noProof/>
                <w:webHidden/>
                <w:szCs w:val="26"/>
              </w:rPr>
              <w:fldChar w:fldCharType="separate"/>
            </w:r>
            <w:r w:rsidR="00A93519">
              <w:rPr>
                <w:noProof/>
                <w:webHidden/>
                <w:szCs w:val="26"/>
              </w:rPr>
              <w:t>49</w:t>
            </w:r>
            <w:r w:rsidRPr="00463C9A">
              <w:rPr>
                <w:noProof/>
                <w:webHidden/>
                <w:szCs w:val="26"/>
              </w:rPr>
              <w:fldChar w:fldCharType="end"/>
            </w:r>
          </w:hyperlink>
        </w:p>
        <w:p w:rsidRPr="00463C9A" w:rsidR="00463C9A" w:rsidRDefault="00463C9A" w14:paraId="28496C2A" w14:textId="397781E4">
          <w:pPr>
            <w:pStyle w:val="TOC2"/>
            <w:tabs>
              <w:tab w:val="left" w:pos="1296"/>
              <w:tab w:val="right" w:leader="dot" w:pos="9350"/>
            </w:tabs>
            <w:rPr>
              <w:rFonts w:cstheme="minorBidi"/>
              <w:noProof/>
              <w:kern w:val="2"/>
              <w:szCs w:val="26"/>
              <w14:ligatures w14:val="standardContextual"/>
            </w:rPr>
          </w:pPr>
          <w:hyperlink w:history="1" w:anchor="_Toc217384668">
            <w:r w:rsidRPr="00463C9A">
              <w:rPr>
                <w:rStyle w:val="Hyperlink"/>
                <w:rFonts w:cs="Arial"/>
                <w:noProof/>
                <w:szCs w:val="26"/>
              </w:rPr>
              <w:t>9.1.</w:t>
            </w:r>
            <w:r w:rsidRPr="00463C9A">
              <w:rPr>
                <w:rFonts w:cstheme="minorBidi"/>
                <w:noProof/>
                <w:kern w:val="2"/>
                <w:szCs w:val="26"/>
                <w14:ligatures w14:val="standardContextual"/>
              </w:rPr>
              <w:tab/>
            </w:r>
            <w:r w:rsidRPr="00463C9A">
              <w:rPr>
                <w:rStyle w:val="Hyperlink"/>
                <w:rFonts w:cs="Arial"/>
                <w:noProof/>
                <w:szCs w:val="26"/>
              </w:rPr>
              <w:t>Background</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_Toc217384668 \h </w:instrText>
            </w:r>
            <w:r w:rsidRPr="00463C9A">
              <w:rPr>
                <w:noProof/>
                <w:webHidden/>
                <w:szCs w:val="26"/>
              </w:rPr>
            </w:r>
            <w:r w:rsidRPr="00463C9A">
              <w:rPr>
                <w:noProof/>
                <w:webHidden/>
                <w:szCs w:val="26"/>
              </w:rPr>
              <w:fldChar w:fldCharType="separate"/>
            </w:r>
            <w:r w:rsidR="00A93519">
              <w:rPr>
                <w:noProof/>
                <w:webHidden/>
                <w:szCs w:val="26"/>
              </w:rPr>
              <w:t>49</w:t>
            </w:r>
            <w:r w:rsidRPr="00463C9A">
              <w:rPr>
                <w:noProof/>
                <w:webHidden/>
                <w:szCs w:val="26"/>
              </w:rPr>
              <w:fldChar w:fldCharType="end"/>
            </w:r>
          </w:hyperlink>
        </w:p>
        <w:p w:rsidRPr="00463C9A" w:rsidR="00463C9A" w:rsidRDefault="00463C9A" w14:paraId="23C73EDB" w14:textId="0CB09CA2">
          <w:pPr>
            <w:pStyle w:val="TOC2"/>
            <w:tabs>
              <w:tab w:val="left" w:pos="1296"/>
              <w:tab w:val="right" w:leader="dot" w:pos="9350"/>
            </w:tabs>
            <w:rPr>
              <w:rFonts w:cstheme="minorBidi"/>
              <w:noProof/>
              <w:kern w:val="2"/>
              <w:szCs w:val="26"/>
              <w14:ligatures w14:val="standardContextual"/>
            </w:rPr>
          </w:pPr>
          <w:hyperlink w:history="1" w:anchor="_Toc217384669">
            <w:r w:rsidRPr="00463C9A">
              <w:rPr>
                <w:rStyle w:val="Hyperlink"/>
                <w:rFonts w:cs="Arial"/>
                <w:noProof/>
                <w:szCs w:val="26"/>
              </w:rPr>
              <w:t>9.2.</w:t>
            </w:r>
            <w:r w:rsidRPr="00463C9A">
              <w:rPr>
                <w:rFonts w:cstheme="minorBidi"/>
                <w:noProof/>
                <w:kern w:val="2"/>
                <w:szCs w:val="26"/>
                <w14:ligatures w14:val="standardContextual"/>
              </w:rPr>
              <w:tab/>
            </w:r>
            <w:r w:rsidRPr="00463C9A">
              <w:rPr>
                <w:rStyle w:val="Hyperlink"/>
                <w:rFonts w:cs="Arial"/>
                <w:noProof/>
                <w:szCs w:val="26"/>
              </w:rPr>
              <w:t>Revenue Allocation and Rate Design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_Toc217384669 \h </w:instrText>
            </w:r>
            <w:r w:rsidRPr="00463C9A">
              <w:rPr>
                <w:noProof/>
                <w:webHidden/>
                <w:szCs w:val="26"/>
              </w:rPr>
            </w:r>
            <w:r w:rsidRPr="00463C9A">
              <w:rPr>
                <w:noProof/>
                <w:webHidden/>
                <w:szCs w:val="26"/>
              </w:rPr>
              <w:fldChar w:fldCharType="separate"/>
            </w:r>
            <w:r w:rsidR="00A93519">
              <w:rPr>
                <w:noProof/>
                <w:webHidden/>
                <w:szCs w:val="26"/>
              </w:rPr>
              <w:t>50</w:t>
            </w:r>
            <w:r w:rsidRPr="00463C9A">
              <w:rPr>
                <w:noProof/>
                <w:webHidden/>
                <w:szCs w:val="26"/>
              </w:rPr>
              <w:fldChar w:fldCharType="end"/>
            </w:r>
          </w:hyperlink>
        </w:p>
        <w:p w:rsidRPr="00463C9A" w:rsidR="00463C9A" w:rsidRDefault="00463C9A" w14:paraId="2DC328DB" w14:textId="3540B63F">
          <w:pPr>
            <w:pStyle w:val="TOC3"/>
            <w:tabs>
              <w:tab w:val="left" w:pos="1728"/>
              <w:tab w:val="right" w:leader="dot" w:pos="9350"/>
            </w:tabs>
            <w:rPr>
              <w:rFonts w:cstheme="minorBidi"/>
              <w:noProof/>
              <w:kern w:val="2"/>
              <w:szCs w:val="26"/>
              <w14:ligatures w14:val="standardContextual"/>
            </w:rPr>
          </w:pPr>
          <w:hyperlink w:history="1" w:anchor="_Toc217384670">
            <w:r w:rsidRPr="00463C9A">
              <w:rPr>
                <w:rStyle w:val="Hyperlink"/>
                <w:rFonts w:eastAsiaTheme="majorEastAsia" w:cstheme="majorBidi"/>
                <w:noProof/>
                <w:szCs w:val="26"/>
              </w:rPr>
              <w:t>9.2.1.</w:t>
            </w:r>
            <w:r w:rsidRPr="00463C9A">
              <w:rPr>
                <w:rFonts w:cstheme="minorBidi"/>
                <w:noProof/>
                <w:kern w:val="2"/>
                <w:szCs w:val="26"/>
                <w14:ligatures w14:val="standardContextual"/>
              </w:rPr>
              <w:tab/>
            </w:r>
            <w:r w:rsidRPr="00463C9A">
              <w:rPr>
                <w:rStyle w:val="Hyperlink"/>
                <w:rFonts w:eastAsiaTheme="majorEastAsia" w:cstheme="majorBidi"/>
                <w:noProof/>
                <w:szCs w:val="26"/>
              </w:rPr>
              <w:t>Vintage PCIA Rates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_Toc217384670 \h </w:instrText>
            </w:r>
            <w:r w:rsidRPr="00463C9A">
              <w:rPr>
                <w:noProof/>
                <w:webHidden/>
                <w:szCs w:val="26"/>
              </w:rPr>
            </w:r>
            <w:r w:rsidRPr="00463C9A">
              <w:rPr>
                <w:noProof/>
                <w:webHidden/>
                <w:szCs w:val="26"/>
              </w:rPr>
              <w:fldChar w:fldCharType="separate"/>
            </w:r>
            <w:r w:rsidR="00A93519">
              <w:rPr>
                <w:noProof/>
                <w:webHidden/>
                <w:szCs w:val="26"/>
              </w:rPr>
              <w:t>50</w:t>
            </w:r>
            <w:r w:rsidRPr="00463C9A">
              <w:rPr>
                <w:noProof/>
                <w:webHidden/>
                <w:szCs w:val="26"/>
              </w:rPr>
              <w:fldChar w:fldCharType="end"/>
            </w:r>
          </w:hyperlink>
        </w:p>
        <w:p w:rsidRPr="00463C9A" w:rsidR="00463C9A" w:rsidRDefault="00463C9A" w14:paraId="33033679" w14:textId="1E4B5D32">
          <w:pPr>
            <w:pStyle w:val="TOC3"/>
            <w:tabs>
              <w:tab w:val="left" w:pos="1296"/>
              <w:tab w:val="right" w:leader="dot" w:pos="9350"/>
            </w:tabs>
            <w:rPr>
              <w:rFonts w:cstheme="minorBidi"/>
              <w:noProof/>
              <w:kern w:val="2"/>
              <w:szCs w:val="26"/>
              <w14:ligatures w14:val="standardContextual"/>
            </w:rPr>
          </w:pPr>
          <w:hyperlink w:history="1" w:anchor="_Toc217384671">
            <w:r w:rsidRPr="00463C9A">
              <w:rPr>
                <w:rStyle w:val="Hyperlink"/>
                <w:noProof/>
                <w:szCs w:val="26"/>
              </w:rPr>
              <w:t>9.2.2.</w:t>
            </w:r>
            <w:r w:rsidRPr="00463C9A">
              <w:rPr>
                <w:rFonts w:cstheme="minorBidi"/>
                <w:noProof/>
                <w:kern w:val="2"/>
                <w:szCs w:val="26"/>
                <w14:ligatures w14:val="standardContextual"/>
              </w:rPr>
              <w:tab/>
            </w:r>
            <w:r w:rsidRPr="00463C9A">
              <w:rPr>
                <w:rStyle w:val="Hyperlink"/>
                <w:noProof/>
                <w:szCs w:val="26"/>
              </w:rPr>
              <w:t>Generation</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_Toc217384671 \h </w:instrText>
            </w:r>
            <w:r w:rsidRPr="00463C9A">
              <w:rPr>
                <w:noProof/>
                <w:webHidden/>
                <w:szCs w:val="26"/>
              </w:rPr>
            </w:r>
            <w:r w:rsidRPr="00463C9A">
              <w:rPr>
                <w:noProof/>
                <w:webHidden/>
                <w:szCs w:val="26"/>
              </w:rPr>
              <w:fldChar w:fldCharType="separate"/>
            </w:r>
            <w:r w:rsidR="00A93519">
              <w:rPr>
                <w:noProof/>
                <w:webHidden/>
                <w:szCs w:val="26"/>
              </w:rPr>
              <w:t>52</w:t>
            </w:r>
            <w:r w:rsidRPr="00463C9A">
              <w:rPr>
                <w:noProof/>
                <w:webHidden/>
                <w:szCs w:val="26"/>
              </w:rPr>
              <w:fldChar w:fldCharType="end"/>
            </w:r>
          </w:hyperlink>
        </w:p>
        <w:p w:rsidRPr="00463C9A" w:rsidR="00463C9A" w:rsidRDefault="00463C9A" w14:paraId="1D4D7C6D" w14:textId="457B7EDD">
          <w:pPr>
            <w:pStyle w:val="TOC3"/>
            <w:tabs>
              <w:tab w:val="left" w:pos="1296"/>
              <w:tab w:val="right" w:leader="dot" w:pos="9350"/>
            </w:tabs>
            <w:rPr>
              <w:rFonts w:cstheme="minorBidi"/>
              <w:noProof/>
              <w:kern w:val="2"/>
              <w:szCs w:val="26"/>
              <w14:ligatures w14:val="standardContextual"/>
            </w:rPr>
          </w:pPr>
          <w:hyperlink w:history="1" w:anchor="_Toc217384672">
            <w:r w:rsidRPr="00463C9A">
              <w:rPr>
                <w:rStyle w:val="Hyperlink"/>
                <w:noProof/>
                <w:szCs w:val="26"/>
              </w:rPr>
              <w:t>9.2.3.</w:t>
            </w:r>
            <w:r w:rsidRPr="00463C9A">
              <w:rPr>
                <w:rFonts w:cstheme="minorBidi"/>
                <w:noProof/>
                <w:kern w:val="2"/>
                <w:szCs w:val="26"/>
                <w14:ligatures w14:val="standardContextual"/>
              </w:rPr>
              <w:tab/>
            </w:r>
            <w:r w:rsidRPr="00463C9A">
              <w:rPr>
                <w:rStyle w:val="Hyperlink"/>
                <w:noProof/>
                <w:szCs w:val="26"/>
              </w:rPr>
              <w:t>Ongoing CTC</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_Toc217384672 \h </w:instrText>
            </w:r>
            <w:r w:rsidRPr="00463C9A">
              <w:rPr>
                <w:noProof/>
                <w:webHidden/>
                <w:szCs w:val="26"/>
              </w:rPr>
            </w:r>
            <w:r w:rsidRPr="00463C9A">
              <w:rPr>
                <w:noProof/>
                <w:webHidden/>
                <w:szCs w:val="26"/>
              </w:rPr>
              <w:fldChar w:fldCharType="separate"/>
            </w:r>
            <w:r w:rsidR="00A93519">
              <w:rPr>
                <w:noProof/>
                <w:webHidden/>
                <w:szCs w:val="26"/>
              </w:rPr>
              <w:t>53</w:t>
            </w:r>
            <w:r w:rsidRPr="00463C9A">
              <w:rPr>
                <w:noProof/>
                <w:webHidden/>
                <w:szCs w:val="26"/>
              </w:rPr>
              <w:fldChar w:fldCharType="end"/>
            </w:r>
          </w:hyperlink>
        </w:p>
        <w:p w:rsidRPr="00463C9A" w:rsidR="00463C9A" w:rsidRDefault="00463C9A" w14:paraId="40AB2B7A" w14:textId="0A70D937">
          <w:pPr>
            <w:pStyle w:val="TOC3"/>
            <w:tabs>
              <w:tab w:val="left" w:pos="1296"/>
              <w:tab w:val="right" w:leader="dot" w:pos="9350"/>
            </w:tabs>
            <w:rPr>
              <w:rFonts w:cstheme="minorBidi"/>
              <w:noProof/>
              <w:kern w:val="2"/>
              <w:szCs w:val="26"/>
              <w14:ligatures w14:val="standardContextual"/>
            </w:rPr>
          </w:pPr>
          <w:hyperlink w:history="1" w:anchor="_Toc217384673">
            <w:r w:rsidRPr="00463C9A">
              <w:rPr>
                <w:rStyle w:val="Hyperlink"/>
                <w:noProof/>
                <w:szCs w:val="26"/>
              </w:rPr>
              <w:t>9.2.4.</w:t>
            </w:r>
            <w:r w:rsidRPr="00463C9A">
              <w:rPr>
                <w:rFonts w:cstheme="minorBidi"/>
                <w:noProof/>
                <w:kern w:val="2"/>
                <w:szCs w:val="26"/>
                <w14:ligatures w14:val="standardContextual"/>
              </w:rPr>
              <w:tab/>
            </w:r>
            <w:r w:rsidRPr="00463C9A">
              <w:rPr>
                <w:rStyle w:val="Hyperlink"/>
                <w:noProof/>
                <w:szCs w:val="26"/>
              </w:rPr>
              <w:t>New System Generation Charge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_Toc217384673 \h </w:instrText>
            </w:r>
            <w:r w:rsidRPr="00463C9A">
              <w:rPr>
                <w:noProof/>
                <w:webHidden/>
                <w:szCs w:val="26"/>
              </w:rPr>
            </w:r>
            <w:r w:rsidRPr="00463C9A">
              <w:rPr>
                <w:noProof/>
                <w:webHidden/>
                <w:szCs w:val="26"/>
              </w:rPr>
              <w:fldChar w:fldCharType="separate"/>
            </w:r>
            <w:r w:rsidR="00A93519">
              <w:rPr>
                <w:noProof/>
                <w:webHidden/>
                <w:szCs w:val="26"/>
              </w:rPr>
              <w:t>54</w:t>
            </w:r>
            <w:r w:rsidRPr="00463C9A">
              <w:rPr>
                <w:noProof/>
                <w:webHidden/>
                <w:szCs w:val="26"/>
              </w:rPr>
              <w:fldChar w:fldCharType="end"/>
            </w:r>
          </w:hyperlink>
        </w:p>
        <w:p w:rsidRPr="00463C9A" w:rsidR="00463C9A" w:rsidRDefault="00463C9A" w14:paraId="01AFC4E9" w14:textId="7510620A">
          <w:pPr>
            <w:pStyle w:val="TOC3"/>
            <w:tabs>
              <w:tab w:val="left" w:pos="1296"/>
              <w:tab w:val="right" w:leader="dot" w:pos="9350"/>
            </w:tabs>
            <w:rPr>
              <w:rFonts w:cstheme="minorBidi"/>
              <w:noProof/>
              <w:kern w:val="2"/>
              <w:szCs w:val="26"/>
              <w14:ligatures w14:val="standardContextual"/>
            </w:rPr>
          </w:pPr>
          <w:hyperlink w:history="1" w:anchor="_Toc217384674">
            <w:r w:rsidRPr="00463C9A">
              <w:rPr>
                <w:rStyle w:val="Hyperlink"/>
                <w:noProof/>
                <w:szCs w:val="26"/>
              </w:rPr>
              <w:t>9.2.5.</w:t>
            </w:r>
            <w:r w:rsidRPr="00463C9A">
              <w:rPr>
                <w:rFonts w:cstheme="minorBidi"/>
                <w:noProof/>
                <w:kern w:val="2"/>
                <w:szCs w:val="26"/>
                <w14:ligatures w14:val="standardContextual"/>
              </w:rPr>
              <w:tab/>
            </w:r>
            <w:r w:rsidRPr="00463C9A">
              <w:rPr>
                <w:rStyle w:val="Hyperlink"/>
                <w:noProof/>
                <w:szCs w:val="26"/>
              </w:rPr>
              <w:t>Tree Mortality Non-Bypassable Charge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_Toc217384674 \h </w:instrText>
            </w:r>
            <w:r w:rsidRPr="00463C9A">
              <w:rPr>
                <w:noProof/>
                <w:webHidden/>
                <w:szCs w:val="26"/>
              </w:rPr>
            </w:r>
            <w:r w:rsidRPr="00463C9A">
              <w:rPr>
                <w:noProof/>
                <w:webHidden/>
                <w:szCs w:val="26"/>
              </w:rPr>
              <w:fldChar w:fldCharType="separate"/>
            </w:r>
            <w:r w:rsidR="00A93519">
              <w:rPr>
                <w:noProof/>
                <w:webHidden/>
                <w:szCs w:val="26"/>
              </w:rPr>
              <w:t>55</w:t>
            </w:r>
            <w:r w:rsidRPr="00463C9A">
              <w:rPr>
                <w:noProof/>
                <w:webHidden/>
                <w:szCs w:val="26"/>
              </w:rPr>
              <w:fldChar w:fldCharType="end"/>
            </w:r>
          </w:hyperlink>
        </w:p>
        <w:p w:rsidRPr="00463C9A" w:rsidR="00463C9A" w:rsidRDefault="00463C9A" w14:paraId="4F21CD19" w14:textId="3379DB68">
          <w:pPr>
            <w:pStyle w:val="TOC3"/>
            <w:tabs>
              <w:tab w:val="left" w:pos="1296"/>
              <w:tab w:val="right" w:leader="dot" w:pos="9350"/>
            </w:tabs>
            <w:rPr>
              <w:rFonts w:cstheme="minorBidi"/>
              <w:noProof/>
              <w:kern w:val="2"/>
              <w:szCs w:val="26"/>
              <w14:ligatures w14:val="standardContextual"/>
            </w:rPr>
          </w:pPr>
          <w:hyperlink w:history="1" w:anchor="_Toc217384675">
            <w:r w:rsidRPr="00463C9A">
              <w:rPr>
                <w:rStyle w:val="Hyperlink"/>
                <w:noProof/>
                <w:szCs w:val="26"/>
              </w:rPr>
              <w:t>9.2.6.</w:t>
            </w:r>
            <w:r w:rsidRPr="00463C9A">
              <w:rPr>
                <w:rFonts w:cstheme="minorBidi"/>
                <w:noProof/>
                <w:kern w:val="2"/>
                <w:szCs w:val="26"/>
                <w14:ligatures w14:val="standardContextual"/>
              </w:rPr>
              <w:tab/>
            </w:r>
            <w:r w:rsidRPr="00463C9A">
              <w:rPr>
                <w:rStyle w:val="Hyperlink"/>
                <w:noProof/>
                <w:szCs w:val="26"/>
              </w:rPr>
              <w:t>BioMAT Non-bypassable Charge</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_Toc217384675 \h </w:instrText>
            </w:r>
            <w:r w:rsidRPr="00463C9A">
              <w:rPr>
                <w:noProof/>
                <w:webHidden/>
                <w:szCs w:val="26"/>
              </w:rPr>
            </w:r>
            <w:r w:rsidRPr="00463C9A">
              <w:rPr>
                <w:noProof/>
                <w:webHidden/>
                <w:szCs w:val="26"/>
              </w:rPr>
              <w:fldChar w:fldCharType="separate"/>
            </w:r>
            <w:r w:rsidR="00A93519">
              <w:rPr>
                <w:noProof/>
                <w:webHidden/>
                <w:szCs w:val="26"/>
              </w:rPr>
              <w:t>56</w:t>
            </w:r>
            <w:r w:rsidRPr="00463C9A">
              <w:rPr>
                <w:noProof/>
                <w:webHidden/>
                <w:szCs w:val="26"/>
              </w:rPr>
              <w:fldChar w:fldCharType="end"/>
            </w:r>
          </w:hyperlink>
        </w:p>
        <w:p w:rsidRPr="00463C9A" w:rsidR="00463C9A" w:rsidRDefault="00463C9A" w14:paraId="5EC62999" w14:textId="744EBFEC">
          <w:pPr>
            <w:pStyle w:val="TOC3"/>
            <w:tabs>
              <w:tab w:val="left" w:pos="1296"/>
              <w:tab w:val="right" w:leader="dot" w:pos="9350"/>
            </w:tabs>
            <w:rPr>
              <w:rFonts w:cstheme="minorBidi"/>
              <w:noProof/>
              <w:kern w:val="2"/>
              <w:szCs w:val="26"/>
              <w14:ligatures w14:val="standardContextual"/>
            </w:rPr>
          </w:pPr>
          <w:hyperlink w:history="1" w:anchor="_Toc217384676">
            <w:r w:rsidRPr="00463C9A">
              <w:rPr>
                <w:rStyle w:val="Hyperlink"/>
                <w:noProof/>
                <w:szCs w:val="26"/>
              </w:rPr>
              <w:t>9.2.7.</w:t>
            </w:r>
            <w:r w:rsidRPr="00463C9A">
              <w:rPr>
                <w:rFonts w:cstheme="minorBidi"/>
                <w:noProof/>
                <w:kern w:val="2"/>
                <w:szCs w:val="26"/>
                <w14:ligatures w14:val="standardContextual"/>
              </w:rPr>
              <w:tab/>
            </w:r>
            <w:r w:rsidRPr="00463C9A">
              <w:rPr>
                <w:rStyle w:val="Hyperlink"/>
                <w:noProof/>
                <w:szCs w:val="26"/>
              </w:rPr>
              <w:t>PPCP Rates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_Toc217384676 \h </w:instrText>
            </w:r>
            <w:r w:rsidRPr="00463C9A">
              <w:rPr>
                <w:noProof/>
                <w:webHidden/>
                <w:szCs w:val="26"/>
              </w:rPr>
            </w:r>
            <w:r w:rsidRPr="00463C9A">
              <w:rPr>
                <w:noProof/>
                <w:webHidden/>
                <w:szCs w:val="26"/>
              </w:rPr>
              <w:fldChar w:fldCharType="separate"/>
            </w:r>
            <w:r w:rsidR="00A93519">
              <w:rPr>
                <w:noProof/>
                <w:webHidden/>
                <w:szCs w:val="26"/>
              </w:rPr>
              <w:t>57</w:t>
            </w:r>
            <w:r w:rsidRPr="00463C9A">
              <w:rPr>
                <w:noProof/>
                <w:webHidden/>
                <w:szCs w:val="26"/>
              </w:rPr>
              <w:fldChar w:fldCharType="end"/>
            </w:r>
          </w:hyperlink>
        </w:p>
        <w:p w:rsidRPr="00463C9A" w:rsidR="00463C9A" w:rsidRDefault="00463C9A" w14:paraId="7336CA8A" w14:textId="1C1D4EE7">
          <w:pPr>
            <w:pStyle w:val="TOC2"/>
            <w:tabs>
              <w:tab w:val="left" w:pos="1296"/>
              <w:tab w:val="right" w:leader="dot" w:pos="9350"/>
            </w:tabs>
            <w:rPr>
              <w:rFonts w:cstheme="minorBidi"/>
              <w:noProof/>
              <w:kern w:val="2"/>
              <w:szCs w:val="26"/>
              <w14:ligatures w14:val="standardContextual"/>
            </w:rPr>
          </w:pPr>
          <w:hyperlink w:history="1" w:anchor="_Toc217384677">
            <w:r w:rsidRPr="00463C9A">
              <w:rPr>
                <w:rStyle w:val="Hyperlink"/>
                <w:rFonts w:cs="Arial"/>
                <w:noProof/>
                <w:szCs w:val="26"/>
              </w:rPr>
              <w:t>9.3.</w:t>
            </w:r>
            <w:r w:rsidRPr="00463C9A">
              <w:rPr>
                <w:rFonts w:cstheme="minorBidi"/>
                <w:noProof/>
                <w:kern w:val="2"/>
                <w:szCs w:val="26"/>
                <w14:ligatures w14:val="standardContextual"/>
              </w:rPr>
              <w:tab/>
            </w:r>
            <w:r w:rsidRPr="00463C9A">
              <w:rPr>
                <w:rStyle w:val="Hyperlink"/>
                <w:rFonts w:cs="Arial"/>
                <w:noProof/>
                <w:szCs w:val="26"/>
              </w:rPr>
              <w:t>Green Tariff Shared Renewables Rates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_Toc217384677 \h </w:instrText>
            </w:r>
            <w:r w:rsidRPr="00463C9A">
              <w:rPr>
                <w:noProof/>
                <w:webHidden/>
                <w:szCs w:val="26"/>
              </w:rPr>
            </w:r>
            <w:r w:rsidRPr="00463C9A">
              <w:rPr>
                <w:noProof/>
                <w:webHidden/>
                <w:szCs w:val="26"/>
              </w:rPr>
              <w:fldChar w:fldCharType="separate"/>
            </w:r>
            <w:r w:rsidR="00A93519">
              <w:rPr>
                <w:noProof/>
                <w:webHidden/>
                <w:szCs w:val="26"/>
              </w:rPr>
              <w:t>58</w:t>
            </w:r>
            <w:r w:rsidRPr="00463C9A">
              <w:rPr>
                <w:noProof/>
                <w:webHidden/>
                <w:szCs w:val="26"/>
              </w:rPr>
              <w:fldChar w:fldCharType="end"/>
            </w:r>
          </w:hyperlink>
        </w:p>
        <w:p w:rsidRPr="00463C9A" w:rsidR="00463C9A" w:rsidRDefault="00463C9A" w14:paraId="180508EC" w14:textId="6DAA88A8">
          <w:pPr>
            <w:pStyle w:val="TOC2"/>
            <w:tabs>
              <w:tab w:val="left" w:pos="1296"/>
              <w:tab w:val="right" w:leader="dot" w:pos="9350"/>
            </w:tabs>
            <w:rPr>
              <w:rFonts w:cstheme="minorBidi"/>
              <w:noProof/>
              <w:kern w:val="2"/>
              <w:szCs w:val="26"/>
              <w14:ligatures w14:val="standardContextual"/>
            </w:rPr>
          </w:pPr>
          <w:hyperlink w:history="1" w:anchor="_Toc217384678">
            <w:r w:rsidRPr="00463C9A">
              <w:rPr>
                <w:rStyle w:val="Hyperlink"/>
                <w:rFonts w:cs="Arial"/>
                <w:noProof/>
                <w:szCs w:val="26"/>
              </w:rPr>
              <w:t>9.4.</w:t>
            </w:r>
            <w:r w:rsidRPr="00463C9A">
              <w:rPr>
                <w:rFonts w:cstheme="minorBidi"/>
                <w:noProof/>
                <w:kern w:val="2"/>
                <w:szCs w:val="26"/>
                <w14:ligatures w14:val="standardContextual"/>
              </w:rPr>
              <w:tab/>
            </w:r>
            <w:r w:rsidRPr="00463C9A">
              <w:rPr>
                <w:rStyle w:val="Hyperlink"/>
                <w:rFonts w:cs="Arial"/>
                <w:noProof/>
                <w:szCs w:val="26"/>
              </w:rPr>
              <w:t>Changes to Total Rates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_Toc217384678 \h </w:instrText>
            </w:r>
            <w:r w:rsidRPr="00463C9A">
              <w:rPr>
                <w:noProof/>
                <w:webHidden/>
                <w:szCs w:val="26"/>
              </w:rPr>
            </w:r>
            <w:r w:rsidRPr="00463C9A">
              <w:rPr>
                <w:noProof/>
                <w:webHidden/>
                <w:szCs w:val="26"/>
              </w:rPr>
              <w:fldChar w:fldCharType="separate"/>
            </w:r>
            <w:r w:rsidR="00A93519">
              <w:rPr>
                <w:noProof/>
                <w:webHidden/>
                <w:szCs w:val="26"/>
              </w:rPr>
              <w:t>59</w:t>
            </w:r>
            <w:r w:rsidRPr="00463C9A">
              <w:rPr>
                <w:noProof/>
                <w:webHidden/>
                <w:szCs w:val="26"/>
              </w:rPr>
              <w:fldChar w:fldCharType="end"/>
            </w:r>
          </w:hyperlink>
        </w:p>
        <w:p w:rsidRPr="00463C9A" w:rsidR="00463C9A" w:rsidRDefault="00463C9A" w14:paraId="1433F1B8" w14:textId="1956EE58">
          <w:pPr>
            <w:pStyle w:val="TOC1"/>
            <w:tabs>
              <w:tab w:val="right" w:leader="dot" w:pos="9350"/>
            </w:tabs>
            <w:rPr>
              <w:rFonts w:cstheme="minorBidi"/>
              <w:noProof/>
              <w:kern w:val="2"/>
              <w:szCs w:val="26"/>
              <w14:ligatures w14:val="standardContextual"/>
            </w:rPr>
          </w:pPr>
          <w:hyperlink w:history="1" w:anchor="_Toc217384679">
            <w:r w:rsidRPr="00463C9A">
              <w:rPr>
                <w:rStyle w:val="Hyperlink"/>
                <w:rFonts w:eastAsiaTheme="majorEastAsia" w:cstheme="majorBidi"/>
                <w:noProof/>
                <w:szCs w:val="26"/>
              </w:rPr>
              <w:t>10.</w:t>
            </w:r>
            <w:r w:rsidRPr="00463C9A">
              <w:rPr>
                <w:rFonts w:cstheme="minorBidi"/>
                <w:noProof/>
                <w:kern w:val="2"/>
                <w:szCs w:val="26"/>
                <w14:ligatures w14:val="standardContextual"/>
              </w:rPr>
              <w:tab/>
            </w:r>
            <w:r w:rsidRPr="00463C9A">
              <w:rPr>
                <w:rStyle w:val="Hyperlink"/>
                <w:rFonts w:eastAsiaTheme="majorEastAsia" w:cstheme="majorBidi"/>
                <w:noProof/>
                <w:szCs w:val="26"/>
              </w:rPr>
              <w:t>Summary of Public Comment</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_Toc217384679 \h </w:instrText>
            </w:r>
            <w:r w:rsidRPr="00463C9A">
              <w:rPr>
                <w:noProof/>
                <w:webHidden/>
                <w:szCs w:val="26"/>
              </w:rPr>
            </w:r>
            <w:r w:rsidRPr="00463C9A">
              <w:rPr>
                <w:noProof/>
                <w:webHidden/>
                <w:szCs w:val="26"/>
              </w:rPr>
              <w:fldChar w:fldCharType="separate"/>
            </w:r>
            <w:r w:rsidR="00A93519">
              <w:rPr>
                <w:noProof/>
                <w:webHidden/>
                <w:szCs w:val="26"/>
              </w:rPr>
              <w:t>60</w:t>
            </w:r>
            <w:r w:rsidRPr="00463C9A">
              <w:rPr>
                <w:noProof/>
                <w:webHidden/>
                <w:szCs w:val="26"/>
              </w:rPr>
              <w:fldChar w:fldCharType="end"/>
            </w:r>
          </w:hyperlink>
        </w:p>
        <w:p w:rsidRPr="00463C9A" w:rsidR="00463C9A" w:rsidRDefault="00463C9A" w14:paraId="27CCEB39" w14:textId="74CBA6EE">
          <w:pPr>
            <w:pStyle w:val="TOC1"/>
            <w:tabs>
              <w:tab w:val="right" w:leader="dot" w:pos="9350"/>
            </w:tabs>
            <w:rPr>
              <w:rFonts w:cstheme="minorBidi"/>
              <w:noProof/>
              <w:kern w:val="2"/>
              <w:szCs w:val="26"/>
              <w14:ligatures w14:val="standardContextual"/>
            </w:rPr>
          </w:pPr>
          <w:hyperlink w:history="1" w:anchor="_Toc217384680">
            <w:r w:rsidRPr="00463C9A">
              <w:rPr>
                <w:rStyle w:val="Hyperlink"/>
                <w:rFonts w:eastAsiaTheme="majorEastAsia" w:cstheme="majorBidi"/>
                <w:noProof/>
                <w:szCs w:val="26"/>
              </w:rPr>
              <w:t>11.</w:t>
            </w:r>
            <w:r w:rsidRPr="00463C9A">
              <w:rPr>
                <w:rFonts w:cstheme="minorBidi"/>
                <w:noProof/>
                <w:kern w:val="2"/>
                <w:szCs w:val="26"/>
                <w14:ligatures w14:val="standardContextual"/>
              </w:rPr>
              <w:tab/>
            </w:r>
            <w:r w:rsidRPr="00463C9A">
              <w:rPr>
                <w:rStyle w:val="Hyperlink"/>
                <w:rFonts w:eastAsiaTheme="majorEastAsia" w:cstheme="majorBidi"/>
                <w:noProof/>
                <w:szCs w:val="26"/>
              </w:rPr>
              <w:t>Procedural Matters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_Toc217384680 \h </w:instrText>
            </w:r>
            <w:r w:rsidRPr="00463C9A">
              <w:rPr>
                <w:noProof/>
                <w:webHidden/>
                <w:szCs w:val="26"/>
              </w:rPr>
            </w:r>
            <w:r w:rsidRPr="00463C9A">
              <w:rPr>
                <w:noProof/>
                <w:webHidden/>
                <w:szCs w:val="26"/>
              </w:rPr>
              <w:fldChar w:fldCharType="separate"/>
            </w:r>
            <w:r w:rsidR="00A93519">
              <w:rPr>
                <w:noProof/>
                <w:webHidden/>
                <w:szCs w:val="26"/>
              </w:rPr>
              <w:t>60</w:t>
            </w:r>
            <w:r w:rsidRPr="00463C9A">
              <w:rPr>
                <w:noProof/>
                <w:webHidden/>
                <w:szCs w:val="26"/>
              </w:rPr>
              <w:fldChar w:fldCharType="end"/>
            </w:r>
          </w:hyperlink>
        </w:p>
        <w:p w:rsidRPr="00463C9A" w:rsidR="00463C9A" w:rsidRDefault="00463C9A" w14:paraId="7B68B934" w14:textId="1B94CE2B">
          <w:pPr>
            <w:pStyle w:val="TOC1"/>
            <w:tabs>
              <w:tab w:val="right" w:leader="dot" w:pos="9350"/>
            </w:tabs>
            <w:rPr>
              <w:rFonts w:cstheme="minorBidi"/>
              <w:noProof/>
              <w:kern w:val="2"/>
              <w:szCs w:val="26"/>
              <w14:ligatures w14:val="standardContextual"/>
            </w:rPr>
          </w:pPr>
          <w:hyperlink w:history="1" w:anchor="_Toc217384681">
            <w:r w:rsidRPr="00463C9A">
              <w:rPr>
                <w:rStyle w:val="Hyperlink"/>
                <w:rFonts w:eastAsiaTheme="majorEastAsia" w:cstheme="majorBidi"/>
                <w:noProof/>
                <w:szCs w:val="26"/>
              </w:rPr>
              <w:t>12.</w:t>
            </w:r>
            <w:r w:rsidRPr="00463C9A">
              <w:rPr>
                <w:rFonts w:cstheme="minorBidi"/>
                <w:noProof/>
                <w:kern w:val="2"/>
                <w:szCs w:val="26"/>
                <w14:ligatures w14:val="standardContextual"/>
              </w:rPr>
              <w:tab/>
            </w:r>
            <w:r w:rsidRPr="00463C9A">
              <w:rPr>
                <w:rStyle w:val="Hyperlink"/>
                <w:rFonts w:eastAsiaTheme="majorEastAsia" w:cstheme="majorBidi"/>
                <w:noProof/>
                <w:szCs w:val="26"/>
              </w:rPr>
              <w:t>Reduction of Comment Period and Party Comments</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_Toc217384681 \h </w:instrText>
            </w:r>
            <w:r w:rsidRPr="00463C9A">
              <w:rPr>
                <w:noProof/>
                <w:webHidden/>
                <w:szCs w:val="26"/>
              </w:rPr>
            </w:r>
            <w:r w:rsidRPr="00463C9A">
              <w:rPr>
                <w:noProof/>
                <w:webHidden/>
                <w:szCs w:val="26"/>
              </w:rPr>
              <w:fldChar w:fldCharType="separate"/>
            </w:r>
            <w:r w:rsidR="00A93519">
              <w:rPr>
                <w:noProof/>
                <w:webHidden/>
                <w:szCs w:val="26"/>
              </w:rPr>
              <w:t>61</w:t>
            </w:r>
            <w:r w:rsidRPr="00463C9A">
              <w:rPr>
                <w:noProof/>
                <w:webHidden/>
                <w:szCs w:val="26"/>
              </w:rPr>
              <w:fldChar w:fldCharType="end"/>
            </w:r>
          </w:hyperlink>
        </w:p>
        <w:p w:rsidRPr="00463C9A" w:rsidR="00463C9A" w:rsidRDefault="00463C9A" w14:paraId="7B95F560" w14:textId="7DE1E616">
          <w:pPr>
            <w:pStyle w:val="TOC1"/>
            <w:tabs>
              <w:tab w:val="right" w:leader="dot" w:pos="9350"/>
            </w:tabs>
            <w:rPr>
              <w:rFonts w:cstheme="minorBidi"/>
              <w:noProof/>
              <w:kern w:val="2"/>
              <w:szCs w:val="26"/>
              <w14:ligatures w14:val="standardContextual"/>
            </w:rPr>
          </w:pPr>
          <w:hyperlink w:history="1" w:anchor="_Toc217384682">
            <w:r w:rsidRPr="00463C9A">
              <w:rPr>
                <w:rStyle w:val="Hyperlink"/>
                <w:rFonts w:eastAsiaTheme="majorEastAsia" w:cstheme="majorBidi"/>
                <w:noProof/>
                <w:szCs w:val="26"/>
              </w:rPr>
              <w:t>13.</w:t>
            </w:r>
            <w:r w:rsidRPr="00463C9A">
              <w:rPr>
                <w:rFonts w:cstheme="minorBidi"/>
                <w:noProof/>
                <w:kern w:val="2"/>
                <w:szCs w:val="26"/>
                <w14:ligatures w14:val="standardContextual"/>
              </w:rPr>
              <w:tab/>
            </w:r>
            <w:r w:rsidRPr="00463C9A">
              <w:rPr>
                <w:rStyle w:val="Hyperlink"/>
                <w:rFonts w:eastAsiaTheme="majorEastAsia" w:cstheme="majorBidi"/>
                <w:noProof/>
                <w:szCs w:val="26"/>
              </w:rPr>
              <w:t>Assignment of Proceeding</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_Toc217384682 \h </w:instrText>
            </w:r>
            <w:r w:rsidRPr="00463C9A">
              <w:rPr>
                <w:noProof/>
                <w:webHidden/>
                <w:szCs w:val="26"/>
              </w:rPr>
            </w:r>
            <w:r w:rsidRPr="00463C9A">
              <w:rPr>
                <w:noProof/>
                <w:webHidden/>
                <w:szCs w:val="26"/>
              </w:rPr>
              <w:fldChar w:fldCharType="separate"/>
            </w:r>
            <w:r w:rsidR="00A93519">
              <w:rPr>
                <w:noProof/>
                <w:webHidden/>
                <w:szCs w:val="26"/>
              </w:rPr>
              <w:t>64</w:t>
            </w:r>
            <w:r w:rsidRPr="00463C9A">
              <w:rPr>
                <w:noProof/>
                <w:webHidden/>
                <w:szCs w:val="26"/>
              </w:rPr>
              <w:fldChar w:fldCharType="end"/>
            </w:r>
          </w:hyperlink>
        </w:p>
        <w:p w:rsidRPr="00463C9A" w:rsidR="00463C9A" w:rsidRDefault="00463C9A" w14:paraId="42F35CE2" w14:textId="13E65128">
          <w:pPr>
            <w:pStyle w:val="TOC1"/>
            <w:tabs>
              <w:tab w:val="right" w:leader="dot" w:pos="9350"/>
            </w:tabs>
            <w:rPr>
              <w:rFonts w:cstheme="minorBidi"/>
              <w:noProof/>
              <w:kern w:val="2"/>
              <w:szCs w:val="26"/>
              <w14:ligatures w14:val="standardContextual"/>
            </w:rPr>
          </w:pPr>
          <w:hyperlink w:history="1" w:anchor="_Toc217384683">
            <w:r w:rsidRPr="00463C9A">
              <w:rPr>
                <w:rStyle w:val="Hyperlink"/>
                <w:rFonts w:cs="Arial"/>
                <w:noProof/>
                <w:szCs w:val="26"/>
              </w:rPr>
              <w:t>Findings of Fact</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_Toc217384683 \h </w:instrText>
            </w:r>
            <w:r w:rsidRPr="00463C9A">
              <w:rPr>
                <w:noProof/>
                <w:webHidden/>
                <w:szCs w:val="26"/>
              </w:rPr>
            </w:r>
            <w:r w:rsidRPr="00463C9A">
              <w:rPr>
                <w:noProof/>
                <w:webHidden/>
                <w:szCs w:val="26"/>
              </w:rPr>
              <w:fldChar w:fldCharType="separate"/>
            </w:r>
            <w:r w:rsidR="00A93519">
              <w:rPr>
                <w:noProof/>
                <w:webHidden/>
                <w:szCs w:val="26"/>
              </w:rPr>
              <w:t>64</w:t>
            </w:r>
            <w:r w:rsidRPr="00463C9A">
              <w:rPr>
                <w:noProof/>
                <w:webHidden/>
                <w:szCs w:val="26"/>
              </w:rPr>
              <w:fldChar w:fldCharType="end"/>
            </w:r>
          </w:hyperlink>
        </w:p>
        <w:p w:rsidRPr="00463C9A" w:rsidR="00463C9A" w:rsidRDefault="00463C9A" w14:paraId="0D3F316E" w14:textId="50A6F8BC">
          <w:pPr>
            <w:pStyle w:val="TOC1"/>
            <w:tabs>
              <w:tab w:val="right" w:leader="dot" w:pos="9350"/>
            </w:tabs>
            <w:rPr>
              <w:rFonts w:cstheme="minorBidi"/>
              <w:noProof/>
              <w:kern w:val="2"/>
              <w:szCs w:val="26"/>
              <w14:ligatures w14:val="standardContextual"/>
            </w:rPr>
          </w:pPr>
          <w:hyperlink w:history="1" w:anchor="_Toc217384684">
            <w:r w:rsidRPr="00463C9A">
              <w:rPr>
                <w:rStyle w:val="Hyperlink"/>
                <w:rFonts w:cs="Arial"/>
                <w:noProof/>
                <w:szCs w:val="26"/>
              </w:rPr>
              <w:t>Conclusions of Law</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_Toc217384684 \h </w:instrText>
            </w:r>
            <w:r w:rsidRPr="00463C9A">
              <w:rPr>
                <w:noProof/>
                <w:webHidden/>
                <w:szCs w:val="26"/>
              </w:rPr>
            </w:r>
            <w:r w:rsidRPr="00463C9A">
              <w:rPr>
                <w:noProof/>
                <w:webHidden/>
                <w:szCs w:val="26"/>
              </w:rPr>
              <w:fldChar w:fldCharType="separate"/>
            </w:r>
            <w:r w:rsidR="00A93519">
              <w:rPr>
                <w:noProof/>
                <w:webHidden/>
                <w:szCs w:val="26"/>
              </w:rPr>
              <w:t>66</w:t>
            </w:r>
            <w:r w:rsidRPr="00463C9A">
              <w:rPr>
                <w:noProof/>
                <w:webHidden/>
                <w:szCs w:val="26"/>
              </w:rPr>
              <w:fldChar w:fldCharType="end"/>
            </w:r>
          </w:hyperlink>
        </w:p>
        <w:p w:rsidRPr="00463C9A" w:rsidR="00463C9A" w:rsidRDefault="00463C9A" w14:paraId="4C580EF2" w14:textId="2EDA643A">
          <w:pPr>
            <w:pStyle w:val="TOC1"/>
            <w:tabs>
              <w:tab w:val="right" w:leader="dot" w:pos="9350"/>
            </w:tabs>
            <w:rPr>
              <w:rFonts w:cstheme="minorBidi"/>
              <w:noProof/>
              <w:kern w:val="2"/>
              <w:szCs w:val="26"/>
              <w14:ligatures w14:val="standardContextual"/>
            </w:rPr>
          </w:pPr>
          <w:hyperlink w:history="1" w:anchor="_Toc217384685">
            <w:r w:rsidRPr="00463C9A">
              <w:rPr>
                <w:rStyle w:val="Hyperlink"/>
                <w:rFonts w:eastAsiaTheme="majorEastAsia" w:cstheme="majorBidi"/>
                <w:caps/>
                <w:noProof/>
                <w:spacing w:val="120"/>
                <w:szCs w:val="26"/>
              </w:rPr>
              <w:t>ORDER</w:t>
            </w:r>
            <w:r w:rsidRPr="00463C9A">
              <w:rPr>
                <w:noProof/>
                <w:webHidden/>
                <w:szCs w:val="26"/>
              </w:rPr>
              <w:tab/>
            </w:r>
            <w:r w:rsidRPr="00463C9A">
              <w:rPr>
                <w:noProof/>
                <w:webHidden/>
                <w:szCs w:val="26"/>
              </w:rPr>
              <w:fldChar w:fldCharType="begin"/>
            </w:r>
            <w:r w:rsidRPr="00463C9A">
              <w:rPr>
                <w:noProof/>
                <w:webHidden/>
                <w:szCs w:val="26"/>
              </w:rPr>
              <w:instrText xml:space="preserve"> PAGEREF _Toc217384685 \h </w:instrText>
            </w:r>
            <w:r w:rsidRPr="00463C9A">
              <w:rPr>
                <w:noProof/>
                <w:webHidden/>
                <w:szCs w:val="26"/>
              </w:rPr>
            </w:r>
            <w:r w:rsidRPr="00463C9A">
              <w:rPr>
                <w:noProof/>
                <w:webHidden/>
                <w:szCs w:val="26"/>
              </w:rPr>
              <w:fldChar w:fldCharType="separate"/>
            </w:r>
            <w:r w:rsidR="00A93519">
              <w:rPr>
                <w:noProof/>
                <w:webHidden/>
                <w:szCs w:val="26"/>
              </w:rPr>
              <w:t>68</w:t>
            </w:r>
            <w:r w:rsidRPr="00463C9A">
              <w:rPr>
                <w:noProof/>
                <w:webHidden/>
                <w:szCs w:val="26"/>
              </w:rPr>
              <w:fldChar w:fldCharType="end"/>
            </w:r>
          </w:hyperlink>
        </w:p>
        <w:p w:rsidRPr="00D928F8" w:rsidR="00D44DB6" w:rsidP="00A5195C" w:rsidRDefault="008C7413" w14:paraId="72B018CA" w14:textId="29C89BCF">
          <w:pPr>
            <w:pStyle w:val="TOC1"/>
            <w:tabs>
              <w:tab w:val="right" w:leader="dot" w:pos="9350"/>
            </w:tabs>
            <w:rPr>
              <w:color w:val="000000" w:themeColor="text1"/>
              <w:szCs w:val="26"/>
            </w:rPr>
          </w:pPr>
          <w:r w:rsidRPr="00D928F8">
            <w:rPr>
              <w:color w:val="000000" w:themeColor="text1"/>
              <w:szCs w:val="26"/>
            </w:rPr>
            <w:fldChar w:fldCharType="end"/>
          </w:r>
        </w:p>
      </w:sdtContent>
    </w:sdt>
    <w:p w:rsidRPr="00D928F8" w:rsidR="00A5195C" w:rsidP="00D44DB6" w:rsidRDefault="00A5195C" w14:paraId="3E69E68C" w14:textId="38E90170">
      <w:pPr>
        <w:spacing w:line="240" w:lineRule="auto"/>
        <w:ind w:firstLine="0"/>
        <w:rPr>
          <w:rFonts w:cs="Arial"/>
          <w:iCs/>
          <w:color w:val="000000" w:themeColor="text1"/>
          <w:szCs w:val="26"/>
        </w:rPr>
        <w:sectPr w:rsidRPr="00D928F8" w:rsidR="00A5195C" w:rsidSect="00207D41">
          <w:headerReference w:type="default" r:id="rId12"/>
          <w:footerReference w:type="default" r:id="rId13"/>
          <w:pgSz w:w="12240" w:h="15840"/>
          <w:pgMar w:top="1728" w:right="1440" w:bottom="1440" w:left="1440" w:header="720" w:footer="720" w:gutter="0"/>
          <w:pgNumType w:fmt="lowerRoman" w:start="1"/>
          <w:cols w:space="720"/>
          <w:docGrid w:linePitch="360"/>
        </w:sectPr>
      </w:pPr>
      <w:r w:rsidRPr="00D928F8">
        <w:rPr>
          <w:rFonts w:cs="Arial"/>
          <w:iCs/>
          <w:color w:val="000000" w:themeColor="text1"/>
          <w:szCs w:val="26"/>
        </w:rPr>
        <w:t>Appendix A</w:t>
      </w:r>
      <w:proofErr w:type="gramStart"/>
      <w:r w:rsidRPr="00D928F8">
        <w:rPr>
          <w:rFonts w:cs="Arial"/>
          <w:iCs/>
          <w:color w:val="000000" w:themeColor="text1"/>
          <w:szCs w:val="26"/>
        </w:rPr>
        <w:t>:  Commonly</w:t>
      </w:r>
      <w:proofErr w:type="gramEnd"/>
      <w:r w:rsidRPr="00D928F8">
        <w:rPr>
          <w:rFonts w:cs="Arial"/>
          <w:iCs/>
          <w:color w:val="000000" w:themeColor="text1"/>
          <w:szCs w:val="26"/>
        </w:rPr>
        <w:t xml:space="preserve"> Used Terms</w:t>
      </w:r>
    </w:p>
    <w:p w:rsidRPr="00997F1C" w:rsidR="00542ABD" w:rsidP="00542ABD" w:rsidRDefault="00542ABD" w14:paraId="0B6EE213" w14:textId="77777777">
      <w:pPr>
        <w:pStyle w:val="Dummy"/>
        <w:jc w:val="center"/>
        <w:rPr>
          <w:color w:val="000000" w:themeColor="text1"/>
        </w:rPr>
      </w:pPr>
      <w:bookmarkStart w:name="_Toc213233705" w:id="2"/>
      <w:bookmarkStart w:name="_Toc214603654" w:id="3"/>
      <w:bookmarkStart w:name="_Toc217384608" w:id="4"/>
      <w:r w:rsidRPr="00997F1C">
        <w:rPr>
          <w:color w:val="000000" w:themeColor="text1"/>
        </w:rPr>
        <w:lastRenderedPageBreak/>
        <w:t xml:space="preserve">DECISION APPROVING PACIFIC GAS AND ELECTRIC COMPANY’S </w:t>
      </w:r>
      <w:r w:rsidRPr="00997F1C">
        <w:rPr>
          <w:color w:val="000000" w:themeColor="text1"/>
        </w:rPr>
        <w:br/>
        <w:t xml:space="preserve">2026 ENERGY RESOURCE RECOVERY ACCOUNT RELATED </w:t>
      </w:r>
      <w:r w:rsidRPr="00997F1C">
        <w:rPr>
          <w:color w:val="000000" w:themeColor="text1"/>
        </w:rPr>
        <w:br/>
        <w:t xml:space="preserve">FORECAST REVENUE REQUIREMENT AND </w:t>
      </w:r>
      <w:r w:rsidRPr="00997F1C">
        <w:rPr>
          <w:color w:val="000000" w:themeColor="text1"/>
        </w:rPr>
        <w:br/>
        <w:t>2026 ELECTRIC SALES FORECAST</w:t>
      </w:r>
      <w:bookmarkEnd w:id="2"/>
      <w:bookmarkEnd w:id="3"/>
      <w:bookmarkEnd w:id="4"/>
    </w:p>
    <w:p w:rsidRPr="00997F1C" w:rsidR="003E5AEF" w:rsidP="00542ABD" w:rsidRDefault="003E5AEF" w14:paraId="06949AAF" w14:textId="2BBC2FF9">
      <w:pPr>
        <w:keepNext/>
        <w:keepLines/>
        <w:spacing w:after="120" w:line="240" w:lineRule="auto"/>
        <w:ind w:firstLine="0"/>
        <w:outlineLvl w:val="0"/>
        <w:rPr>
          <w:rFonts w:ascii="Arial" w:hAnsi="Arial" w:cs="Arial"/>
          <w:b/>
          <w:color w:val="000000" w:themeColor="text1"/>
          <w:szCs w:val="26"/>
        </w:rPr>
      </w:pPr>
    </w:p>
    <w:p w:rsidRPr="00997F1C" w:rsidR="003E5AEF" w:rsidP="003E5AEF" w:rsidRDefault="003E5AEF" w14:paraId="0DFEEB57" w14:textId="77777777">
      <w:pPr>
        <w:keepNext/>
        <w:keepLines/>
        <w:spacing w:after="120" w:line="240" w:lineRule="auto"/>
        <w:ind w:firstLine="0"/>
        <w:outlineLvl w:val="0"/>
        <w:rPr>
          <w:rFonts w:ascii="Arial" w:hAnsi="Arial" w:cs="Arial"/>
          <w:b/>
          <w:color w:val="000000" w:themeColor="text1"/>
          <w:szCs w:val="26"/>
        </w:rPr>
      </w:pPr>
      <w:bookmarkStart w:name="_Toc8123714" w:id="5"/>
      <w:bookmarkStart w:name="_Toc212561139" w:id="6"/>
      <w:bookmarkStart w:name="_Toc217384609" w:id="7"/>
      <w:r w:rsidRPr="00997F1C">
        <w:rPr>
          <w:rFonts w:ascii="Arial" w:hAnsi="Arial" w:cs="Arial"/>
          <w:b/>
          <w:color w:val="000000" w:themeColor="text1"/>
          <w:szCs w:val="26"/>
        </w:rPr>
        <w:t>Summary</w:t>
      </w:r>
      <w:bookmarkEnd w:id="5"/>
      <w:bookmarkEnd w:id="6"/>
      <w:bookmarkEnd w:id="7"/>
    </w:p>
    <w:p w:rsidRPr="00997F1C" w:rsidR="003E5AEF" w:rsidP="003E5AEF" w:rsidRDefault="003E5AEF" w14:paraId="07973230" w14:textId="77777777">
      <w:pPr>
        <w:rPr>
          <w:color w:val="000000" w:themeColor="text1"/>
        </w:rPr>
      </w:pPr>
      <w:r w:rsidRPr="00997F1C">
        <w:rPr>
          <w:color w:val="000000" w:themeColor="text1"/>
        </w:rPr>
        <w:t xml:space="preserve">This decision adopts the 2026 Energy Resource Recovery Account (ERRA) and related forecasted energy costs and the 2026 electric sales forecast for Pacific Gas and Electric Company (PG&amp;E).  The decision also adopts PG&amp;E’s 2026 forecast revenue requirements for greenhouse gas and climate-related costs.  </w:t>
      </w:r>
    </w:p>
    <w:p w:rsidRPr="00997F1C" w:rsidR="003E5AEF" w:rsidP="003E5AEF" w:rsidRDefault="003E5AEF" w14:paraId="4E6D1D26" w14:textId="4B1192FB">
      <w:pPr>
        <w:rPr>
          <w:color w:val="000000" w:themeColor="text1"/>
        </w:rPr>
      </w:pPr>
      <w:r w:rsidRPr="00997F1C">
        <w:rPr>
          <w:color w:val="000000" w:themeColor="text1"/>
        </w:rPr>
        <w:t xml:space="preserve">The estimated 12-month </w:t>
      </w:r>
      <w:r w:rsidRPr="00997F1C" w:rsidR="00F52A90">
        <w:rPr>
          <w:color w:val="000000" w:themeColor="text1"/>
        </w:rPr>
        <w:t xml:space="preserve">gross </w:t>
      </w:r>
      <w:r w:rsidRPr="00997F1C">
        <w:rPr>
          <w:color w:val="000000" w:themeColor="text1"/>
        </w:rPr>
        <w:t xml:space="preserve">revenue requirement for 2026 is approximately </w:t>
      </w:r>
      <w:r w:rsidRPr="00997F1C" w:rsidR="006526B1">
        <w:rPr>
          <w:color w:val="000000" w:themeColor="text1"/>
        </w:rPr>
        <w:t xml:space="preserve">$4.511 </w:t>
      </w:r>
      <w:r w:rsidRPr="00997F1C">
        <w:rPr>
          <w:color w:val="000000" w:themeColor="text1"/>
        </w:rPr>
        <w:t xml:space="preserve">billion, </w:t>
      </w:r>
      <w:r w:rsidRPr="00997F1C" w:rsidR="00DF3D15">
        <w:rPr>
          <w:color w:val="000000" w:themeColor="text1"/>
        </w:rPr>
        <w:t>6.1</w:t>
      </w:r>
      <w:r w:rsidRPr="00997F1C" w:rsidR="00B84718">
        <w:rPr>
          <w:color w:val="000000" w:themeColor="text1"/>
        </w:rPr>
        <w:t> </w:t>
      </w:r>
      <w:r w:rsidRPr="00997F1C">
        <w:rPr>
          <w:color w:val="000000" w:themeColor="text1"/>
        </w:rPr>
        <w:t xml:space="preserve">percent </w:t>
      </w:r>
      <w:r w:rsidRPr="00997F1C" w:rsidR="008401DA">
        <w:rPr>
          <w:color w:val="000000" w:themeColor="text1"/>
        </w:rPr>
        <w:t xml:space="preserve">higher </w:t>
      </w:r>
      <w:r w:rsidRPr="00997F1C">
        <w:rPr>
          <w:color w:val="000000" w:themeColor="text1"/>
        </w:rPr>
        <w:t xml:space="preserve">than the adopted 12-month </w:t>
      </w:r>
      <w:r w:rsidRPr="00997F1C" w:rsidR="00DF3D15">
        <w:rPr>
          <w:color w:val="000000" w:themeColor="text1"/>
        </w:rPr>
        <w:t xml:space="preserve">gross </w:t>
      </w:r>
      <w:r w:rsidRPr="00997F1C">
        <w:rPr>
          <w:color w:val="000000" w:themeColor="text1"/>
        </w:rPr>
        <w:t xml:space="preserve">revenue requirement for 2025.  As a result of this decision and including the impact of the Greenhouse Gas </w:t>
      </w:r>
      <w:r w:rsidRPr="00997F1C" w:rsidR="004154A1">
        <w:rPr>
          <w:color w:val="000000" w:themeColor="text1"/>
        </w:rPr>
        <w:t xml:space="preserve">allowance auction proceeds </w:t>
      </w:r>
      <w:r w:rsidRPr="00997F1C">
        <w:rPr>
          <w:color w:val="000000" w:themeColor="text1"/>
        </w:rPr>
        <w:t xml:space="preserve">return, bundled residential </w:t>
      </w:r>
      <w:proofErr w:type="gramStart"/>
      <w:r w:rsidRPr="00997F1C">
        <w:rPr>
          <w:color w:val="000000" w:themeColor="text1"/>
        </w:rPr>
        <w:t>customers‘ rates</w:t>
      </w:r>
      <w:proofErr w:type="gramEnd"/>
      <w:r w:rsidRPr="00997F1C">
        <w:rPr>
          <w:color w:val="000000" w:themeColor="text1"/>
        </w:rPr>
        <w:t xml:space="preserve"> will decrease by </w:t>
      </w:r>
      <w:r w:rsidRPr="00997F1C" w:rsidR="008401DA">
        <w:rPr>
          <w:color w:val="000000" w:themeColor="text1"/>
        </w:rPr>
        <w:t xml:space="preserve">approximately </w:t>
      </w:r>
      <w:r w:rsidRPr="00997F1C">
        <w:rPr>
          <w:color w:val="000000" w:themeColor="text1"/>
        </w:rPr>
        <w:t>11.</w:t>
      </w:r>
      <w:r w:rsidRPr="00997F1C" w:rsidR="00CB7460">
        <w:rPr>
          <w:color w:val="000000" w:themeColor="text1"/>
        </w:rPr>
        <w:t xml:space="preserve">0 </w:t>
      </w:r>
      <w:r w:rsidRPr="00997F1C">
        <w:rPr>
          <w:color w:val="000000" w:themeColor="text1"/>
        </w:rPr>
        <w:t xml:space="preserve">percent or </w:t>
      </w:r>
      <w:r w:rsidRPr="00997F1C" w:rsidR="00E97745">
        <w:rPr>
          <w:color w:val="000000" w:themeColor="text1"/>
        </w:rPr>
        <w:t>3.9</w:t>
      </w:r>
      <w:r w:rsidRPr="00997F1C">
        <w:rPr>
          <w:color w:val="000000" w:themeColor="text1"/>
        </w:rPr>
        <w:t xml:space="preserve"> cents per kilowatt-hour (cents/kWh) to a total rate of 31.</w:t>
      </w:r>
      <w:r w:rsidRPr="00997F1C" w:rsidR="00CB7460">
        <w:rPr>
          <w:color w:val="000000" w:themeColor="text1"/>
        </w:rPr>
        <w:t xml:space="preserve">3 </w:t>
      </w:r>
      <w:r w:rsidRPr="00997F1C">
        <w:rPr>
          <w:color w:val="000000" w:themeColor="text1"/>
        </w:rPr>
        <w:t xml:space="preserve">cents/kWh.  For residential Direct Access (DA) and Community Choice Aggregator (CCA) customers, generation rates will increase by about </w:t>
      </w:r>
      <w:r w:rsidRPr="00997F1C" w:rsidR="00CB7460">
        <w:rPr>
          <w:color w:val="000000" w:themeColor="text1"/>
        </w:rPr>
        <w:t>14</w:t>
      </w:r>
      <w:r w:rsidRPr="00997F1C">
        <w:rPr>
          <w:color w:val="000000" w:themeColor="text1"/>
        </w:rPr>
        <w:t>.</w:t>
      </w:r>
      <w:r w:rsidRPr="00997F1C" w:rsidR="00CB7460">
        <w:rPr>
          <w:color w:val="000000" w:themeColor="text1"/>
        </w:rPr>
        <w:t xml:space="preserve">6 </w:t>
      </w:r>
      <w:r w:rsidRPr="00997F1C">
        <w:rPr>
          <w:color w:val="000000" w:themeColor="text1"/>
        </w:rPr>
        <w:t>percent or 2.</w:t>
      </w:r>
      <w:r w:rsidRPr="00997F1C" w:rsidR="00CB7460">
        <w:rPr>
          <w:color w:val="000000" w:themeColor="text1"/>
        </w:rPr>
        <w:t xml:space="preserve">9 </w:t>
      </w:r>
      <w:r w:rsidRPr="00997F1C">
        <w:rPr>
          <w:color w:val="000000" w:themeColor="text1"/>
        </w:rPr>
        <w:t>cents/kWh to a total rate of 22.</w:t>
      </w:r>
      <w:r w:rsidRPr="00997F1C" w:rsidR="00E04F01">
        <w:rPr>
          <w:color w:val="000000" w:themeColor="text1"/>
        </w:rPr>
        <w:t xml:space="preserve">6 </w:t>
      </w:r>
      <w:r w:rsidRPr="00997F1C">
        <w:rPr>
          <w:color w:val="000000" w:themeColor="text1"/>
        </w:rPr>
        <w:t>cents/kWh.</w:t>
      </w:r>
      <w:r w:rsidRPr="00997F1C" w:rsidR="003A2E5C">
        <w:rPr>
          <w:rStyle w:val="FootnoteReference"/>
          <w:color w:val="000000" w:themeColor="text1"/>
        </w:rPr>
        <w:footnoteReference w:id="2"/>
      </w:r>
    </w:p>
    <w:p w:rsidRPr="00997F1C" w:rsidR="003E5AEF" w:rsidP="003E5AEF" w:rsidRDefault="003E5AEF" w14:paraId="4B04201B" w14:textId="55E11081">
      <w:pPr>
        <w:rPr>
          <w:color w:val="000000" w:themeColor="text1"/>
        </w:rPr>
      </w:pPr>
      <w:r w:rsidRPr="00997F1C">
        <w:rPr>
          <w:color w:val="000000" w:themeColor="text1"/>
        </w:rPr>
        <w:t>PG&amp;E forecasted an overcollection of $</w:t>
      </w:r>
      <w:r w:rsidRPr="00997F1C" w:rsidR="00462957">
        <w:rPr>
          <w:color w:val="000000" w:themeColor="text1"/>
        </w:rPr>
        <w:t>700</w:t>
      </w:r>
      <w:r w:rsidRPr="00997F1C">
        <w:rPr>
          <w:color w:val="000000" w:themeColor="text1"/>
        </w:rPr>
        <w:t xml:space="preserve"> </w:t>
      </w:r>
      <w:r w:rsidRPr="00997F1C" w:rsidR="00462957">
        <w:rPr>
          <w:color w:val="000000" w:themeColor="text1"/>
        </w:rPr>
        <w:t>m</w:t>
      </w:r>
      <w:r w:rsidRPr="00997F1C">
        <w:rPr>
          <w:color w:val="000000" w:themeColor="text1"/>
        </w:rPr>
        <w:t xml:space="preserve">illion in ERRA-Main balancing account at the end of 2025.  This decision authorizes PG&amp;E to </w:t>
      </w:r>
      <w:r w:rsidRPr="00997F1C" w:rsidR="00462957">
        <w:rPr>
          <w:color w:val="000000" w:themeColor="text1"/>
        </w:rPr>
        <w:t xml:space="preserve">amortize this overcollection in the annual electric true-up advice letter and requires PG&amp;E to </w:t>
      </w:r>
      <w:r w:rsidRPr="00997F1C" w:rsidR="000F181D">
        <w:rPr>
          <w:color w:val="000000" w:themeColor="text1"/>
        </w:rPr>
        <w:t>submit a</w:t>
      </w:r>
      <w:r w:rsidRPr="00997F1C" w:rsidR="004B7C45">
        <w:rPr>
          <w:color w:val="000000" w:themeColor="text1"/>
        </w:rPr>
        <w:t xml:space="preserve">n </w:t>
      </w:r>
      <w:r w:rsidRPr="00997F1C" w:rsidR="000F181D">
        <w:rPr>
          <w:color w:val="000000" w:themeColor="text1"/>
        </w:rPr>
        <w:t xml:space="preserve">advice letter that </w:t>
      </w:r>
      <w:r w:rsidRPr="00997F1C" w:rsidR="001B6D62">
        <w:rPr>
          <w:color w:val="000000" w:themeColor="text1"/>
        </w:rPr>
        <w:t xml:space="preserve">separately </w:t>
      </w:r>
      <w:r w:rsidRPr="00997F1C" w:rsidR="000F181D">
        <w:rPr>
          <w:color w:val="000000" w:themeColor="text1"/>
        </w:rPr>
        <w:t>documents th</w:t>
      </w:r>
      <w:r w:rsidRPr="00997F1C" w:rsidR="001B6D62">
        <w:rPr>
          <w:color w:val="000000" w:themeColor="text1"/>
        </w:rPr>
        <w:t xml:space="preserve">e rate changes made </w:t>
      </w:r>
      <w:proofErr w:type="gramStart"/>
      <w:r w:rsidRPr="00997F1C" w:rsidR="001B6D62">
        <w:rPr>
          <w:color w:val="000000" w:themeColor="text1"/>
        </w:rPr>
        <w:t>as a result of</w:t>
      </w:r>
      <w:proofErr w:type="gramEnd"/>
      <w:r w:rsidRPr="00997F1C" w:rsidR="001B6D62">
        <w:rPr>
          <w:color w:val="000000" w:themeColor="text1"/>
        </w:rPr>
        <w:t xml:space="preserve"> the ERRA trigger</w:t>
      </w:r>
      <w:r w:rsidRPr="00997F1C">
        <w:rPr>
          <w:color w:val="000000" w:themeColor="text1"/>
        </w:rPr>
        <w:t xml:space="preserve">.  </w:t>
      </w:r>
    </w:p>
    <w:p w:rsidRPr="00997F1C" w:rsidR="003E5AEF" w:rsidP="003E5AEF" w:rsidRDefault="003E5AEF" w14:paraId="78509BD3" w14:textId="77777777">
      <w:pPr>
        <w:rPr>
          <w:color w:val="000000" w:themeColor="text1"/>
        </w:rPr>
      </w:pPr>
      <w:r w:rsidRPr="00997F1C">
        <w:rPr>
          <w:color w:val="000000" w:themeColor="text1"/>
        </w:rPr>
        <w:lastRenderedPageBreak/>
        <w:t>PG&amp;E forecasts an energy load requirement of 27,101 gigawatt-hours (GWh) for 2026.  This forecast is about 5.4 percent lower than the forecast adopted in PG&amp;E’s 2025 ERRA Forecast Application.  PG&amp;E’s 2026 system peak forecast is about 2.0 percent higher than the 2025 peak forecast adopted in the 2024 ERRA Forecast proceeding.</w:t>
      </w:r>
    </w:p>
    <w:p w:rsidRPr="00997F1C" w:rsidR="003E5AEF" w:rsidP="003E5AEF" w:rsidRDefault="003E5AEF" w14:paraId="4776DCB2" w14:textId="07D05604">
      <w:pPr>
        <w:rPr>
          <w:color w:val="000000" w:themeColor="text1"/>
        </w:rPr>
      </w:pPr>
      <w:r w:rsidRPr="00997F1C">
        <w:rPr>
          <w:color w:val="000000" w:themeColor="text1"/>
        </w:rPr>
        <w:t xml:space="preserve">This decision also adopts a 2026 California Climate Credit of </w:t>
      </w:r>
      <w:proofErr w:type="gramStart"/>
      <w:r w:rsidRPr="00997F1C">
        <w:rPr>
          <w:color w:val="000000" w:themeColor="text1"/>
        </w:rPr>
        <w:t>$</w:t>
      </w:r>
      <w:r w:rsidRPr="00997F1C" w:rsidR="00C02575">
        <w:rPr>
          <w:color w:val="000000" w:themeColor="text1"/>
        </w:rPr>
        <w:t>36.18</w:t>
      </w:r>
      <w:r w:rsidRPr="00997F1C">
        <w:rPr>
          <w:color w:val="000000" w:themeColor="text1"/>
        </w:rPr>
        <w:t>,</w:t>
      </w:r>
      <w:proofErr w:type="gramEnd"/>
      <w:r w:rsidRPr="00997F1C">
        <w:rPr>
          <w:color w:val="000000" w:themeColor="text1"/>
        </w:rPr>
        <w:t xml:space="preserve"> a $</w:t>
      </w:r>
      <w:r w:rsidRPr="00997F1C" w:rsidR="00167D04">
        <w:rPr>
          <w:color w:val="000000" w:themeColor="text1"/>
        </w:rPr>
        <w:t>22.05</w:t>
      </w:r>
      <w:r w:rsidRPr="00997F1C">
        <w:rPr>
          <w:color w:val="000000" w:themeColor="text1"/>
        </w:rPr>
        <w:t xml:space="preserve"> decrease compared to 2025.</w:t>
      </w:r>
    </w:p>
    <w:p w:rsidRPr="00997F1C" w:rsidR="003E5AEF" w:rsidP="00542ABD" w:rsidRDefault="003E5AEF" w14:paraId="583E039A" w14:textId="0FA0D898">
      <w:pPr>
        <w:rPr>
          <w:color w:val="000000" w:themeColor="text1"/>
        </w:rPr>
      </w:pPr>
      <w:r w:rsidRPr="00997F1C">
        <w:rPr>
          <w:color w:val="000000" w:themeColor="text1"/>
        </w:rPr>
        <w:t>This proceeding is closed.</w:t>
      </w:r>
    </w:p>
    <w:p w:rsidRPr="00997F1C" w:rsidR="003E5AEF" w:rsidP="00D737A5" w:rsidRDefault="003E5AEF" w14:paraId="5E1D0E39" w14:textId="77777777">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8123715" w:id="8"/>
      <w:bookmarkStart w:name="_Toc212561140" w:id="9"/>
      <w:bookmarkStart w:name="_Toc217384610" w:id="10"/>
      <w:r w:rsidRPr="00997F1C">
        <w:rPr>
          <w:rFonts w:ascii="Arial" w:hAnsi="Arial" w:eastAsiaTheme="majorEastAsia" w:cstheme="majorBidi"/>
          <w:b/>
          <w:color w:val="000000" w:themeColor="text1"/>
          <w:szCs w:val="32"/>
        </w:rPr>
        <w:t>Background</w:t>
      </w:r>
      <w:bookmarkEnd w:id="8"/>
      <w:bookmarkEnd w:id="9"/>
      <w:bookmarkEnd w:id="10"/>
    </w:p>
    <w:p w:rsidRPr="00997F1C" w:rsidR="003E5AEF" w:rsidP="00D737A5" w:rsidRDefault="003E5AEF" w14:paraId="1BB79466" w14:textId="77777777">
      <w:pPr>
        <w:keepNext/>
        <w:keepLines/>
        <w:numPr>
          <w:ilvl w:val="1"/>
          <w:numId w:val="11"/>
        </w:numPr>
        <w:spacing w:after="120" w:line="240" w:lineRule="auto"/>
        <w:ind w:right="2160"/>
        <w:outlineLvl w:val="1"/>
        <w:rPr>
          <w:rFonts w:ascii="Arial" w:hAnsi="Arial" w:cs="Arial"/>
          <w:b/>
          <w:color w:val="000000" w:themeColor="text1"/>
          <w:szCs w:val="26"/>
        </w:rPr>
      </w:pPr>
      <w:bookmarkStart w:name="_Toc182841758" w:id="11"/>
      <w:bookmarkStart w:name="_Toc212561141" w:id="12"/>
      <w:bookmarkStart w:name="_Toc217384611" w:id="13"/>
      <w:r w:rsidRPr="00997F1C">
        <w:rPr>
          <w:rFonts w:ascii="Arial" w:hAnsi="Arial" w:cs="Arial"/>
          <w:b/>
          <w:color w:val="000000" w:themeColor="text1"/>
          <w:szCs w:val="26"/>
        </w:rPr>
        <w:t>Energy Resource Recovery Account</w:t>
      </w:r>
      <w:bookmarkEnd w:id="11"/>
      <w:bookmarkEnd w:id="12"/>
      <w:bookmarkEnd w:id="13"/>
    </w:p>
    <w:p w:rsidRPr="00997F1C" w:rsidR="003E5AEF" w:rsidP="003E5AEF" w:rsidRDefault="003E5AEF" w14:paraId="6CC4D1E9" w14:textId="77777777">
      <w:pPr>
        <w:rPr>
          <w:color w:val="000000" w:themeColor="text1"/>
        </w:rPr>
      </w:pPr>
      <w:r w:rsidRPr="00997F1C">
        <w:rPr>
          <w:color w:val="000000" w:themeColor="text1"/>
        </w:rPr>
        <w:t>Pursuant to Decision (D.) 02-10-062 and D.02-12-074, the purpose of the Energy Resource Recovery Account (ERRA) is to provide recovery of energy procurement costs, including expenses associated with fuel and purchased power, utility-owned generation (UOG), California Independent System Operator (CAISO) related costs, and costs associated with the residual net short procurement requirements to bundled</w:t>
      </w:r>
      <w:r w:rsidRPr="00997F1C">
        <w:rPr>
          <w:color w:val="000000" w:themeColor="text1"/>
          <w:vertAlign w:val="superscript"/>
        </w:rPr>
        <w:footnoteReference w:id="3"/>
      </w:r>
      <w:r w:rsidRPr="00997F1C">
        <w:rPr>
          <w:color w:val="000000" w:themeColor="text1"/>
        </w:rPr>
        <w:t xml:space="preserve"> electric service customers.</w:t>
      </w:r>
    </w:p>
    <w:p w:rsidRPr="00997F1C" w:rsidR="003E5AEF" w:rsidP="003E5AEF" w:rsidRDefault="003E5AEF" w14:paraId="55B5D513" w14:textId="77777777">
      <w:pPr>
        <w:rPr>
          <w:color w:val="000000" w:themeColor="text1"/>
        </w:rPr>
      </w:pPr>
      <w:bookmarkStart w:name="_Hlk179982863" w:id="14"/>
      <w:r w:rsidRPr="00997F1C">
        <w:rPr>
          <w:color w:val="000000" w:themeColor="text1"/>
        </w:rPr>
        <w:t xml:space="preserve">The ERRA regulatory process includes: (1) an annual forecast proceeding to adopt a forecast of the utility’s electric procurement cost revenue requirement and electricity sales for the upcoming year; (2) an annual compliance proceeding to review the utility’s compliance in the preceding year regarding energy resource contract administration, least cost dispatch, prudent maintenance of UOG and the ERRA Balancing Account (ERRA-Main); and (3) the quarterly </w:t>
      </w:r>
      <w:r w:rsidRPr="00997F1C">
        <w:rPr>
          <w:color w:val="000000" w:themeColor="text1"/>
        </w:rPr>
        <w:lastRenderedPageBreak/>
        <w:t>compliance report where Energy Division reviews procurement transactions “to ensure the prices, types of products, and quantities of each product conform to the approved plan.”</w:t>
      </w:r>
      <w:bookmarkEnd w:id="14"/>
      <w:r w:rsidRPr="00997F1C">
        <w:rPr>
          <w:color w:val="000000" w:themeColor="text1"/>
          <w:vertAlign w:val="superscript"/>
        </w:rPr>
        <w:footnoteReference w:id="4"/>
      </w:r>
    </w:p>
    <w:p w:rsidRPr="00997F1C" w:rsidR="003E5AEF" w:rsidP="003E5AEF" w:rsidRDefault="003E5AEF" w14:paraId="3BBC1670" w14:textId="77777777">
      <w:pPr>
        <w:rPr>
          <w:color w:val="000000" w:themeColor="text1"/>
        </w:rPr>
      </w:pPr>
      <w:r w:rsidRPr="00997F1C">
        <w:rPr>
          <w:color w:val="000000" w:themeColor="text1"/>
        </w:rPr>
        <w:t>The Commission adopted the Cost Responsibility Surcharge in D.02-11-022 (as modified by D.03-07-030), which consisted of the Competition Transition Charge (CTC).  The CTC is used to recover the above-market costs of resources procured prior to market restructuring after the 2000-2001 Energy Crisis.  In D.06-07-030 (as modified by D.07-01-030, D.11-12-018, D.14-10-045, D.18</w:t>
      </w:r>
      <w:r w:rsidRPr="00997F1C">
        <w:rPr>
          <w:color w:val="000000" w:themeColor="text1"/>
        </w:rPr>
        <w:noBreakHyphen/>
        <w:t>10</w:t>
      </w:r>
      <w:r w:rsidRPr="00997F1C">
        <w:rPr>
          <w:color w:val="000000" w:themeColor="text1"/>
        </w:rPr>
        <w:noBreakHyphen/>
        <w:t xml:space="preserve">019, and D.25-06-049 among other decisions), the Commission adopted the Power Charge Indifference Adjustment (PCIA) to ensure that when electric customers of an investor-owned utility (IOU) depart from IOU service and receive their electricity from a non-IOU provider, those customers remain responsible for costs previously incurred on their behalf by the IOU, including the above-market costs associated with the California Department of Water Resources (CDWR) Power Charge.  </w:t>
      </w:r>
    </w:p>
    <w:p w:rsidRPr="00997F1C" w:rsidR="003E5AEF" w:rsidP="003E5AEF" w:rsidRDefault="003E5AEF" w14:paraId="39B5AD0A" w14:textId="77777777">
      <w:pPr>
        <w:rPr>
          <w:color w:val="000000" w:themeColor="text1"/>
        </w:rPr>
      </w:pPr>
      <w:r w:rsidRPr="00997F1C">
        <w:rPr>
          <w:color w:val="000000" w:themeColor="text1"/>
        </w:rPr>
        <w:t>The electric utilities are also required to incorporate greenhouse gas (GHG) costs into the generation component of electricity rates through the ERRA process.</w:t>
      </w:r>
      <w:r w:rsidRPr="00997F1C">
        <w:rPr>
          <w:color w:val="000000" w:themeColor="text1"/>
          <w:vertAlign w:val="superscript"/>
        </w:rPr>
        <w:footnoteReference w:id="5"/>
      </w:r>
      <w:r w:rsidRPr="00997F1C">
        <w:rPr>
          <w:color w:val="000000" w:themeColor="text1"/>
        </w:rPr>
        <w:t xml:space="preserve">  Incorporating the costs of GHG emissions into rates results in a carbon price signal intended to induce an overall decrease in energy consumption and reduction in GHG emissions.</w:t>
      </w:r>
      <w:r w:rsidRPr="00997F1C">
        <w:rPr>
          <w:color w:val="000000" w:themeColor="text1"/>
          <w:vertAlign w:val="superscript"/>
        </w:rPr>
        <w:footnoteReference w:id="6"/>
      </w:r>
      <w:r w:rsidRPr="00997F1C">
        <w:rPr>
          <w:color w:val="000000" w:themeColor="text1"/>
        </w:rPr>
        <w:t xml:space="preserve">  </w:t>
      </w:r>
    </w:p>
    <w:p w:rsidRPr="00997F1C" w:rsidR="003E5AEF" w:rsidP="003E5AEF" w:rsidRDefault="003E5AEF" w14:paraId="09BC371F" w14:textId="4581EE00">
      <w:pPr>
        <w:rPr>
          <w:color w:val="000000" w:themeColor="text1"/>
        </w:rPr>
      </w:pPr>
      <w:r w:rsidRPr="00997F1C">
        <w:rPr>
          <w:color w:val="000000" w:themeColor="text1"/>
        </w:rPr>
        <w:t xml:space="preserve">Finally, the electric utilities are required to report and return annual GHG allowance proceeds to eligible customers.  Pursuant to Public Utilities Code (Pub. </w:t>
      </w:r>
      <w:r w:rsidRPr="00997F1C">
        <w:rPr>
          <w:color w:val="000000" w:themeColor="text1"/>
        </w:rPr>
        <w:lastRenderedPageBreak/>
        <w:t>Util.) Code Section 748.5(c), the Commission can allocate up to 15 percent of GHG allowance proceeds for clean energy and energy efficiency projects that are administered by a utility, or a qualified third-party administrator, and are not otherwise funded by another source.</w:t>
      </w:r>
    </w:p>
    <w:p w:rsidRPr="00997F1C" w:rsidR="003E5AEF" w:rsidP="00D737A5" w:rsidRDefault="003E5AEF" w14:paraId="149B559D" w14:textId="77777777">
      <w:pPr>
        <w:keepNext/>
        <w:keepLines/>
        <w:numPr>
          <w:ilvl w:val="1"/>
          <w:numId w:val="11"/>
        </w:numPr>
        <w:spacing w:after="120" w:line="240" w:lineRule="auto"/>
        <w:ind w:right="2160"/>
        <w:outlineLvl w:val="1"/>
        <w:rPr>
          <w:rFonts w:ascii="Arial" w:hAnsi="Arial" w:cs="Arial"/>
          <w:b/>
          <w:color w:val="000000" w:themeColor="text1"/>
          <w:szCs w:val="26"/>
        </w:rPr>
      </w:pPr>
      <w:bookmarkStart w:name="_Toc8123716" w:id="15"/>
      <w:bookmarkStart w:name="_Toc182841759" w:id="16"/>
      <w:bookmarkStart w:name="_Toc212561142" w:id="17"/>
      <w:bookmarkStart w:name="_Toc217384612" w:id="18"/>
      <w:r w:rsidRPr="00997F1C">
        <w:rPr>
          <w:rFonts w:ascii="Arial" w:hAnsi="Arial" w:cs="Arial"/>
          <w:b/>
          <w:color w:val="000000" w:themeColor="text1"/>
          <w:szCs w:val="26"/>
        </w:rPr>
        <w:t>Procedural Background</w:t>
      </w:r>
      <w:bookmarkEnd w:id="15"/>
      <w:bookmarkEnd w:id="16"/>
      <w:bookmarkEnd w:id="17"/>
      <w:bookmarkEnd w:id="18"/>
    </w:p>
    <w:p w:rsidRPr="00997F1C" w:rsidR="003E5AEF" w:rsidP="003E5AEF" w:rsidRDefault="003E5AEF" w14:paraId="2630281A" w14:textId="77777777">
      <w:pPr>
        <w:rPr>
          <w:color w:val="000000" w:themeColor="text1"/>
        </w:rPr>
      </w:pPr>
      <w:r w:rsidRPr="00997F1C">
        <w:rPr>
          <w:color w:val="000000" w:themeColor="text1"/>
        </w:rPr>
        <w:t xml:space="preserve">On May 15, 2025, Pacific Gas and Electric Company (PG&amp;E) filed </w:t>
      </w:r>
      <w:proofErr w:type="gramStart"/>
      <w:r w:rsidRPr="00997F1C">
        <w:rPr>
          <w:color w:val="000000" w:themeColor="text1"/>
        </w:rPr>
        <w:t>the</w:t>
      </w:r>
      <w:proofErr w:type="gramEnd"/>
      <w:r w:rsidRPr="00997F1C">
        <w:rPr>
          <w:color w:val="000000" w:themeColor="text1"/>
        </w:rPr>
        <w:t xml:space="preserve"> instant application requesting Commission approval of its 2026 ERRA forecast revenue requirement (Application).  On June 18, 2025, Direct Access Customer Coalition (DACC) and Small Business Utility Advocates (SBUA) filed timely responses to the Application.  On the same date, the Public Advocates Office at the California Public Utilities Commission (Cal Advocates) and California Community Choice Association (</w:t>
      </w:r>
      <w:proofErr w:type="spellStart"/>
      <w:r w:rsidRPr="00997F1C">
        <w:rPr>
          <w:color w:val="000000" w:themeColor="text1"/>
        </w:rPr>
        <w:t>CalCCA</w:t>
      </w:r>
      <w:proofErr w:type="spellEnd"/>
      <w:r w:rsidRPr="00997F1C">
        <w:rPr>
          <w:color w:val="000000" w:themeColor="text1"/>
        </w:rPr>
        <w:t>) filed timely protests to the Application.  On June 30, 2025, PG&amp;E filed a reply to parties’ responses and protests.</w:t>
      </w:r>
    </w:p>
    <w:p w:rsidRPr="00997F1C" w:rsidR="003E5AEF" w:rsidP="003E5AEF" w:rsidRDefault="003E5AEF" w14:paraId="207F2C8A" w14:textId="77777777">
      <w:pPr>
        <w:rPr>
          <w:color w:val="000000" w:themeColor="text1"/>
        </w:rPr>
      </w:pPr>
      <w:r w:rsidRPr="00997F1C">
        <w:rPr>
          <w:color w:val="000000" w:themeColor="text1"/>
        </w:rPr>
        <w:t>A prehearing conference (PHC) was held on July 8, 2025, to discuss the issues of law and fact and determine the need for hearing and schedule for resolving the matter.  The assigned Commissioner issued a Scoping Memo and Ruling on July 31, 2025.</w:t>
      </w:r>
    </w:p>
    <w:p w:rsidRPr="00997F1C" w:rsidR="003E5AEF" w:rsidP="003E5AEF" w:rsidRDefault="003E5AEF" w14:paraId="49DC5B5C" w14:textId="77777777">
      <w:pPr>
        <w:rPr>
          <w:color w:val="000000" w:themeColor="text1"/>
        </w:rPr>
      </w:pPr>
      <w:r w:rsidRPr="00997F1C">
        <w:rPr>
          <w:color w:val="000000" w:themeColor="text1"/>
        </w:rPr>
        <w:t xml:space="preserve">On September 2, 2025, </w:t>
      </w:r>
      <w:proofErr w:type="spellStart"/>
      <w:r w:rsidRPr="00997F1C">
        <w:rPr>
          <w:color w:val="000000" w:themeColor="text1"/>
        </w:rPr>
        <w:t>CalCCA</w:t>
      </w:r>
      <w:proofErr w:type="spellEnd"/>
      <w:r w:rsidRPr="00997F1C">
        <w:rPr>
          <w:color w:val="000000" w:themeColor="text1"/>
        </w:rPr>
        <w:t xml:space="preserve"> and SBUA served intervenor testimony.  On September 23, 2025, PG&amp;E served rebuttal testimony.  </w:t>
      </w:r>
    </w:p>
    <w:p w:rsidRPr="00997F1C" w:rsidR="003E5AEF" w:rsidP="003E5AEF" w:rsidRDefault="003E5AEF" w14:paraId="25A9BF3A" w14:textId="77777777">
      <w:pPr>
        <w:rPr>
          <w:color w:val="000000" w:themeColor="text1"/>
        </w:rPr>
      </w:pPr>
      <w:r w:rsidRPr="00997F1C">
        <w:rPr>
          <w:color w:val="000000" w:themeColor="text1"/>
        </w:rPr>
        <w:t>On September 9, 2025, the assigned ALJ issued a ruling requiring additional information regarding PG&amp;E’s data center demand forecasts (Data Center Demand Ruling).  PG&amp;E responded to this ruling on September 23, 2025.</w:t>
      </w:r>
    </w:p>
    <w:p w:rsidRPr="00997F1C" w:rsidR="00B41F1F" w:rsidP="00B41F1F" w:rsidRDefault="00B41F1F" w14:paraId="09D02403" w14:textId="434C0DBF">
      <w:pPr>
        <w:rPr>
          <w:color w:val="000000" w:themeColor="text1"/>
        </w:rPr>
      </w:pPr>
      <w:r w:rsidRPr="00997F1C">
        <w:rPr>
          <w:color w:val="000000" w:themeColor="text1"/>
        </w:rPr>
        <w:t xml:space="preserve">On September 30, 2025, PG&amp;E filed </w:t>
      </w:r>
      <w:r w:rsidRPr="00997F1C" w:rsidR="00163EBE">
        <w:rPr>
          <w:color w:val="000000" w:themeColor="text1"/>
        </w:rPr>
        <w:t xml:space="preserve">a </w:t>
      </w:r>
      <w:r w:rsidRPr="00997F1C">
        <w:rPr>
          <w:color w:val="000000" w:themeColor="text1"/>
        </w:rPr>
        <w:t>trigger application</w:t>
      </w:r>
      <w:r w:rsidRPr="00997F1C" w:rsidR="00163EBE">
        <w:rPr>
          <w:color w:val="000000" w:themeColor="text1"/>
        </w:rPr>
        <w:t xml:space="preserve">, Application (A.) </w:t>
      </w:r>
      <w:r w:rsidRPr="00997F1C" w:rsidR="00163EBE">
        <w:rPr>
          <w:rFonts w:cs="Arial"/>
          <w:color w:val="000000" w:themeColor="text1"/>
          <w:szCs w:val="26"/>
        </w:rPr>
        <w:t>25-09-015,</w:t>
      </w:r>
      <w:r w:rsidRPr="00997F1C">
        <w:rPr>
          <w:color w:val="000000" w:themeColor="text1"/>
        </w:rPr>
        <w:t xml:space="preserve"> to address overcollection of its main ERRA account, pursuant to Pub. </w:t>
      </w:r>
      <w:r w:rsidRPr="00997F1C">
        <w:rPr>
          <w:color w:val="000000" w:themeColor="text1"/>
        </w:rPr>
        <w:lastRenderedPageBreak/>
        <w:t>Util. Code Section 454.5(d)(3) and Decisions (D.) 02-10-062, D.04-12-048, D.08-08-011, and D.22-01-023.</w:t>
      </w:r>
    </w:p>
    <w:p w:rsidRPr="00997F1C" w:rsidR="003E5AEF" w:rsidP="003E5AEF" w:rsidRDefault="003E5AEF" w14:paraId="7C19CFA3" w14:textId="77777777">
      <w:pPr>
        <w:rPr>
          <w:color w:val="000000" w:themeColor="text1"/>
        </w:rPr>
      </w:pPr>
      <w:r w:rsidRPr="00997F1C">
        <w:rPr>
          <w:color w:val="000000" w:themeColor="text1"/>
        </w:rPr>
        <w:t xml:space="preserve">On </w:t>
      </w:r>
      <w:bookmarkStart w:name="_Hlk214280283" w:id="19"/>
      <w:r w:rsidRPr="00997F1C">
        <w:rPr>
          <w:color w:val="000000" w:themeColor="text1"/>
        </w:rPr>
        <w:t>October 7, 2025</w:t>
      </w:r>
      <w:bookmarkEnd w:id="19"/>
      <w:r w:rsidRPr="00997F1C">
        <w:rPr>
          <w:color w:val="000000" w:themeColor="text1"/>
        </w:rPr>
        <w:t xml:space="preserve">, an evidentiary hearing was held.  </w:t>
      </w:r>
    </w:p>
    <w:p w:rsidRPr="00997F1C" w:rsidR="00163EBE" w:rsidP="003E5AEF" w:rsidRDefault="00163EBE" w14:paraId="2CBC4FE3" w14:textId="3461CC1B">
      <w:pPr>
        <w:rPr>
          <w:color w:val="000000" w:themeColor="text1"/>
        </w:rPr>
      </w:pPr>
      <w:r w:rsidRPr="00997F1C">
        <w:rPr>
          <w:color w:val="000000" w:themeColor="text1"/>
        </w:rPr>
        <w:t xml:space="preserve">On October 20, 2025, a PHC was held </w:t>
      </w:r>
      <w:proofErr w:type="gramStart"/>
      <w:r w:rsidRPr="00997F1C">
        <w:rPr>
          <w:color w:val="000000" w:themeColor="text1"/>
        </w:rPr>
        <w:t>in</w:t>
      </w:r>
      <w:proofErr w:type="gramEnd"/>
      <w:r w:rsidRPr="00997F1C">
        <w:rPr>
          <w:color w:val="000000" w:themeColor="text1"/>
        </w:rPr>
        <w:t xml:space="preserve"> A.</w:t>
      </w:r>
      <w:r w:rsidRPr="00997F1C">
        <w:rPr>
          <w:rFonts w:cs="Arial"/>
          <w:color w:val="000000" w:themeColor="text1"/>
          <w:szCs w:val="26"/>
        </w:rPr>
        <w:t xml:space="preserve">25-09-015. </w:t>
      </w:r>
      <w:proofErr w:type="gramStart"/>
      <w:r w:rsidRPr="00997F1C">
        <w:rPr>
          <w:rFonts w:cs="Arial"/>
          <w:color w:val="000000" w:themeColor="text1"/>
          <w:szCs w:val="26"/>
        </w:rPr>
        <w:t>An</w:t>
      </w:r>
      <w:proofErr w:type="gramEnd"/>
      <w:r w:rsidRPr="00997F1C">
        <w:rPr>
          <w:rFonts w:cs="Arial"/>
          <w:color w:val="000000" w:themeColor="text1"/>
          <w:szCs w:val="26"/>
        </w:rPr>
        <w:t xml:space="preserve"> October 29, </w:t>
      </w:r>
      <w:proofErr w:type="gramStart"/>
      <w:r w:rsidRPr="00997F1C">
        <w:rPr>
          <w:rFonts w:cs="Arial"/>
          <w:color w:val="000000" w:themeColor="text1"/>
          <w:szCs w:val="26"/>
        </w:rPr>
        <w:t>2025</w:t>
      </w:r>
      <w:proofErr w:type="gramEnd"/>
      <w:r w:rsidRPr="00997F1C">
        <w:rPr>
          <w:color w:val="000000" w:themeColor="text1"/>
        </w:rPr>
        <w:t xml:space="preserve"> Assigned Commissioner’s Scoping Memo and Ruling consolidated A.25-05-011 and A.</w:t>
      </w:r>
      <w:r w:rsidRPr="00997F1C">
        <w:rPr>
          <w:rFonts w:cs="Arial"/>
          <w:color w:val="000000" w:themeColor="text1"/>
          <w:szCs w:val="26"/>
        </w:rPr>
        <w:t>25-09-015.</w:t>
      </w:r>
    </w:p>
    <w:p w:rsidRPr="00997F1C" w:rsidR="003E5AEF" w:rsidP="003E5AEF" w:rsidRDefault="003E5AEF" w14:paraId="053F8991" w14:textId="65F2BFFE">
      <w:pPr>
        <w:rPr>
          <w:color w:val="000000" w:themeColor="text1"/>
        </w:rPr>
      </w:pPr>
      <w:r w:rsidRPr="00997F1C">
        <w:rPr>
          <w:color w:val="000000" w:themeColor="text1"/>
        </w:rPr>
        <w:t xml:space="preserve">Pursuant to D.22-01-023, the Commission issued 2025 Resource Adequacy Market Price Benchmark (RA MPB) calculations on October 1, 2025, with figures used to calculate the 2026 PCIA.  </w:t>
      </w:r>
    </w:p>
    <w:p w:rsidRPr="00997F1C" w:rsidR="003E5AEF" w:rsidP="003E5AEF" w:rsidRDefault="003E5AEF" w14:paraId="718D4222" w14:textId="2CACD806">
      <w:pPr>
        <w:rPr>
          <w:color w:val="000000" w:themeColor="text1"/>
        </w:rPr>
      </w:pPr>
      <w:r w:rsidRPr="00997F1C">
        <w:rPr>
          <w:color w:val="000000" w:themeColor="text1"/>
        </w:rPr>
        <w:t xml:space="preserve">On October </w:t>
      </w:r>
      <w:r w:rsidRPr="00997F1C" w:rsidR="00E75550">
        <w:rPr>
          <w:color w:val="000000" w:themeColor="text1"/>
        </w:rPr>
        <w:t>6</w:t>
      </w:r>
      <w:r w:rsidRPr="00997F1C">
        <w:rPr>
          <w:color w:val="000000" w:themeColor="text1"/>
        </w:rPr>
        <w:t xml:space="preserve">, 2025, the assigned ALJ issued a second ruling requiring additional information regarding PG&amp;E’s data center demand forecasts (Second Data Center Demand Ruling).  PG&amp;E responded to this ruling on October 15, 2025.  </w:t>
      </w:r>
    </w:p>
    <w:p w:rsidRPr="00997F1C" w:rsidR="003E5AEF" w:rsidP="003E5AEF" w:rsidRDefault="003E5AEF" w14:paraId="532F16F9" w14:textId="77777777">
      <w:pPr>
        <w:rPr>
          <w:color w:val="000000" w:themeColor="text1"/>
        </w:rPr>
      </w:pPr>
      <w:r w:rsidRPr="00997F1C">
        <w:rPr>
          <w:color w:val="000000" w:themeColor="text1"/>
        </w:rPr>
        <w:t xml:space="preserve">PG&amp;E served the Fall Update on October 15, 2025, concurrent with a motion to file the Fall Update (Confidential Version) under seal. </w:t>
      </w:r>
    </w:p>
    <w:p w:rsidRPr="00997F1C" w:rsidR="003E5AEF" w:rsidP="003E5AEF" w:rsidRDefault="003E5AEF" w14:paraId="50913BC7" w14:textId="77777777">
      <w:pPr>
        <w:rPr>
          <w:color w:val="000000" w:themeColor="text1"/>
        </w:rPr>
      </w:pPr>
      <w:r w:rsidRPr="00997F1C">
        <w:rPr>
          <w:color w:val="000000" w:themeColor="text1"/>
        </w:rPr>
        <w:t xml:space="preserve">On October 24, 2025, PG&amp;E, </w:t>
      </w:r>
      <w:proofErr w:type="spellStart"/>
      <w:r w:rsidRPr="00997F1C">
        <w:rPr>
          <w:color w:val="000000" w:themeColor="text1"/>
        </w:rPr>
        <w:t>CalCCA</w:t>
      </w:r>
      <w:proofErr w:type="spellEnd"/>
      <w:r w:rsidRPr="00997F1C">
        <w:rPr>
          <w:color w:val="000000" w:themeColor="text1"/>
        </w:rPr>
        <w:t xml:space="preserve">, DACC, and SBUA filed opening briefs.  </w:t>
      </w:r>
      <w:proofErr w:type="spellStart"/>
      <w:r w:rsidRPr="00997F1C">
        <w:rPr>
          <w:color w:val="000000" w:themeColor="text1"/>
        </w:rPr>
        <w:t>CalCCA</w:t>
      </w:r>
      <w:proofErr w:type="spellEnd"/>
      <w:r w:rsidRPr="00997F1C">
        <w:rPr>
          <w:color w:val="000000" w:themeColor="text1"/>
        </w:rPr>
        <w:t xml:space="preserve"> concurrently filed a motion for leave to submit a confidential version of opening brief under seal, noting that certain information in its opening brief is derived from confidential data provided by PG&amp;E in its testimony and discovery responses.  On November 3, 2025, </w:t>
      </w:r>
      <w:proofErr w:type="spellStart"/>
      <w:r w:rsidRPr="00997F1C">
        <w:rPr>
          <w:color w:val="000000" w:themeColor="text1"/>
        </w:rPr>
        <w:t>CalCCA</w:t>
      </w:r>
      <w:proofErr w:type="spellEnd"/>
      <w:r w:rsidRPr="00997F1C">
        <w:rPr>
          <w:color w:val="000000" w:themeColor="text1"/>
        </w:rPr>
        <w:t xml:space="preserve">, PG&amp;E, and SBUA filed </w:t>
      </w:r>
      <w:proofErr w:type="gramStart"/>
      <w:r w:rsidRPr="00997F1C">
        <w:rPr>
          <w:color w:val="000000" w:themeColor="text1"/>
        </w:rPr>
        <w:t>reply</w:t>
      </w:r>
      <w:proofErr w:type="gramEnd"/>
      <w:r w:rsidRPr="00997F1C">
        <w:rPr>
          <w:color w:val="000000" w:themeColor="text1"/>
        </w:rPr>
        <w:t xml:space="preserve"> briefs.</w:t>
      </w:r>
    </w:p>
    <w:p w:rsidRPr="00997F1C" w:rsidR="003E5AEF" w:rsidP="003E5AEF" w:rsidRDefault="00B10C46" w14:paraId="4EC4D81E" w14:textId="7DE8285B">
      <w:pPr>
        <w:rPr>
          <w:color w:val="000000" w:themeColor="text1"/>
        </w:rPr>
      </w:pPr>
      <w:bookmarkStart w:name="_Hlk182814399" w:id="20"/>
      <w:r w:rsidRPr="00997F1C">
        <w:rPr>
          <w:color w:val="000000" w:themeColor="text1"/>
        </w:rPr>
        <w:t xml:space="preserve">On November 6, 2025, PG&amp;E </w:t>
      </w:r>
      <w:r w:rsidRPr="00997F1C" w:rsidR="00FD151C">
        <w:rPr>
          <w:color w:val="000000" w:themeColor="text1"/>
        </w:rPr>
        <w:t>filed its ERRA 2026 Forecast Fall Update Errata</w:t>
      </w:r>
      <w:r w:rsidRPr="00997F1C" w:rsidR="00D52E7D">
        <w:rPr>
          <w:color w:val="000000" w:themeColor="text1"/>
        </w:rPr>
        <w:t xml:space="preserve"> (Fall Update Errata)</w:t>
      </w:r>
      <w:r w:rsidRPr="00997F1C" w:rsidR="00FD151C">
        <w:rPr>
          <w:color w:val="000000" w:themeColor="text1"/>
        </w:rPr>
        <w:t>.</w:t>
      </w:r>
      <w:r w:rsidRPr="00997F1C" w:rsidR="003E5AEF">
        <w:rPr>
          <w:color w:val="000000" w:themeColor="text1"/>
        </w:rPr>
        <w:t xml:space="preserve"> </w:t>
      </w:r>
      <w:r w:rsidRPr="00997F1C" w:rsidR="00997A09">
        <w:rPr>
          <w:color w:val="000000" w:themeColor="text1"/>
        </w:rPr>
        <w:t xml:space="preserve"> On November 10, 2025, </w:t>
      </w:r>
      <w:proofErr w:type="spellStart"/>
      <w:r w:rsidRPr="00997F1C" w:rsidR="00997A09">
        <w:rPr>
          <w:color w:val="000000" w:themeColor="text1"/>
        </w:rPr>
        <w:t>CalCCA</w:t>
      </w:r>
      <w:proofErr w:type="spellEnd"/>
      <w:r w:rsidRPr="00997F1C" w:rsidR="00997A09">
        <w:rPr>
          <w:color w:val="000000" w:themeColor="text1"/>
        </w:rPr>
        <w:t xml:space="preserve"> filed comments on the Fall Update Errata.</w:t>
      </w:r>
    </w:p>
    <w:p w:rsidRPr="00997F1C" w:rsidR="007D23B7" w:rsidP="003E5AEF" w:rsidRDefault="007D23B7" w14:paraId="1AEF794A" w14:textId="4F512C8B">
      <w:pPr>
        <w:rPr>
          <w:color w:val="000000" w:themeColor="text1"/>
        </w:rPr>
      </w:pPr>
      <w:r w:rsidRPr="00997F1C">
        <w:rPr>
          <w:color w:val="000000" w:themeColor="text1"/>
        </w:rPr>
        <w:t xml:space="preserve">On November 10, 2025, </w:t>
      </w:r>
      <w:proofErr w:type="spellStart"/>
      <w:r w:rsidRPr="00997F1C">
        <w:rPr>
          <w:color w:val="000000" w:themeColor="text1"/>
        </w:rPr>
        <w:t>CalCCA</w:t>
      </w:r>
      <w:proofErr w:type="spellEnd"/>
      <w:r w:rsidRPr="00997F1C">
        <w:rPr>
          <w:color w:val="000000" w:themeColor="text1"/>
        </w:rPr>
        <w:t xml:space="preserve"> filed its comments on the Fall Update and Fall Update Errata</w:t>
      </w:r>
      <w:r w:rsidRPr="00997F1C" w:rsidR="002B15AE">
        <w:rPr>
          <w:color w:val="000000" w:themeColor="text1"/>
        </w:rPr>
        <w:t xml:space="preserve"> (Fall Update Comments)</w:t>
      </w:r>
      <w:r w:rsidRPr="00997F1C">
        <w:rPr>
          <w:color w:val="000000" w:themeColor="text1"/>
        </w:rPr>
        <w:t>.</w:t>
      </w:r>
    </w:p>
    <w:p w:rsidRPr="00997F1C" w:rsidR="003E5AEF" w:rsidP="00D737A5" w:rsidRDefault="003E5AEF" w14:paraId="70A3D9E0" w14:textId="77777777">
      <w:pPr>
        <w:keepNext/>
        <w:keepLines/>
        <w:numPr>
          <w:ilvl w:val="1"/>
          <w:numId w:val="11"/>
        </w:numPr>
        <w:spacing w:after="120" w:line="240" w:lineRule="auto"/>
        <w:ind w:right="2160"/>
        <w:outlineLvl w:val="1"/>
        <w:rPr>
          <w:rFonts w:ascii="Arial" w:hAnsi="Arial" w:cs="Arial"/>
          <w:b/>
          <w:color w:val="000000" w:themeColor="text1"/>
          <w:szCs w:val="26"/>
        </w:rPr>
      </w:pPr>
      <w:bookmarkStart w:name="_Toc182841760" w:id="21"/>
      <w:bookmarkStart w:name="_Toc212561143" w:id="22"/>
      <w:bookmarkStart w:name="_Toc217384613" w:id="23"/>
      <w:bookmarkEnd w:id="20"/>
      <w:r w:rsidRPr="00997F1C">
        <w:rPr>
          <w:rFonts w:ascii="Arial" w:hAnsi="Arial" w:cs="Arial"/>
          <w:b/>
          <w:color w:val="000000" w:themeColor="text1"/>
          <w:szCs w:val="26"/>
        </w:rPr>
        <w:lastRenderedPageBreak/>
        <w:t>Submission Date</w:t>
      </w:r>
      <w:bookmarkEnd w:id="21"/>
      <w:bookmarkEnd w:id="22"/>
      <w:bookmarkEnd w:id="23"/>
    </w:p>
    <w:p w:rsidRPr="00997F1C" w:rsidR="003E5AEF" w:rsidP="003E5AEF" w:rsidRDefault="003E5AEF" w14:paraId="58EA648E" w14:textId="3FD2DF23">
      <w:pPr>
        <w:rPr>
          <w:color w:val="000000" w:themeColor="text1"/>
        </w:rPr>
      </w:pPr>
      <w:r w:rsidRPr="00997F1C">
        <w:rPr>
          <w:color w:val="000000" w:themeColor="text1"/>
        </w:rPr>
        <w:t xml:space="preserve">This matter was submitted on November </w:t>
      </w:r>
      <w:r w:rsidRPr="00997F1C" w:rsidR="007D23B7">
        <w:rPr>
          <w:color w:val="000000" w:themeColor="text1"/>
        </w:rPr>
        <w:t>10</w:t>
      </w:r>
      <w:r w:rsidRPr="00997F1C">
        <w:rPr>
          <w:color w:val="000000" w:themeColor="text1"/>
        </w:rPr>
        <w:t>, 2025, upon submission of comments on the Fall Update.</w:t>
      </w:r>
    </w:p>
    <w:p w:rsidRPr="00997F1C" w:rsidR="003E5AEF" w:rsidP="00D737A5" w:rsidRDefault="003E5AEF" w14:paraId="332070EE" w14:textId="77777777">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8123719" w:id="24"/>
      <w:bookmarkStart w:name="_Toc212561144" w:id="25"/>
      <w:bookmarkStart w:name="_Toc217384614" w:id="26"/>
      <w:r w:rsidRPr="00997F1C">
        <w:rPr>
          <w:rFonts w:ascii="Arial" w:hAnsi="Arial" w:eastAsiaTheme="majorEastAsia" w:cstheme="majorBidi"/>
          <w:b/>
          <w:color w:val="000000" w:themeColor="text1"/>
          <w:szCs w:val="32"/>
        </w:rPr>
        <w:t xml:space="preserve">Issues Before the </w:t>
      </w:r>
      <w:bookmarkEnd w:id="24"/>
      <w:r w:rsidRPr="00997F1C">
        <w:rPr>
          <w:rFonts w:ascii="Arial" w:hAnsi="Arial" w:eastAsiaTheme="majorEastAsia" w:cstheme="majorBidi"/>
          <w:b/>
          <w:color w:val="000000" w:themeColor="text1"/>
          <w:szCs w:val="32"/>
        </w:rPr>
        <w:t>Commission</w:t>
      </w:r>
      <w:bookmarkEnd w:id="25"/>
      <w:bookmarkEnd w:id="26"/>
    </w:p>
    <w:p w:rsidRPr="00997F1C" w:rsidR="003E5AEF" w:rsidP="003E5AEF" w:rsidRDefault="003E5AEF" w14:paraId="7E993007" w14:textId="77777777">
      <w:pPr>
        <w:rPr>
          <w:color w:val="000000" w:themeColor="text1"/>
        </w:rPr>
      </w:pPr>
      <w:r w:rsidRPr="00997F1C">
        <w:rPr>
          <w:color w:val="000000" w:themeColor="text1"/>
        </w:rPr>
        <w:t>The issues to be determined or otherwise considered are:</w:t>
      </w:r>
    </w:p>
    <w:p w:rsidRPr="00997F1C" w:rsidR="003E5AEF" w:rsidP="00386478" w:rsidRDefault="003E5AEF" w14:paraId="55D46704" w14:textId="77777777">
      <w:pPr>
        <w:numPr>
          <w:ilvl w:val="6"/>
          <w:numId w:val="11"/>
        </w:numPr>
        <w:spacing w:after="120" w:line="240" w:lineRule="auto"/>
        <w:ind w:right="1440"/>
        <w:rPr>
          <w:rFonts w:eastAsia="Calibri" w:cs="Times New Roman"/>
          <w:color w:val="000000" w:themeColor="text1"/>
        </w:rPr>
      </w:pPr>
      <w:r w:rsidRPr="00997F1C">
        <w:rPr>
          <w:rFonts w:eastAsia="Calibri" w:cs="Times New Roman"/>
          <w:color w:val="000000" w:themeColor="text1"/>
        </w:rPr>
        <w:t xml:space="preserve">Should the Commission adopt PG&amp;E’s request to approve 2026 ERRA Forecast revenue requirements for 2026 </w:t>
      </w:r>
      <w:proofErr w:type="spellStart"/>
      <w:r w:rsidRPr="00997F1C">
        <w:rPr>
          <w:rFonts w:eastAsia="Calibri" w:cs="Times New Roman"/>
          <w:color w:val="000000" w:themeColor="text1"/>
        </w:rPr>
        <w:t>ratesetting</w:t>
      </w:r>
      <w:proofErr w:type="spellEnd"/>
      <w:r w:rsidRPr="00997F1C">
        <w:rPr>
          <w:rFonts w:eastAsia="Calibri" w:cs="Times New Roman"/>
          <w:color w:val="000000" w:themeColor="text1"/>
        </w:rPr>
        <w:t xml:space="preserve"> purposes, all as initially forecast in PG&amp;E’s Application and as may be updated through the course of this proceeding, including: </w:t>
      </w:r>
    </w:p>
    <w:p w:rsidRPr="00997F1C" w:rsidR="003E5AEF" w:rsidP="00D737A5" w:rsidRDefault="003E5AEF" w14:paraId="5080E2A3" w14:textId="77777777">
      <w:pPr>
        <w:numPr>
          <w:ilvl w:val="7"/>
          <w:numId w:val="11"/>
        </w:numPr>
        <w:tabs>
          <w:tab w:val="left" w:pos="1440"/>
        </w:tabs>
        <w:spacing w:after="120" w:line="240" w:lineRule="auto"/>
        <w:ind w:left="1440" w:right="1440"/>
        <w:rPr>
          <w:rFonts w:eastAsia="Calibri" w:cs="Times New Roman"/>
          <w:color w:val="000000" w:themeColor="text1"/>
        </w:rPr>
      </w:pPr>
      <w:r w:rsidRPr="00997F1C">
        <w:rPr>
          <w:rFonts w:eastAsia="Calibri" w:cs="Times New Roman"/>
          <w:color w:val="000000" w:themeColor="text1"/>
        </w:rPr>
        <w:t xml:space="preserve">Disposition of PG&amp;E’s forecast December 31, </w:t>
      </w:r>
      <w:proofErr w:type="gramStart"/>
      <w:r w:rsidRPr="00997F1C">
        <w:rPr>
          <w:rFonts w:eastAsia="Calibri" w:cs="Times New Roman"/>
          <w:color w:val="000000" w:themeColor="text1"/>
        </w:rPr>
        <w:t>2025</w:t>
      </w:r>
      <w:proofErr w:type="gramEnd"/>
      <w:r w:rsidRPr="00997F1C">
        <w:rPr>
          <w:rFonts w:eastAsia="Calibri" w:cs="Times New Roman"/>
          <w:color w:val="000000" w:themeColor="text1"/>
        </w:rPr>
        <w:t xml:space="preserve"> year-end balancing account balances, subject to adjustments for recorded balances through the Annual Electric True-up process, and </w:t>
      </w:r>
    </w:p>
    <w:p w:rsidRPr="00997F1C" w:rsidR="003E5AEF" w:rsidP="00D737A5" w:rsidRDefault="003E5AEF" w14:paraId="7B836D6A" w14:textId="77777777">
      <w:pPr>
        <w:numPr>
          <w:ilvl w:val="7"/>
          <w:numId w:val="11"/>
        </w:numPr>
        <w:tabs>
          <w:tab w:val="left" w:pos="1440"/>
        </w:tabs>
        <w:spacing w:after="120" w:line="240" w:lineRule="auto"/>
        <w:ind w:left="1440" w:right="1440"/>
        <w:rPr>
          <w:rFonts w:eastAsia="Calibri" w:cs="Times New Roman"/>
          <w:color w:val="000000" w:themeColor="text1"/>
        </w:rPr>
      </w:pPr>
      <w:r w:rsidRPr="00997F1C">
        <w:rPr>
          <w:rFonts w:eastAsia="Calibri" w:cs="Times New Roman"/>
          <w:color w:val="000000" w:themeColor="text1"/>
        </w:rPr>
        <w:t>Disposition of recorded Voluntary Allocation and Market Offer Memorandum Account (VAMOMA) balances?</w:t>
      </w:r>
    </w:p>
    <w:p w:rsidRPr="00997F1C" w:rsidR="003E5AEF" w:rsidP="00D737A5" w:rsidRDefault="003E5AEF" w14:paraId="7C09726A" w14:textId="77777777">
      <w:pPr>
        <w:numPr>
          <w:ilvl w:val="6"/>
          <w:numId w:val="11"/>
        </w:numPr>
        <w:spacing w:after="120" w:line="240" w:lineRule="auto"/>
        <w:ind w:right="1440"/>
        <w:rPr>
          <w:rFonts w:eastAsia="Calibri" w:cs="Times New Roman"/>
          <w:color w:val="000000" w:themeColor="text1"/>
        </w:rPr>
      </w:pPr>
      <w:r w:rsidRPr="00997F1C">
        <w:rPr>
          <w:rFonts w:eastAsia="Calibri" w:cs="Times New Roman"/>
          <w:color w:val="000000" w:themeColor="text1"/>
        </w:rPr>
        <w:t>Did D.19-10-001 establish a methodology for treatment of pre-2019 banked RECs?  If not, how should PG&amp;E value pre-2019 banked RECs for the purpose of calculating the Power Change Indifference Adjustment (PCIA)?</w:t>
      </w:r>
    </w:p>
    <w:p w:rsidRPr="00997F1C" w:rsidR="003E5AEF" w:rsidP="00D737A5" w:rsidRDefault="003E5AEF" w14:paraId="117756E7" w14:textId="77777777">
      <w:pPr>
        <w:numPr>
          <w:ilvl w:val="6"/>
          <w:numId w:val="11"/>
        </w:numPr>
        <w:spacing w:after="120" w:line="240" w:lineRule="auto"/>
        <w:ind w:right="1440"/>
        <w:rPr>
          <w:rFonts w:eastAsia="Calibri" w:cs="Times New Roman"/>
          <w:color w:val="000000" w:themeColor="text1"/>
        </w:rPr>
      </w:pPr>
      <w:r w:rsidRPr="00997F1C">
        <w:rPr>
          <w:rFonts w:eastAsia="Calibri" w:cs="Times New Roman"/>
          <w:color w:val="000000" w:themeColor="text1"/>
        </w:rPr>
        <w:t>Is PG&amp;E’s proposal to modify its Resource Adequacy (RA) valuation methodology for PCIA ratemaking purposes to account for the Slice-of-Day (</w:t>
      </w:r>
      <w:proofErr w:type="spellStart"/>
      <w:r w:rsidRPr="00997F1C">
        <w:rPr>
          <w:rFonts w:eastAsia="Calibri" w:cs="Times New Roman"/>
          <w:color w:val="000000" w:themeColor="text1"/>
        </w:rPr>
        <w:t>SoD</w:t>
      </w:r>
      <w:proofErr w:type="spellEnd"/>
      <w:r w:rsidRPr="00997F1C">
        <w:rPr>
          <w:rFonts w:eastAsia="Calibri" w:cs="Times New Roman"/>
          <w:color w:val="000000" w:themeColor="text1"/>
        </w:rPr>
        <w:t>) methodology reasonable?  If not, is there another methodology that should be applied instead on an interim basis?</w:t>
      </w:r>
    </w:p>
    <w:p w:rsidRPr="00997F1C" w:rsidR="003E5AEF" w:rsidP="00D737A5" w:rsidRDefault="003E5AEF" w14:paraId="2A4DA247" w14:textId="77777777">
      <w:pPr>
        <w:numPr>
          <w:ilvl w:val="6"/>
          <w:numId w:val="11"/>
        </w:numPr>
        <w:spacing w:after="120" w:line="240" w:lineRule="auto"/>
        <w:ind w:right="1440"/>
        <w:rPr>
          <w:rFonts w:eastAsia="Calibri" w:cs="Times New Roman"/>
          <w:color w:val="000000" w:themeColor="text1"/>
        </w:rPr>
      </w:pPr>
      <w:r w:rsidRPr="00997F1C">
        <w:rPr>
          <w:rFonts w:eastAsia="Calibri" w:cs="Times New Roman"/>
          <w:color w:val="000000" w:themeColor="text1"/>
        </w:rPr>
        <w:t>Should the Commission adopt PG&amp;E’s 2026 electric sales forecast?</w:t>
      </w:r>
    </w:p>
    <w:p w:rsidRPr="00997F1C" w:rsidR="003E5AEF" w:rsidP="00D737A5" w:rsidRDefault="003E5AEF" w14:paraId="7F5746C5" w14:textId="77777777">
      <w:pPr>
        <w:numPr>
          <w:ilvl w:val="6"/>
          <w:numId w:val="11"/>
        </w:numPr>
        <w:spacing w:after="120" w:line="240" w:lineRule="auto"/>
        <w:ind w:right="1440"/>
        <w:rPr>
          <w:rFonts w:eastAsia="Calibri" w:cs="Times New Roman"/>
          <w:color w:val="000000" w:themeColor="text1"/>
        </w:rPr>
      </w:pPr>
      <w:r w:rsidRPr="00997F1C">
        <w:rPr>
          <w:rFonts w:eastAsia="Calibri" w:cs="Times New Roman"/>
          <w:color w:val="000000" w:themeColor="text1"/>
        </w:rPr>
        <w:t>Should the Commission adopt the GHG-related forecasts for 2026 described in the Application?</w:t>
      </w:r>
    </w:p>
    <w:p w:rsidRPr="00997F1C" w:rsidR="003E5AEF" w:rsidP="00D737A5" w:rsidRDefault="003E5AEF" w14:paraId="5242F09F" w14:textId="77777777">
      <w:pPr>
        <w:numPr>
          <w:ilvl w:val="6"/>
          <w:numId w:val="11"/>
        </w:numPr>
        <w:spacing w:after="120" w:line="240" w:lineRule="auto"/>
        <w:ind w:right="1440"/>
        <w:rPr>
          <w:rFonts w:eastAsia="Calibri" w:cs="Times New Roman"/>
          <w:color w:val="000000" w:themeColor="text1"/>
        </w:rPr>
      </w:pPr>
      <w:r w:rsidRPr="00997F1C">
        <w:rPr>
          <w:rFonts w:eastAsia="Calibri" w:cs="Times New Roman"/>
          <w:color w:val="000000" w:themeColor="text1"/>
        </w:rPr>
        <w:t>Were PG&amp;</w:t>
      </w:r>
      <w:proofErr w:type="gramStart"/>
      <w:r w:rsidRPr="00997F1C">
        <w:rPr>
          <w:rFonts w:eastAsia="Calibri" w:cs="Times New Roman"/>
          <w:color w:val="000000" w:themeColor="text1"/>
        </w:rPr>
        <w:t>E’s</w:t>
      </w:r>
      <w:proofErr w:type="gramEnd"/>
      <w:r w:rsidRPr="00997F1C">
        <w:rPr>
          <w:rFonts w:eastAsia="Calibri" w:cs="Times New Roman"/>
          <w:color w:val="000000" w:themeColor="text1"/>
        </w:rPr>
        <w:t xml:space="preserve"> recorded 2024 administrative and outreach expenses of $708,000 reasonable?</w:t>
      </w:r>
    </w:p>
    <w:p w:rsidRPr="00997F1C" w:rsidR="003E5AEF" w:rsidP="00D737A5" w:rsidRDefault="003E5AEF" w14:paraId="6D15E3BE" w14:textId="77777777">
      <w:pPr>
        <w:numPr>
          <w:ilvl w:val="6"/>
          <w:numId w:val="11"/>
        </w:numPr>
        <w:spacing w:after="120" w:line="240" w:lineRule="auto"/>
        <w:ind w:right="1440"/>
        <w:rPr>
          <w:rFonts w:eastAsia="Calibri" w:cs="Times New Roman"/>
          <w:color w:val="000000" w:themeColor="text1"/>
        </w:rPr>
      </w:pPr>
      <w:r w:rsidRPr="00997F1C">
        <w:rPr>
          <w:rFonts w:eastAsia="Calibri" w:cs="Times New Roman"/>
          <w:color w:val="000000" w:themeColor="text1"/>
        </w:rPr>
        <w:lastRenderedPageBreak/>
        <w:t xml:space="preserve">Should the Commission approve PG&amp;E’s rate proposals associated with its proposed total electric </w:t>
      </w:r>
      <w:proofErr w:type="gramStart"/>
      <w:r w:rsidRPr="00997F1C">
        <w:rPr>
          <w:rFonts w:eastAsia="Calibri" w:cs="Times New Roman"/>
          <w:color w:val="000000" w:themeColor="text1"/>
        </w:rPr>
        <w:t>procurement related</w:t>
      </w:r>
      <w:proofErr w:type="gramEnd"/>
      <w:r w:rsidRPr="00997F1C">
        <w:rPr>
          <w:rFonts w:eastAsia="Calibri" w:cs="Times New Roman"/>
          <w:color w:val="000000" w:themeColor="text1"/>
        </w:rPr>
        <w:t xml:space="preserve"> revenue requirements, including its Green Tariff Shared Renewables (GTSR) proposal, to be effective in rates on January 1, 2026?</w:t>
      </w:r>
    </w:p>
    <w:p w:rsidRPr="00997F1C" w:rsidR="002072E7" w:rsidP="00A52D94" w:rsidRDefault="002072E7" w14:paraId="19E99A76" w14:textId="781DDD2B">
      <w:pPr>
        <w:pStyle w:val="ListNum"/>
        <w:numPr>
          <w:ilvl w:val="6"/>
          <w:numId w:val="11"/>
        </w:numPr>
        <w:ind w:right="1440"/>
        <w:rPr>
          <w:rFonts w:eastAsia="Calibri" w:cs="Times New Roman"/>
          <w:color w:val="000000" w:themeColor="text1"/>
        </w:rPr>
      </w:pPr>
      <w:r w:rsidRPr="00997F1C">
        <w:rPr>
          <w:rFonts w:eastAsia="Calibri" w:cs="Times New Roman"/>
          <w:color w:val="000000" w:themeColor="text1"/>
        </w:rPr>
        <w:t>Should the Commission approve following requests from PG&amp;E?</w:t>
      </w:r>
    </w:p>
    <w:p w:rsidRPr="00997F1C" w:rsidR="00386478" w:rsidP="00A52D94" w:rsidRDefault="002072E7" w14:paraId="4156F03A" w14:textId="79689971">
      <w:pPr>
        <w:numPr>
          <w:ilvl w:val="7"/>
          <w:numId w:val="11"/>
        </w:numPr>
        <w:tabs>
          <w:tab w:val="left" w:pos="1440"/>
        </w:tabs>
        <w:spacing w:after="120" w:line="240" w:lineRule="auto"/>
        <w:ind w:left="1440" w:right="1440"/>
        <w:rPr>
          <w:rFonts w:eastAsia="Calibri" w:cs="Times New Roman"/>
          <w:color w:val="000000" w:themeColor="text1"/>
        </w:rPr>
      </w:pPr>
      <w:r w:rsidRPr="00997F1C">
        <w:rPr>
          <w:rFonts w:eastAsia="Calibri" w:cs="Times New Roman"/>
          <w:color w:val="000000" w:themeColor="text1"/>
        </w:rPr>
        <w:t>To acknowledge the overcollection of the ERRA balancing account, and</w:t>
      </w:r>
    </w:p>
    <w:p w:rsidRPr="00997F1C" w:rsidR="00386478" w:rsidP="00A52D94" w:rsidRDefault="002072E7" w14:paraId="5B21B3AD" w14:textId="2A895DB3">
      <w:pPr>
        <w:numPr>
          <w:ilvl w:val="7"/>
          <w:numId w:val="11"/>
        </w:numPr>
        <w:tabs>
          <w:tab w:val="left" w:pos="1440"/>
        </w:tabs>
        <w:spacing w:after="120" w:line="240" w:lineRule="auto"/>
        <w:ind w:left="1440" w:right="1440"/>
        <w:rPr>
          <w:rFonts w:eastAsia="Calibri" w:cs="Times New Roman"/>
          <w:color w:val="000000" w:themeColor="text1"/>
        </w:rPr>
      </w:pPr>
      <w:r w:rsidRPr="00997F1C">
        <w:rPr>
          <w:rFonts w:eastAsia="Calibri" w:cs="Times New Roman"/>
          <w:color w:val="000000" w:themeColor="text1"/>
        </w:rPr>
        <w:t xml:space="preserve">To state that PG&amp;E has complied with the requirements of D.02-10-062 to file an expedited ERRA trigger </w:t>
      </w:r>
      <w:r w:rsidRPr="00997F1C" w:rsidR="00386478">
        <w:rPr>
          <w:rFonts w:eastAsia="Calibri" w:cs="Times New Roman"/>
          <w:color w:val="000000" w:themeColor="text1"/>
        </w:rPr>
        <w:t>a</w:t>
      </w:r>
      <w:r w:rsidRPr="00997F1C">
        <w:rPr>
          <w:rFonts w:eastAsia="Calibri" w:cs="Times New Roman"/>
          <w:color w:val="000000" w:themeColor="text1"/>
        </w:rPr>
        <w:t xml:space="preserve">pplication </w:t>
      </w:r>
      <w:proofErr w:type="gramStart"/>
      <w:r w:rsidRPr="00997F1C">
        <w:rPr>
          <w:rFonts w:eastAsia="Calibri" w:cs="Times New Roman"/>
          <w:color w:val="000000" w:themeColor="text1"/>
        </w:rPr>
        <w:t>as a result of</w:t>
      </w:r>
      <w:proofErr w:type="gramEnd"/>
      <w:r w:rsidRPr="00997F1C">
        <w:rPr>
          <w:rFonts w:eastAsia="Calibri" w:cs="Times New Roman"/>
          <w:color w:val="000000" w:themeColor="text1"/>
        </w:rPr>
        <w:t xml:space="preserve"> the ERRA overcollection being greater than 5 percent. </w:t>
      </w:r>
    </w:p>
    <w:p w:rsidRPr="00997F1C" w:rsidR="003E5AEF" w:rsidP="00A52D94" w:rsidRDefault="003E5AEF" w14:paraId="4B0E27D2" w14:textId="77777777">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177628726" w:id="27"/>
      <w:bookmarkStart w:name="_Toc179212688" w:id="28"/>
      <w:bookmarkStart w:name="_Toc182306089" w:id="29"/>
      <w:bookmarkStart w:name="_Toc182841762" w:id="30"/>
      <w:bookmarkStart w:name="_Toc212561145" w:id="31"/>
      <w:bookmarkStart w:name="_Toc8123721" w:id="32"/>
      <w:bookmarkStart w:name="_Toc217384615" w:id="33"/>
      <w:r w:rsidRPr="00997F1C">
        <w:rPr>
          <w:rFonts w:ascii="Arial" w:hAnsi="Arial" w:eastAsiaTheme="majorEastAsia" w:cstheme="majorBidi"/>
          <w:b/>
          <w:color w:val="000000" w:themeColor="text1"/>
          <w:szCs w:val="32"/>
        </w:rPr>
        <w:t>Revenue Requirement</w:t>
      </w:r>
      <w:bookmarkEnd w:id="27"/>
      <w:bookmarkEnd w:id="28"/>
      <w:bookmarkEnd w:id="29"/>
      <w:bookmarkEnd w:id="30"/>
      <w:bookmarkEnd w:id="31"/>
      <w:bookmarkEnd w:id="33"/>
    </w:p>
    <w:p w:rsidRPr="00997F1C" w:rsidR="003E5AEF" w:rsidP="003E5AEF" w:rsidRDefault="003E5AEF" w14:paraId="791A904E" w14:textId="5162BDB5">
      <w:pPr>
        <w:rPr>
          <w:color w:val="000000" w:themeColor="text1"/>
        </w:rPr>
      </w:pPr>
      <w:r w:rsidRPr="00997F1C">
        <w:rPr>
          <w:color w:val="000000" w:themeColor="text1"/>
        </w:rPr>
        <w:t xml:space="preserve">PG&amp;E forecasts </w:t>
      </w:r>
      <w:r w:rsidRPr="00997F1C" w:rsidR="008401DA">
        <w:rPr>
          <w:color w:val="000000" w:themeColor="text1"/>
        </w:rPr>
        <w:t xml:space="preserve">a </w:t>
      </w:r>
      <w:r w:rsidRPr="00997F1C">
        <w:rPr>
          <w:color w:val="000000" w:themeColor="text1"/>
        </w:rPr>
        <w:t>2026 total net revenue requirement of approximately $3.044 billion.  In Table 1,</w:t>
      </w:r>
      <w:r w:rsidRPr="00997F1C">
        <w:rPr>
          <w:color w:val="000000" w:themeColor="text1"/>
          <w:vertAlign w:val="superscript"/>
        </w:rPr>
        <w:footnoteReference w:id="7"/>
      </w:r>
      <w:r w:rsidRPr="00997F1C">
        <w:rPr>
          <w:color w:val="000000" w:themeColor="text1"/>
        </w:rPr>
        <w:t xml:space="preserve"> PG&amp;E summarized its revenue requirement request as the sum of eight accounts with positive values, reduced by negative values of two accounts for which PG&amp;E expects to recover costs in other proceedings.  </w:t>
      </w:r>
    </w:p>
    <w:p w:rsidRPr="00997F1C" w:rsidR="003E5AEF" w:rsidP="003E5AEF" w:rsidRDefault="003E5AEF" w14:paraId="0B1F0B8E" w14:textId="30F306CB">
      <w:pPr>
        <w:keepNext/>
        <w:spacing w:after="240" w:line="240" w:lineRule="auto"/>
        <w:ind w:firstLine="0"/>
        <w:jc w:val="center"/>
        <w:rPr>
          <w:b/>
          <w:bCs/>
          <w:i/>
          <w:iCs/>
          <w:color w:val="000000" w:themeColor="text1"/>
          <w:szCs w:val="26"/>
        </w:rPr>
      </w:pPr>
      <w:bookmarkStart w:name="_Hlk176769601" w:id="34"/>
      <w:r w:rsidRPr="00997F1C">
        <w:rPr>
          <w:b/>
          <w:bCs/>
          <w:color w:val="000000" w:themeColor="text1"/>
          <w:szCs w:val="26"/>
        </w:rPr>
        <w:t xml:space="preserve">Table </w:t>
      </w:r>
      <w:r w:rsidRPr="00997F1C">
        <w:rPr>
          <w:b/>
          <w:bCs/>
          <w:color w:val="000000" w:themeColor="text1"/>
          <w:szCs w:val="26"/>
        </w:rPr>
        <w:fldChar w:fldCharType="begin"/>
      </w:r>
      <w:r w:rsidRPr="00997F1C">
        <w:rPr>
          <w:b/>
          <w:bCs/>
          <w:color w:val="000000" w:themeColor="text1"/>
          <w:szCs w:val="26"/>
        </w:rPr>
        <w:instrText xml:space="preserve"> SEQ Table \* ARABIC </w:instrText>
      </w:r>
      <w:r w:rsidRPr="00997F1C">
        <w:rPr>
          <w:b/>
          <w:bCs/>
          <w:color w:val="000000" w:themeColor="text1"/>
          <w:szCs w:val="26"/>
        </w:rPr>
        <w:fldChar w:fldCharType="separate"/>
      </w:r>
      <w:r w:rsidR="00A93519">
        <w:rPr>
          <w:b/>
          <w:bCs/>
          <w:noProof/>
          <w:color w:val="000000" w:themeColor="text1"/>
          <w:szCs w:val="26"/>
        </w:rPr>
        <w:t>1</w:t>
      </w:r>
      <w:r w:rsidRPr="00997F1C">
        <w:rPr>
          <w:b/>
          <w:bCs/>
          <w:noProof/>
          <w:color w:val="000000" w:themeColor="text1"/>
          <w:szCs w:val="26"/>
        </w:rPr>
        <w:fldChar w:fldCharType="end"/>
      </w:r>
      <w:r w:rsidRPr="00997F1C">
        <w:rPr>
          <w:b/>
          <w:bCs/>
          <w:color w:val="000000" w:themeColor="text1"/>
          <w:szCs w:val="26"/>
        </w:rPr>
        <w:t>: 2026 Revenue Requirement (in thousands)</w:t>
      </w:r>
    </w:p>
    <w:bookmarkEnd w:id="34"/>
    <w:tbl>
      <w:tblPr>
        <w:tblW w:w="0" w:type="auto"/>
        <w:tblInd w:w="-5" w:type="dxa"/>
        <w:tblCellMar>
          <w:top w:w="58" w:type="dxa"/>
          <w:bottom w:w="58" w:type="dxa"/>
        </w:tblCellMar>
        <w:tblLook w:val="04A0" w:firstRow="1" w:lastRow="0" w:firstColumn="1" w:lastColumn="0" w:noHBand="0" w:noVBand="1"/>
      </w:tblPr>
      <w:tblGrid>
        <w:gridCol w:w="5577"/>
        <w:gridCol w:w="2073"/>
        <w:gridCol w:w="1705"/>
      </w:tblGrid>
      <w:tr w:rsidRPr="00997F1C" w:rsidR="00997F1C" w:rsidTr="00BB5F01" w14:paraId="490F9102" w14:textId="77777777">
        <w:trPr>
          <w:trHeight w:val="348"/>
          <w:tblHeader/>
        </w:trPr>
        <w:tc>
          <w:tcPr>
            <w:tcW w:w="5577" w:type="dxa"/>
            <w:tcBorders>
              <w:top w:val="single" w:color="auto" w:sz="4" w:space="0"/>
              <w:left w:val="single" w:color="auto" w:sz="4" w:space="0"/>
              <w:bottom w:val="single" w:color="auto" w:sz="4" w:space="0"/>
              <w:right w:val="single" w:color="auto" w:sz="4" w:space="0"/>
            </w:tcBorders>
            <w:vAlign w:val="center"/>
            <w:hideMark/>
          </w:tcPr>
          <w:p w:rsidRPr="00997F1C" w:rsidR="003E5AEF" w:rsidP="003E5AEF" w:rsidRDefault="003E5AEF" w14:paraId="410B0CF2" w14:textId="77777777">
            <w:pPr>
              <w:keepNext/>
              <w:spacing w:line="240" w:lineRule="auto"/>
              <w:ind w:firstLine="0"/>
              <w:jc w:val="center"/>
              <w:rPr>
                <w:rFonts w:eastAsia="Times New Roman" w:cs="Calibri"/>
                <w:color w:val="000000" w:themeColor="text1"/>
                <w:szCs w:val="26"/>
              </w:rPr>
            </w:pPr>
          </w:p>
        </w:tc>
        <w:tc>
          <w:tcPr>
            <w:tcW w:w="2073" w:type="dxa"/>
            <w:tcBorders>
              <w:top w:val="single" w:color="auto" w:sz="4" w:space="0"/>
              <w:left w:val="nil"/>
              <w:bottom w:val="single" w:color="auto" w:sz="4" w:space="0"/>
              <w:right w:val="single" w:color="auto" w:sz="4" w:space="0"/>
            </w:tcBorders>
            <w:vAlign w:val="center"/>
            <w:hideMark/>
          </w:tcPr>
          <w:p w:rsidRPr="00997F1C" w:rsidR="003E5AEF" w:rsidP="003E5AEF" w:rsidRDefault="003E5AEF" w14:paraId="5FFC68E5" w14:textId="77777777">
            <w:pPr>
              <w:keepNext/>
              <w:spacing w:line="240" w:lineRule="auto"/>
              <w:ind w:firstLine="0"/>
              <w:jc w:val="center"/>
              <w:rPr>
                <w:rFonts w:eastAsia="Times New Roman" w:cs="Calibri"/>
                <w:b/>
                <w:bCs/>
                <w:color w:val="000000" w:themeColor="text1"/>
                <w:szCs w:val="26"/>
              </w:rPr>
            </w:pPr>
            <w:r w:rsidRPr="00997F1C">
              <w:rPr>
                <w:rFonts w:eastAsia="Times New Roman" w:cs="Calibri"/>
                <w:b/>
                <w:bCs/>
                <w:color w:val="000000" w:themeColor="text1"/>
                <w:szCs w:val="26"/>
              </w:rPr>
              <w:t>Application</w:t>
            </w:r>
          </w:p>
        </w:tc>
        <w:bookmarkStart w:name="RANGE!C5" w:id="35"/>
        <w:tc>
          <w:tcPr>
            <w:tcW w:w="1705" w:type="dxa"/>
            <w:tcBorders>
              <w:top w:val="single" w:color="auto" w:sz="4" w:space="0"/>
              <w:left w:val="nil"/>
              <w:bottom w:val="single" w:color="auto" w:sz="4" w:space="0"/>
              <w:right w:val="single" w:color="auto" w:sz="4" w:space="0"/>
            </w:tcBorders>
            <w:vAlign w:val="center"/>
            <w:hideMark/>
          </w:tcPr>
          <w:p w:rsidRPr="00997F1C" w:rsidR="003E5AEF" w:rsidP="003E5AEF" w:rsidRDefault="003E5AEF" w14:paraId="7150EFE1" w14:textId="03B8DCA8">
            <w:pPr>
              <w:keepNext/>
              <w:spacing w:line="240" w:lineRule="auto"/>
              <w:ind w:firstLine="0"/>
              <w:jc w:val="center"/>
              <w:rPr>
                <w:rFonts w:eastAsia="Times New Roman" w:cs="Calibri"/>
                <w:b/>
                <w:bCs/>
                <w:color w:val="000000" w:themeColor="text1"/>
                <w:szCs w:val="26"/>
              </w:rPr>
            </w:pPr>
            <w:r w:rsidRPr="00997F1C">
              <w:rPr>
                <w:rFonts w:eastAsia="Times New Roman" w:cs="Calibri"/>
                <w:b/>
                <w:bCs/>
                <w:color w:val="000000" w:themeColor="text1"/>
                <w:szCs w:val="26"/>
              </w:rPr>
              <w:fldChar w:fldCharType="begin"/>
            </w:r>
            <w:r w:rsidRPr="00997F1C">
              <w:rPr>
                <w:rFonts w:eastAsia="Times New Roman" w:cs="Calibri"/>
                <w:b/>
                <w:bCs/>
                <w:color w:val="000000" w:themeColor="text1"/>
                <w:szCs w:val="26"/>
              </w:rPr>
              <w:instrText>HYPERLINK "file:///C:\\Users\\EF1\\AppData\\Local\\Microsoft\\Windows\\INetCache\\Content.MSO\\7E937D41.xlsx" \l "RANGE!#REF!"</w:instrText>
            </w:r>
            <w:r w:rsidRPr="00997F1C">
              <w:rPr>
                <w:rFonts w:eastAsia="Times New Roman" w:cs="Calibri"/>
                <w:b/>
                <w:bCs/>
                <w:color w:val="000000" w:themeColor="text1"/>
                <w:szCs w:val="26"/>
              </w:rPr>
            </w:r>
            <w:r w:rsidRPr="00997F1C">
              <w:rPr>
                <w:rFonts w:eastAsia="Times New Roman" w:cs="Calibri"/>
                <w:b/>
                <w:bCs/>
                <w:color w:val="000000" w:themeColor="text1"/>
                <w:szCs w:val="26"/>
              </w:rPr>
              <w:fldChar w:fldCharType="separate"/>
            </w:r>
            <w:r w:rsidRPr="00997F1C">
              <w:rPr>
                <w:rFonts w:eastAsia="Times New Roman" w:cs="Calibri"/>
                <w:b/>
                <w:bCs/>
                <w:color w:val="000000" w:themeColor="text1"/>
                <w:szCs w:val="26"/>
              </w:rPr>
              <w:t>Fall Update</w:t>
            </w:r>
            <w:r w:rsidRPr="00997F1C">
              <w:rPr>
                <w:rFonts w:eastAsia="Times New Roman" w:cs="Calibri"/>
                <w:b/>
                <w:bCs/>
                <w:color w:val="000000" w:themeColor="text1"/>
                <w:szCs w:val="26"/>
              </w:rPr>
              <w:fldChar w:fldCharType="end"/>
            </w:r>
            <w:bookmarkEnd w:id="35"/>
            <w:r w:rsidRPr="00997F1C" w:rsidR="00FD151C">
              <w:rPr>
                <w:rStyle w:val="FootnoteReference"/>
                <w:rFonts w:eastAsia="Times New Roman" w:cs="Calibri"/>
                <w:b/>
                <w:bCs/>
                <w:color w:val="000000" w:themeColor="text1"/>
                <w:szCs w:val="26"/>
              </w:rPr>
              <w:footnoteReference w:id="8"/>
            </w:r>
          </w:p>
        </w:tc>
      </w:tr>
      <w:bookmarkStart w:name="RANGE!A6" w:id="36"/>
      <w:tr w:rsidRPr="00997F1C" w:rsidR="00997F1C" w:rsidTr="00BB5F01" w14:paraId="0E759929" w14:textId="77777777">
        <w:trPr>
          <w:trHeight w:val="22"/>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753AE6B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fldChar w:fldCharType="begin"/>
            </w:r>
            <w:r w:rsidRPr="00997F1C">
              <w:rPr>
                <w:rFonts w:eastAsia="Times New Roman" w:cs="Calibri"/>
                <w:color w:val="000000" w:themeColor="text1"/>
                <w:szCs w:val="26"/>
              </w:rPr>
              <w:instrText>HYPERLINK "file:///C:\\Users\\EF1\\AppData\\Local\\Microsoft\\Windows\\INetCache\\Content.MSO\\7E937D41.xlsx" \l "RANGE!#REF!"</w:instrText>
            </w:r>
            <w:r w:rsidRPr="00997F1C">
              <w:rPr>
                <w:rFonts w:eastAsia="Times New Roman" w:cs="Calibri"/>
                <w:color w:val="000000" w:themeColor="text1"/>
                <w:szCs w:val="26"/>
              </w:rPr>
            </w:r>
            <w:r w:rsidRPr="00997F1C">
              <w:rPr>
                <w:rFonts w:eastAsia="Times New Roman" w:cs="Calibri"/>
                <w:color w:val="000000" w:themeColor="text1"/>
                <w:szCs w:val="26"/>
              </w:rPr>
              <w:fldChar w:fldCharType="separate"/>
            </w:r>
            <w:r w:rsidRPr="00997F1C">
              <w:rPr>
                <w:rFonts w:eastAsia="Times New Roman" w:cs="Calibri"/>
                <w:color w:val="000000" w:themeColor="text1"/>
                <w:szCs w:val="26"/>
              </w:rPr>
              <w:t>Cost Allocation Mechanism (CAM) and New System Generation Charge</w:t>
            </w:r>
            <w:r w:rsidRPr="00997F1C">
              <w:rPr>
                <w:rFonts w:eastAsia="Times New Roman" w:cs="Calibri"/>
                <w:color w:val="000000" w:themeColor="text1"/>
                <w:szCs w:val="26"/>
              </w:rPr>
              <w:fldChar w:fldCharType="end"/>
            </w:r>
            <w:bookmarkEnd w:id="36"/>
          </w:p>
        </w:tc>
        <w:tc>
          <w:tcPr>
            <w:tcW w:w="2073" w:type="dxa"/>
            <w:tcBorders>
              <w:top w:val="nil"/>
              <w:left w:val="nil"/>
              <w:bottom w:val="single" w:color="auto" w:sz="4" w:space="0"/>
              <w:right w:val="single" w:color="auto" w:sz="4" w:space="0"/>
            </w:tcBorders>
            <w:vAlign w:val="center"/>
          </w:tcPr>
          <w:p w:rsidRPr="00997F1C" w:rsidR="003E5AEF" w:rsidP="003E5AEF" w:rsidRDefault="003E5AEF" w14:paraId="6FB3123D"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$217,427</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43CF9AE2"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 xml:space="preserve">$372,790 </w:t>
            </w:r>
          </w:p>
        </w:tc>
      </w:tr>
      <w:tr w:rsidRPr="00997F1C" w:rsidR="00997F1C" w:rsidTr="00BB5F01" w14:paraId="47A790CC" w14:textId="77777777">
        <w:trPr>
          <w:trHeight w:val="348"/>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50817131"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Voluntary Allocation Market Offer Memorandum Account</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10E04097"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$320</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061AA7E4"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 xml:space="preserve">$654 </w:t>
            </w:r>
          </w:p>
        </w:tc>
      </w:tr>
      <w:tr w:rsidRPr="00997F1C" w:rsidR="00997F1C" w:rsidTr="00BB5F01" w14:paraId="3FEE0148" w14:textId="77777777">
        <w:trPr>
          <w:trHeight w:val="348"/>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026ABA14"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Power Charge Indifference Adjustment (PCIA)</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53714E2E"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$815,274</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3CD12E67" w14:textId="29A16FD2">
            <w:pPr>
              <w:spacing w:line="240" w:lineRule="auto"/>
              <w:ind w:firstLine="0"/>
              <w:jc w:val="right"/>
              <w:rPr>
                <w:rFonts w:eastAsia="Times New Roman" w:cs="Calibri"/>
                <w:color w:val="000000" w:themeColor="text1"/>
                <w:szCs w:val="26"/>
              </w:rPr>
            </w:pPr>
            <w:r w:rsidRPr="00997F1C">
              <w:rPr>
                <w:rFonts w:cs="Calibri"/>
                <w:color w:val="000000" w:themeColor="text1"/>
                <w:szCs w:val="26"/>
              </w:rPr>
              <w:t>$</w:t>
            </w:r>
            <w:r w:rsidRPr="00997F1C" w:rsidR="007754BF">
              <w:rPr>
                <w:rFonts w:cs="Calibri"/>
                <w:color w:val="000000" w:themeColor="text1"/>
                <w:szCs w:val="26"/>
              </w:rPr>
              <w:t>1,098,402</w:t>
            </w:r>
          </w:p>
        </w:tc>
      </w:tr>
      <w:tr w:rsidRPr="00997F1C" w:rsidR="00997F1C" w:rsidTr="00BB5F01" w14:paraId="7F8BF88A" w14:textId="77777777">
        <w:trPr>
          <w:trHeight w:val="348"/>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28B3F529"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Ongoing Competition Transition Charge (CTC)</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1AD0DCBF"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($26,941)</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59B13D5D"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 xml:space="preserve">$33,736 </w:t>
            </w:r>
          </w:p>
        </w:tc>
      </w:tr>
      <w:tr w:rsidRPr="00997F1C" w:rsidR="00997F1C" w:rsidTr="00BB5F01" w14:paraId="2E1CA35E" w14:textId="77777777">
        <w:trPr>
          <w:trHeight w:val="348"/>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37CACB95"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lastRenderedPageBreak/>
              <w:t>Energy Resource Recovery Account (ERRA) – Main</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79F0D9EF"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$2,958,889</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27E5989E"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 xml:space="preserve">$2,951,883 </w:t>
            </w:r>
          </w:p>
        </w:tc>
      </w:tr>
      <w:tr w:rsidRPr="00997F1C" w:rsidR="00997F1C" w:rsidTr="00BB5F01" w14:paraId="7325053B" w14:textId="77777777">
        <w:trPr>
          <w:trHeight w:val="348"/>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1BB408F2"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Public Policy Charge Procurement</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64C7DD71"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($2,546)</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6287145C"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($1,723)</w:t>
            </w:r>
          </w:p>
        </w:tc>
      </w:tr>
      <w:tr w:rsidRPr="00997F1C" w:rsidR="00997F1C" w:rsidTr="00BB5F01" w14:paraId="044148A7" w14:textId="77777777">
        <w:trPr>
          <w:trHeight w:val="22"/>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6E46934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Tree Mortality Non-</w:t>
            </w:r>
            <w:proofErr w:type="spellStart"/>
            <w:proofErr w:type="gramStart"/>
            <w:r w:rsidRPr="00997F1C">
              <w:rPr>
                <w:rFonts w:eastAsia="Times New Roman" w:cs="Calibri"/>
                <w:color w:val="000000" w:themeColor="text1"/>
                <w:szCs w:val="26"/>
              </w:rPr>
              <w:t>bypassable</w:t>
            </w:r>
            <w:proofErr w:type="spellEnd"/>
            <w:proofErr w:type="gramEnd"/>
            <w:r w:rsidRPr="00997F1C">
              <w:rPr>
                <w:rFonts w:eastAsia="Times New Roman" w:cs="Calibri"/>
                <w:color w:val="000000" w:themeColor="text1"/>
                <w:szCs w:val="26"/>
              </w:rPr>
              <w:t xml:space="preserve"> Charge</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248D0BE5"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$41,412</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520E28D5"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 xml:space="preserve">$41,579 </w:t>
            </w:r>
          </w:p>
        </w:tc>
      </w:tr>
      <w:tr w:rsidRPr="00997F1C" w:rsidR="00997F1C" w:rsidTr="00BB5F01" w14:paraId="4E628FE8" w14:textId="77777777">
        <w:trPr>
          <w:trHeight w:val="348"/>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578CD6E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Bioenergy Market Adjusting Tariff</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511D4A83"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$10,873</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6BC06153"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 xml:space="preserve">$13,763 </w:t>
            </w:r>
          </w:p>
        </w:tc>
      </w:tr>
      <w:tr w:rsidRPr="00997F1C" w:rsidR="00997F1C" w:rsidTr="00BB5F01" w14:paraId="0D317362" w14:textId="77777777">
        <w:trPr>
          <w:trHeight w:val="348"/>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3637A0B5"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Gross Revenue Requirement</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0F1D0909" w14:textId="77777777">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$4,014,709</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67F06A78" w14:textId="314BA1C2">
            <w:pPr>
              <w:spacing w:line="240" w:lineRule="auto"/>
              <w:ind w:firstLine="0"/>
              <w:jc w:val="right"/>
              <w:rPr>
                <w:rFonts w:eastAsia="Times New Roman" w:cs="Calibri"/>
                <w:color w:val="000000" w:themeColor="text1"/>
                <w:szCs w:val="26"/>
              </w:rPr>
            </w:pPr>
            <w:r w:rsidRPr="00997F1C">
              <w:rPr>
                <w:rFonts w:cs="Calibri"/>
                <w:b/>
                <w:bCs/>
                <w:color w:val="000000" w:themeColor="text1"/>
                <w:szCs w:val="26"/>
              </w:rPr>
              <w:t>$</w:t>
            </w:r>
            <w:r w:rsidRPr="00997F1C" w:rsidR="00FF0ADE">
              <w:rPr>
                <w:color w:val="000000" w:themeColor="text1"/>
              </w:rPr>
              <w:t xml:space="preserve"> </w:t>
            </w:r>
            <w:r w:rsidRPr="00997F1C" w:rsidR="00FF0ADE">
              <w:rPr>
                <w:rFonts w:cs="Calibri"/>
                <w:b/>
                <w:bCs/>
                <w:color w:val="000000" w:themeColor="text1"/>
                <w:szCs w:val="26"/>
              </w:rPr>
              <w:t>4,511,083</w:t>
            </w:r>
          </w:p>
        </w:tc>
      </w:tr>
      <w:tr w:rsidRPr="00997F1C" w:rsidR="00997F1C" w14:paraId="32886F3F" w14:textId="77777777">
        <w:trPr>
          <w:trHeight w:val="296"/>
        </w:trPr>
        <w:tc>
          <w:tcPr>
            <w:tcW w:w="0" w:type="auto"/>
            <w:gridSpan w:val="3"/>
            <w:tcBorders>
              <w:top w:val="nil"/>
              <w:left w:val="single" w:color="auto" w:sz="4" w:space="0"/>
              <w:bottom w:val="single" w:color="auto" w:sz="4" w:space="0"/>
              <w:right w:val="single" w:color="auto" w:sz="4" w:space="0"/>
            </w:tcBorders>
            <w:vAlign w:val="center"/>
            <w:hideMark/>
          </w:tcPr>
          <w:p w:rsidRPr="00997F1C" w:rsidR="003E5AEF" w:rsidP="003E5AEF" w:rsidRDefault="003E5AEF" w14:paraId="3D243EC2"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Adjustments for Revenue Requirements Authorized in Other Proceedings</w:t>
            </w:r>
          </w:p>
        </w:tc>
      </w:tr>
      <w:tr w:rsidRPr="00997F1C" w:rsidR="00997F1C" w:rsidTr="00BB5F01" w14:paraId="4295BBC6" w14:textId="77777777">
        <w:trPr>
          <w:trHeight w:val="348"/>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3720846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Utility-Owned Generation – Related Costs</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758425F4"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($1,303,065)</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69B0E6DE" w14:textId="77777777">
            <w:pPr>
              <w:spacing w:line="240" w:lineRule="auto"/>
              <w:ind w:firstLine="0"/>
              <w:jc w:val="right"/>
              <w:rPr>
                <w:rFonts w:eastAsia="Times New Roman" w:cs="Calibri"/>
                <w:b/>
                <w:bCs/>
                <w:color w:val="000000" w:themeColor="text1"/>
                <w:szCs w:val="26"/>
              </w:rPr>
            </w:pPr>
            <w:r w:rsidRPr="00997F1C">
              <w:rPr>
                <w:rFonts w:cs="Calibri"/>
                <w:color w:val="000000" w:themeColor="text1"/>
                <w:szCs w:val="26"/>
              </w:rPr>
              <w:t>($1,231,267)</w:t>
            </w:r>
          </w:p>
        </w:tc>
      </w:tr>
      <w:tr w:rsidRPr="00997F1C" w:rsidR="00997F1C" w:rsidTr="00BB5F01" w14:paraId="03380B07" w14:textId="77777777">
        <w:trPr>
          <w:trHeight w:val="348"/>
        </w:trPr>
        <w:tc>
          <w:tcPr>
            <w:tcW w:w="5577" w:type="dxa"/>
            <w:tcBorders>
              <w:top w:val="nil"/>
              <w:left w:val="single" w:color="auto" w:sz="4" w:space="0"/>
              <w:bottom w:val="single" w:color="auto" w:sz="4" w:space="0"/>
              <w:right w:val="single" w:color="auto" w:sz="4" w:space="0"/>
            </w:tcBorders>
            <w:vAlign w:val="center"/>
            <w:hideMark/>
          </w:tcPr>
          <w:p w:rsidRPr="00997F1C" w:rsidR="003E5AEF" w:rsidP="003E5AEF" w:rsidRDefault="003E5AEF" w14:paraId="05516EB4" w14:textId="77777777">
            <w:pPr>
              <w:keepLines/>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xml:space="preserve">Residential </w:t>
            </w:r>
            <w:proofErr w:type="spellStart"/>
            <w:r w:rsidRPr="00997F1C">
              <w:rPr>
                <w:rFonts w:eastAsia="Times New Roman" w:cs="Calibri"/>
                <w:color w:val="000000" w:themeColor="text1"/>
                <w:szCs w:val="26"/>
              </w:rPr>
              <w:t>Uncollectibles</w:t>
            </w:r>
            <w:proofErr w:type="spellEnd"/>
            <w:r w:rsidRPr="00997F1C">
              <w:rPr>
                <w:rFonts w:eastAsia="Times New Roman" w:cs="Calibri"/>
                <w:color w:val="000000" w:themeColor="text1"/>
                <w:szCs w:val="26"/>
              </w:rPr>
              <w:t xml:space="preserve"> Balancing Account (RUBA-E)</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2010A5B7"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($6,517)</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39B22B68" w14:textId="77777777">
            <w:pPr>
              <w:spacing w:line="240" w:lineRule="auto"/>
              <w:ind w:firstLine="0"/>
              <w:jc w:val="right"/>
              <w:rPr>
                <w:rFonts w:eastAsia="Times New Roman" w:cs="Calibri"/>
                <w:b/>
                <w:bCs/>
                <w:color w:val="000000" w:themeColor="text1"/>
                <w:szCs w:val="26"/>
              </w:rPr>
            </w:pPr>
            <w:r w:rsidRPr="00997F1C">
              <w:rPr>
                <w:rFonts w:cs="Calibri"/>
                <w:color w:val="000000" w:themeColor="text1"/>
                <w:szCs w:val="26"/>
              </w:rPr>
              <w:t>($19,119)</w:t>
            </w:r>
          </w:p>
        </w:tc>
      </w:tr>
      <w:tr w:rsidRPr="00997F1C" w:rsidR="00997F1C" w:rsidTr="00BB5F01" w14:paraId="1FA44E18" w14:textId="77777777">
        <w:trPr>
          <w:trHeight w:val="348"/>
        </w:trPr>
        <w:tc>
          <w:tcPr>
            <w:tcW w:w="5577" w:type="dxa"/>
            <w:tcBorders>
              <w:top w:val="nil"/>
              <w:left w:val="single" w:color="auto" w:sz="4" w:space="0"/>
              <w:bottom w:val="single" w:color="auto" w:sz="4" w:space="0"/>
              <w:right w:val="single" w:color="auto" w:sz="4" w:space="0"/>
            </w:tcBorders>
            <w:vAlign w:val="center"/>
          </w:tcPr>
          <w:p w:rsidRPr="00997F1C" w:rsidR="003E5AEF" w:rsidP="003E5AEF" w:rsidRDefault="003E5AEF" w14:paraId="180BC1A5" w14:textId="77777777">
            <w:pPr>
              <w:keepLines/>
              <w:spacing w:line="240" w:lineRule="auto"/>
              <w:ind w:firstLine="0"/>
              <w:rPr>
                <w:rFonts w:eastAsia="Times New Roman" w:cs="Calibri"/>
                <w:color w:val="000000" w:themeColor="text1"/>
                <w:szCs w:val="26"/>
              </w:rPr>
            </w:pPr>
            <w:r w:rsidRPr="00997F1C">
              <w:rPr>
                <w:rFonts w:eastAsia="Times New Roman" w:cs="Calibri"/>
                <w:b/>
                <w:bCs/>
                <w:color w:val="000000" w:themeColor="text1"/>
                <w:szCs w:val="26"/>
              </w:rPr>
              <w:t>Subtotal of Adjustments</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16108FF8"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($1,309,582)</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146FC9FB" w14:textId="77777777">
            <w:pPr>
              <w:spacing w:line="240" w:lineRule="auto"/>
              <w:ind w:firstLine="0"/>
              <w:jc w:val="right"/>
              <w:rPr>
                <w:rFonts w:eastAsia="Times New Roman" w:cs="Calibri"/>
                <w:b/>
                <w:bCs/>
                <w:color w:val="000000" w:themeColor="text1"/>
                <w:szCs w:val="26"/>
              </w:rPr>
            </w:pPr>
            <w:r w:rsidRPr="00997F1C">
              <w:rPr>
                <w:rFonts w:cs="Calibri"/>
                <w:color w:val="000000" w:themeColor="text1"/>
                <w:szCs w:val="26"/>
              </w:rPr>
              <w:t>($1,250,386)</w:t>
            </w:r>
          </w:p>
        </w:tc>
      </w:tr>
      <w:tr w:rsidRPr="00997F1C" w:rsidR="00997F1C" w:rsidTr="00BB5F01" w14:paraId="58204467" w14:textId="77777777">
        <w:trPr>
          <w:trHeight w:val="22"/>
        </w:trPr>
        <w:tc>
          <w:tcPr>
            <w:tcW w:w="5577" w:type="dxa"/>
            <w:tcBorders>
              <w:top w:val="nil"/>
              <w:left w:val="single" w:color="auto" w:sz="4" w:space="0"/>
              <w:bottom w:val="single" w:color="auto" w:sz="4" w:space="0"/>
              <w:right w:val="single" w:color="auto" w:sz="4" w:space="0"/>
            </w:tcBorders>
            <w:vAlign w:val="center"/>
          </w:tcPr>
          <w:p w:rsidRPr="00997F1C" w:rsidR="003E5AEF" w:rsidP="003E5AEF" w:rsidRDefault="003E5AEF" w14:paraId="7D54B320" w14:textId="77777777">
            <w:pPr>
              <w:keepLines/>
              <w:spacing w:line="240" w:lineRule="auto"/>
              <w:ind w:firstLine="0"/>
              <w:rPr>
                <w:rFonts w:eastAsia="Times New Roman" w:cs="Calibri"/>
                <w:color w:val="000000" w:themeColor="text1"/>
                <w:szCs w:val="26"/>
              </w:rPr>
            </w:pPr>
            <w:r w:rsidRPr="00997F1C">
              <w:rPr>
                <w:rFonts w:eastAsia="Times New Roman" w:cs="Calibri"/>
                <w:b/>
                <w:bCs/>
                <w:color w:val="000000" w:themeColor="text1"/>
                <w:szCs w:val="26"/>
              </w:rPr>
              <w:t>Net Revenue Requirement Requested in Application</w:t>
            </w:r>
          </w:p>
        </w:tc>
        <w:tc>
          <w:tcPr>
            <w:tcW w:w="2073" w:type="dxa"/>
            <w:tcBorders>
              <w:top w:val="nil"/>
              <w:left w:val="nil"/>
              <w:bottom w:val="single" w:color="auto" w:sz="4" w:space="0"/>
              <w:right w:val="single" w:color="auto" w:sz="4" w:space="0"/>
            </w:tcBorders>
            <w:vAlign w:val="center"/>
          </w:tcPr>
          <w:p w:rsidRPr="00997F1C" w:rsidR="003E5AEF" w:rsidP="003E5AEF" w:rsidRDefault="003E5AEF" w14:paraId="3568CC9C" w14:textId="77777777">
            <w:pPr>
              <w:spacing w:line="240" w:lineRule="auto"/>
              <w:ind w:firstLine="0"/>
              <w:jc w:val="right"/>
              <w:rPr>
                <w:rFonts w:eastAsia="Times New Roman" w:cs="Calibri"/>
                <w:color w:val="000000" w:themeColor="text1"/>
                <w:szCs w:val="26"/>
              </w:rPr>
            </w:pPr>
            <w:r w:rsidRPr="00997F1C">
              <w:rPr>
                <w:rFonts w:eastAsia="Times New Roman" w:cs="Calibri"/>
                <w:b/>
                <w:bCs/>
                <w:color w:val="000000" w:themeColor="text1"/>
                <w:szCs w:val="26"/>
              </w:rPr>
              <w:t>$2,705,127</w:t>
            </w:r>
          </w:p>
        </w:tc>
        <w:tc>
          <w:tcPr>
            <w:tcW w:w="1705" w:type="dxa"/>
            <w:tcBorders>
              <w:top w:val="nil"/>
              <w:left w:val="nil"/>
              <w:bottom w:val="single" w:color="auto" w:sz="4" w:space="0"/>
              <w:right w:val="single" w:color="auto" w:sz="4" w:space="0"/>
            </w:tcBorders>
            <w:vAlign w:val="center"/>
          </w:tcPr>
          <w:p w:rsidRPr="00997F1C" w:rsidR="003E5AEF" w:rsidP="003E5AEF" w:rsidRDefault="003E5AEF" w14:paraId="107E4B6D" w14:textId="5960F3B4">
            <w:pPr>
              <w:spacing w:line="240" w:lineRule="auto"/>
              <w:ind w:firstLine="0"/>
              <w:jc w:val="right"/>
              <w:rPr>
                <w:rFonts w:eastAsia="Times New Roman" w:cs="Calibri"/>
                <w:b/>
                <w:bCs/>
                <w:color w:val="000000" w:themeColor="text1"/>
                <w:szCs w:val="26"/>
              </w:rPr>
            </w:pPr>
            <w:r w:rsidRPr="00997F1C">
              <w:rPr>
                <w:rFonts w:cs="Calibri"/>
                <w:b/>
                <w:bCs/>
                <w:color w:val="000000" w:themeColor="text1"/>
                <w:szCs w:val="26"/>
              </w:rPr>
              <w:t>$</w:t>
            </w:r>
            <w:r w:rsidRPr="00997F1C" w:rsidR="00B036D4">
              <w:rPr>
                <w:rFonts w:cs="Calibri"/>
                <w:b/>
                <w:bCs/>
                <w:color w:val="000000" w:themeColor="text1"/>
                <w:szCs w:val="26"/>
              </w:rPr>
              <w:t>3,260,69</w:t>
            </w:r>
            <w:r w:rsidRPr="00997F1C" w:rsidR="00E83B88">
              <w:rPr>
                <w:rFonts w:cs="Calibri"/>
                <w:b/>
                <w:bCs/>
                <w:color w:val="000000" w:themeColor="text1"/>
                <w:szCs w:val="26"/>
              </w:rPr>
              <w:t>8</w:t>
            </w:r>
          </w:p>
        </w:tc>
      </w:tr>
    </w:tbl>
    <w:p w:rsidR="003E5AEF" w:rsidP="00A93519" w:rsidRDefault="003E5AEF" w14:paraId="68ECF8E9" w14:textId="6ED0E7D3">
      <w:pPr>
        <w:pStyle w:val="Standard"/>
        <w:spacing w:before="120"/>
        <w:rPr>
          <w:color w:val="000000" w:themeColor="text1"/>
        </w:rPr>
      </w:pPr>
      <w:r w:rsidRPr="00997F1C">
        <w:rPr>
          <w:color w:val="000000" w:themeColor="text1"/>
        </w:rPr>
        <w:t>Section 3 of this decision addresses the eight accounts with positive values</w:t>
      </w:r>
      <w:proofErr w:type="gramStart"/>
      <w:r w:rsidRPr="00997F1C">
        <w:rPr>
          <w:color w:val="000000" w:themeColor="text1"/>
        </w:rPr>
        <w:t>, which total</w:t>
      </w:r>
      <w:proofErr w:type="gramEnd"/>
      <w:r w:rsidRPr="00997F1C">
        <w:rPr>
          <w:color w:val="000000" w:themeColor="text1"/>
        </w:rPr>
        <w:t xml:space="preserve"> $4.29 billion.  Section 4 addresses the remaining accounts, with negative values that total about </w:t>
      </w:r>
      <w:r w:rsidRPr="00997F1C" w:rsidR="008401DA">
        <w:rPr>
          <w:color w:val="000000" w:themeColor="text1"/>
        </w:rPr>
        <w:t>(</w:t>
      </w:r>
      <w:r w:rsidRPr="00997F1C">
        <w:rPr>
          <w:color w:val="000000" w:themeColor="text1"/>
        </w:rPr>
        <w:t>$1.25 </w:t>
      </w:r>
      <w:proofErr w:type="gramStart"/>
      <w:r w:rsidRPr="00997F1C">
        <w:rPr>
          <w:color w:val="000000" w:themeColor="text1"/>
        </w:rPr>
        <w:t>billion</w:t>
      </w:r>
      <w:r w:rsidRPr="00997F1C" w:rsidR="008401DA">
        <w:rPr>
          <w:color w:val="000000" w:themeColor="text1"/>
        </w:rPr>
        <w:t>)</w:t>
      </w:r>
      <w:r w:rsidRPr="00997F1C">
        <w:rPr>
          <w:color w:val="000000" w:themeColor="text1"/>
        </w:rPr>
        <w:t>,</w:t>
      </w:r>
      <w:proofErr w:type="gramEnd"/>
      <w:r w:rsidRPr="00997F1C">
        <w:rPr>
          <w:color w:val="000000" w:themeColor="text1"/>
        </w:rPr>
        <w:t xml:space="preserve"> that are to be authorized in other proceedings.  </w:t>
      </w:r>
    </w:p>
    <w:p w:rsidRPr="00997F1C" w:rsidR="00EE082B" w:rsidP="00094008" w:rsidRDefault="00EE082B" w14:paraId="2A3851B3" w14:textId="025B03B5">
      <w:pPr>
        <w:pStyle w:val="Standard"/>
        <w:rPr>
          <w:color w:val="000000" w:themeColor="text1"/>
        </w:rPr>
      </w:pPr>
      <w:r w:rsidRPr="00EE082B">
        <w:rPr>
          <w:color w:val="000000" w:themeColor="text1"/>
        </w:rPr>
        <w:t>Nearly $500 million in gross revenue requirement was added between the original filing in May and the Fall Update errata in November, with most costs increases accruing in the CAM/New System Generation Charge and PCIA.  PG&amp;E provided no narrative explanation for the $155.363 million increase in the CAM and the reason for this change was not evident from review of the associated tables.</w:t>
      </w:r>
      <w:r>
        <w:rPr>
          <w:rStyle w:val="FootnoteReference"/>
          <w:color w:val="000000" w:themeColor="text1"/>
        </w:rPr>
        <w:footnoteReference w:id="9"/>
      </w:r>
      <w:r w:rsidRPr="00EE082B">
        <w:rPr>
          <w:color w:val="000000" w:themeColor="text1"/>
        </w:rPr>
        <w:t xml:space="preserve">  Although there is sufficient foundation to find these increases reasonable for the purpose of an ERRA forecast decision, given the true-up that </w:t>
      </w:r>
      <w:r w:rsidRPr="00EE082B">
        <w:rPr>
          <w:color w:val="000000" w:themeColor="text1"/>
        </w:rPr>
        <w:lastRenderedPageBreak/>
        <w:t>will occur in next year’s ERRA compliance proceeding, we require additional information from PG&amp;E in its 2026 ERRA compliance application.</w:t>
      </w:r>
      <w:r w:rsidR="00B95709">
        <w:rPr>
          <w:color w:val="000000" w:themeColor="text1"/>
        </w:rPr>
        <w:t xml:space="preserve"> </w:t>
      </w:r>
      <w:r w:rsidRPr="00EE082B">
        <w:rPr>
          <w:color w:val="000000" w:themeColor="text1"/>
        </w:rPr>
        <w:t xml:space="preserve"> PG&amp;E is therefore directed </w:t>
      </w:r>
      <w:proofErr w:type="gramStart"/>
      <w:r w:rsidRPr="00EE082B">
        <w:rPr>
          <w:color w:val="000000" w:themeColor="text1"/>
        </w:rPr>
        <w:t>to provide</w:t>
      </w:r>
      <w:proofErr w:type="gramEnd"/>
      <w:r w:rsidRPr="00EE082B">
        <w:rPr>
          <w:color w:val="000000" w:themeColor="text1"/>
        </w:rPr>
        <w:t xml:space="preserve"> a narrative describing the reasons for the increase in the CAM/New System Generation Charge as part of its next ERRA compliance filing.   </w:t>
      </w:r>
    </w:p>
    <w:p w:rsidRPr="00997F1C" w:rsidR="003E5AEF" w:rsidP="00D737A5" w:rsidRDefault="003E5AEF" w14:paraId="6615E626" w14:textId="77777777">
      <w:pPr>
        <w:keepNext/>
        <w:keepLines/>
        <w:numPr>
          <w:ilvl w:val="1"/>
          <w:numId w:val="11"/>
        </w:numPr>
        <w:spacing w:after="120" w:line="240" w:lineRule="auto"/>
        <w:ind w:right="2160"/>
        <w:outlineLvl w:val="1"/>
        <w:rPr>
          <w:rFonts w:ascii="Arial" w:hAnsi="Arial" w:cs="Arial"/>
          <w:b/>
          <w:color w:val="000000" w:themeColor="text1"/>
          <w:szCs w:val="26"/>
        </w:rPr>
      </w:pPr>
      <w:bookmarkStart w:name="_Toc179212689" w:id="37"/>
      <w:bookmarkStart w:name="_Toc182306090" w:id="38"/>
      <w:bookmarkStart w:name="_Toc182841763" w:id="39"/>
      <w:bookmarkStart w:name="_Toc212561146" w:id="40"/>
      <w:bookmarkStart w:name="_Toc177628727" w:id="41"/>
      <w:bookmarkStart w:name="_Toc26797675" w:id="42"/>
      <w:bookmarkStart w:name="_Toc26968987" w:id="43"/>
      <w:bookmarkStart w:name="_Toc217384616" w:id="44"/>
      <w:r w:rsidRPr="00997F1C">
        <w:rPr>
          <w:rFonts w:ascii="Arial" w:hAnsi="Arial" w:cs="Arial"/>
          <w:b/>
          <w:color w:val="000000" w:themeColor="text1"/>
          <w:szCs w:val="26"/>
        </w:rPr>
        <w:t>Cost Allocation Mechanism</w:t>
      </w:r>
      <w:bookmarkEnd w:id="37"/>
      <w:bookmarkEnd w:id="38"/>
      <w:bookmarkEnd w:id="39"/>
      <w:bookmarkEnd w:id="40"/>
      <w:bookmarkEnd w:id="44"/>
      <w:r w:rsidRPr="00997F1C">
        <w:rPr>
          <w:rFonts w:ascii="Arial" w:hAnsi="Arial" w:cs="Arial"/>
          <w:b/>
          <w:color w:val="000000" w:themeColor="text1"/>
          <w:szCs w:val="26"/>
        </w:rPr>
        <w:t xml:space="preserve">  </w:t>
      </w:r>
      <w:bookmarkEnd w:id="41"/>
    </w:p>
    <w:p w:rsidRPr="00997F1C" w:rsidR="003E5AEF" w:rsidP="003E5AEF" w:rsidRDefault="003E5AEF" w14:paraId="712B2208" w14:textId="61B56D19">
      <w:pPr>
        <w:rPr>
          <w:color w:val="000000" w:themeColor="text1"/>
        </w:rPr>
      </w:pPr>
      <w:r w:rsidRPr="00997F1C">
        <w:rPr>
          <w:color w:val="000000" w:themeColor="text1"/>
        </w:rPr>
        <w:t xml:space="preserve">PG&amp;E forecasts </w:t>
      </w:r>
      <w:r w:rsidRPr="00997F1C" w:rsidR="008401DA">
        <w:rPr>
          <w:color w:val="000000" w:themeColor="text1"/>
        </w:rPr>
        <w:t>a</w:t>
      </w:r>
      <w:r w:rsidRPr="00997F1C">
        <w:rPr>
          <w:color w:val="000000" w:themeColor="text1"/>
        </w:rPr>
        <w:t xml:space="preserve"> 2026 CAM revenue requirement </w:t>
      </w:r>
      <w:r w:rsidRPr="00997F1C" w:rsidR="008401DA">
        <w:rPr>
          <w:color w:val="000000" w:themeColor="text1"/>
        </w:rPr>
        <w:t xml:space="preserve">of </w:t>
      </w:r>
      <w:r w:rsidRPr="00997F1C">
        <w:rPr>
          <w:color w:val="000000" w:themeColor="text1"/>
        </w:rPr>
        <w:t>$372.79 million.  The purpose of the CAM is to allocate certain costs and benefits, including Resource Adequacy (RA) benefits, among all Load-Serving Entities (LSEs)</w:t>
      </w:r>
      <w:r w:rsidRPr="00997F1C">
        <w:rPr>
          <w:color w:val="000000" w:themeColor="text1"/>
          <w:vertAlign w:val="superscript"/>
        </w:rPr>
        <w:footnoteReference w:id="10"/>
      </w:r>
      <w:r w:rsidRPr="00997F1C">
        <w:rPr>
          <w:color w:val="000000" w:themeColor="text1"/>
        </w:rPr>
        <w:t xml:space="preserve"> in </w:t>
      </w:r>
      <w:proofErr w:type="gramStart"/>
      <w:r w:rsidRPr="00997F1C">
        <w:rPr>
          <w:color w:val="000000" w:themeColor="text1"/>
        </w:rPr>
        <w:t>an IOU’s</w:t>
      </w:r>
      <w:proofErr w:type="gramEnd"/>
      <w:r w:rsidRPr="00997F1C">
        <w:rPr>
          <w:color w:val="000000" w:themeColor="text1"/>
        </w:rPr>
        <w:t xml:space="preserve"> service territory.  The LSE’s customers receiving the RA</w:t>
      </w:r>
      <w:r w:rsidRPr="00997F1C">
        <w:rPr>
          <w:color w:val="000000" w:themeColor="text1"/>
          <w:sz w:val="20"/>
          <w:szCs w:val="20"/>
        </w:rPr>
        <w:t xml:space="preserve"> </w:t>
      </w:r>
      <w:r w:rsidRPr="00997F1C">
        <w:rPr>
          <w:color w:val="000000" w:themeColor="text1"/>
        </w:rPr>
        <w:t xml:space="preserve">benefit pay the net cost of this capacity, with net cost defined as </w:t>
      </w:r>
      <w:r w:rsidRPr="00997F1C">
        <w:rPr>
          <w:i/>
          <w:iCs/>
          <w:color w:val="000000" w:themeColor="text1"/>
        </w:rPr>
        <w:t>total cost of</w:t>
      </w:r>
      <w:r w:rsidRPr="00997F1C">
        <w:rPr>
          <w:i/>
          <w:iCs/>
          <w:color w:val="000000" w:themeColor="text1"/>
          <w:sz w:val="20"/>
          <w:szCs w:val="20"/>
        </w:rPr>
        <w:t xml:space="preserve"> </w:t>
      </w:r>
      <w:r w:rsidRPr="00997F1C">
        <w:rPr>
          <w:i/>
          <w:iCs/>
          <w:color w:val="000000" w:themeColor="text1"/>
        </w:rPr>
        <w:t>the contract</w:t>
      </w:r>
      <w:r w:rsidRPr="00997F1C">
        <w:rPr>
          <w:color w:val="000000" w:themeColor="text1"/>
        </w:rPr>
        <w:t xml:space="preserve"> minus the </w:t>
      </w:r>
      <w:r w:rsidRPr="00997F1C">
        <w:rPr>
          <w:i/>
          <w:iCs/>
          <w:color w:val="000000" w:themeColor="text1"/>
        </w:rPr>
        <w:t>market revenues</w:t>
      </w:r>
      <w:r w:rsidRPr="00997F1C">
        <w:rPr>
          <w:color w:val="000000" w:themeColor="text1"/>
        </w:rPr>
        <w:t xml:space="preserve"> associated with</w:t>
      </w:r>
      <w:r w:rsidRPr="00997F1C">
        <w:rPr>
          <w:color w:val="000000" w:themeColor="text1"/>
          <w:sz w:val="20"/>
          <w:szCs w:val="20"/>
        </w:rPr>
        <w:t xml:space="preserve"> </w:t>
      </w:r>
      <w:r w:rsidRPr="00997F1C">
        <w:rPr>
          <w:color w:val="000000" w:themeColor="text1"/>
        </w:rPr>
        <w:t>dispatch of the contract.</w:t>
      </w:r>
    </w:p>
    <w:p w:rsidRPr="00997F1C" w:rsidR="003E5AEF" w:rsidP="003E5AEF" w:rsidRDefault="003E5AEF" w14:paraId="1EC59222" w14:textId="77777777">
      <w:pPr>
        <w:rPr>
          <w:rFonts w:ascii="Arial,Bold" w:hAnsi="Arial,Bold" w:cs="Arial,Bold"/>
          <w:b/>
          <w:bCs/>
          <w:color w:val="000000" w:themeColor="text1"/>
          <w:sz w:val="22"/>
        </w:rPr>
      </w:pPr>
      <w:r w:rsidRPr="00997F1C">
        <w:rPr>
          <w:color w:val="000000" w:themeColor="text1"/>
        </w:rPr>
        <w:t xml:space="preserve">The CAM charge was authorized </w:t>
      </w:r>
      <w:proofErr w:type="gramStart"/>
      <w:r w:rsidRPr="00997F1C">
        <w:rPr>
          <w:color w:val="000000" w:themeColor="text1"/>
        </w:rPr>
        <w:t>in</w:t>
      </w:r>
      <w:proofErr w:type="gramEnd"/>
      <w:r w:rsidRPr="00997F1C">
        <w:rPr>
          <w:color w:val="000000" w:themeColor="text1"/>
        </w:rPr>
        <w:t xml:space="preserve"> D.06-07-029.  Its calculation method was approved in D.07-09-044 and modified in D.10-12-035.  Resolution (Res.) E</w:t>
      </w:r>
      <w:r w:rsidRPr="00997F1C">
        <w:rPr>
          <w:color w:val="000000" w:themeColor="text1"/>
        </w:rPr>
        <w:noBreakHyphen/>
        <w:t>4949</w:t>
      </w:r>
      <w:r w:rsidRPr="00997F1C">
        <w:rPr>
          <w:color w:val="000000" w:themeColor="text1"/>
          <w:vertAlign w:val="superscript"/>
        </w:rPr>
        <w:footnoteReference w:id="11"/>
      </w:r>
      <w:r w:rsidRPr="00997F1C">
        <w:rPr>
          <w:color w:val="000000" w:themeColor="text1"/>
        </w:rPr>
        <w:t xml:space="preserve"> approved CAM</w:t>
      </w:r>
      <w:r w:rsidRPr="00997F1C">
        <w:rPr>
          <w:color w:val="000000" w:themeColor="text1"/>
          <w:sz w:val="20"/>
          <w:szCs w:val="20"/>
        </w:rPr>
        <w:t xml:space="preserve"> </w:t>
      </w:r>
      <w:r w:rsidRPr="00997F1C">
        <w:rPr>
          <w:color w:val="000000" w:themeColor="text1"/>
        </w:rPr>
        <w:t>treatment for certain energy storage projects, including PG&amp;E’s Elkhorn Moss Landing Energy Storage facility.</w:t>
      </w:r>
    </w:p>
    <w:p w:rsidRPr="00997F1C" w:rsidR="003E5AEF" w:rsidP="003E5AEF" w:rsidRDefault="003E5AEF" w14:paraId="1C83D455" w14:textId="77777777">
      <w:pPr>
        <w:rPr>
          <w:color w:val="000000" w:themeColor="text1"/>
        </w:rPr>
      </w:pPr>
      <w:r w:rsidRPr="00997F1C">
        <w:rPr>
          <w:color w:val="000000" w:themeColor="text1"/>
        </w:rPr>
        <w:t>D.20-06-002 ordered PG&amp;E to serve as the Central Procurement Entity (CPE) for PG&amp;E’s distribution service area for the multi-year local RA program beginning with the 2023 RA compliance year.</w:t>
      </w:r>
      <w:r w:rsidRPr="00997F1C">
        <w:rPr>
          <w:color w:val="000000" w:themeColor="text1"/>
          <w:vertAlign w:val="superscript"/>
        </w:rPr>
        <w:footnoteReference w:id="12"/>
      </w:r>
      <w:r w:rsidRPr="00997F1C">
        <w:rPr>
          <w:color w:val="000000" w:themeColor="text1"/>
        </w:rPr>
        <w:t xml:space="preserve">  Pursuant to D.20-06-002, administrative costs incurred in serving the central procurement function are recoverable under the CAM. </w:t>
      </w:r>
    </w:p>
    <w:p w:rsidRPr="00997F1C" w:rsidR="003E5AEF" w:rsidP="003E5AEF" w:rsidRDefault="003E5AEF" w14:paraId="08757A47" w14:textId="77777777">
      <w:pPr>
        <w:rPr>
          <w:color w:val="000000" w:themeColor="text1"/>
        </w:rPr>
      </w:pPr>
      <w:r w:rsidRPr="00997F1C">
        <w:rPr>
          <w:color w:val="000000" w:themeColor="text1"/>
        </w:rPr>
        <w:lastRenderedPageBreak/>
        <w:t xml:space="preserve">D.22-05-015 also affirmed that the associated backstop costs for LSEs that go bankrupt or are no longer serving load in California can be recovered through the regular CAM.  </w:t>
      </w:r>
    </w:p>
    <w:p w:rsidRPr="00997F1C" w:rsidR="004F73E4" w:rsidP="003E5AEF" w:rsidRDefault="004F73E4" w14:paraId="711E879B" w14:textId="3BEEC503">
      <w:pPr>
        <w:rPr>
          <w:color w:val="000000" w:themeColor="text1"/>
        </w:rPr>
      </w:pPr>
      <w:r w:rsidRPr="00997F1C">
        <w:rPr>
          <w:color w:val="000000" w:themeColor="text1"/>
        </w:rPr>
        <w:t>We have reviewed PG&amp;E’s CAM revenue requirement and find that it is reasonable.</w:t>
      </w:r>
    </w:p>
    <w:p w:rsidRPr="00997F1C" w:rsidR="003E5AEF" w:rsidP="00D737A5" w:rsidRDefault="003E5AEF" w14:paraId="1DE0AE84" w14:textId="330B04B6">
      <w:pPr>
        <w:keepNext/>
        <w:keepLines/>
        <w:numPr>
          <w:ilvl w:val="1"/>
          <w:numId w:val="11"/>
        </w:numPr>
        <w:spacing w:after="120" w:line="240" w:lineRule="auto"/>
        <w:ind w:right="2160"/>
        <w:outlineLvl w:val="1"/>
        <w:rPr>
          <w:rFonts w:ascii="Arial" w:hAnsi="Arial" w:cs="Arial"/>
          <w:b/>
          <w:color w:val="000000" w:themeColor="text1"/>
          <w:szCs w:val="26"/>
        </w:rPr>
      </w:pPr>
      <w:bookmarkStart w:name="_Toc212561147" w:id="45"/>
      <w:bookmarkStart w:name="_Toc177628733" w:id="46"/>
      <w:bookmarkStart w:name="_Toc179212692" w:id="47"/>
      <w:bookmarkStart w:name="_Toc182306093" w:id="48"/>
      <w:bookmarkStart w:name="_Toc182841766" w:id="49"/>
      <w:bookmarkStart w:name="_Toc217384617" w:id="50"/>
      <w:r w:rsidRPr="00997F1C">
        <w:rPr>
          <w:rFonts w:ascii="Arial" w:hAnsi="Arial" w:cs="Arial"/>
          <w:b/>
          <w:color w:val="000000" w:themeColor="text1"/>
          <w:szCs w:val="26"/>
        </w:rPr>
        <w:t xml:space="preserve">Voluntary Allocation Market </w:t>
      </w:r>
      <w:r w:rsidR="00A93519">
        <w:rPr>
          <w:rFonts w:ascii="Arial" w:hAnsi="Arial" w:cs="Arial"/>
          <w:b/>
          <w:color w:val="000000" w:themeColor="text1"/>
          <w:szCs w:val="26"/>
        </w:rPr>
        <w:br/>
      </w:r>
      <w:r w:rsidRPr="00997F1C">
        <w:rPr>
          <w:rFonts w:ascii="Arial" w:hAnsi="Arial" w:cs="Arial"/>
          <w:b/>
          <w:color w:val="000000" w:themeColor="text1"/>
          <w:szCs w:val="26"/>
        </w:rPr>
        <w:t>Offer Memorandum Account</w:t>
      </w:r>
      <w:bookmarkEnd w:id="45"/>
      <w:bookmarkEnd w:id="50"/>
    </w:p>
    <w:p w:rsidRPr="00997F1C" w:rsidR="003E5AEF" w:rsidP="003E5AEF" w:rsidRDefault="003E5AEF" w14:paraId="4F93C4AF" w14:textId="711C4DEA">
      <w:pPr>
        <w:rPr>
          <w:color w:val="000000" w:themeColor="text1"/>
        </w:rPr>
      </w:pPr>
      <w:r w:rsidRPr="00997F1C">
        <w:rPr>
          <w:color w:val="000000" w:themeColor="text1"/>
        </w:rPr>
        <w:t>For 2026, PG&amp;E forecasted its Voluntary Allocation Market Offer (VAMO) Memorandum Account (VAMOMA) revenue requirement at $654,000.  PG&amp;E requested disposition of the VAMOMA balance through PCIA rates.</w:t>
      </w:r>
      <w:r w:rsidRPr="00997F1C">
        <w:rPr>
          <w:color w:val="000000" w:themeColor="text1"/>
          <w:vertAlign w:val="superscript"/>
        </w:rPr>
        <w:footnoteReference w:id="13"/>
      </w:r>
      <w:r w:rsidRPr="00997F1C">
        <w:rPr>
          <w:color w:val="000000" w:themeColor="text1"/>
        </w:rPr>
        <w:t xml:space="preserve">  No party protested this revenue requirement request.  We have reviewed this forecast and find that it is reasonable. </w:t>
      </w:r>
    </w:p>
    <w:p w:rsidRPr="00997F1C" w:rsidR="003E5AEF" w:rsidP="003E5AEF" w:rsidRDefault="003E5AEF" w14:paraId="72ED5965" w14:textId="77777777">
      <w:pPr>
        <w:rPr>
          <w:color w:val="000000" w:themeColor="text1"/>
        </w:rPr>
      </w:pPr>
      <w:r w:rsidRPr="00997F1C">
        <w:rPr>
          <w:color w:val="000000" w:themeColor="text1"/>
        </w:rPr>
        <w:t>The purpose of the VAMOMA</w:t>
      </w:r>
      <w:r w:rsidRPr="00997F1C">
        <w:rPr>
          <w:color w:val="000000" w:themeColor="text1"/>
          <w:vertAlign w:val="superscript"/>
        </w:rPr>
        <w:footnoteReference w:id="14"/>
      </w:r>
      <w:r w:rsidRPr="00997F1C">
        <w:rPr>
          <w:color w:val="000000" w:themeColor="text1"/>
        </w:rPr>
        <w:t xml:space="preserve"> is to record and track incremental costs incurred for staffing and information technology systems needed to administer the VAMO process.  VAMO costs may include amounts related to information technology work, systems, staffing, reporting, and forecasting.  The Commission adopted the VAMO process for PCIA eligible Renewable Portfolio Standard (RPS) resources </w:t>
      </w:r>
      <w:proofErr w:type="gramStart"/>
      <w:r w:rsidRPr="00997F1C">
        <w:rPr>
          <w:color w:val="000000" w:themeColor="text1"/>
        </w:rPr>
        <w:t>in</w:t>
      </w:r>
      <w:proofErr w:type="gramEnd"/>
      <w:r w:rsidRPr="00997F1C">
        <w:rPr>
          <w:color w:val="000000" w:themeColor="text1"/>
        </w:rPr>
        <w:t xml:space="preserve"> D.21-05-030.  </w:t>
      </w:r>
    </w:p>
    <w:p w:rsidRPr="00997F1C" w:rsidR="003E5AEF" w:rsidP="00D737A5" w:rsidRDefault="003E5AEF" w14:paraId="168B6025" w14:textId="78248E9D">
      <w:pPr>
        <w:keepNext/>
        <w:keepLines/>
        <w:numPr>
          <w:ilvl w:val="1"/>
          <w:numId w:val="11"/>
        </w:numPr>
        <w:spacing w:after="120" w:line="240" w:lineRule="auto"/>
        <w:ind w:right="2160"/>
        <w:outlineLvl w:val="1"/>
        <w:rPr>
          <w:rFonts w:ascii="Arial" w:hAnsi="Arial" w:cs="Arial"/>
          <w:b/>
          <w:color w:val="000000" w:themeColor="text1"/>
          <w:szCs w:val="26"/>
        </w:rPr>
      </w:pPr>
      <w:bookmarkStart w:name="_Toc212561148" w:id="51"/>
      <w:bookmarkStart w:name="_Toc217384618" w:id="52"/>
      <w:r w:rsidRPr="00997F1C">
        <w:rPr>
          <w:rFonts w:ascii="Arial" w:hAnsi="Arial" w:cs="Arial"/>
          <w:b/>
          <w:color w:val="000000" w:themeColor="text1"/>
          <w:szCs w:val="26"/>
        </w:rPr>
        <w:t xml:space="preserve">Power Charge Indifference </w:t>
      </w:r>
      <w:r w:rsidR="00A93519">
        <w:rPr>
          <w:rFonts w:ascii="Arial" w:hAnsi="Arial" w:cs="Arial"/>
          <w:b/>
          <w:color w:val="000000" w:themeColor="text1"/>
          <w:szCs w:val="26"/>
        </w:rPr>
        <w:br/>
      </w:r>
      <w:r w:rsidRPr="00997F1C">
        <w:rPr>
          <w:rFonts w:ascii="Arial" w:hAnsi="Arial" w:cs="Arial"/>
          <w:b/>
          <w:color w:val="000000" w:themeColor="text1"/>
          <w:szCs w:val="26"/>
        </w:rPr>
        <w:t>Adjustment</w:t>
      </w:r>
      <w:bookmarkEnd w:id="46"/>
      <w:bookmarkEnd w:id="47"/>
      <w:bookmarkEnd w:id="48"/>
      <w:bookmarkEnd w:id="49"/>
      <w:bookmarkEnd w:id="51"/>
      <w:bookmarkEnd w:id="52"/>
      <w:r w:rsidRPr="00997F1C">
        <w:rPr>
          <w:rFonts w:ascii="Arial" w:hAnsi="Arial" w:cs="Arial"/>
          <w:b/>
          <w:color w:val="000000" w:themeColor="text1"/>
          <w:szCs w:val="26"/>
        </w:rPr>
        <w:t xml:space="preserve"> </w:t>
      </w:r>
    </w:p>
    <w:p w:rsidRPr="00997F1C" w:rsidR="003E5AEF" w:rsidP="003E5AEF" w:rsidRDefault="003E5AEF" w14:paraId="7BF42702" w14:textId="66A1D905">
      <w:pPr>
        <w:rPr>
          <w:color w:val="000000" w:themeColor="text1"/>
        </w:rPr>
      </w:pPr>
      <w:r w:rsidRPr="00997F1C">
        <w:rPr>
          <w:color w:val="000000" w:themeColor="text1"/>
        </w:rPr>
        <w:t>PG&amp;E</w:t>
      </w:r>
      <w:r w:rsidRPr="00997F1C" w:rsidR="008401DA">
        <w:rPr>
          <w:color w:val="000000" w:themeColor="text1"/>
        </w:rPr>
        <w:t>’s proposed</w:t>
      </w:r>
      <w:r w:rsidRPr="00997F1C">
        <w:rPr>
          <w:color w:val="000000" w:themeColor="text1"/>
        </w:rPr>
        <w:t xml:space="preserve"> forecast </w:t>
      </w:r>
      <w:r w:rsidRPr="00997F1C" w:rsidR="008401DA">
        <w:rPr>
          <w:color w:val="000000" w:themeColor="text1"/>
        </w:rPr>
        <w:t>for</w:t>
      </w:r>
      <w:r w:rsidRPr="00997F1C">
        <w:rPr>
          <w:color w:val="000000" w:themeColor="text1"/>
        </w:rPr>
        <w:t xml:space="preserve"> its 2026 PCIA revenue requirement </w:t>
      </w:r>
      <w:r w:rsidRPr="00997F1C" w:rsidR="008401DA">
        <w:rPr>
          <w:color w:val="000000" w:themeColor="text1"/>
        </w:rPr>
        <w:t>is</w:t>
      </w:r>
      <w:r w:rsidRPr="00997F1C">
        <w:rPr>
          <w:color w:val="000000" w:themeColor="text1"/>
        </w:rPr>
        <w:t xml:space="preserve"> $</w:t>
      </w:r>
      <w:r w:rsidRPr="00997F1C" w:rsidR="00165F69">
        <w:rPr>
          <w:rFonts w:cs="Calibri"/>
          <w:color w:val="000000" w:themeColor="text1"/>
          <w:szCs w:val="26"/>
        </w:rPr>
        <w:t>1</w:t>
      </w:r>
      <w:r w:rsidRPr="00997F1C" w:rsidR="00C11A4C">
        <w:rPr>
          <w:rFonts w:cs="Calibri"/>
          <w:color w:val="000000" w:themeColor="text1"/>
          <w:szCs w:val="26"/>
        </w:rPr>
        <w:t>.</w:t>
      </w:r>
      <w:r w:rsidRPr="00997F1C" w:rsidR="00165F69">
        <w:rPr>
          <w:rFonts w:cs="Calibri"/>
          <w:color w:val="000000" w:themeColor="text1"/>
          <w:szCs w:val="26"/>
        </w:rPr>
        <w:t xml:space="preserve">098 </w:t>
      </w:r>
      <w:r w:rsidRPr="00997F1C" w:rsidR="00C11A4C">
        <w:rPr>
          <w:color w:val="000000" w:themeColor="text1"/>
        </w:rPr>
        <w:t>billion</w:t>
      </w:r>
      <w:r w:rsidRPr="00997F1C">
        <w:rPr>
          <w:color w:val="000000" w:themeColor="text1"/>
        </w:rPr>
        <w:t>.  We have reviewed this forecast and find that it is reasonable.</w:t>
      </w:r>
    </w:p>
    <w:p w:rsidRPr="00997F1C" w:rsidR="003E5AEF" w:rsidP="00A93519" w:rsidRDefault="003E5AEF" w14:paraId="60896113" w14:textId="77777777">
      <w:pPr>
        <w:pStyle w:val="Heading3"/>
      </w:pPr>
      <w:bookmarkStart w:name="_Toc177628734" w:id="53"/>
      <w:bookmarkStart w:name="_Toc179212693" w:id="54"/>
      <w:bookmarkStart w:name="_Toc182306094" w:id="55"/>
      <w:bookmarkStart w:name="_Toc182841767" w:id="56"/>
      <w:bookmarkStart w:name="_Toc212561149" w:id="57"/>
      <w:bookmarkStart w:name="_Toc217384619" w:id="58"/>
      <w:r w:rsidRPr="00997F1C">
        <w:lastRenderedPageBreak/>
        <w:t>Background</w:t>
      </w:r>
      <w:bookmarkEnd w:id="53"/>
      <w:bookmarkEnd w:id="54"/>
      <w:bookmarkEnd w:id="55"/>
      <w:bookmarkEnd w:id="56"/>
      <w:bookmarkEnd w:id="57"/>
      <w:bookmarkEnd w:id="58"/>
    </w:p>
    <w:p w:rsidRPr="00997F1C" w:rsidR="003E5AEF" w:rsidP="003E5AEF" w:rsidRDefault="40E47429" w14:paraId="115DFEBB" w14:textId="6EB6B604">
      <w:pPr>
        <w:rPr>
          <w:color w:val="000000" w:themeColor="text1"/>
        </w:rPr>
      </w:pPr>
      <w:r w:rsidRPr="00997F1C">
        <w:rPr>
          <w:color w:val="000000" w:themeColor="text1"/>
        </w:rPr>
        <w:t>The PCIA is a rate component designed to allocate certain costs associated with procurement made by IOUs to customers on whose behalf the procurement was made, including both bundled and unbundled customers.  D.06-07-030 adopted a PCIA to preserve bundled customer “indifference”</w:t>
      </w:r>
      <w:r w:rsidRPr="00997F1C" w:rsidR="003E5AEF">
        <w:rPr>
          <w:color w:val="000000" w:themeColor="text1"/>
          <w:vertAlign w:val="superscript"/>
        </w:rPr>
        <w:footnoteReference w:id="15"/>
      </w:r>
      <w:r w:rsidRPr="00997F1C">
        <w:rPr>
          <w:color w:val="000000" w:themeColor="text1"/>
        </w:rPr>
        <w:t xml:space="preserve"> resulting from the departure of customers, to ensure that customer departure does not result in cost-shifting, pursuant to Pub. Util. Code Sections 366.2 and 366.3.</w:t>
      </w:r>
      <w:r w:rsidRPr="00997F1C" w:rsidR="003E5AEF">
        <w:rPr>
          <w:color w:val="000000" w:themeColor="text1"/>
          <w:vertAlign w:val="superscript"/>
        </w:rPr>
        <w:footnoteReference w:id="16"/>
      </w:r>
      <w:r w:rsidRPr="00997F1C">
        <w:rPr>
          <w:color w:val="000000" w:themeColor="text1"/>
        </w:rPr>
        <w:t xml:space="preserve">  </w:t>
      </w:r>
    </w:p>
    <w:p w:rsidRPr="00997F1C" w:rsidR="003E5AEF" w:rsidP="003E5AEF" w:rsidRDefault="003E5AEF" w14:paraId="5E0203D4" w14:textId="77777777">
      <w:pPr>
        <w:rPr>
          <w:color w:val="000000" w:themeColor="text1"/>
        </w:rPr>
      </w:pPr>
      <w:r w:rsidRPr="00997F1C">
        <w:rPr>
          <w:color w:val="000000" w:themeColor="text1"/>
        </w:rPr>
        <w:t xml:space="preserve">The PCIA varies by the generation resources in that vintage.  PCIA costs are assigned by customer vintage year, which is determined by the date of a customer’s departure from bundled customer service.  Customers who depart in the first half of each year are assigned to the prior year’s vintage and customers who depart in the second half of each year are assigned to the current year’s vintage.  For example, 2023 vintage departing load customers are those who departed PG&amp;E’s bundled customer service between July 1, </w:t>
      </w:r>
      <w:proofErr w:type="gramStart"/>
      <w:r w:rsidRPr="00997F1C">
        <w:rPr>
          <w:color w:val="000000" w:themeColor="text1"/>
        </w:rPr>
        <w:t>2023</w:t>
      </w:r>
      <w:proofErr w:type="gramEnd"/>
      <w:r w:rsidRPr="00997F1C">
        <w:rPr>
          <w:color w:val="000000" w:themeColor="text1"/>
        </w:rPr>
        <w:t xml:space="preserve"> and June 30, 2024. </w:t>
      </w:r>
    </w:p>
    <w:p w:rsidRPr="00997F1C" w:rsidR="003E5AEF" w:rsidP="003E5AEF" w:rsidRDefault="003E5AEF" w14:paraId="0E59C931" w14:textId="3E264439">
      <w:pPr>
        <w:rPr>
          <w:color w:val="000000" w:themeColor="text1"/>
        </w:rPr>
      </w:pPr>
      <w:r w:rsidRPr="00997F1C">
        <w:rPr>
          <w:color w:val="000000" w:themeColor="text1"/>
        </w:rPr>
        <w:t xml:space="preserve">The current rulemaking that addresses matters related to </w:t>
      </w:r>
      <w:proofErr w:type="gramStart"/>
      <w:r w:rsidRPr="00997F1C">
        <w:rPr>
          <w:color w:val="000000" w:themeColor="text1"/>
        </w:rPr>
        <w:t>the PCIA</w:t>
      </w:r>
      <w:proofErr w:type="gramEnd"/>
      <w:r w:rsidRPr="00997F1C">
        <w:rPr>
          <w:color w:val="000000" w:themeColor="text1"/>
        </w:rPr>
        <w:t xml:space="preserve"> is R</w:t>
      </w:r>
      <w:r w:rsidRPr="00997F1C" w:rsidR="0012268E">
        <w:rPr>
          <w:color w:val="000000" w:themeColor="text1"/>
        </w:rPr>
        <w:t xml:space="preserve">ulemaking (R.) </w:t>
      </w:r>
      <w:r w:rsidRPr="00997F1C">
        <w:rPr>
          <w:color w:val="000000" w:themeColor="text1"/>
        </w:rPr>
        <w:t xml:space="preserve">25-02-005. </w:t>
      </w:r>
      <w:r w:rsidRPr="00997F1C" w:rsidR="0012268E">
        <w:rPr>
          <w:color w:val="000000" w:themeColor="text1"/>
        </w:rPr>
        <w:t xml:space="preserve"> </w:t>
      </w:r>
      <w:r w:rsidRPr="00997F1C">
        <w:rPr>
          <w:color w:val="000000" w:themeColor="text1"/>
        </w:rPr>
        <w:t xml:space="preserve">In this rulemaking, D.25-06-049 implemented revisions to the methodology the Commission uses when calculating the RA MPB used to calculate the PCIA.  The two revisions made in D.25-06-049 were made to ensure that the movement of customers from bundled electric services to unbundled service does not shift costs to either customer class.  Since D.25-06-049 was issued after the filing of the instant application and before the Fall Update, </w:t>
      </w:r>
      <w:r w:rsidRPr="00997F1C">
        <w:rPr>
          <w:color w:val="000000" w:themeColor="text1"/>
        </w:rPr>
        <w:lastRenderedPageBreak/>
        <w:t>the Fall Update includes some significant revisions to balancing accounts with calculations that use RA MPBs.</w:t>
      </w:r>
    </w:p>
    <w:p w:rsidRPr="00997F1C" w:rsidR="003E5AEF" w:rsidP="003E5AEF" w:rsidRDefault="003E5AEF" w14:paraId="258802DE" w14:textId="4168364D">
      <w:pPr>
        <w:rPr>
          <w:color w:val="000000" w:themeColor="text1"/>
        </w:rPr>
      </w:pPr>
      <w:r w:rsidRPr="00997F1C">
        <w:rPr>
          <w:color w:val="000000" w:themeColor="text1"/>
        </w:rPr>
        <w:t xml:space="preserve">R.25-02-005 is open and </w:t>
      </w:r>
      <w:r w:rsidRPr="00997F1C" w:rsidR="009B64E9">
        <w:rPr>
          <w:color w:val="000000" w:themeColor="text1"/>
        </w:rPr>
        <w:t xml:space="preserve">the </w:t>
      </w:r>
      <w:r w:rsidRPr="00997F1C">
        <w:rPr>
          <w:color w:val="000000" w:themeColor="text1"/>
        </w:rPr>
        <w:t>two applications for rehearing of D.25-06-</w:t>
      </w:r>
      <w:proofErr w:type="gramStart"/>
      <w:r w:rsidRPr="00997F1C">
        <w:rPr>
          <w:color w:val="000000" w:themeColor="text1"/>
        </w:rPr>
        <w:t xml:space="preserve">049 </w:t>
      </w:r>
      <w:r w:rsidRPr="00997F1C" w:rsidR="009B64E9">
        <w:rPr>
          <w:color w:val="000000" w:themeColor="text1"/>
        </w:rPr>
        <w:t xml:space="preserve"> were</w:t>
      </w:r>
      <w:proofErr w:type="gramEnd"/>
      <w:r w:rsidRPr="00997F1C" w:rsidR="009B64E9">
        <w:rPr>
          <w:color w:val="000000" w:themeColor="text1"/>
        </w:rPr>
        <w:t xml:space="preserve"> denied on October 30, 2025</w:t>
      </w:r>
      <w:r w:rsidRPr="00997F1C">
        <w:rPr>
          <w:color w:val="000000" w:themeColor="text1"/>
        </w:rPr>
        <w:t>.</w:t>
      </w:r>
      <w:r w:rsidRPr="00997F1C">
        <w:rPr>
          <w:color w:val="000000" w:themeColor="text1"/>
          <w:vertAlign w:val="superscript"/>
        </w:rPr>
        <w:footnoteReference w:id="17"/>
      </w:r>
      <w:r w:rsidRPr="00997F1C">
        <w:rPr>
          <w:color w:val="000000" w:themeColor="text1"/>
        </w:rPr>
        <w:t xml:space="preserve"> </w:t>
      </w:r>
    </w:p>
    <w:p w:rsidRPr="00997F1C" w:rsidR="003E5AEF" w:rsidP="00A93519" w:rsidRDefault="003E5AEF" w14:paraId="6DE2BC9D" w14:textId="77777777">
      <w:pPr>
        <w:pStyle w:val="Heading3"/>
      </w:pPr>
      <w:bookmarkStart w:name="_Toc182841770" w:id="59"/>
      <w:bookmarkStart w:name="_Toc212561150" w:id="60"/>
      <w:bookmarkStart w:name="_Toc177628739" w:id="61"/>
      <w:bookmarkStart w:name="_Toc179212698" w:id="62"/>
      <w:bookmarkStart w:name="_Toc217384620" w:id="63"/>
      <w:r w:rsidRPr="00997F1C">
        <w:t>PABA</w:t>
      </w:r>
      <w:bookmarkEnd w:id="59"/>
      <w:bookmarkEnd w:id="60"/>
      <w:bookmarkEnd w:id="63"/>
    </w:p>
    <w:p w:rsidRPr="00997F1C" w:rsidR="003E5AEF" w:rsidP="003E5AEF" w:rsidRDefault="003E5AEF" w14:paraId="2E6AB531" w14:textId="77777777">
      <w:pPr>
        <w:rPr>
          <w:color w:val="000000" w:themeColor="text1"/>
        </w:rPr>
      </w:pPr>
      <w:r w:rsidRPr="00997F1C">
        <w:rPr>
          <w:color w:val="000000" w:themeColor="text1"/>
        </w:rPr>
        <w:t>The Commission established the PABA in 2019</w:t>
      </w:r>
      <w:r w:rsidRPr="00997F1C">
        <w:rPr>
          <w:color w:val="000000" w:themeColor="text1"/>
          <w:vertAlign w:val="superscript"/>
        </w:rPr>
        <w:footnoteReference w:id="18"/>
      </w:r>
      <w:r w:rsidRPr="00997F1C">
        <w:rPr>
          <w:color w:val="000000" w:themeColor="text1"/>
        </w:rPr>
        <w:t xml:space="preserve"> to recover above-market costs for PCIA-eligible generation resources from both bundled and departing load customers.  Costs authorized to be recorded in PABA include those that are related to contracts executed with third parties, as well as UOG.</w:t>
      </w:r>
    </w:p>
    <w:p w:rsidRPr="00997F1C" w:rsidR="003E5AEF" w:rsidP="003E5AEF" w:rsidRDefault="003E5AEF" w14:paraId="4EB5F0D7" w14:textId="77777777">
      <w:pPr>
        <w:rPr>
          <w:color w:val="000000" w:themeColor="text1"/>
        </w:rPr>
      </w:pPr>
      <w:r w:rsidRPr="00997F1C">
        <w:rPr>
          <w:color w:val="000000" w:themeColor="text1"/>
        </w:rPr>
        <w:t>PCIA-eligible generation resources are assigned PCIA vintages based on the year the resource commitment was made (contract execution date or construction start date in the case of UOG).  Departing load customers are assigned cost responsibility for vintages of generation resources based on when the customer departed bundled service.</w:t>
      </w:r>
    </w:p>
    <w:p w:rsidRPr="00997F1C" w:rsidR="003E5AEF" w:rsidP="003E5AEF" w:rsidRDefault="003E5AEF" w14:paraId="34E5525B" w14:textId="70B60B9C">
      <w:pPr>
        <w:rPr>
          <w:color w:val="000000" w:themeColor="text1"/>
        </w:rPr>
      </w:pPr>
      <w:r w:rsidRPr="00997F1C">
        <w:rPr>
          <w:color w:val="000000" w:themeColor="text1"/>
        </w:rPr>
        <w:t xml:space="preserve">The PABA is comprised of subaccounts for </w:t>
      </w:r>
      <w:r w:rsidRPr="00997F1C" w:rsidR="008401DA">
        <w:rPr>
          <w:color w:val="000000" w:themeColor="text1"/>
        </w:rPr>
        <w:t xml:space="preserve">the </w:t>
      </w:r>
      <w:r w:rsidRPr="00997F1C">
        <w:rPr>
          <w:color w:val="000000" w:themeColor="text1"/>
        </w:rPr>
        <w:t>vintage portfolio</w:t>
      </w:r>
      <w:r w:rsidRPr="00997F1C" w:rsidR="008401DA">
        <w:rPr>
          <w:color w:val="000000" w:themeColor="text1"/>
        </w:rPr>
        <w:t xml:space="preserve"> for each year</w:t>
      </w:r>
      <w:r w:rsidRPr="00997F1C">
        <w:rPr>
          <w:color w:val="000000" w:themeColor="text1"/>
        </w:rPr>
        <w:t xml:space="preserve"> that records the costs, market revenues, and imputed revenues of all generation resources executed or approved by the Commission for cost recovery that year. Disposition of the PABA is through PCIA rates.</w:t>
      </w:r>
    </w:p>
    <w:p w:rsidRPr="00997F1C" w:rsidR="003E5AEF" w:rsidP="003E5AEF" w:rsidRDefault="003E5AEF" w14:paraId="5C953643" w14:textId="60BDFD1B">
      <w:pPr>
        <w:rPr>
          <w:color w:val="000000" w:themeColor="text1"/>
        </w:rPr>
      </w:pPr>
      <w:r w:rsidRPr="00997F1C">
        <w:rPr>
          <w:color w:val="000000" w:themeColor="text1"/>
        </w:rPr>
        <w:t>The PABA is a “rolling true-up” of the actual above-market costs of PG&amp;E’s PCIA-eligible resource portfolio and the amount collected from customers through PCIA rates to recover such above-market costs.  Any over- or under</w:t>
      </w:r>
      <w:r w:rsidRPr="00997F1C" w:rsidR="000E07E9">
        <w:rPr>
          <w:color w:val="000000" w:themeColor="text1"/>
        </w:rPr>
        <w:t>-</w:t>
      </w:r>
      <w:r w:rsidRPr="00997F1C">
        <w:rPr>
          <w:color w:val="000000" w:themeColor="text1"/>
        </w:rPr>
        <w:t xml:space="preserve">collection in the PABA vintage subaccounts in a given year is rolled into </w:t>
      </w:r>
      <w:r w:rsidRPr="00997F1C">
        <w:rPr>
          <w:color w:val="000000" w:themeColor="text1"/>
        </w:rPr>
        <w:lastRenderedPageBreak/>
        <w:t>the next year’s ERRA Forecast filing.</w:t>
      </w:r>
      <w:r w:rsidRPr="00997F1C">
        <w:rPr>
          <w:color w:val="000000" w:themeColor="text1"/>
          <w:vertAlign w:val="superscript"/>
        </w:rPr>
        <w:footnoteReference w:id="19"/>
      </w:r>
      <w:r w:rsidRPr="00997F1C">
        <w:rPr>
          <w:color w:val="000000" w:themeColor="text1"/>
        </w:rPr>
        <w:t xml:space="preserve">  The PABA</w:t>
      </w:r>
      <w:r w:rsidRPr="00997F1C" w:rsidR="001C2FBB">
        <w:rPr>
          <w:color w:val="000000" w:themeColor="text1"/>
        </w:rPr>
        <w:t xml:space="preserve"> revenue requirement</w:t>
      </w:r>
      <w:r w:rsidRPr="00997F1C">
        <w:rPr>
          <w:color w:val="000000" w:themeColor="text1"/>
        </w:rPr>
        <w:t xml:space="preserve"> is calculated using Market Price Benchmarks (MPBs) that the Commission calculates and publishes each year.</w:t>
      </w:r>
      <w:r w:rsidRPr="00997F1C">
        <w:rPr>
          <w:color w:val="000000" w:themeColor="text1"/>
          <w:vertAlign w:val="superscript"/>
        </w:rPr>
        <w:footnoteReference w:id="20"/>
      </w:r>
      <w:r w:rsidRPr="00997F1C">
        <w:rPr>
          <w:color w:val="000000" w:themeColor="text1"/>
        </w:rPr>
        <w:t xml:space="preserve">  In its 2025 Fall Update</w:t>
      </w:r>
      <w:r w:rsidRPr="00997F1C" w:rsidR="000E07E9">
        <w:rPr>
          <w:color w:val="000000" w:themeColor="text1"/>
        </w:rPr>
        <w:t xml:space="preserve"> Errata</w:t>
      </w:r>
      <w:r w:rsidRPr="00997F1C">
        <w:rPr>
          <w:color w:val="000000" w:themeColor="text1"/>
        </w:rPr>
        <w:t>, PG&amp;E forecasted the PABA to be under</w:t>
      </w:r>
      <w:r w:rsidRPr="00997F1C" w:rsidR="005A5DB9">
        <w:rPr>
          <w:color w:val="000000" w:themeColor="text1"/>
        </w:rPr>
        <w:t>-</w:t>
      </w:r>
      <w:r w:rsidRPr="00997F1C">
        <w:rPr>
          <w:color w:val="000000" w:themeColor="text1"/>
        </w:rPr>
        <w:t xml:space="preserve">collected by </w:t>
      </w:r>
      <w:r w:rsidRPr="00997F1C" w:rsidR="005A5DB9">
        <w:rPr>
          <w:color w:val="000000" w:themeColor="text1"/>
        </w:rPr>
        <w:t>$2.240</w:t>
      </w:r>
      <w:r w:rsidRPr="00997F1C">
        <w:rPr>
          <w:color w:val="000000" w:themeColor="text1"/>
        </w:rPr>
        <w:t xml:space="preserve"> billion.</w:t>
      </w:r>
      <w:r w:rsidRPr="00997F1C">
        <w:rPr>
          <w:color w:val="000000" w:themeColor="text1"/>
          <w:vertAlign w:val="superscript"/>
        </w:rPr>
        <w:footnoteReference w:id="21"/>
      </w:r>
      <w:r w:rsidRPr="00997F1C">
        <w:rPr>
          <w:color w:val="000000" w:themeColor="text1"/>
        </w:rPr>
        <w:t xml:space="preserve">  PG&amp;E described the primary drivers for the under</w:t>
      </w:r>
      <w:r w:rsidRPr="00997F1C" w:rsidR="005A5DB9">
        <w:rPr>
          <w:color w:val="000000" w:themeColor="text1"/>
        </w:rPr>
        <w:t>-</w:t>
      </w:r>
      <w:r w:rsidRPr="00997F1C">
        <w:rPr>
          <w:color w:val="000000" w:themeColor="text1"/>
        </w:rPr>
        <w:t>collection as shown in Table 2.</w:t>
      </w:r>
    </w:p>
    <w:p w:rsidRPr="00997F1C" w:rsidR="003E5AEF" w:rsidP="00A93519" w:rsidRDefault="003E5AEF" w14:paraId="634F93EF" w14:textId="3354D835">
      <w:pPr>
        <w:keepNext/>
        <w:spacing w:after="200" w:line="240" w:lineRule="auto"/>
        <w:ind w:firstLine="0"/>
        <w:jc w:val="center"/>
        <w:rPr>
          <w:b/>
          <w:bCs/>
          <w:color w:val="000000" w:themeColor="text1"/>
          <w:szCs w:val="26"/>
        </w:rPr>
      </w:pPr>
      <w:r w:rsidRPr="00997F1C">
        <w:rPr>
          <w:b/>
          <w:bCs/>
          <w:color w:val="000000" w:themeColor="text1"/>
          <w:szCs w:val="26"/>
        </w:rPr>
        <w:t xml:space="preserve">Table </w:t>
      </w:r>
      <w:r w:rsidRPr="00997F1C">
        <w:rPr>
          <w:b/>
          <w:bCs/>
          <w:color w:val="000000" w:themeColor="text1"/>
          <w:szCs w:val="26"/>
        </w:rPr>
        <w:fldChar w:fldCharType="begin"/>
      </w:r>
      <w:r w:rsidRPr="00997F1C">
        <w:rPr>
          <w:b/>
          <w:bCs/>
          <w:color w:val="000000" w:themeColor="text1"/>
          <w:szCs w:val="26"/>
        </w:rPr>
        <w:instrText xml:space="preserve"> SEQ Table \* ARABIC </w:instrText>
      </w:r>
      <w:r w:rsidRPr="00997F1C">
        <w:rPr>
          <w:b/>
          <w:bCs/>
          <w:color w:val="000000" w:themeColor="text1"/>
          <w:szCs w:val="26"/>
        </w:rPr>
        <w:fldChar w:fldCharType="separate"/>
      </w:r>
      <w:r w:rsidR="00A93519">
        <w:rPr>
          <w:b/>
          <w:bCs/>
          <w:noProof/>
          <w:color w:val="000000" w:themeColor="text1"/>
          <w:szCs w:val="26"/>
        </w:rPr>
        <w:t>2</w:t>
      </w:r>
      <w:r w:rsidRPr="00997F1C">
        <w:rPr>
          <w:b/>
          <w:bCs/>
          <w:color w:val="000000" w:themeColor="text1"/>
          <w:szCs w:val="26"/>
        </w:rPr>
        <w:fldChar w:fldCharType="end"/>
      </w:r>
      <w:r w:rsidRPr="00997F1C">
        <w:rPr>
          <w:b/>
          <w:bCs/>
          <w:color w:val="000000" w:themeColor="text1"/>
          <w:szCs w:val="26"/>
        </w:rPr>
        <w:t>: Primary Drivers for PABA Under</w:t>
      </w:r>
      <w:r w:rsidRPr="00997F1C" w:rsidR="005A5DB9">
        <w:rPr>
          <w:b/>
          <w:bCs/>
          <w:color w:val="000000" w:themeColor="text1"/>
          <w:szCs w:val="26"/>
        </w:rPr>
        <w:t>-</w:t>
      </w:r>
      <w:r w:rsidRPr="00997F1C">
        <w:rPr>
          <w:b/>
          <w:bCs/>
          <w:color w:val="000000" w:themeColor="text1"/>
          <w:szCs w:val="26"/>
        </w:rPr>
        <w:t>collection (Millions)</w:t>
      </w:r>
      <w:r w:rsidRPr="00997F1C" w:rsidR="00B920F4">
        <w:rPr>
          <w:rStyle w:val="FootnoteReference"/>
          <w:b/>
          <w:bCs/>
          <w:color w:val="000000" w:themeColor="text1"/>
          <w:szCs w:val="26"/>
        </w:rPr>
        <w:footnoteReference w:id="22"/>
      </w:r>
    </w:p>
    <w:tbl>
      <w:tblPr>
        <w:tblW w:w="7105" w:type="dxa"/>
        <w:jc w:val="center"/>
        <w:tblLook w:val="04A0" w:firstRow="1" w:lastRow="0" w:firstColumn="1" w:lastColumn="0" w:noHBand="0" w:noVBand="1"/>
      </w:tblPr>
      <w:tblGrid>
        <w:gridCol w:w="535"/>
        <w:gridCol w:w="375"/>
        <w:gridCol w:w="4935"/>
        <w:gridCol w:w="1260"/>
      </w:tblGrid>
      <w:tr w:rsidRPr="00997F1C" w:rsidR="00997F1C" w14:paraId="65FEF6B4" w14:textId="77777777">
        <w:trPr>
          <w:trHeight w:val="288"/>
          <w:jc w:val="center"/>
        </w:trPr>
        <w:tc>
          <w:tcPr>
            <w:tcW w:w="5845" w:type="dxa"/>
            <w:gridSpan w:val="3"/>
            <w:tcBorders>
              <w:top w:val="single" w:color="auto" w:sz="4" w:space="0"/>
              <w:left w:val="single" w:color="auto" w:sz="4" w:space="0"/>
              <w:bottom w:val="nil"/>
              <w:right w:val="nil"/>
            </w:tcBorders>
            <w:noWrap/>
            <w:vAlign w:val="bottom"/>
            <w:hideMark/>
          </w:tcPr>
          <w:p w:rsidRPr="00997F1C" w:rsidR="003E5AEF" w:rsidP="003E5AEF" w:rsidRDefault="003E5AEF" w14:paraId="7EEB31BB"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Lower Expected CAISO Revenues</w:t>
            </w:r>
          </w:p>
        </w:tc>
        <w:tc>
          <w:tcPr>
            <w:tcW w:w="1260" w:type="dxa"/>
            <w:tcBorders>
              <w:top w:val="single" w:color="auto" w:sz="4" w:space="0"/>
              <w:left w:val="nil"/>
              <w:bottom w:val="nil"/>
              <w:right w:val="single" w:color="auto" w:sz="4" w:space="0"/>
            </w:tcBorders>
            <w:noWrap/>
            <w:vAlign w:val="center"/>
            <w:hideMark/>
          </w:tcPr>
          <w:p w:rsidRPr="00997F1C" w:rsidR="003E5AEF" w:rsidP="003E5AEF" w:rsidRDefault="003E5AEF" w14:paraId="1FDFC115"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 </w:t>
            </w:r>
          </w:p>
        </w:tc>
      </w:tr>
      <w:tr w:rsidRPr="00997F1C" w:rsidR="00997F1C" w14:paraId="0866DE29"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014B3A73"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3E0E0633"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Market Electricity Prices</w:t>
            </w:r>
          </w:p>
        </w:tc>
        <w:tc>
          <w:tcPr>
            <w:tcW w:w="1260" w:type="dxa"/>
            <w:tcBorders>
              <w:top w:val="nil"/>
              <w:left w:val="nil"/>
              <w:bottom w:val="nil"/>
              <w:right w:val="single" w:color="auto" w:sz="4" w:space="0"/>
            </w:tcBorders>
            <w:noWrap/>
            <w:vAlign w:val="center"/>
            <w:hideMark/>
          </w:tcPr>
          <w:p w:rsidRPr="00997F1C" w:rsidR="003E5AEF" w:rsidP="003E5AEF" w:rsidRDefault="003E5AEF" w14:paraId="3B10A3C0"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$430 </w:t>
            </w:r>
          </w:p>
        </w:tc>
      </w:tr>
      <w:tr w:rsidRPr="00997F1C" w:rsidR="00997F1C" w14:paraId="407AF8FC" w14:textId="77777777">
        <w:trPr>
          <w:trHeight w:val="288"/>
          <w:jc w:val="center"/>
        </w:trPr>
        <w:tc>
          <w:tcPr>
            <w:tcW w:w="535" w:type="dxa"/>
            <w:tcBorders>
              <w:top w:val="nil"/>
              <w:left w:val="single" w:color="auto" w:sz="4" w:space="0"/>
              <w:bottom w:val="single" w:color="auto" w:sz="4" w:space="0"/>
              <w:right w:val="nil"/>
            </w:tcBorders>
            <w:noWrap/>
            <w:vAlign w:val="bottom"/>
            <w:hideMark/>
          </w:tcPr>
          <w:p w:rsidRPr="00997F1C" w:rsidR="003E5AEF" w:rsidP="003E5AEF" w:rsidRDefault="003E5AEF" w14:paraId="6D65837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single" w:color="auto" w:sz="4" w:space="0"/>
              <w:right w:val="nil"/>
            </w:tcBorders>
            <w:noWrap/>
            <w:vAlign w:val="bottom"/>
            <w:hideMark/>
          </w:tcPr>
          <w:p w:rsidRPr="00997F1C" w:rsidR="003E5AEF" w:rsidP="003E5AEF" w:rsidRDefault="003E5AEF" w14:paraId="6A714B63"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Less Generation from PCIA-eligible Resources</w:t>
            </w:r>
          </w:p>
        </w:tc>
        <w:tc>
          <w:tcPr>
            <w:tcW w:w="1260" w:type="dxa"/>
            <w:tcBorders>
              <w:top w:val="nil"/>
              <w:left w:val="nil"/>
              <w:bottom w:val="single" w:color="auto" w:sz="4" w:space="0"/>
              <w:right w:val="single" w:color="auto" w:sz="4" w:space="0"/>
            </w:tcBorders>
            <w:noWrap/>
            <w:vAlign w:val="center"/>
            <w:hideMark/>
          </w:tcPr>
          <w:p w:rsidRPr="00997F1C" w:rsidR="003E5AEF" w:rsidP="003E5AEF" w:rsidRDefault="003E5AEF" w14:paraId="1766092E"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$105 </w:t>
            </w:r>
          </w:p>
        </w:tc>
      </w:tr>
      <w:tr w:rsidRPr="00997F1C" w:rsidR="00997F1C" w14:paraId="0CB950DC"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48AEBC21"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72741CFF" w14:textId="77777777">
            <w:pPr>
              <w:spacing w:line="240" w:lineRule="auto"/>
              <w:ind w:firstLine="0"/>
              <w:rPr>
                <w:rFonts w:eastAsia="Times New Roman" w:cs="Calibri"/>
                <w:b/>
                <w:bCs/>
                <w:color w:val="000000" w:themeColor="text1"/>
                <w:szCs w:val="26"/>
              </w:rPr>
            </w:pPr>
          </w:p>
        </w:tc>
        <w:tc>
          <w:tcPr>
            <w:tcW w:w="1260" w:type="dxa"/>
            <w:tcBorders>
              <w:top w:val="nil"/>
              <w:left w:val="nil"/>
              <w:bottom w:val="nil"/>
              <w:right w:val="single" w:color="auto" w:sz="4" w:space="0"/>
            </w:tcBorders>
            <w:noWrap/>
            <w:vAlign w:val="center"/>
            <w:hideMark/>
          </w:tcPr>
          <w:p w:rsidRPr="00997F1C" w:rsidR="003E5AEF" w:rsidP="003E5AEF" w:rsidRDefault="003E5AEF" w14:paraId="6B8948C3" w14:textId="77777777">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$535 </w:t>
            </w:r>
          </w:p>
        </w:tc>
      </w:tr>
      <w:tr w:rsidRPr="00997F1C" w:rsidR="00997F1C" w14:paraId="0F9076E9" w14:textId="77777777">
        <w:trPr>
          <w:trHeight w:val="288"/>
          <w:jc w:val="center"/>
        </w:trPr>
        <w:tc>
          <w:tcPr>
            <w:tcW w:w="5845" w:type="dxa"/>
            <w:gridSpan w:val="3"/>
            <w:tcBorders>
              <w:top w:val="nil"/>
              <w:left w:val="single" w:color="auto" w:sz="4" w:space="0"/>
              <w:bottom w:val="nil"/>
              <w:right w:val="nil"/>
            </w:tcBorders>
            <w:noWrap/>
            <w:vAlign w:val="bottom"/>
            <w:hideMark/>
          </w:tcPr>
          <w:p w:rsidRPr="00997F1C" w:rsidR="003E5AEF" w:rsidP="003E5AEF" w:rsidRDefault="003E5AEF" w14:paraId="3C5FD0AE"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Greater Net Procurement Costs</w:t>
            </w:r>
          </w:p>
        </w:tc>
        <w:tc>
          <w:tcPr>
            <w:tcW w:w="1260" w:type="dxa"/>
            <w:tcBorders>
              <w:top w:val="nil"/>
              <w:left w:val="nil"/>
              <w:bottom w:val="nil"/>
              <w:right w:val="single" w:color="auto" w:sz="4" w:space="0"/>
            </w:tcBorders>
            <w:noWrap/>
            <w:vAlign w:val="center"/>
            <w:hideMark/>
          </w:tcPr>
          <w:p w:rsidRPr="00997F1C" w:rsidR="003E5AEF" w:rsidP="003E5AEF" w:rsidRDefault="003E5AEF" w14:paraId="42D56500"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 </w:t>
            </w:r>
          </w:p>
        </w:tc>
      </w:tr>
      <w:tr w:rsidRPr="00997F1C" w:rsidR="00997F1C" w14:paraId="0872613A"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342E8E2E"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791143C3"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Net RA Transaction Revenues</w:t>
            </w:r>
          </w:p>
        </w:tc>
        <w:tc>
          <w:tcPr>
            <w:tcW w:w="1260" w:type="dxa"/>
            <w:tcBorders>
              <w:top w:val="nil"/>
              <w:left w:val="nil"/>
              <w:bottom w:val="nil"/>
              <w:right w:val="single" w:color="auto" w:sz="4" w:space="0"/>
            </w:tcBorders>
            <w:noWrap/>
            <w:vAlign w:val="center"/>
            <w:hideMark/>
          </w:tcPr>
          <w:p w:rsidRPr="00997F1C" w:rsidR="003E5AEF" w:rsidP="003E5AEF" w:rsidRDefault="003E5AEF" w14:paraId="266193DE"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$545 </w:t>
            </w:r>
          </w:p>
        </w:tc>
      </w:tr>
      <w:tr w:rsidRPr="00997F1C" w:rsidR="00997F1C" w14:paraId="37916628"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27089CAD"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106F71F1"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Higher Energy Storage Contract Costs</w:t>
            </w:r>
          </w:p>
        </w:tc>
        <w:tc>
          <w:tcPr>
            <w:tcW w:w="1260" w:type="dxa"/>
            <w:tcBorders>
              <w:top w:val="nil"/>
              <w:left w:val="nil"/>
              <w:bottom w:val="nil"/>
              <w:right w:val="single" w:color="auto" w:sz="4" w:space="0"/>
            </w:tcBorders>
            <w:noWrap/>
            <w:vAlign w:val="center"/>
            <w:hideMark/>
          </w:tcPr>
          <w:p w:rsidRPr="00997F1C" w:rsidR="003E5AEF" w:rsidP="003E5AEF" w:rsidRDefault="003E5AEF" w14:paraId="1E72DCE8"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$80 </w:t>
            </w:r>
          </w:p>
        </w:tc>
      </w:tr>
      <w:tr w:rsidRPr="00997F1C" w:rsidR="00997F1C" w14:paraId="5A84B9E3"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6008D702"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4E2D56B2"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Natural Gas Fired Generator Costs</w:t>
            </w:r>
          </w:p>
        </w:tc>
        <w:tc>
          <w:tcPr>
            <w:tcW w:w="1260" w:type="dxa"/>
            <w:tcBorders>
              <w:top w:val="nil"/>
              <w:left w:val="nil"/>
              <w:bottom w:val="nil"/>
              <w:right w:val="single" w:color="auto" w:sz="4" w:space="0"/>
            </w:tcBorders>
            <w:noWrap/>
            <w:vAlign w:val="center"/>
            <w:hideMark/>
          </w:tcPr>
          <w:p w:rsidRPr="00997F1C" w:rsidR="003E5AEF" w:rsidP="003E5AEF" w:rsidRDefault="003E5AEF" w14:paraId="3C63C4E1"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$(85)</w:t>
            </w:r>
          </w:p>
        </w:tc>
      </w:tr>
      <w:tr w:rsidRPr="00997F1C" w:rsidR="00997F1C" w14:paraId="44B4EAF6"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30DC249D"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08756B23"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Procurement Related Credits not in the Forecast</w:t>
            </w:r>
          </w:p>
        </w:tc>
        <w:tc>
          <w:tcPr>
            <w:tcW w:w="1260" w:type="dxa"/>
            <w:tcBorders>
              <w:top w:val="nil"/>
              <w:left w:val="nil"/>
              <w:bottom w:val="nil"/>
              <w:right w:val="single" w:color="auto" w:sz="4" w:space="0"/>
            </w:tcBorders>
            <w:noWrap/>
            <w:vAlign w:val="center"/>
            <w:hideMark/>
          </w:tcPr>
          <w:p w:rsidRPr="00997F1C" w:rsidR="003E5AEF" w:rsidP="003E5AEF" w:rsidRDefault="003E5AEF" w14:paraId="1B9BD7DD"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 (110)</w:t>
            </w:r>
          </w:p>
        </w:tc>
      </w:tr>
      <w:tr w:rsidRPr="00997F1C" w:rsidR="00997F1C" w14:paraId="73870D10"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6AF75D8A"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2ECC5C10" w14:textId="77777777">
            <w:pPr>
              <w:spacing w:line="240" w:lineRule="auto"/>
              <w:ind w:firstLine="0"/>
              <w:rPr>
                <w:rFonts w:eastAsia="Times New Roman" w:cs="Calibri"/>
                <w:color w:val="000000" w:themeColor="text1"/>
                <w:szCs w:val="26"/>
              </w:rPr>
            </w:pPr>
          </w:p>
        </w:tc>
        <w:tc>
          <w:tcPr>
            <w:tcW w:w="1260" w:type="dxa"/>
            <w:tcBorders>
              <w:top w:val="nil"/>
              <w:left w:val="nil"/>
              <w:bottom w:val="nil"/>
              <w:right w:val="single" w:color="auto" w:sz="4" w:space="0"/>
            </w:tcBorders>
            <w:noWrap/>
            <w:vAlign w:val="center"/>
            <w:hideMark/>
          </w:tcPr>
          <w:p w:rsidRPr="00997F1C" w:rsidR="003E5AEF" w:rsidP="003E5AEF" w:rsidRDefault="003E5AEF" w14:paraId="70F49F10" w14:textId="59547171">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w:t>
            </w:r>
            <w:r w:rsidRPr="00997F1C" w:rsidR="00B920F4">
              <w:rPr>
                <w:rFonts w:eastAsia="Times New Roman" w:cs="Calibri"/>
                <w:b/>
                <w:bCs/>
                <w:color w:val="000000" w:themeColor="text1"/>
                <w:szCs w:val="26"/>
              </w:rPr>
              <w:t xml:space="preserve">430 </w:t>
            </w:r>
          </w:p>
        </w:tc>
      </w:tr>
      <w:tr w:rsidRPr="00997F1C" w:rsidR="00997F1C" w14:paraId="3C8700B3" w14:textId="77777777">
        <w:trPr>
          <w:trHeight w:val="288"/>
          <w:jc w:val="center"/>
        </w:trPr>
        <w:tc>
          <w:tcPr>
            <w:tcW w:w="5845" w:type="dxa"/>
            <w:gridSpan w:val="3"/>
            <w:tcBorders>
              <w:top w:val="nil"/>
              <w:left w:val="single" w:color="auto" w:sz="4" w:space="0"/>
              <w:bottom w:val="nil"/>
              <w:right w:val="nil"/>
            </w:tcBorders>
            <w:noWrap/>
            <w:vAlign w:val="bottom"/>
            <w:hideMark/>
          </w:tcPr>
          <w:p w:rsidRPr="00997F1C" w:rsidR="003E5AEF" w:rsidP="003E5AEF" w:rsidRDefault="003E5AEF" w14:paraId="1F0D2084"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Lower Retained RPS Value</w:t>
            </w:r>
          </w:p>
        </w:tc>
        <w:tc>
          <w:tcPr>
            <w:tcW w:w="1260" w:type="dxa"/>
            <w:tcBorders>
              <w:top w:val="nil"/>
              <w:left w:val="nil"/>
              <w:bottom w:val="nil"/>
              <w:right w:val="single" w:color="auto" w:sz="4" w:space="0"/>
            </w:tcBorders>
            <w:noWrap/>
            <w:vAlign w:val="center"/>
            <w:hideMark/>
          </w:tcPr>
          <w:p w:rsidRPr="00997F1C" w:rsidR="003E5AEF" w:rsidP="003E5AEF" w:rsidRDefault="003E5AEF" w14:paraId="55A52B9D"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 </w:t>
            </w:r>
          </w:p>
        </w:tc>
      </w:tr>
      <w:tr w:rsidRPr="00997F1C" w:rsidR="00997F1C" w14:paraId="106795A3"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2232A4A0"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0BE2608D"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2025 final RPS adder</w:t>
            </w:r>
          </w:p>
        </w:tc>
        <w:tc>
          <w:tcPr>
            <w:tcW w:w="1260" w:type="dxa"/>
            <w:tcBorders>
              <w:top w:val="nil"/>
              <w:left w:val="nil"/>
              <w:bottom w:val="nil"/>
              <w:right w:val="single" w:color="auto" w:sz="4" w:space="0"/>
            </w:tcBorders>
            <w:noWrap/>
            <w:vAlign w:val="center"/>
            <w:hideMark/>
          </w:tcPr>
          <w:p w:rsidRPr="00997F1C" w:rsidR="003E5AEF" w:rsidP="003E5AEF" w:rsidRDefault="003E5AEF" w14:paraId="069EAD36"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$65 </w:t>
            </w:r>
          </w:p>
        </w:tc>
      </w:tr>
      <w:tr w:rsidRPr="00997F1C" w:rsidR="00997F1C" w14:paraId="07B49027" w14:textId="77777777">
        <w:trPr>
          <w:trHeight w:val="288"/>
          <w:jc w:val="center"/>
        </w:trPr>
        <w:tc>
          <w:tcPr>
            <w:tcW w:w="535" w:type="dxa"/>
            <w:tcBorders>
              <w:top w:val="nil"/>
              <w:left w:val="single" w:color="auto" w:sz="4" w:space="0"/>
              <w:bottom w:val="single" w:color="auto" w:sz="4" w:space="0"/>
              <w:right w:val="nil"/>
            </w:tcBorders>
            <w:noWrap/>
            <w:vAlign w:val="bottom"/>
            <w:hideMark/>
          </w:tcPr>
          <w:p w:rsidRPr="00997F1C" w:rsidR="003E5AEF" w:rsidP="003E5AEF" w:rsidRDefault="003E5AEF" w14:paraId="70E43759"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single" w:color="auto" w:sz="4" w:space="0"/>
              <w:right w:val="nil"/>
            </w:tcBorders>
            <w:noWrap/>
            <w:vAlign w:val="bottom"/>
            <w:hideMark/>
          </w:tcPr>
          <w:p w:rsidRPr="00997F1C" w:rsidR="003E5AEF" w:rsidP="003E5AEF" w:rsidRDefault="003E5AEF" w14:paraId="7E2C46D1"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Retained RPS quantity</w:t>
            </w:r>
          </w:p>
        </w:tc>
        <w:tc>
          <w:tcPr>
            <w:tcW w:w="1260" w:type="dxa"/>
            <w:tcBorders>
              <w:top w:val="nil"/>
              <w:left w:val="nil"/>
              <w:bottom w:val="single" w:color="auto" w:sz="4" w:space="0"/>
              <w:right w:val="single" w:color="auto" w:sz="4" w:space="0"/>
            </w:tcBorders>
            <w:noWrap/>
            <w:vAlign w:val="center"/>
            <w:hideMark/>
          </w:tcPr>
          <w:p w:rsidRPr="00997F1C" w:rsidR="003E5AEF" w:rsidP="003E5AEF" w:rsidRDefault="003E5AEF" w14:paraId="03A5B8F0"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$120 </w:t>
            </w:r>
          </w:p>
        </w:tc>
      </w:tr>
      <w:tr w:rsidRPr="00997F1C" w:rsidR="00997F1C" w14:paraId="4E9CCFE8"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350AEE2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7F5F1AAB" w14:textId="77777777">
            <w:pPr>
              <w:spacing w:line="240" w:lineRule="auto"/>
              <w:ind w:firstLine="0"/>
              <w:rPr>
                <w:rFonts w:eastAsia="Times New Roman" w:cs="Calibri"/>
                <w:color w:val="000000" w:themeColor="text1"/>
                <w:szCs w:val="26"/>
              </w:rPr>
            </w:pPr>
          </w:p>
        </w:tc>
        <w:tc>
          <w:tcPr>
            <w:tcW w:w="1260" w:type="dxa"/>
            <w:tcBorders>
              <w:top w:val="nil"/>
              <w:left w:val="nil"/>
              <w:bottom w:val="nil"/>
              <w:right w:val="single" w:color="auto" w:sz="4" w:space="0"/>
            </w:tcBorders>
            <w:noWrap/>
            <w:vAlign w:val="center"/>
            <w:hideMark/>
          </w:tcPr>
          <w:p w:rsidRPr="00997F1C" w:rsidR="003E5AEF" w:rsidP="003E5AEF" w:rsidRDefault="003E5AEF" w14:paraId="7E8EFD6A" w14:textId="77777777">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$185 </w:t>
            </w:r>
          </w:p>
        </w:tc>
      </w:tr>
      <w:tr w:rsidRPr="00997F1C" w:rsidR="00997F1C" w14:paraId="745D5B8C" w14:textId="77777777">
        <w:trPr>
          <w:trHeight w:val="288"/>
          <w:jc w:val="center"/>
        </w:trPr>
        <w:tc>
          <w:tcPr>
            <w:tcW w:w="5845" w:type="dxa"/>
            <w:gridSpan w:val="3"/>
            <w:tcBorders>
              <w:top w:val="nil"/>
              <w:left w:val="single" w:color="auto" w:sz="4" w:space="0"/>
              <w:bottom w:val="nil"/>
              <w:right w:val="nil"/>
            </w:tcBorders>
            <w:noWrap/>
            <w:vAlign w:val="bottom"/>
            <w:hideMark/>
          </w:tcPr>
          <w:p w:rsidRPr="00997F1C" w:rsidR="003E5AEF" w:rsidP="003E5AEF" w:rsidRDefault="003E5AEF" w14:paraId="70E0CF9E"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Lower Retained RA Value</w:t>
            </w:r>
          </w:p>
        </w:tc>
        <w:tc>
          <w:tcPr>
            <w:tcW w:w="1260" w:type="dxa"/>
            <w:tcBorders>
              <w:top w:val="nil"/>
              <w:left w:val="nil"/>
              <w:bottom w:val="nil"/>
              <w:right w:val="single" w:color="auto" w:sz="4" w:space="0"/>
            </w:tcBorders>
            <w:noWrap/>
            <w:vAlign w:val="center"/>
            <w:hideMark/>
          </w:tcPr>
          <w:p w:rsidRPr="00997F1C" w:rsidR="003E5AEF" w:rsidP="003E5AEF" w:rsidRDefault="003E5AEF" w14:paraId="7B89E684"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 </w:t>
            </w:r>
          </w:p>
        </w:tc>
      </w:tr>
      <w:tr w:rsidRPr="00997F1C" w:rsidR="00997F1C" w14:paraId="16010A05"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3C8E04F8"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2F61625B"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Lower 2025 final RA adder</w:t>
            </w:r>
          </w:p>
        </w:tc>
        <w:tc>
          <w:tcPr>
            <w:tcW w:w="1260" w:type="dxa"/>
            <w:tcBorders>
              <w:top w:val="nil"/>
              <w:left w:val="nil"/>
              <w:bottom w:val="nil"/>
              <w:right w:val="single" w:color="auto" w:sz="4" w:space="0"/>
            </w:tcBorders>
            <w:noWrap/>
            <w:vAlign w:val="center"/>
            <w:hideMark/>
          </w:tcPr>
          <w:p w:rsidRPr="00997F1C" w:rsidR="003E5AEF" w:rsidP="003E5AEF" w:rsidRDefault="003E5AEF" w14:paraId="460702BE"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$630 </w:t>
            </w:r>
          </w:p>
        </w:tc>
      </w:tr>
      <w:tr w:rsidRPr="00997F1C" w:rsidR="00997F1C" w14:paraId="499CC240" w14:textId="77777777">
        <w:trPr>
          <w:trHeight w:val="288"/>
          <w:jc w:val="center"/>
        </w:trPr>
        <w:tc>
          <w:tcPr>
            <w:tcW w:w="535" w:type="dxa"/>
            <w:tcBorders>
              <w:top w:val="nil"/>
              <w:left w:val="single" w:color="auto" w:sz="4" w:space="0"/>
              <w:bottom w:val="single" w:color="auto" w:sz="4" w:space="0"/>
              <w:right w:val="nil"/>
            </w:tcBorders>
            <w:noWrap/>
            <w:vAlign w:val="bottom"/>
            <w:hideMark/>
          </w:tcPr>
          <w:p w:rsidRPr="00997F1C" w:rsidR="003E5AEF" w:rsidP="003E5AEF" w:rsidRDefault="003E5AEF" w14:paraId="40EA10D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single" w:color="auto" w:sz="4" w:space="0"/>
              <w:right w:val="nil"/>
            </w:tcBorders>
            <w:noWrap/>
            <w:vAlign w:val="bottom"/>
            <w:hideMark/>
          </w:tcPr>
          <w:p w:rsidRPr="00997F1C" w:rsidR="003E5AEF" w:rsidP="003E5AEF" w:rsidRDefault="003E5AEF" w14:paraId="6E96178C"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Lower Retained RA quantity</w:t>
            </w:r>
          </w:p>
        </w:tc>
        <w:tc>
          <w:tcPr>
            <w:tcW w:w="1260" w:type="dxa"/>
            <w:tcBorders>
              <w:top w:val="nil"/>
              <w:left w:val="nil"/>
              <w:bottom w:val="single" w:color="auto" w:sz="4" w:space="0"/>
              <w:right w:val="single" w:color="auto" w:sz="4" w:space="0"/>
            </w:tcBorders>
            <w:noWrap/>
            <w:vAlign w:val="center"/>
            <w:hideMark/>
          </w:tcPr>
          <w:p w:rsidRPr="00997F1C" w:rsidR="003E5AEF" w:rsidP="003E5AEF" w:rsidRDefault="003E5AEF" w14:paraId="0F123C37"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$415 </w:t>
            </w:r>
          </w:p>
        </w:tc>
      </w:tr>
      <w:tr w:rsidRPr="00997F1C" w:rsidR="00997F1C" w14:paraId="52DAE5D5"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1DD4FAE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0EAA27BE" w14:textId="77777777">
            <w:pPr>
              <w:spacing w:line="240" w:lineRule="auto"/>
              <w:ind w:firstLine="0"/>
              <w:rPr>
                <w:rFonts w:eastAsia="Times New Roman" w:cs="Calibri"/>
                <w:color w:val="000000" w:themeColor="text1"/>
                <w:szCs w:val="26"/>
              </w:rPr>
            </w:pPr>
          </w:p>
        </w:tc>
        <w:tc>
          <w:tcPr>
            <w:tcW w:w="1260" w:type="dxa"/>
            <w:tcBorders>
              <w:top w:val="nil"/>
              <w:left w:val="nil"/>
              <w:bottom w:val="nil"/>
              <w:right w:val="single" w:color="auto" w:sz="4" w:space="0"/>
            </w:tcBorders>
            <w:noWrap/>
            <w:vAlign w:val="center"/>
            <w:hideMark/>
          </w:tcPr>
          <w:p w:rsidRPr="00997F1C" w:rsidR="003E5AEF" w:rsidP="003E5AEF" w:rsidRDefault="003E5AEF" w14:paraId="30C363DD" w14:textId="77777777">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$1,045 </w:t>
            </w:r>
          </w:p>
        </w:tc>
      </w:tr>
      <w:tr w:rsidRPr="00997F1C" w:rsidR="00997F1C" w14:paraId="7DAE0E14" w14:textId="77777777">
        <w:trPr>
          <w:trHeight w:val="288"/>
          <w:jc w:val="center"/>
        </w:trPr>
        <w:tc>
          <w:tcPr>
            <w:tcW w:w="5845" w:type="dxa"/>
            <w:gridSpan w:val="3"/>
            <w:tcBorders>
              <w:top w:val="nil"/>
              <w:left w:val="single" w:color="auto" w:sz="4" w:space="0"/>
              <w:bottom w:val="nil"/>
              <w:right w:val="nil"/>
            </w:tcBorders>
            <w:noWrap/>
            <w:vAlign w:val="bottom"/>
            <w:hideMark/>
          </w:tcPr>
          <w:p w:rsidRPr="00997F1C" w:rsidR="003E5AEF" w:rsidP="003E5AEF" w:rsidRDefault="003E5AEF" w14:paraId="32B00056"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Recorded balances brought forward from 2024</w:t>
            </w:r>
          </w:p>
        </w:tc>
        <w:tc>
          <w:tcPr>
            <w:tcW w:w="1260" w:type="dxa"/>
            <w:tcBorders>
              <w:top w:val="nil"/>
              <w:left w:val="nil"/>
              <w:bottom w:val="nil"/>
              <w:right w:val="single" w:color="auto" w:sz="4" w:space="0"/>
            </w:tcBorders>
            <w:noWrap/>
            <w:vAlign w:val="center"/>
            <w:hideMark/>
          </w:tcPr>
          <w:p w:rsidRPr="00997F1C" w:rsidR="003E5AEF" w:rsidP="003E5AEF" w:rsidRDefault="003E5AEF" w14:paraId="2509A28F"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 </w:t>
            </w:r>
          </w:p>
        </w:tc>
      </w:tr>
      <w:tr w:rsidRPr="00997F1C" w:rsidR="00997F1C" w14:paraId="785F529A" w14:textId="77777777">
        <w:trPr>
          <w:trHeight w:val="288"/>
          <w:jc w:val="center"/>
        </w:trPr>
        <w:tc>
          <w:tcPr>
            <w:tcW w:w="535" w:type="dxa"/>
            <w:tcBorders>
              <w:top w:val="nil"/>
              <w:left w:val="single" w:color="auto" w:sz="4" w:space="0"/>
              <w:bottom w:val="nil"/>
              <w:right w:val="nil"/>
            </w:tcBorders>
            <w:noWrap/>
            <w:vAlign w:val="bottom"/>
            <w:hideMark/>
          </w:tcPr>
          <w:p w:rsidRPr="00997F1C" w:rsidR="003E5AEF" w:rsidP="003E5AEF" w:rsidRDefault="003E5AEF" w14:paraId="195F1612"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nil"/>
              <w:right w:val="nil"/>
            </w:tcBorders>
            <w:noWrap/>
            <w:vAlign w:val="bottom"/>
            <w:hideMark/>
          </w:tcPr>
          <w:p w:rsidRPr="00997F1C" w:rsidR="003E5AEF" w:rsidP="003E5AEF" w:rsidRDefault="003E5AEF" w14:paraId="6FDE6D4E"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PABA</w:t>
            </w:r>
          </w:p>
        </w:tc>
        <w:tc>
          <w:tcPr>
            <w:tcW w:w="1260" w:type="dxa"/>
            <w:tcBorders>
              <w:top w:val="nil"/>
              <w:left w:val="nil"/>
              <w:bottom w:val="nil"/>
              <w:right w:val="single" w:color="auto" w:sz="4" w:space="0"/>
            </w:tcBorders>
            <w:noWrap/>
            <w:vAlign w:val="center"/>
            <w:hideMark/>
          </w:tcPr>
          <w:p w:rsidRPr="00997F1C" w:rsidR="003E5AEF" w:rsidP="003E5AEF" w:rsidRDefault="003E5AEF" w14:paraId="43142F17"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$80 </w:t>
            </w:r>
          </w:p>
        </w:tc>
      </w:tr>
      <w:tr w:rsidRPr="00997F1C" w:rsidR="00997F1C" w14:paraId="77C0822D" w14:textId="77777777">
        <w:trPr>
          <w:trHeight w:val="288"/>
          <w:jc w:val="center"/>
        </w:trPr>
        <w:tc>
          <w:tcPr>
            <w:tcW w:w="535" w:type="dxa"/>
            <w:tcBorders>
              <w:top w:val="nil"/>
              <w:left w:val="single" w:color="auto" w:sz="4" w:space="0"/>
              <w:bottom w:val="single" w:color="auto" w:sz="4" w:space="0"/>
              <w:right w:val="nil"/>
            </w:tcBorders>
            <w:noWrap/>
            <w:vAlign w:val="bottom"/>
            <w:hideMark/>
          </w:tcPr>
          <w:p w:rsidRPr="00997F1C" w:rsidR="003E5AEF" w:rsidP="003E5AEF" w:rsidRDefault="003E5AEF" w14:paraId="7BF0E88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5310" w:type="dxa"/>
            <w:gridSpan w:val="2"/>
            <w:tcBorders>
              <w:top w:val="nil"/>
              <w:left w:val="nil"/>
              <w:bottom w:val="single" w:color="auto" w:sz="4" w:space="0"/>
              <w:right w:val="nil"/>
            </w:tcBorders>
            <w:noWrap/>
            <w:vAlign w:val="bottom"/>
            <w:hideMark/>
          </w:tcPr>
          <w:p w:rsidRPr="00997F1C" w:rsidR="003E5AEF" w:rsidP="003E5AEF" w:rsidRDefault="003E5AEF" w14:paraId="6416B7A6"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ERRA</w:t>
            </w:r>
          </w:p>
        </w:tc>
        <w:tc>
          <w:tcPr>
            <w:tcW w:w="1260" w:type="dxa"/>
            <w:tcBorders>
              <w:top w:val="nil"/>
              <w:left w:val="nil"/>
              <w:bottom w:val="single" w:color="auto" w:sz="4" w:space="0"/>
              <w:right w:val="single" w:color="auto" w:sz="4" w:space="0"/>
            </w:tcBorders>
            <w:noWrap/>
            <w:vAlign w:val="center"/>
            <w:hideMark/>
          </w:tcPr>
          <w:p w:rsidRPr="00997F1C" w:rsidR="003E5AEF" w:rsidP="003E5AEF" w:rsidRDefault="003E5AEF" w14:paraId="56904554"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 (70)</w:t>
            </w:r>
          </w:p>
        </w:tc>
      </w:tr>
      <w:tr w:rsidRPr="00997F1C" w:rsidR="00997F1C" w14:paraId="709931F1" w14:textId="77777777">
        <w:trPr>
          <w:trHeight w:val="288"/>
          <w:jc w:val="center"/>
        </w:trPr>
        <w:tc>
          <w:tcPr>
            <w:tcW w:w="910" w:type="dxa"/>
            <w:gridSpan w:val="2"/>
            <w:tcBorders>
              <w:top w:val="nil"/>
              <w:left w:val="single" w:color="auto" w:sz="4" w:space="0"/>
              <w:bottom w:val="nil"/>
              <w:right w:val="nil"/>
            </w:tcBorders>
            <w:noWrap/>
            <w:vAlign w:val="bottom"/>
            <w:hideMark/>
          </w:tcPr>
          <w:p w:rsidRPr="00997F1C" w:rsidR="003E5AEF" w:rsidP="003E5AEF" w:rsidRDefault="003E5AEF" w14:paraId="2F4EF04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4935" w:type="dxa"/>
            <w:tcBorders>
              <w:top w:val="nil"/>
              <w:left w:val="nil"/>
              <w:bottom w:val="nil"/>
              <w:right w:val="nil"/>
            </w:tcBorders>
            <w:noWrap/>
            <w:vAlign w:val="bottom"/>
            <w:hideMark/>
          </w:tcPr>
          <w:p w:rsidRPr="00997F1C" w:rsidR="003E5AEF" w:rsidP="003E5AEF" w:rsidRDefault="003E5AEF" w14:paraId="0265D933" w14:textId="77777777">
            <w:pPr>
              <w:spacing w:line="240" w:lineRule="auto"/>
              <w:ind w:firstLine="0"/>
              <w:rPr>
                <w:rFonts w:eastAsia="Times New Roman" w:cs="Calibri"/>
                <w:color w:val="000000" w:themeColor="text1"/>
                <w:szCs w:val="26"/>
              </w:rPr>
            </w:pPr>
          </w:p>
        </w:tc>
        <w:tc>
          <w:tcPr>
            <w:tcW w:w="1260" w:type="dxa"/>
            <w:tcBorders>
              <w:top w:val="nil"/>
              <w:left w:val="nil"/>
              <w:bottom w:val="nil"/>
              <w:right w:val="single" w:color="auto" w:sz="4" w:space="0"/>
            </w:tcBorders>
            <w:noWrap/>
            <w:vAlign w:val="center"/>
            <w:hideMark/>
          </w:tcPr>
          <w:p w:rsidRPr="00997F1C" w:rsidR="003E5AEF" w:rsidP="003E5AEF" w:rsidRDefault="003E5AEF" w14:paraId="184A2C7B" w14:textId="77777777">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$10 </w:t>
            </w:r>
          </w:p>
        </w:tc>
      </w:tr>
      <w:tr w:rsidRPr="00997F1C" w:rsidR="00997F1C" w14:paraId="15AC6C3D" w14:textId="77777777">
        <w:trPr>
          <w:trHeight w:val="288"/>
          <w:jc w:val="center"/>
        </w:trPr>
        <w:tc>
          <w:tcPr>
            <w:tcW w:w="5845" w:type="dxa"/>
            <w:gridSpan w:val="3"/>
            <w:tcBorders>
              <w:top w:val="single" w:color="auto" w:sz="4" w:space="0"/>
              <w:left w:val="single" w:color="auto" w:sz="4" w:space="0"/>
              <w:bottom w:val="single" w:color="auto" w:sz="4" w:space="0"/>
              <w:right w:val="nil"/>
            </w:tcBorders>
            <w:noWrap/>
            <w:vAlign w:val="bottom"/>
            <w:hideMark/>
          </w:tcPr>
          <w:p w:rsidRPr="00997F1C" w:rsidR="003E5AEF" w:rsidP="003E5AEF" w:rsidRDefault="003E5AEF" w14:paraId="401DD16D"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Balancing Account Interest</w:t>
            </w:r>
          </w:p>
        </w:tc>
        <w:tc>
          <w:tcPr>
            <w:tcW w:w="1260" w:type="dxa"/>
            <w:tcBorders>
              <w:top w:val="single" w:color="auto" w:sz="4" w:space="0"/>
              <w:left w:val="nil"/>
              <w:bottom w:val="single" w:color="auto" w:sz="4" w:space="0"/>
              <w:right w:val="single" w:color="auto" w:sz="4" w:space="0"/>
            </w:tcBorders>
            <w:noWrap/>
            <w:vAlign w:val="center"/>
            <w:hideMark/>
          </w:tcPr>
          <w:p w:rsidRPr="00997F1C" w:rsidR="003E5AEF" w:rsidP="003E5AEF" w:rsidRDefault="003E5AEF" w14:paraId="52F82B92"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 xml:space="preserve"> $40 </w:t>
            </w:r>
          </w:p>
        </w:tc>
      </w:tr>
      <w:tr w:rsidRPr="00997F1C" w:rsidR="00997F1C" w14:paraId="46C153CB" w14:textId="77777777">
        <w:trPr>
          <w:trHeight w:val="288"/>
          <w:jc w:val="center"/>
        </w:trPr>
        <w:tc>
          <w:tcPr>
            <w:tcW w:w="910" w:type="dxa"/>
            <w:gridSpan w:val="2"/>
            <w:tcBorders>
              <w:top w:val="nil"/>
              <w:left w:val="single" w:color="auto" w:sz="4" w:space="0"/>
              <w:bottom w:val="double" w:color="auto" w:sz="4" w:space="0"/>
              <w:right w:val="nil"/>
            </w:tcBorders>
            <w:noWrap/>
            <w:vAlign w:val="bottom"/>
            <w:hideMark/>
          </w:tcPr>
          <w:p w:rsidRPr="00997F1C" w:rsidR="003E5AEF" w:rsidP="003E5AEF" w:rsidRDefault="003E5AEF" w14:paraId="12C11EBA"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lastRenderedPageBreak/>
              <w:t>Other</w:t>
            </w:r>
          </w:p>
        </w:tc>
        <w:tc>
          <w:tcPr>
            <w:tcW w:w="4935" w:type="dxa"/>
            <w:tcBorders>
              <w:top w:val="nil"/>
              <w:left w:val="nil"/>
              <w:bottom w:val="double" w:color="auto" w:sz="4" w:space="0"/>
              <w:right w:val="nil"/>
            </w:tcBorders>
            <w:noWrap/>
            <w:vAlign w:val="bottom"/>
            <w:hideMark/>
          </w:tcPr>
          <w:p w:rsidRPr="00997F1C" w:rsidR="003E5AEF" w:rsidP="003E5AEF" w:rsidRDefault="003E5AEF" w14:paraId="15C492C0"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w:t>
            </w:r>
          </w:p>
        </w:tc>
        <w:tc>
          <w:tcPr>
            <w:tcW w:w="1260" w:type="dxa"/>
            <w:tcBorders>
              <w:top w:val="nil"/>
              <w:left w:val="nil"/>
              <w:bottom w:val="single" w:color="auto" w:sz="4" w:space="0"/>
              <w:right w:val="single" w:color="auto" w:sz="4" w:space="0"/>
            </w:tcBorders>
            <w:noWrap/>
            <w:vAlign w:val="center"/>
            <w:hideMark/>
          </w:tcPr>
          <w:p w:rsidRPr="00997F1C" w:rsidR="003E5AEF" w:rsidP="003E5AEF" w:rsidRDefault="003E5AEF" w14:paraId="313E86AC" w14:textId="1790D239">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w:t>
            </w:r>
            <w:r w:rsidRPr="00997F1C" w:rsidR="00B920F4">
              <w:rPr>
                <w:rFonts w:eastAsia="Times New Roman" w:cs="Calibri"/>
                <w:b/>
                <w:bCs/>
                <w:color w:val="000000" w:themeColor="text1"/>
                <w:szCs w:val="26"/>
              </w:rPr>
              <w:t>6</w:t>
            </w:r>
            <w:r w:rsidRPr="00997F1C">
              <w:rPr>
                <w:rFonts w:eastAsia="Times New Roman" w:cs="Calibri"/>
                <w:b/>
                <w:bCs/>
                <w:color w:val="000000" w:themeColor="text1"/>
                <w:szCs w:val="26"/>
              </w:rPr>
              <w:t>)</w:t>
            </w:r>
          </w:p>
        </w:tc>
      </w:tr>
      <w:tr w:rsidRPr="00997F1C" w:rsidR="003E5AEF" w14:paraId="20507A07" w14:textId="77777777">
        <w:trPr>
          <w:trHeight w:val="288"/>
          <w:jc w:val="center"/>
        </w:trPr>
        <w:tc>
          <w:tcPr>
            <w:tcW w:w="5845" w:type="dxa"/>
            <w:gridSpan w:val="3"/>
            <w:tcBorders>
              <w:top w:val="double" w:color="auto" w:sz="4" w:space="0"/>
              <w:left w:val="single" w:color="auto" w:sz="4" w:space="0"/>
              <w:bottom w:val="single" w:color="auto" w:sz="4" w:space="0"/>
              <w:right w:val="nil"/>
            </w:tcBorders>
            <w:noWrap/>
            <w:vAlign w:val="bottom"/>
            <w:hideMark/>
          </w:tcPr>
          <w:p w:rsidRPr="00997F1C" w:rsidR="003E5AEF" w:rsidP="003E5AEF" w:rsidRDefault="003E5AEF" w14:paraId="01B86E63" w14:textId="112753A1">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Forecast 2025 year</w:t>
            </w:r>
            <w:r w:rsidRPr="00997F1C" w:rsidR="000E07E9">
              <w:rPr>
                <w:rFonts w:eastAsia="Times New Roman" w:cs="Calibri"/>
                <w:b/>
                <w:bCs/>
                <w:color w:val="000000" w:themeColor="text1"/>
                <w:szCs w:val="26"/>
              </w:rPr>
              <w:t>-</w:t>
            </w:r>
            <w:r w:rsidRPr="00997F1C">
              <w:rPr>
                <w:rFonts w:eastAsia="Times New Roman" w:cs="Calibri"/>
                <w:b/>
                <w:bCs/>
                <w:color w:val="000000" w:themeColor="text1"/>
                <w:szCs w:val="26"/>
              </w:rPr>
              <w:t xml:space="preserve">end PABA balance, before Balance Transfers </w:t>
            </w:r>
          </w:p>
        </w:tc>
        <w:tc>
          <w:tcPr>
            <w:tcW w:w="1260" w:type="dxa"/>
            <w:tcBorders>
              <w:top w:val="double" w:color="auto" w:sz="4" w:space="0"/>
              <w:left w:val="nil"/>
              <w:bottom w:val="single" w:color="auto" w:sz="4" w:space="0"/>
              <w:right w:val="single" w:color="auto" w:sz="4" w:space="0"/>
            </w:tcBorders>
            <w:noWrap/>
            <w:vAlign w:val="center"/>
            <w:hideMark/>
          </w:tcPr>
          <w:p w:rsidRPr="00997F1C" w:rsidR="003E5AEF" w:rsidP="003E5AEF" w:rsidRDefault="003E5AEF" w14:paraId="1B6F8510" w14:textId="29DD83D7">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$2,</w:t>
            </w:r>
            <w:r w:rsidRPr="00997F1C" w:rsidR="00020C2B">
              <w:rPr>
                <w:rFonts w:eastAsia="Times New Roman" w:cs="Calibri"/>
                <w:b/>
                <w:bCs/>
                <w:color w:val="000000" w:themeColor="text1"/>
                <w:szCs w:val="26"/>
              </w:rPr>
              <w:t xml:space="preserve">240 </w:t>
            </w:r>
          </w:p>
        </w:tc>
      </w:tr>
    </w:tbl>
    <w:p w:rsidRPr="00997F1C" w:rsidR="00DA2D70" w:rsidP="00A93519" w:rsidRDefault="1744FB10" w14:paraId="14F675F6" w14:textId="68FBCFE6">
      <w:pPr>
        <w:pStyle w:val="Standard"/>
        <w:spacing w:before="120"/>
        <w:rPr>
          <w:color w:val="000000" w:themeColor="text1"/>
        </w:rPr>
      </w:pPr>
      <w:r w:rsidRPr="00997F1C">
        <w:rPr>
          <w:color w:val="000000" w:themeColor="text1"/>
        </w:rPr>
        <w:t xml:space="preserve">The PABA </w:t>
      </w:r>
      <w:proofErr w:type="spellStart"/>
      <w:r w:rsidRPr="00997F1C">
        <w:rPr>
          <w:color w:val="000000" w:themeColor="text1"/>
        </w:rPr>
        <w:t>undercollection</w:t>
      </w:r>
      <w:proofErr w:type="spellEnd"/>
      <w:r w:rsidRPr="00997F1C">
        <w:rPr>
          <w:color w:val="000000" w:themeColor="text1"/>
        </w:rPr>
        <w:t xml:space="preserve"> can be attributed to several factors as demonstrated in the table above. First, CAISO revenues were approximately </w:t>
      </w:r>
      <w:r w:rsidR="00A93519">
        <w:rPr>
          <w:color w:val="000000" w:themeColor="text1"/>
        </w:rPr>
        <w:br/>
      </w:r>
      <w:r w:rsidRPr="00997F1C" w:rsidR="13F1E843">
        <w:rPr>
          <w:color w:val="000000" w:themeColor="text1"/>
        </w:rPr>
        <w:t xml:space="preserve">25 </w:t>
      </w:r>
      <w:r w:rsidRPr="00997F1C" w:rsidR="1EE721C6">
        <w:rPr>
          <w:color w:val="000000" w:themeColor="text1"/>
        </w:rPr>
        <w:t>percent</w:t>
      </w:r>
      <w:r w:rsidRPr="00997F1C" w:rsidR="13F1E843">
        <w:rPr>
          <w:color w:val="000000" w:themeColor="text1"/>
        </w:rPr>
        <w:t xml:space="preserve"> lower than the Energy Benchmark forecast due to lower-than-expe</w:t>
      </w:r>
      <w:r w:rsidRPr="00997F1C" w:rsidR="4A9FF9DE">
        <w:rPr>
          <w:color w:val="000000" w:themeColor="text1"/>
        </w:rPr>
        <w:t>cted natural gas prices</w:t>
      </w:r>
      <w:r w:rsidRPr="00997F1C" w:rsidR="5078719F">
        <w:rPr>
          <w:color w:val="000000" w:themeColor="text1"/>
        </w:rPr>
        <w:t>, and less generation from PCIA eligible Solar resources than had been expected</w:t>
      </w:r>
      <w:r w:rsidRPr="00997F1C" w:rsidR="4A9FF9DE">
        <w:rPr>
          <w:color w:val="000000" w:themeColor="text1"/>
        </w:rPr>
        <w:t>.</w:t>
      </w:r>
      <w:r w:rsidRPr="00997F1C" w:rsidR="000E76E1">
        <w:rPr>
          <w:color w:val="000000" w:themeColor="text1"/>
          <w:vertAlign w:val="superscript"/>
        </w:rPr>
        <w:footnoteReference w:id="23"/>
      </w:r>
      <w:r w:rsidRPr="00997F1C" w:rsidR="53DF3483">
        <w:rPr>
          <w:color w:val="000000" w:themeColor="text1"/>
        </w:rPr>
        <w:t xml:space="preserve"> </w:t>
      </w:r>
      <w:r w:rsidRPr="00997F1C" w:rsidR="33657F43">
        <w:rPr>
          <w:color w:val="000000" w:themeColor="text1"/>
        </w:rPr>
        <w:t xml:space="preserve">Second, RA sales revenues were roughly $545 million lower than expected, due to lower RA sale prices </w:t>
      </w:r>
      <w:r w:rsidRPr="00997F1C" w:rsidR="4BB9C808">
        <w:rPr>
          <w:color w:val="000000" w:themeColor="text1"/>
        </w:rPr>
        <w:t>than forecasted. Third, lower final RPS and RA benchma</w:t>
      </w:r>
      <w:r w:rsidRPr="00997F1C" w:rsidR="4A03BF37">
        <w:rPr>
          <w:color w:val="000000" w:themeColor="text1"/>
        </w:rPr>
        <w:t>rks for 2025, combined with less retained RA than forecasted lead to an additional $1.23 billion</w:t>
      </w:r>
      <w:r w:rsidRPr="00997F1C" w:rsidR="7DAE438B">
        <w:rPr>
          <w:color w:val="000000" w:themeColor="text1"/>
        </w:rPr>
        <w:t xml:space="preserve"> </w:t>
      </w:r>
      <w:r w:rsidRPr="00997F1C" w:rsidR="00892B01">
        <w:rPr>
          <w:color w:val="000000" w:themeColor="text1"/>
        </w:rPr>
        <w:t>of</w:t>
      </w:r>
      <w:r w:rsidRPr="00997F1C" w:rsidR="7DAE438B">
        <w:rPr>
          <w:color w:val="000000" w:themeColor="text1"/>
        </w:rPr>
        <w:t xml:space="preserve"> </w:t>
      </w:r>
      <w:proofErr w:type="spellStart"/>
      <w:r w:rsidRPr="00997F1C" w:rsidR="7DAE438B">
        <w:rPr>
          <w:color w:val="000000" w:themeColor="text1"/>
        </w:rPr>
        <w:t>undercollection</w:t>
      </w:r>
      <w:proofErr w:type="spellEnd"/>
      <w:r w:rsidRPr="00997F1C" w:rsidR="7DAE438B">
        <w:rPr>
          <w:color w:val="000000" w:themeColor="text1"/>
        </w:rPr>
        <w:t xml:space="preserve"> in the PABA.</w:t>
      </w:r>
      <w:r w:rsidRPr="00997F1C" w:rsidR="000E76E1">
        <w:rPr>
          <w:color w:val="000000" w:themeColor="text1"/>
          <w:vertAlign w:val="superscript"/>
        </w:rPr>
        <w:footnoteReference w:id="24"/>
      </w:r>
      <w:r w:rsidRPr="00997F1C" w:rsidR="7DAE438B">
        <w:rPr>
          <w:color w:val="000000" w:themeColor="text1"/>
          <w:vertAlign w:val="superscript"/>
        </w:rPr>
        <w:t xml:space="preserve"> </w:t>
      </w:r>
    </w:p>
    <w:p w:rsidRPr="00997F1C" w:rsidR="003E5AEF" w:rsidP="00A93519" w:rsidRDefault="003E5AEF" w14:paraId="50D1E60F" w14:textId="44450054">
      <w:pPr>
        <w:pStyle w:val="Heading3"/>
        <w:rPr>
          <w:szCs w:val="26"/>
        </w:rPr>
      </w:pPr>
      <w:bookmarkStart w:name="_Toc182841771" w:id="64"/>
      <w:bookmarkStart w:name="_Toc212561151" w:id="65"/>
      <w:r w:rsidRPr="00997F1C">
        <w:t>MPBs</w:t>
      </w:r>
      <w:bookmarkEnd w:id="64"/>
      <w:bookmarkEnd w:id="65"/>
    </w:p>
    <w:p w:rsidRPr="00997F1C" w:rsidR="007F01ED" w:rsidP="00A52D94" w:rsidRDefault="33A77E59" w14:paraId="2894498D" w14:textId="58D74935">
      <w:pPr>
        <w:pStyle w:val="Standard"/>
        <w:rPr>
          <w:color w:val="000000" w:themeColor="text1"/>
        </w:rPr>
      </w:pPr>
      <w:r w:rsidRPr="00997F1C">
        <w:rPr>
          <w:color w:val="000000" w:themeColor="text1"/>
        </w:rPr>
        <w:t xml:space="preserve">MPBs </w:t>
      </w:r>
      <w:r w:rsidRPr="00997F1C" w:rsidR="5066F29B">
        <w:rPr>
          <w:color w:val="000000" w:themeColor="text1"/>
        </w:rPr>
        <w:t>are</w:t>
      </w:r>
      <w:r w:rsidRPr="00997F1C">
        <w:rPr>
          <w:color w:val="000000" w:themeColor="text1"/>
        </w:rPr>
        <w:t xml:space="preserve"> estimates of the value per unit (not total portfolio value) associated with three principal sources of value in IOU portfolios</w:t>
      </w:r>
      <w:r w:rsidRPr="00997F1C" w:rsidR="5066F29B">
        <w:rPr>
          <w:color w:val="000000" w:themeColor="text1"/>
        </w:rPr>
        <w:t xml:space="preserve">: </w:t>
      </w:r>
      <w:r w:rsidRPr="00997F1C">
        <w:rPr>
          <w:color w:val="000000" w:themeColor="text1"/>
        </w:rPr>
        <w:t>energy, resource adequacy, and renewable energy.”</w:t>
      </w:r>
      <w:r w:rsidRPr="00997F1C" w:rsidR="00925F21">
        <w:rPr>
          <w:rStyle w:val="FootnoteReference"/>
          <w:color w:val="000000" w:themeColor="text1"/>
        </w:rPr>
        <w:footnoteReference w:id="25"/>
      </w:r>
      <w:r w:rsidRPr="00997F1C">
        <w:rPr>
          <w:color w:val="000000" w:themeColor="text1"/>
        </w:rPr>
        <w:t xml:space="preserve"> MPBs are multiplied by the relevant portfolio volume as part of the overall calculation of market value. The forecast adders </w:t>
      </w:r>
      <w:r w:rsidRPr="00997F1C" w:rsidR="00FF15F1">
        <w:rPr>
          <w:color w:val="000000" w:themeColor="text1"/>
        </w:rPr>
        <w:t xml:space="preserve">prospectively </w:t>
      </w:r>
      <w:r w:rsidRPr="00997F1C" w:rsidR="00310679">
        <w:rPr>
          <w:color w:val="000000" w:themeColor="text1"/>
        </w:rPr>
        <w:t xml:space="preserve">predict the market </w:t>
      </w:r>
      <w:proofErr w:type="gramStart"/>
      <w:r w:rsidRPr="00997F1C" w:rsidR="00310679">
        <w:rPr>
          <w:color w:val="000000" w:themeColor="text1"/>
        </w:rPr>
        <w:t>value</w:t>
      </w:r>
      <w:proofErr w:type="gramEnd"/>
      <w:r w:rsidRPr="00997F1C">
        <w:rPr>
          <w:color w:val="000000" w:themeColor="text1"/>
        </w:rPr>
        <w:t xml:space="preserve"> and the true up adders </w:t>
      </w:r>
      <w:r w:rsidRPr="00997F1C" w:rsidR="00310679">
        <w:rPr>
          <w:color w:val="000000" w:themeColor="text1"/>
        </w:rPr>
        <w:t>retrospectively update market</w:t>
      </w:r>
      <w:r w:rsidRPr="00997F1C">
        <w:rPr>
          <w:color w:val="000000" w:themeColor="text1"/>
        </w:rPr>
        <w:t xml:space="preserve"> value. </w:t>
      </w:r>
    </w:p>
    <w:p w:rsidRPr="00997F1C" w:rsidR="007B79DA" w:rsidP="00A52D94" w:rsidRDefault="00D35BFE" w14:paraId="458560A2" w14:textId="70486FE7">
      <w:pPr>
        <w:pStyle w:val="Standard"/>
        <w:rPr>
          <w:color w:val="000000" w:themeColor="text1"/>
        </w:rPr>
      </w:pPr>
      <w:r w:rsidRPr="00997F1C">
        <w:rPr>
          <w:color w:val="000000" w:themeColor="text1"/>
        </w:rPr>
        <w:t xml:space="preserve">The </w:t>
      </w:r>
      <w:r w:rsidRPr="00997F1C" w:rsidR="007F01ED">
        <w:rPr>
          <w:color w:val="000000" w:themeColor="text1"/>
        </w:rPr>
        <w:t xml:space="preserve">Energy Index is the MPB that reflects the estimated market value of each unit of energy in an IOU’s PCIA-eligible portfolio, in dollars per megawatt hour ($/MWh). </w:t>
      </w:r>
      <w:r w:rsidRPr="00997F1C">
        <w:rPr>
          <w:color w:val="000000" w:themeColor="text1"/>
        </w:rPr>
        <w:t xml:space="preserve"> </w:t>
      </w:r>
      <w:r w:rsidRPr="00997F1C" w:rsidR="007F01ED">
        <w:rPr>
          <w:color w:val="000000" w:themeColor="text1"/>
        </w:rPr>
        <w:t xml:space="preserve">The </w:t>
      </w:r>
      <w:r w:rsidRPr="00997F1C" w:rsidR="007B79DA">
        <w:rPr>
          <w:color w:val="000000" w:themeColor="text1"/>
        </w:rPr>
        <w:t xml:space="preserve">2025 </w:t>
      </w:r>
      <w:r w:rsidRPr="00997F1C" w:rsidR="007F01ED">
        <w:rPr>
          <w:color w:val="000000" w:themeColor="text1"/>
        </w:rPr>
        <w:t xml:space="preserve">Energy Index was calculated using Platts-ICE Forward Curve-Electricity market data. </w:t>
      </w:r>
      <w:r w:rsidRPr="00997F1C">
        <w:rPr>
          <w:color w:val="000000" w:themeColor="text1"/>
        </w:rPr>
        <w:t xml:space="preserve"> </w:t>
      </w:r>
      <w:r w:rsidRPr="00997F1C" w:rsidR="007F01ED">
        <w:rPr>
          <w:color w:val="000000" w:themeColor="text1"/>
        </w:rPr>
        <w:t xml:space="preserve">Energy Division received a Platts on-peak and </w:t>
      </w:r>
      <w:r w:rsidRPr="00997F1C" w:rsidR="007F01ED">
        <w:rPr>
          <w:color w:val="000000" w:themeColor="text1"/>
        </w:rPr>
        <w:lastRenderedPageBreak/>
        <w:t xml:space="preserve">off-peak forward price for each month of 2026 and each electrical zone (NP15 and SP15), as calculated on each individual non-holiday weekday from September 1, </w:t>
      </w:r>
      <w:proofErr w:type="gramStart"/>
      <w:r w:rsidRPr="00997F1C" w:rsidR="007F01ED">
        <w:rPr>
          <w:color w:val="000000" w:themeColor="text1"/>
        </w:rPr>
        <w:t>2025</w:t>
      </w:r>
      <w:proofErr w:type="gramEnd"/>
      <w:r w:rsidRPr="00997F1C" w:rsidR="007F01ED">
        <w:rPr>
          <w:color w:val="000000" w:themeColor="text1"/>
        </w:rPr>
        <w:t xml:space="preserve"> through September 30, 2025 (inclusive). Using this data, Energy Division calculated a 2026 monthly average price for each peak period and each electrical zone. </w:t>
      </w:r>
      <w:r w:rsidRPr="00997F1C" w:rsidR="007B79DA">
        <w:rPr>
          <w:color w:val="000000" w:themeColor="text1"/>
        </w:rPr>
        <w:t>PG&amp;E</w:t>
      </w:r>
      <w:r w:rsidRPr="00997F1C" w:rsidR="007F01ED">
        <w:rPr>
          <w:color w:val="000000" w:themeColor="text1"/>
        </w:rPr>
        <w:t xml:space="preserve"> use</w:t>
      </w:r>
      <w:r w:rsidRPr="00997F1C" w:rsidR="007B79DA">
        <w:rPr>
          <w:color w:val="000000" w:themeColor="text1"/>
        </w:rPr>
        <w:t>s</w:t>
      </w:r>
      <w:r w:rsidRPr="00997F1C" w:rsidR="007F01ED">
        <w:rPr>
          <w:color w:val="000000" w:themeColor="text1"/>
        </w:rPr>
        <w:t xml:space="preserve"> weighted averages of these values in the </w:t>
      </w:r>
      <w:r w:rsidRPr="00997F1C" w:rsidR="007B79DA">
        <w:rPr>
          <w:color w:val="000000" w:themeColor="text1"/>
        </w:rPr>
        <w:t>Fall</w:t>
      </w:r>
      <w:r w:rsidRPr="00997F1C" w:rsidR="007F01ED">
        <w:rPr>
          <w:color w:val="000000" w:themeColor="text1"/>
        </w:rPr>
        <w:t xml:space="preserve"> Update. </w:t>
      </w:r>
    </w:p>
    <w:p w:rsidRPr="00997F1C" w:rsidR="003E5AEF" w:rsidP="007B79DA" w:rsidRDefault="007F01ED" w14:paraId="3021FF8F" w14:textId="1549C0E7">
      <w:pPr>
        <w:pStyle w:val="Standard"/>
        <w:rPr>
          <w:color w:val="000000" w:themeColor="text1"/>
        </w:rPr>
      </w:pPr>
      <w:r w:rsidRPr="00997F1C">
        <w:rPr>
          <w:color w:val="000000" w:themeColor="text1"/>
        </w:rPr>
        <w:t>The RA Adder calculates the estimated value of each unit of capacity in an IOU’s PCIA-eligible portfolio that can be used to satisfy Resource Adequacy obligations, in dollars per kilowatt-month ($/kW-month).</w:t>
      </w:r>
      <w:r w:rsidRPr="00997F1C" w:rsidR="00753B99">
        <w:rPr>
          <w:color w:val="000000" w:themeColor="text1"/>
        </w:rPr>
        <w:t xml:space="preserve"> </w:t>
      </w:r>
    </w:p>
    <w:p w:rsidRPr="00997F1C" w:rsidR="00753B99" w:rsidP="00753B99" w:rsidRDefault="6D042623" w14:paraId="67BA5888" w14:textId="74C61E55">
      <w:pPr>
        <w:pStyle w:val="Standard"/>
        <w:rPr>
          <w:color w:val="000000" w:themeColor="text1"/>
        </w:rPr>
      </w:pPr>
      <w:r w:rsidRPr="00997F1C">
        <w:rPr>
          <w:color w:val="000000" w:themeColor="text1"/>
        </w:rPr>
        <w:t>D.25-06-049 modified the RA MPB methodology adopted in D.19-10-001 to calculate a single unified RA MPB rather than calculate a separate system, local, and flexible value.  The RA Forecast MPB and RA Final MPB are calculated as ordered in D.25-06-049.</w:t>
      </w:r>
      <w:r w:rsidRPr="00997F1C" w:rsidR="000E625E">
        <w:rPr>
          <w:rStyle w:val="FootnoteReference"/>
          <w:color w:val="000000" w:themeColor="text1"/>
        </w:rPr>
        <w:footnoteReference w:id="26"/>
      </w:r>
    </w:p>
    <w:p w:rsidRPr="00997F1C" w:rsidR="00753B99" w:rsidP="00753B99" w:rsidRDefault="00753B99" w14:paraId="04ECE579" w14:textId="09E2F46F">
      <w:pPr>
        <w:pStyle w:val="Standard"/>
        <w:rPr>
          <w:color w:val="000000" w:themeColor="text1"/>
        </w:rPr>
      </w:pPr>
      <w:r w:rsidRPr="00997F1C">
        <w:rPr>
          <w:color w:val="000000" w:themeColor="text1"/>
        </w:rPr>
        <w:t>The RPS Adder is the MPB that reflects the estimated value</w:t>
      </w:r>
      <w:r w:rsidRPr="00997F1C" w:rsidR="00E505AB">
        <w:rPr>
          <w:color w:val="000000" w:themeColor="text1"/>
        </w:rPr>
        <w:t xml:space="preserve">, </w:t>
      </w:r>
      <w:r w:rsidRPr="00997F1C">
        <w:rPr>
          <w:color w:val="000000" w:themeColor="text1"/>
        </w:rPr>
        <w:t>incremental to the Energy Index</w:t>
      </w:r>
      <w:r w:rsidRPr="00997F1C" w:rsidR="00E505AB">
        <w:rPr>
          <w:color w:val="000000" w:themeColor="text1"/>
        </w:rPr>
        <w:t>,</w:t>
      </w:r>
      <w:r w:rsidRPr="00997F1C">
        <w:rPr>
          <w:color w:val="000000" w:themeColor="text1"/>
        </w:rPr>
        <w:t xml:space="preserve"> of each unit of RPS-eligible energy that is attributable to its RPS eligibility, in $/MWh. </w:t>
      </w:r>
    </w:p>
    <w:p w:rsidRPr="00997F1C" w:rsidR="00753B99" w:rsidP="00753B99" w:rsidRDefault="00753B99" w14:paraId="231ACE0E" w14:textId="77777777">
      <w:pPr>
        <w:pStyle w:val="Standard"/>
        <w:rPr>
          <w:color w:val="000000" w:themeColor="text1"/>
        </w:rPr>
      </w:pPr>
      <w:r w:rsidRPr="00997F1C">
        <w:rPr>
          <w:color w:val="000000" w:themeColor="text1"/>
        </w:rPr>
        <w:t xml:space="preserve">The GHG-free Energy Adder reflects the estimated value of the GHG-free, non-RPS resources that </w:t>
      </w:r>
      <w:proofErr w:type="gramStart"/>
      <w:r w:rsidRPr="00997F1C">
        <w:rPr>
          <w:color w:val="000000" w:themeColor="text1"/>
        </w:rPr>
        <w:t>is</w:t>
      </w:r>
      <w:proofErr w:type="gramEnd"/>
      <w:r w:rsidRPr="00997F1C">
        <w:rPr>
          <w:color w:val="000000" w:themeColor="text1"/>
        </w:rPr>
        <w:t xml:space="preserve"> attributable to verifiable added market value of the GHG-free energy attribute, for the purpose of counting toward the LSEs’ Portfolio Content Label.</w:t>
      </w:r>
    </w:p>
    <w:p w:rsidRPr="00997F1C" w:rsidR="003E5AEF" w:rsidP="00D737A5" w:rsidRDefault="003E5AEF" w14:paraId="2355E35F" w14:textId="1030DCEC">
      <w:pPr>
        <w:keepNext/>
        <w:keepLines/>
        <w:numPr>
          <w:ilvl w:val="1"/>
          <w:numId w:val="11"/>
        </w:numPr>
        <w:spacing w:after="120" w:line="240" w:lineRule="auto"/>
        <w:ind w:right="2160"/>
        <w:outlineLvl w:val="1"/>
        <w:rPr>
          <w:rFonts w:ascii="Arial" w:hAnsi="Arial" w:cs="Arial"/>
          <w:b/>
          <w:color w:val="000000" w:themeColor="text1"/>
          <w:szCs w:val="26"/>
        </w:rPr>
      </w:pPr>
      <w:bookmarkStart w:name="_Toc182306100" w:id="66"/>
      <w:bookmarkStart w:name="_Toc182841772" w:id="67"/>
      <w:bookmarkStart w:name="_Toc212561152" w:id="68"/>
      <w:bookmarkStart w:name="_Toc217384621" w:id="69"/>
      <w:r w:rsidRPr="00997F1C">
        <w:rPr>
          <w:rFonts w:ascii="Arial" w:hAnsi="Arial" w:cs="Arial"/>
          <w:b/>
          <w:color w:val="000000" w:themeColor="text1"/>
          <w:szCs w:val="26"/>
        </w:rPr>
        <w:t xml:space="preserve">Ongoing Competition </w:t>
      </w:r>
      <w:r w:rsidR="00A93519">
        <w:rPr>
          <w:rFonts w:ascii="Arial" w:hAnsi="Arial" w:cs="Arial"/>
          <w:b/>
          <w:color w:val="000000" w:themeColor="text1"/>
          <w:szCs w:val="26"/>
        </w:rPr>
        <w:br/>
      </w:r>
      <w:r w:rsidRPr="00997F1C">
        <w:rPr>
          <w:rFonts w:ascii="Arial" w:hAnsi="Arial" w:cs="Arial"/>
          <w:b/>
          <w:color w:val="000000" w:themeColor="text1"/>
          <w:szCs w:val="26"/>
        </w:rPr>
        <w:t>Transition Charge</w:t>
      </w:r>
      <w:bookmarkEnd w:id="61"/>
      <w:bookmarkEnd w:id="62"/>
      <w:bookmarkEnd w:id="66"/>
      <w:bookmarkEnd w:id="67"/>
      <w:bookmarkEnd w:id="68"/>
      <w:bookmarkEnd w:id="69"/>
    </w:p>
    <w:p w:rsidRPr="00997F1C" w:rsidR="003E5AEF" w:rsidP="003E5AEF" w:rsidRDefault="003E5AEF" w14:paraId="310085DC" w14:textId="14FD9844">
      <w:pPr>
        <w:rPr>
          <w:color w:val="000000" w:themeColor="text1"/>
        </w:rPr>
      </w:pPr>
      <w:r w:rsidRPr="00997F1C">
        <w:rPr>
          <w:color w:val="000000" w:themeColor="text1"/>
        </w:rPr>
        <w:t xml:space="preserve">PG&amp;E forecasts that its Ongoing Competition Transition Charge (CTC) revenue requirement for 2026 will be $33.736 million.  We have reviewed this forecast and find that it is reasonable.  The Ongoing CTC recovers the cost of </w:t>
      </w:r>
      <w:r w:rsidRPr="00997F1C">
        <w:rPr>
          <w:color w:val="000000" w:themeColor="text1"/>
        </w:rPr>
        <w:lastRenderedPageBreak/>
        <w:t>power purchase agreements signed before December 20, 1995, as defined in Section 367(a) of the Pub. Util. Code.</w:t>
      </w:r>
    </w:p>
    <w:p w:rsidRPr="00997F1C" w:rsidR="003E5AEF" w:rsidP="00D737A5" w:rsidRDefault="003E5AEF" w14:paraId="7C1C144C" w14:textId="4F3A65EC">
      <w:pPr>
        <w:keepNext/>
        <w:keepLines/>
        <w:numPr>
          <w:ilvl w:val="1"/>
          <w:numId w:val="11"/>
        </w:numPr>
        <w:spacing w:after="120" w:line="240" w:lineRule="auto"/>
        <w:ind w:right="2160"/>
        <w:outlineLvl w:val="1"/>
        <w:rPr>
          <w:rFonts w:ascii="Arial" w:hAnsi="Arial" w:cs="Arial"/>
          <w:b/>
          <w:color w:val="000000" w:themeColor="text1"/>
          <w:szCs w:val="26"/>
        </w:rPr>
      </w:pPr>
      <w:bookmarkStart w:name="_Toc177628742" w:id="70"/>
      <w:bookmarkStart w:name="_Toc179212699" w:id="71"/>
      <w:bookmarkStart w:name="_Toc182306101" w:id="72"/>
      <w:bookmarkStart w:name="_Toc182841773" w:id="73"/>
      <w:bookmarkStart w:name="_Toc212561153" w:id="74"/>
      <w:bookmarkStart w:name="_Toc217384622" w:id="75"/>
      <w:r w:rsidRPr="00997F1C">
        <w:rPr>
          <w:rFonts w:ascii="Arial" w:hAnsi="Arial" w:cs="Arial"/>
          <w:b/>
          <w:color w:val="000000" w:themeColor="text1"/>
          <w:szCs w:val="26"/>
        </w:rPr>
        <w:t xml:space="preserve">Energy Resource Recovery Account – </w:t>
      </w:r>
      <w:r w:rsidRPr="00997F1C" w:rsidR="0012268E">
        <w:rPr>
          <w:rFonts w:ascii="Arial" w:hAnsi="Arial" w:cs="Arial"/>
          <w:b/>
          <w:color w:val="000000" w:themeColor="text1"/>
          <w:szCs w:val="26"/>
        </w:rPr>
        <w:br/>
      </w:r>
      <w:r w:rsidRPr="00997F1C">
        <w:rPr>
          <w:rFonts w:ascii="Arial" w:hAnsi="Arial" w:cs="Arial"/>
          <w:b/>
          <w:color w:val="000000" w:themeColor="text1"/>
          <w:szCs w:val="26"/>
        </w:rPr>
        <w:t>Main</w:t>
      </w:r>
      <w:bookmarkEnd w:id="70"/>
      <w:bookmarkEnd w:id="71"/>
      <w:bookmarkEnd w:id="72"/>
      <w:bookmarkEnd w:id="73"/>
      <w:bookmarkEnd w:id="74"/>
      <w:r w:rsidRPr="00997F1C">
        <w:rPr>
          <w:rFonts w:ascii="Arial" w:hAnsi="Arial" w:cs="Arial"/>
          <w:b/>
          <w:color w:val="000000" w:themeColor="text1"/>
          <w:szCs w:val="26"/>
        </w:rPr>
        <w:t xml:space="preserve"> and Trigger Application</w:t>
      </w:r>
      <w:bookmarkEnd w:id="75"/>
    </w:p>
    <w:p w:rsidRPr="00997F1C" w:rsidR="0036465E" w:rsidP="0036465E" w:rsidRDefault="53E8B74B" w14:paraId="4E79A11E" w14:textId="12E843DB">
      <w:pPr>
        <w:rPr>
          <w:color w:val="000000" w:themeColor="text1"/>
        </w:rPr>
      </w:pPr>
      <w:r w:rsidRPr="00997F1C">
        <w:rPr>
          <w:color w:val="000000" w:themeColor="text1"/>
        </w:rPr>
        <w:t xml:space="preserve">PG&amp;E forecasted that its 2026 main ERRA revenue requirement </w:t>
      </w:r>
      <w:r w:rsidRPr="00997F1C" w:rsidR="00D81A32">
        <w:rPr>
          <w:color w:val="000000" w:themeColor="text1"/>
        </w:rPr>
        <w:t xml:space="preserve">would </w:t>
      </w:r>
      <w:r w:rsidRPr="00997F1C">
        <w:rPr>
          <w:color w:val="000000" w:themeColor="text1"/>
        </w:rPr>
        <w:t xml:space="preserve">be $2.951 billion.  </w:t>
      </w:r>
      <w:r w:rsidRPr="00997F1C" w:rsidR="0970565B">
        <w:rPr>
          <w:color w:val="000000" w:themeColor="text1"/>
        </w:rPr>
        <w:t>According to the Fall Update Errata</w:t>
      </w:r>
      <w:r w:rsidRPr="00997F1C">
        <w:rPr>
          <w:color w:val="000000" w:themeColor="text1"/>
        </w:rPr>
        <w:t xml:space="preserve">, ERRA – Main was </w:t>
      </w:r>
      <w:proofErr w:type="spellStart"/>
      <w:r w:rsidRPr="00997F1C">
        <w:rPr>
          <w:color w:val="000000" w:themeColor="text1"/>
        </w:rPr>
        <w:t>overcollected</w:t>
      </w:r>
      <w:proofErr w:type="spellEnd"/>
      <w:r w:rsidRPr="00997F1C">
        <w:rPr>
          <w:color w:val="000000" w:themeColor="text1"/>
        </w:rPr>
        <w:t xml:space="preserve"> by </w:t>
      </w:r>
      <w:r w:rsidRPr="00997F1C" w:rsidR="0970565B">
        <w:rPr>
          <w:color w:val="000000" w:themeColor="text1"/>
        </w:rPr>
        <w:t>13.6</w:t>
      </w:r>
      <w:r w:rsidRPr="00997F1C">
        <w:rPr>
          <w:color w:val="000000" w:themeColor="text1"/>
        </w:rPr>
        <w:t xml:space="preserve"> percent, compared with the 6.3 percent over-collection forecast in PG&amp;E’s expedited ERRA Trigger Application.</w:t>
      </w:r>
      <w:r w:rsidRPr="00997F1C" w:rsidR="003E5AEF">
        <w:rPr>
          <w:color w:val="000000" w:themeColor="text1"/>
          <w:vertAlign w:val="superscript"/>
        </w:rPr>
        <w:footnoteReference w:id="27"/>
      </w:r>
      <w:r w:rsidRPr="00997F1C">
        <w:rPr>
          <w:color w:val="000000" w:themeColor="text1"/>
        </w:rPr>
        <w:t xml:space="preserve">  Pursuant to D.22-01-023, PG&amp;E proposed to transfer the over-collected ERRA balance to the PABA Vintage 2025 Subaccount for consolidation with the balance of the PABA vintages for recovery in the bundled PCIA rates.</w:t>
      </w:r>
      <w:r w:rsidRPr="00997F1C" w:rsidR="003E5AEF">
        <w:rPr>
          <w:color w:val="000000" w:themeColor="text1"/>
          <w:vertAlign w:val="superscript"/>
        </w:rPr>
        <w:footnoteReference w:id="28"/>
      </w:r>
      <w:r w:rsidRPr="00997F1C">
        <w:rPr>
          <w:color w:val="000000" w:themeColor="text1"/>
        </w:rPr>
        <w:t xml:space="preserve">  </w:t>
      </w:r>
    </w:p>
    <w:p w:rsidRPr="00997F1C" w:rsidR="003E5AEF" w:rsidP="0036465E" w:rsidRDefault="003E5AEF" w14:paraId="5C439D78" w14:textId="15A58F15">
      <w:pPr>
        <w:rPr>
          <w:color w:val="000000" w:themeColor="text1"/>
        </w:rPr>
      </w:pPr>
      <w:r w:rsidRPr="00997F1C">
        <w:rPr>
          <w:color w:val="000000" w:themeColor="text1"/>
        </w:rPr>
        <w:t xml:space="preserve">We have reviewed this forecast and find it reasonable to </w:t>
      </w:r>
      <w:r w:rsidRPr="00997F1C" w:rsidR="0036465E">
        <w:rPr>
          <w:color w:val="000000" w:themeColor="text1"/>
        </w:rPr>
        <w:t xml:space="preserve">(1) acknowledge the overcollection of the ERRA balancing account, and (2) state that PG&amp;E has complied with the requirements of D.02-10-062 to file an expedited ERRA trigger application </w:t>
      </w:r>
      <w:proofErr w:type="gramStart"/>
      <w:r w:rsidRPr="00997F1C" w:rsidR="0036465E">
        <w:rPr>
          <w:color w:val="000000" w:themeColor="text1"/>
        </w:rPr>
        <w:t>as a result of</w:t>
      </w:r>
      <w:proofErr w:type="gramEnd"/>
      <w:r w:rsidRPr="00997F1C" w:rsidR="0036465E">
        <w:rPr>
          <w:color w:val="000000" w:themeColor="text1"/>
        </w:rPr>
        <w:t xml:space="preserve"> the ERRA overcollection being greater than 5 percent. </w:t>
      </w:r>
      <w:r w:rsidRPr="00997F1C" w:rsidR="00510116">
        <w:rPr>
          <w:color w:val="000000" w:themeColor="text1"/>
        </w:rPr>
        <w:t xml:space="preserve"> </w:t>
      </w:r>
      <w:r w:rsidRPr="00997F1C" w:rsidR="00823D69">
        <w:rPr>
          <w:color w:val="000000" w:themeColor="text1"/>
        </w:rPr>
        <w:t>We find it reasonable to authorize PG&amp;E to amortize this overcollection in the annual electric true-up advice letter.  But given potential rate impacts that cannot be assessed in this expedited application, we require PG&amp;E to file a</w:t>
      </w:r>
      <w:r w:rsidRPr="00997F1C" w:rsidR="004B7C45">
        <w:rPr>
          <w:color w:val="000000" w:themeColor="text1"/>
        </w:rPr>
        <w:t>n information-only</w:t>
      </w:r>
      <w:r w:rsidRPr="00997F1C" w:rsidR="00823D69">
        <w:rPr>
          <w:color w:val="000000" w:themeColor="text1"/>
        </w:rPr>
        <w:t xml:space="preserve"> advice letter that separately documents the rate changes made </w:t>
      </w:r>
      <w:proofErr w:type="gramStart"/>
      <w:r w:rsidRPr="00997F1C" w:rsidR="00823D69">
        <w:rPr>
          <w:color w:val="000000" w:themeColor="text1"/>
        </w:rPr>
        <w:t>as a result of</w:t>
      </w:r>
      <w:proofErr w:type="gramEnd"/>
      <w:r w:rsidRPr="00997F1C" w:rsidR="00823D69">
        <w:rPr>
          <w:color w:val="000000" w:themeColor="text1"/>
        </w:rPr>
        <w:t xml:space="preserve"> the ERRA trigger</w:t>
      </w:r>
      <w:r w:rsidRPr="00997F1C">
        <w:rPr>
          <w:color w:val="000000" w:themeColor="text1"/>
        </w:rPr>
        <w:t>.</w:t>
      </w:r>
    </w:p>
    <w:p w:rsidRPr="00997F1C" w:rsidR="003E5AEF" w:rsidP="00A93519" w:rsidRDefault="00517D02" w14:paraId="0C15AA26" w14:textId="49DDAC36">
      <w:pPr>
        <w:pStyle w:val="Heading3"/>
      </w:pPr>
      <w:bookmarkStart w:name="_Toc212561202" w:id="76"/>
      <w:bookmarkStart w:name="_Toc212561201" w:id="77"/>
      <w:bookmarkStart w:name="_Toc217384623" w:id="78"/>
      <w:r w:rsidRPr="00997F1C">
        <w:t>ERRA</w:t>
      </w:r>
      <w:r w:rsidRPr="00997F1C">
        <w:rPr>
          <w:bCs/>
        </w:rPr>
        <w:t>-</w:t>
      </w:r>
      <w:r w:rsidRPr="00997F1C">
        <w:t xml:space="preserve">Main </w:t>
      </w:r>
      <w:r w:rsidRPr="00997F1C" w:rsidR="003E5AEF">
        <w:t>Background</w:t>
      </w:r>
      <w:bookmarkEnd w:id="76"/>
      <w:bookmarkEnd w:id="77"/>
      <w:bookmarkEnd w:id="78"/>
    </w:p>
    <w:p w:rsidRPr="00997F1C" w:rsidR="00517D02" w:rsidP="00517D02" w:rsidRDefault="00517D02" w14:paraId="6F61DD18" w14:textId="4C1E3408">
      <w:pPr>
        <w:pStyle w:val="Standard"/>
        <w:rPr>
          <w:color w:val="000000" w:themeColor="text1"/>
        </w:rPr>
      </w:pPr>
      <w:r w:rsidRPr="00997F1C">
        <w:rPr>
          <w:color w:val="000000" w:themeColor="text1"/>
        </w:rPr>
        <w:t>The ERRA-Main balancing account records market-based energy procurement costs associated with serving bundled customers.</w:t>
      </w:r>
      <w:r w:rsidRPr="00997F1C">
        <w:rPr>
          <w:rStyle w:val="FootnoteReference"/>
          <w:color w:val="000000" w:themeColor="text1"/>
        </w:rPr>
        <w:footnoteReference w:id="29"/>
      </w:r>
      <w:r w:rsidRPr="00997F1C">
        <w:rPr>
          <w:color w:val="000000" w:themeColor="text1"/>
        </w:rPr>
        <w:t xml:space="preserve">  These costs </w:t>
      </w:r>
      <w:r w:rsidRPr="00997F1C">
        <w:rPr>
          <w:color w:val="000000" w:themeColor="text1"/>
        </w:rPr>
        <w:lastRenderedPageBreak/>
        <w:t>include contracted resource costs, fuel costs for PG&amp;E-owned and contracted generation, Qualifying Facility (QF) and purchased power costs, and other electric procurement costs such as natural gas hedging and collateral costs and certain GHG compliance costs associated with the Assembly Bill (AB) 32 cap-and-trade program.</w:t>
      </w:r>
      <w:r w:rsidRPr="00997F1C">
        <w:rPr>
          <w:rStyle w:val="FootnoteReference"/>
          <w:color w:val="000000" w:themeColor="text1"/>
        </w:rPr>
        <w:footnoteReference w:id="30"/>
      </w:r>
      <w:r w:rsidRPr="00997F1C">
        <w:rPr>
          <w:color w:val="000000" w:themeColor="text1"/>
        </w:rPr>
        <w:t xml:space="preserve"> </w:t>
      </w:r>
    </w:p>
    <w:p w:rsidRPr="00997F1C" w:rsidR="00517D02" w:rsidP="00A93519" w:rsidRDefault="00517D02" w14:paraId="5567DBFE" w14:textId="072BEB1A">
      <w:pPr>
        <w:pStyle w:val="Heading3"/>
      </w:pPr>
      <w:bookmarkStart w:name="_Toc217384624" w:id="79"/>
      <w:r w:rsidRPr="00997F1C">
        <w:t>Trigger Background</w:t>
      </w:r>
      <w:bookmarkEnd w:id="79"/>
    </w:p>
    <w:p w:rsidRPr="00997F1C" w:rsidR="00517D02" w:rsidP="00C14557" w:rsidRDefault="00517D02" w14:paraId="7F388532" w14:textId="589AFEDD">
      <w:pPr>
        <w:pStyle w:val="Standard"/>
        <w:rPr>
          <w:color w:val="000000" w:themeColor="text1"/>
        </w:rPr>
      </w:pPr>
      <w:r w:rsidRPr="00997F1C">
        <w:rPr>
          <w:color w:val="000000" w:themeColor="text1"/>
        </w:rPr>
        <w:t xml:space="preserve">On September 30, 2025, PG&amp;E filed a trigger application that stated that the ERRA Trigger Balance, based on the August 2025 accounting close, was at  $273 million, or 5.3 percent </w:t>
      </w:r>
      <w:proofErr w:type="spellStart"/>
      <w:r w:rsidRPr="00997F1C">
        <w:rPr>
          <w:color w:val="000000" w:themeColor="text1"/>
        </w:rPr>
        <w:t>overcollected</w:t>
      </w:r>
      <w:proofErr w:type="spellEnd"/>
      <w:r w:rsidRPr="00997F1C">
        <w:rPr>
          <w:color w:val="000000" w:themeColor="text1"/>
        </w:rPr>
        <w:t>.</w:t>
      </w:r>
      <w:r w:rsidRPr="00997F1C">
        <w:rPr>
          <w:rStyle w:val="FootnoteReference"/>
          <w:color w:val="000000" w:themeColor="text1"/>
        </w:rPr>
        <w:footnoteReference w:id="31"/>
      </w:r>
      <w:r w:rsidRPr="00997F1C">
        <w:rPr>
          <w:color w:val="000000" w:themeColor="text1"/>
        </w:rPr>
        <w:t xml:space="preserve"> </w:t>
      </w:r>
      <w:r w:rsidRPr="00997F1C" w:rsidR="00C14557">
        <w:rPr>
          <w:color w:val="000000" w:themeColor="text1"/>
        </w:rPr>
        <w:t xml:space="preserve"> PG&amp;E also stated that it forecast its </w:t>
      </w:r>
      <w:r w:rsidRPr="00997F1C">
        <w:rPr>
          <w:color w:val="000000" w:themeColor="text1"/>
        </w:rPr>
        <w:t>overcollection to persist throughout 2025</w:t>
      </w:r>
      <w:r w:rsidRPr="00997F1C" w:rsidR="00C14557">
        <w:rPr>
          <w:color w:val="000000" w:themeColor="text1"/>
        </w:rPr>
        <w:t>.</w:t>
      </w:r>
      <w:r w:rsidRPr="00997F1C" w:rsidR="00C14557">
        <w:rPr>
          <w:rStyle w:val="FootnoteReference"/>
          <w:color w:val="000000" w:themeColor="text1"/>
        </w:rPr>
        <w:footnoteReference w:id="32"/>
      </w:r>
      <w:r w:rsidRPr="00997F1C" w:rsidR="00C14557">
        <w:rPr>
          <w:color w:val="000000" w:themeColor="text1"/>
        </w:rPr>
        <w:t xml:space="preserve">  According to PG&amp;E</w:t>
      </w:r>
      <w:r w:rsidRPr="00997F1C">
        <w:rPr>
          <w:color w:val="000000" w:themeColor="text1"/>
        </w:rPr>
        <w:t xml:space="preserve">, the primary cause of </w:t>
      </w:r>
      <w:r w:rsidRPr="00997F1C" w:rsidR="00C14557">
        <w:rPr>
          <w:color w:val="000000" w:themeColor="text1"/>
        </w:rPr>
        <w:t>its</w:t>
      </w:r>
      <w:r w:rsidRPr="00997F1C">
        <w:rPr>
          <w:color w:val="000000" w:themeColor="text1"/>
        </w:rPr>
        <w:t xml:space="preserve"> forecasted overcollection is that wholesale power prices remained low through the </w:t>
      </w:r>
      <w:r w:rsidRPr="00997F1C" w:rsidR="00C14557">
        <w:rPr>
          <w:color w:val="000000" w:themeColor="text1"/>
        </w:rPr>
        <w:t>s</w:t>
      </w:r>
      <w:r w:rsidRPr="00997F1C">
        <w:rPr>
          <w:color w:val="000000" w:themeColor="text1"/>
        </w:rPr>
        <w:t>ummer months of 2025</w:t>
      </w:r>
      <w:r w:rsidRPr="00997F1C" w:rsidR="00C14557">
        <w:rPr>
          <w:color w:val="000000" w:themeColor="text1"/>
        </w:rPr>
        <w:t>, resulting in lower wholesale net costs for bundled load</w:t>
      </w:r>
      <w:r w:rsidRPr="00997F1C">
        <w:rPr>
          <w:color w:val="000000" w:themeColor="text1"/>
        </w:rPr>
        <w:t>.</w:t>
      </w:r>
      <w:r w:rsidRPr="00997F1C" w:rsidR="00C14557">
        <w:rPr>
          <w:rStyle w:val="FootnoteReference"/>
          <w:color w:val="000000" w:themeColor="text1"/>
        </w:rPr>
        <w:footnoteReference w:id="33"/>
      </w:r>
    </w:p>
    <w:p w:rsidRPr="00997F1C" w:rsidR="00C14557" w:rsidP="00C14557" w:rsidRDefault="00C14557" w14:paraId="67E08777" w14:textId="7E62510B">
      <w:pPr>
        <w:rPr>
          <w:color w:val="000000" w:themeColor="text1"/>
        </w:rPr>
      </w:pPr>
      <w:r w:rsidRPr="00997F1C">
        <w:rPr>
          <w:color w:val="000000" w:themeColor="text1"/>
        </w:rPr>
        <w:t>PG&amp;E’s Fall Update refreshed the ERRA-Main Trigger Balance using the newly issued MPBs</w:t>
      </w:r>
      <w:r w:rsidRPr="00997F1C">
        <w:rPr>
          <w:color w:val="000000" w:themeColor="text1"/>
          <w:vertAlign w:val="superscript"/>
        </w:rPr>
        <w:footnoteReference w:id="34"/>
      </w:r>
      <w:r w:rsidRPr="00997F1C">
        <w:rPr>
          <w:color w:val="000000" w:themeColor="text1"/>
        </w:rPr>
        <w:t xml:space="preserve"> and PG&amp;E subsequently updated the ERRA-Main Trigger Balance in Fall Update Errata.</w:t>
      </w:r>
      <w:r w:rsidRPr="00997F1C">
        <w:rPr>
          <w:color w:val="000000" w:themeColor="text1"/>
          <w:vertAlign w:val="superscript"/>
        </w:rPr>
        <w:footnoteReference w:id="35"/>
      </w:r>
      <w:r w:rsidRPr="00997F1C">
        <w:rPr>
          <w:color w:val="000000" w:themeColor="text1"/>
        </w:rPr>
        <w:t xml:space="preserve"> </w:t>
      </w:r>
    </w:p>
    <w:p w:rsidRPr="00997F1C" w:rsidR="003E5AEF" w:rsidP="00A93519" w:rsidRDefault="53E8B74B" w14:paraId="362D3093" w14:textId="7A4698C8">
      <w:pPr>
        <w:keepNext/>
        <w:spacing w:after="200" w:line="240" w:lineRule="auto"/>
        <w:ind w:firstLine="0"/>
        <w:jc w:val="center"/>
        <w:rPr>
          <w:b/>
          <w:bCs/>
          <w:color w:val="000000" w:themeColor="text1"/>
          <w:szCs w:val="26"/>
        </w:rPr>
      </w:pPr>
      <w:r w:rsidRPr="00997F1C">
        <w:rPr>
          <w:b/>
          <w:bCs/>
          <w:color w:val="000000" w:themeColor="text1"/>
        </w:rPr>
        <w:t xml:space="preserve">Table </w:t>
      </w:r>
      <w:r w:rsidRPr="00997F1C" w:rsidR="003E5AEF">
        <w:rPr>
          <w:b/>
          <w:bCs/>
          <w:color w:val="000000" w:themeColor="text1"/>
        </w:rPr>
        <w:fldChar w:fldCharType="begin"/>
      </w:r>
      <w:r w:rsidRPr="00997F1C" w:rsidR="003E5AEF">
        <w:rPr>
          <w:b/>
          <w:bCs/>
          <w:color w:val="000000" w:themeColor="text1"/>
        </w:rPr>
        <w:instrText xml:space="preserve"> SEQ Table \* ARABIC </w:instrText>
      </w:r>
      <w:r w:rsidRPr="00997F1C" w:rsidR="003E5AEF">
        <w:rPr>
          <w:b/>
          <w:bCs/>
          <w:color w:val="000000" w:themeColor="text1"/>
        </w:rPr>
        <w:fldChar w:fldCharType="separate"/>
      </w:r>
      <w:r w:rsidR="00A93519">
        <w:rPr>
          <w:b/>
          <w:bCs/>
          <w:noProof/>
          <w:color w:val="000000" w:themeColor="text1"/>
        </w:rPr>
        <w:t>3</w:t>
      </w:r>
      <w:r w:rsidRPr="00997F1C" w:rsidR="003E5AEF">
        <w:rPr>
          <w:b/>
          <w:bCs/>
          <w:noProof/>
          <w:color w:val="000000" w:themeColor="text1"/>
        </w:rPr>
        <w:fldChar w:fldCharType="end"/>
      </w:r>
      <w:r w:rsidRPr="00997F1C">
        <w:rPr>
          <w:b/>
          <w:bCs/>
          <w:color w:val="000000" w:themeColor="text1"/>
        </w:rPr>
        <w:t>: Primary Drivers for ERRA-Main Overcollection (millions)</w:t>
      </w:r>
      <w:r w:rsidRPr="00997F1C" w:rsidR="009F5B0F">
        <w:rPr>
          <w:rStyle w:val="FootnoteReference"/>
          <w:b/>
          <w:bCs/>
          <w:color w:val="000000" w:themeColor="text1"/>
        </w:rPr>
        <w:footnoteReference w:id="36"/>
      </w:r>
    </w:p>
    <w:tbl>
      <w:tblPr>
        <w:tblW w:w="8725" w:type="dxa"/>
        <w:jc w:val="center"/>
        <w:tblLook w:val="04A0" w:firstRow="1" w:lastRow="0" w:firstColumn="1" w:lastColumn="0" w:noHBand="0" w:noVBand="1"/>
      </w:tblPr>
      <w:tblGrid>
        <w:gridCol w:w="910"/>
        <w:gridCol w:w="5520"/>
        <w:gridCol w:w="2295"/>
      </w:tblGrid>
      <w:tr w:rsidRPr="00997F1C" w:rsidR="00997F1C" w14:paraId="050E193A" w14:textId="77777777">
        <w:trPr>
          <w:trHeight w:val="288"/>
          <w:jc w:val="center"/>
        </w:trPr>
        <w:tc>
          <w:tcPr>
            <w:tcW w:w="6430" w:type="dxa"/>
            <w:gridSpan w:val="2"/>
            <w:tcBorders>
              <w:top w:val="single" w:color="auto" w:sz="4" w:space="0"/>
              <w:left w:val="single" w:color="auto" w:sz="4" w:space="0"/>
              <w:bottom w:val="single" w:color="auto" w:sz="4" w:space="0"/>
              <w:right w:val="nil"/>
            </w:tcBorders>
            <w:noWrap/>
            <w:vAlign w:val="bottom"/>
            <w:hideMark/>
          </w:tcPr>
          <w:p w:rsidRPr="00997F1C" w:rsidR="003E5AEF" w:rsidP="003E5AEF" w:rsidRDefault="003E5AEF" w14:paraId="7EAD36CA"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 xml:space="preserve">Lower Customer Revenues </w:t>
            </w:r>
          </w:p>
        </w:tc>
        <w:tc>
          <w:tcPr>
            <w:tcW w:w="2295" w:type="dxa"/>
            <w:tcBorders>
              <w:top w:val="single" w:color="auto" w:sz="4" w:space="0"/>
              <w:left w:val="nil"/>
              <w:bottom w:val="single" w:color="auto" w:sz="4" w:space="0"/>
              <w:right w:val="single" w:color="auto" w:sz="4" w:space="0"/>
            </w:tcBorders>
            <w:noWrap/>
            <w:vAlign w:val="bottom"/>
            <w:hideMark/>
          </w:tcPr>
          <w:p w:rsidRPr="00997F1C" w:rsidR="003E5AEF" w:rsidP="003E5AEF" w:rsidRDefault="003E5AEF" w14:paraId="561BD6D9"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 </w:t>
            </w:r>
            <w:r w:rsidRPr="00997F1C">
              <w:rPr>
                <w:rFonts w:eastAsia="Times New Roman" w:cs="Calibri"/>
                <w:b/>
                <w:bCs/>
                <w:color w:val="000000" w:themeColor="text1"/>
                <w:szCs w:val="26"/>
              </w:rPr>
              <w:t>$105</w:t>
            </w:r>
          </w:p>
        </w:tc>
      </w:tr>
      <w:tr w:rsidRPr="00997F1C" w:rsidR="00997F1C" w14:paraId="0FE7C1A3" w14:textId="77777777">
        <w:trPr>
          <w:trHeight w:val="288"/>
          <w:jc w:val="center"/>
        </w:trPr>
        <w:tc>
          <w:tcPr>
            <w:tcW w:w="6430" w:type="dxa"/>
            <w:gridSpan w:val="2"/>
            <w:tcBorders>
              <w:top w:val="single" w:color="auto" w:sz="4" w:space="0"/>
              <w:left w:val="single" w:color="auto" w:sz="4" w:space="0"/>
              <w:bottom w:val="nil"/>
              <w:right w:val="nil"/>
            </w:tcBorders>
            <w:noWrap/>
            <w:vAlign w:val="bottom"/>
            <w:hideMark/>
          </w:tcPr>
          <w:p w:rsidRPr="00997F1C" w:rsidR="003E5AEF" w:rsidP="003E5AEF" w:rsidRDefault="003E5AEF" w14:paraId="08EA8A1C"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Expected CAISO Costs</w:t>
            </w:r>
          </w:p>
        </w:tc>
        <w:tc>
          <w:tcPr>
            <w:tcW w:w="2295" w:type="dxa"/>
            <w:tcBorders>
              <w:top w:val="single" w:color="auto" w:sz="4" w:space="0"/>
              <w:left w:val="nil"/>
              <w:bottom w:val="nil"/>
              <w:right w:val="single" w:color="auto" w:sz="4" w:space="0"/>
            </w:tcBorders>
            <w:noWrap/>
            <w:vAlign w:val="bottom"/>
            <w:hideMark/>
          </w:tcPr>
          <w:p w:rsidRPr="00997F1C" w:rsidR="003E5AEF" w:rsidP="003E5AEF" w:rsidRDefault="003E5AEF" w14:paraId="28C104F4" w14:textId="7777777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w:t>
            </w:r>
          </w:p>
        </w:tc>
      </w:tr>
      <w:tr w:rsidRPr="00997F1C" w:rsidR="00997F1C" w14:paraId="0420890E" w14:textId="77777777">
        <w:trPr>
          <w:trHeight w:val="288"/>
          <w:jc w:val="center"/>
        </w:trPr>
        <w:tc>
          <w:tcPr>
            <w:tcW w:w="910" w:type="dxa"/>
            <w:tcBorders>
              <w:top w:val="nil"/>
              <w:left w:val="single" w:color="auto" w:sz="4" w:space="0"/>
              <w:right w:val="nil"/>
            </w:tcBorders>
            <w:noWrap/>
            <w:vAlign w:val="bottom"/>
            <w:hideMark/>
          </w:tcPr>
          <w:p w:rsidRPr="00997F1C" w:rsidR="003E5AEF" w:rsidP="003E5AEF" w:rsidRDefault="003E5AEF" w14:paraId="48FC3825"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 </w:t>
            </w:r>
          </w:p>
        </w:tc>
        <w:tc>
          <w:tcPr>
            <w:tcW w:w="5520" w:type="dxa"/>
            <w:tcBorders>
              <w:top w:val="nil"/>
              <w:left w:val="nil"/>
              <w:right w:val="nil"/>
            </w:tcBorders>
            <w:noWrap/>
            <w:vAlign w:val="bottom"/>
            <w:hideMark/>
          </w:tcPr>
          <w:p w:rsidRPr="00997F1C" w:rsidR="003E5AEF" w:rsidP="003E5AEF" w:rsidRDefault="003E5AEF" w14:paraId="0F02CA8C" w14:textId="2176ADB5">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Market Electricity Prices</w:t>
            </w:r>
          </w:p>
        </w:tc>
        <w:tc>
          <w:tcPr>
            <w:tcW w:w="2295" w:type="dxa"/>
            <w:tcBorders>
              <w:top w:val="nil"/>
              <w:left w:val="nil"/>
              <w:right w:val="single" w:color="auto" w:sz="4" w:space="0"/>
            </w:tcBorders>
            <w:noWrap/>
            <w:vAlign w:val="bottom"/>
            <w:hideMark/>
          </w:tcPr>
          <w:p w:rsidRPr="00997F1C" w:rsidR="003E5AEF" w:rsidP="003E5AEF" w:rsidRDefault="003E5AEF" w14:paraId="79210DEF" w14:textId="19840048">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$(385)</w:t>
            </w:r>
          </w:p>
        </w:tc>
      </w:tr>
      <w:tr w:rsidRPr="00997F1C" w:rsidR="00997F1C" w14:paraId="33413FC4" w14:textId="77777777">
        <w:trPr>
          <w:trHeight w:val="288"/>
          <w:jc w:val="center"/>
        </w:trPr>
        <w:tc>
          <w:tcPr>
            <w:tcW w:w="910" w:type="dxa"/>
            <w:tcBorders>
              <w:left w:val="single" w:color="auto" w:sz="4" w:space="0"/>
              <w:right w:val="nil"/>
            </w:tcBorders>
            <w:noWrap/>
            <w:vAlign w:val="bottom"/>
            <w:hideMark/>
          </w:tcPr>
          <w:p w:rsidRPr="00997F1C" w:rsidR="003E5AEF" w:rsidP="003E5AEF" w:rsidRDefault="003E5AEF" w14:paraId="6F36A20B" w14:textId="77777777">
            <w:pPr>
              <w:spacing w:line="240" w:lineRule="auto"/>
              <w:ind w:firstLine="0"/>
              <w:rPr>
                <w:rFonts w:eastAsia="Times New Roman" w:cs="Calibri"/>
                <w:b/>
                <w:bCs/>
                <w:color w:val="000000" w:themeColor="text1"/>
                <w:sz w:val="24"/>
                <w:szCs w:val="24"/>
              </w:rPr>
            </w:pPr>
            <w:r w:rsidRPr="00997F1C">
              <w:rPr>
                <w:rFonts w:eastAsia="Times New Roman" w:cs="Calibri"/>
                <w:b/>
                <w:bCs/>
                <w:color w:val="000000" w:themeColor="text1"/>
                <w:sz w:val="24"/>
                <w:szCs w:val="24"/>
              </w:rPr>
              <w:t> </w:t>
            </w:r>
          </w:p>
        </w:tc>
        <w:tc>
          <w:tcPr>
            <w:tcW w:w="5520" w:type="dxa"/>
            <w:tcBorders>
              <w:left w:val="nil"/>
              <w:right w:val="nil"/>
            </w:tcBorders>
            <w:noWrap/>
            <w:vAlign w:val="bottom"/>
            <w:hideMark/>
          </w:tcPr>
          <w:p w:rsidRPr="00997F1C" w:rsidR="003E5AEF" w:rsidP="003E5AEF" w:rsidRDefault="003E5AEF" w14:paraId="1DF37689" w14:textId="5B1B327A">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Bundled Load Requirement</w:t>
            </w:r>
          </w:p>
        </w:tc>
        <w:tc>
          <w:tcPr>
            <w:tcW w:w="2295" w:type="dxa"/>
            <w:tcBorders>
              <w:left w:val="nil"/>
              <w:right w:val="single" w:color="auto" w:sz="4" w:space="0"/>
            </w:tcBorders>
            <w:noWrap/>
            <w:vAlign w:val="bottom"/>
            <w:hideMark/>
          </w:tcPr>
          <w:p w:rsidRPr="00997F1C" w:rsidR="003E5AEF" w:rsidP="003E5AEF" w:rsidRDefault="003E5AEF" w14:paraId="20172709" w14:textId="25E6CAC7">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$(275)</w:t>
            </w:r>
          </w:p>
        </w:tc>
      </w:tr>
      <w:tr w:rsidRPr="00997F1C" w:rsidR="00997F1C" w14:paraId="3A9AAF1D" w14:textId="77777777">
        <w:trPr>
          <w:trHeight w:val="288"/>
          <w:jc w:val="center"/>
        </w:trPr>
        <w:tc>
          <w:tcPr>
            <w:tcW w:w="910" w:type="dxa"/>
            <w:tcBorders>
              <w:left w:val="single" w:color="auto" w:sz="4" w:space="0"/>
              <w:bottom w:val="single" w:color="auto" w:sz="4" w:space="0"/>
              <w:right w:val="nil"/>
            </w:tcBorders>
            <w:noWrap/>
            <w:vAlign w:val="bottom"/>
            <w:hideMark/>
          </w:tcPr>
          <w:p w:rsidRPr="00997F1C" w:rsidR="003E5AEF" w:rsidP="003E5AEF" w:rsidRDefault="003E5AEF" w14:paraId="6937FE38"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lastRenderedPageBreak/>
              <w:t> </w:t>
            </w:r>
          </w:p>
        </w:tc>
        <w:tc>
          <w:tcPr>
            <w:tcW w:w="5520" w:type="dxa"/>
            <w:tcBorders>
              <w:left w:val="nil"/>
              <w:bottom w:val="single" w:color="auto" w:sz="4" w:space="0"/>
              <w:right w:val="nil"/>
            </w:tcBorders>
            <w:noWrap/>
            <w:vAlign w:val="bottom"/>
            <w:hideMark/>
          </w:tcPr>
          <w:p w:rsidRPr="00997F1C" w:rsidR="003E5AEF" w:rsidP="003E5AEF" w:rsidRDefault="003E5AEF" w14:paraId="24209724" w14:textId="77777777">
            <w:pPr>
              <w:spacing w:line="240" w:lineRule="auto"/>
              <w:ind w:firstLine="0"/>
              <w:rPr>
                <w:rFonts w:eastAsia="Times New Roman" w:cs="Calibri"/>
                <w:b/>
                <w:bCs/>
                <w:color w:val="000000" w:themeColor="text1"/>
                <w:szCs w:val="26"/>
              </w:rPr>
            </w:pPr>
          </w:p>
        </w:tc>
        <w:tc>
          <w:tcPr>
            <w:tcW w:w="2295" w:type="dxa"/>
            <w:tcBorders>
              <w:left w:val="nil"/>
              <w:bottom w:val="single" w:color="auto" w:sz="4" w:space="0"/>
              <w:right w:val="single" w:color="auto" w:sz="4" w:space="0"/>
            </w:tcBorders>
            <w:noWrap/>
            <w:vAlign w:val="bottom"/>
            <w:hideMark/>
          </w:tcPr>
          <w:p w:rsidRPr="00997F1C" w:rsidR="003E5AEF" w:rsidP="003E5AEF" w:rsidRDefault="0027220D" w14:paraId="11531008" w14:textId="388E82C6">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w:t>
            </w:r>
            <w:r w:rsidRPr="00997F1C" w:rsidR="004662DA">
              <w:rPr>
                <w:rFonts w:eastAsia="Times New Roman" w:cs="Calibri"/>
                <w:b/>
                <w:bCs/>
                <w:color w:val="000000" w:themeColor="text1"/>
                <w:szCs w:val="26"/>
              </w:rPr>
              <w:t>(</w:t>
            </w:r>
            <w:r w:rsidRPr="00997F1C" w:rsidR="003E5AEF">
              <w:rPr>
                <w:rFonts w:eastAsia="Times New Roman" w:cs="Calibri"/>
                <w:b/>
                <w:bCs/>
                <w:color w:val="000000" w:themeColor="text1"/>
                <w:szCs w:val="26"/>
              </w:rPr>
              <w:t>660</w:t>
            </w:r>
            <w:r w:rsidRPr="00997F1C" w:rsidR="004662DA">
              <w:rPr>
                <w:rFonts w:eastAsia="Times New Roman" w:cs="Calibri"/>
                <w:b/>
                <w:bCs/>
                <w:color w:val="000000" w:themeColor="text1"/>
                <w:szCs w:val="26"/>
              </w:rPr>
              <w:t>)</w:t>
            </w:r>
          </w:p>
        </w:tc>
      </w:tr>
      <w:tr w:rsidRPr="00997F1C" w:rsidR="00997F1C" w14:paraId="048AF7DA" w14:textId="77777777">
        <w:trPr>
          <w:trHeight w:val="288"/>
          <w:jc w:val="center"/>
        </w:trPr>
        <w:tc>
          <w:tcPr>
            <w:tcW w:w="6430" w:type="dxa"/>
            <w:gridSpan w:val="2"/>
            <w:tcBorders>
              <w:top w:val="single" w:color="auto" w:sz="4" w:space="0"/>
              <w:left w:val="single" w:color="auto" w:sz="4" w:space="0"/>
              <w:bottom w:val="single" w:color="auto" w:sz="4" w:space="0"/>
              <w:right w:val="nil"/>
            </w:tcBorders>
            <w:noWrap/>
            <w:vAlign w:val="bottom"/>
            <w:hideMark/>
          </w:tcPr>
          <w:p w:rsidRPr="00997F1C" w:rsidR="003E5AEF" w:rsidP="003E5AEF" w:rsidRDefault="003E5AEF" w14:paraId="5B3CCBD1"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Greater Net Procurement Costs</w:t>
            </w:r>
          </w:p>
        </w:tc>
        <w:tc>
          <w:tcPr>
            <w:tcW w:w="2295" w:type="dxa"/>
            <w:tcBorders>
              <w:top w:val="single" w:color="auto" w:sz="4" w:space="0"/>
              <w:left w:val="nil"/>
              <w:bottom w:val="single" w:color="auto" w:sz="4" w:space="0"/>
              <w:right w:val="single" w:color="auto" w:sz="4" w:space="0"/>
            </w:tcBorders>
            <w:noWrap/>
            <w:vAlign w:val="bottom"/>
            <w:hideMark/>
          </w:tcPr>
          <w:p w:rsidRPr="00997F1C" w:rsidR="003E5AEF" w:rsidP="003E5AEF" w:rsidRDefault="0027220D" w14:paraId="4663FA6D" w14:textId="4BFFDB5D">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w:t>
            </w:r>
            <w:r w:rsidRPr="00997F1C" w:rsidR="003E5AEF">
              <w:rPr>
                <w:rFonts w:eastAsia="Times New Roman" w:cs="Calibri"/>
                <w:b/>
                <w:bCs/>
                <w:color w:val="000000" w:themeColor="text1"/>
                <w:szCs w:val="26"/>
              </w:rPr>
              <w:t>125</w:t>
            </w:r>
          </w:p>
        </w:tc>
      </w:tr>
      <w:tr w:rsidRPr="00997F1C" w:rsidR="00997F1C" w14:paraId="4F2BA8D5" w14:textId="77777777">
        <w:trPr>
          <w:trHeight w:val="288"/>
          <w:jc w:val="center"/>
        </w:trPr>
        <w:tc>
          <w:tcPr>
            <w:tcW w:w="6430" w:type="dxa"/>
            <w:gridSpan w:val="2"/>
            <w:tcBorders>
              <w:top w:val="single" w:color="auto" w:sz="4" w:space="0"/>
              <w:left w:val="single" w:color="auto" w:sz="4" w:space="0"/>
              <w:bottom w:val="nil"/>
              <w:right w:val="nil"/>
            </w:tcBorders>
            <w:noWrap/>
            <w:vAlign w:val="bottom"/>
            <w:hideMark/>
          </w:tcPr>
          <w:p w:rsidRPr="00997F1C" w:rsidR="003E5AEF" w:rsidP="003E5AEF" w:rsidRDefault="003E5AEF" w14:paraId="625307E9"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Retained RPS and RA</w:t>
            </w:r>
          </w:p>
        </w:tc>
        <w:tc>
          <w:tcPr>
            <w:tcW w:w="2295" w:type="dxa"/>
            <w:tcBorders>
              <w:top w:val="single" w:color="auto" w:sz="4" w:space="0"/>
              <w:left w:val="nil"/>
              <w:bottom w:val="nil"/>
              <w:right w:val="single" w:color="auto" w:sz="4" w:space="0"/>
            </w:tcBorders>
            <w:noWrap/>
            <w:vAlign w:val="bottom"/>
            <w:hideMark/>
          </w:tcPr>
          <w:p w:rsidRPr="00997F1C" w:rsidR="003E5AEF" w:rsidP="003E5AEF" w:rsidRDefault="003E5AEF" w14:paraId="26636BCF"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 </w:t>
            </w:r>
          </w:p>
        </w:tc>
      </w:tr>
      <w:tr w:rsidRPr="00997F1C" w:rsidR="00997F1C" w14:paraId="3EF26570" w14:textId="77777777">
        <w:trPr>
          <w:trHeight w:val="288"/>
          <w:jc w:val="center"/>
        </w:trPr>
        <w:tc>
          <w:tcPr>
            <w:tcW w:w="910" w:type="dxa"/>
            <w:tcBorders>
              <w:top w:val="nil"/>
              <w:left w:val="single" w:color="auto" w:sz="4" w:space="0"/>
              <w:bottom w:val="nil"/>
              <w:right w:val="nil"/>
            </w:tcBorders>
            <w:noWrap/>
            <w:vAlign w:val="bottom"/>
            <w:hideMark/>
          </w:tcPr>
          <w:p w:rsidRPr="00997F1C" w:rsidR="003E5AEF" w:rsidP="003E5AEF" w:rsidRDefault="003E5AEF" w14:paraId="58F8DBE7"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 </w:t>
            </w:r>
          </w:p>
        </w:tc>
        <w:tc>
          <w:tcPr>
            <w:tcW w:w="5520" w:type="dxa"/>
            <w:tcBorders>
              <w:top w:val="nil"/>
              <w:left w:val="nil"/>
              <w:bottom w:val="nil"/>
              <w:right w:val="nil"/>
            </w:tcBorders>
            <w:noWrap/>
            <w:vAlign w:val="bottom"/>
            <w:hideMark/>
          </w:tcPr>
          <w:p w:rsidRPr="00997F1C" w:rsidR="003E5AEF" w:rsidP="003E5AEF" w:rsidRDefault="003E5AEF" w14:paraId="5E1915AB"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Retained RPS Value</w:t>
            </w:r>
          </w:p>
        </w:tc>
        <w:tc>
          <w:tcPr>
            <w:tcW w:w="2295" w:type="dxa"/>
            <w:tcBorders>
              <w:top w:val="nil"/>
              <w:left w:val="nil"/>
              <w:bottom w:val="nil"/>
              <w:right w:val="single" w:color="auto" w:sz="4" w:space="0"/>
            </w:tcBorders>
            <w:noWrap/>
            <w:vAlign w:val="bottom"/>
            <w:hideMark/>
          </w:tcPr>
          <w:p w:rsidRPr="00997F1C" w:rsidR="003E5AEF" w:rsidP="003E5AEF" w:rsidRDefault="003E5AEF" w14:paraId="0361186B" w14:textId="6C041582">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$(190)</w:t>
            </w:r>
          </w:p>
        </w:tc>
      </w:tr>
      <w:tr w:rsidRPr="00997F1C" w:rsidR="00997F1C" w14:paraId="79B36FAA" w14:textId="77777777">
        <w:trPr>
          <w:trHeight w:val="288"/>
          <w:jc w:val="center"/>
        </w:trPr>
        <w:tc>
          <w:tcPr>
            <w:tcW w:w="910" w:type="dxa"/>
            <w:tcBorders>
              <w:top w:val="nil"/>
              <w:left w:val="single" w:color="auto" w:sz="4" w:space="0"/>
              <w:right w:val="nil"/>
            </w:tcBorders>
            <w:noWrap/>
            <w:vAlign w:val="bottom"/>
            <w:hideMark/>
          </w:tcPr>
          <w:p w:rsidRPr="00997F1C" w:rsidR="003E5AEF" w:rsidP="003E5AEF" w:rsidRDefault="003E5AEF" w14:paraId="742A45BD"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 </w:t>
            </w:r>
          </w:p>
        </w:tc>
        <w:tc>
          <w:tcPr>
            <w:tcW w:w="5520" w:type="dxa"/>
            <w:tcBorders>
              <w:top w:val="nil"/>
              <w:left w:val="nil"/>
              <w:right w:val="nil"/>
            </w:tcBorders>
            <w:noWrap/>
            <w:vAlign w:val="bottom"/>
            <w:hideMark/>
          </w:tcPr>
          <w:p w:rsidRPr="00997F1C" w:rsidR="003E5AEF" w:rsidP="003E5AEF" w:rsidRDefault="003E5AEF" w14:paraId="14C24B84" w14:textId="77777777">
            <w:pPr>
              <w:spacing w:line="240" w:lineRule="auto"/>
              <w:ind w:firstLine="0"/>
              <w:rPr>
                <w:rFonts w:eastAsia="Times New Roman" w:cs="Calibri"/>
                <w:color w:val="000000" w:themeColor="text1"/>
                <w:sz w:val="24"/>
                <w:szCs w:val="24"/>
              </w:rPr>
            </w:pPr>
            <w:r w:rsidRPr="00997F1C">
              <w:rPr>
                <w:rFonts w:eastAsia="Times New Roman" w:cs="Calibri"/>
                <w:color w:val="000000" w:themeColor="text1"/>
                <w:sz w:val="24"/>
                <w:szCs w:val="24"/>
              </w:rPr>
              <w:t>Lower Retained RA Value</w:t>
            </w:r>
          </w:p>
        </w:tc>
        <w:tc>
          <w:tcPr>
            <w:tcW w:w="2295" w:type="dxa"/>
            <w:tcBorders>
              <w:top w:val="nil"/>
              <w:left w:val="nil"/>
              <w:right w:val="single" w:color="auto" w:sz="4" w:space="0"/>
            </w:tcBorders>
            <w:noWrap/>
            <w:vAlign w:val="bottom"/>
            <w:hideMark/>
          </w:tcPr>
          <w:p w:rsidRPr="00997F1C" w:rsidR="003E5AEF" w:rsidP="003E5AEF" w:rsidRDefault="003E5AEF" w14:paraId="7CD7B122" w14:textId="2AD81B7A">
            <w:pPr>
              <w:spacing w:line="240" w:lineRule="auto"/>
              <w:ind w:firstLine="0"/>
              <w:jc w:val="right"/>
              <w:rPr>
                <w:rFonts w:eastAsia="Times New Roman" w:cs="Calibri"/>
                <w:color w:val="000000" w:themeColor="text1"/>
                <w:sz w:val="24"/>
                <w:szCs w:val="24"/>
              </w:rPr>
            </w:pPr>
            <w:r w:rsidRPr="00997F1C">
              <w:rPr>
                <w:rFonts w:eastAsia="Times New Roman" w:cs="Calibri"/>
                <w:color w:val="000000" w:themeColor="text1"/>
                <w:sz w:val="24"/>
                <w:szCs w:val="24"/>
              </w:rPr>
              <w:t xml:space="preserve"> $(1,200)</w:t>
            </w:r>
          </w:p>
        </w:tc>
      </w:tr>
      <w:tr w:rsidRPr="00997F1C" w:rsidR="00997F1C" w14:paraId="6619D69B" w14:textId="77777777">
        <w:trPr>
          <w:trHeight w:val="288"/>
          <w:jc w:val="center"/>
        </w:trPr>
        <w:tc>
          <w:tcPr>
            <w:tcW w:w="910" w:type="dxa"/>
            <w:tcBorders>
              <w:top w:val="nil"/>
              <w:left w:val="single" w:color="auto" w:sz="4" w:space="0"/>
              <w:bottom w:val="single" w:color="auto" w:sz="4" w:space="0"/>
              <w:right w:val="nil"/>
            </w:tcBorders>
            <w:noWrap/>
            <w:vAlign w:val="bottom"/>
            <w:hideMark/>
          </w:tcPr>
          <w:p w:rsidRPr="00997F1C" w:rsidR="003E5AEF" w:rsidP="003E5AEF" w:rsidRDefault="003E5AEF" w14:paraId="73CFD8F2"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 </w:t>
            </w:r>
          </w:p>
        </w:tc>
        <w:tc>
          <w:tcPr>
            <w:tcW w:w="5520" w:type="dxa"/>
            <w:tcBorders>
              <w:top w:val="nil"/>
              <w:left w:val="nil"/>
              <w:bottom w:val="single" w:color="auto" w:sz="4" w:space="0"/>
              <w:right w:val="nil"/>
            </w:tcBorders>
            <w:noWrap/>
            <w:vAlign w:val="bottom"/>
            <w:hideMark/>
          </w:tcPr>
          <w:p w:rsidRPr="00997F1C" w:rsidR="003E5AEF" w:rsidP="003E5AEF" w:rsidRDefault="003E5AEF" w14:paraId="07C2B66D" w14:textId="77777777">
            <w:pPr>
              <w:spacing w:line="240" w:lineRule="auto"/>
              <w:ind w:firstLine="0"/>
              <w:rPr>
                <w:rFonts w:eastAsia="Times New Roman" w:cs="Calibri"/>
                <w:b/>
                <w:bCs/>
                <w:color w:val="000000" w:themeColor="text1"/>
                <w:szCs w:val="26"/>
              </w:rPr>
            </w:pPr>
          </w:p>
        </w:tc>
        <w:tc>
          <w:tcPr>
            <w:tcW w:w="2295" w:type="dxa"/>
            <w:tcBorders>
              <w:top w:val="nil"/>
              <w:left w:val="nil"/>
              <w:bottom w:val="single" w:color="auto" w:sz="4" w:space="0"/>
              <w:right w:val="single" w:color="auto" w:sz="4" w:space="0"/>
            </w:tcBorders>
            <w:noWrap/>
            <w:vAlign w:val="bottom"/>
            <w:hideMark/>
          </w:tcPr>
          <w:p w:rsidRPr="00997F1C" w:rsidR="003E5AEF" w:rsidP="003E5AEF" w:rsidRDefault="003E5AEF" w14:paraId="53DD2679" w14:textId="474FABC6">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(1,390)</w:t>
            </w:r>
          </w:p>
        </w:tc>
      </w:tr>
      <w:tr w:rsidRPr="00997F1C" w:rsidR="00997F1C" w14:paraId="11731F43" w14:textId="77777777">
        <w:trPr>
          <w:trHeight w:val="288"/>
          <w:jc w:val="center"/>
        </w:trPr>
        <w:tc>
          <w:tcPr>
            <w:tcW w:w="6430" w:type="dxa"/>
            <w:gridSpan w:val="2"/>
            <w:tcBorders>
              <w:top w:val="single" w:color="auto" w:sz="4" w:space="0"/>
              <w:left w:val="single" w:color="auto" w:sz="4" w:space="0"/>
              <w:bottom w:val="single" w:color="auto" w:sz="4" w:space="0"/>
              <w:right w:val="nil"/>
            </w:tcBorders>
            <w:noWrap/>
            <w:vAlign w:val="bottom"/>
            <w:hideMark/>
          </w:tcPr>
          <w:p w:rsidRPr="00997F1C" w:rsidR="003E5AEF" w:rsidP="003E5AEF" w:rsidRDefault="003E5AEF" w14:paraId="084AF2AC"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Balancing Account Interest</w:t>
            </w:r>
          </w:p>
        </w:tc>
        <w:tc>
          <w:tcPr>
            <w:tcW w:w="2295" w:type="dxa"/>
            <w:tcBorders>
              <w:top w:val="single" w:color="auto" w:sz="4" w:space="0"/>
              <w:left w:val="nil"/>
              <w:bottom w:val="single" w:color="auto" w:sz="4" w:space="0"/>
              <w:right w:val="single" w:color="auto" w:sz="4" w:space="0"/>
            </w:tcBorders>
            <w:noWrap/>
            <w:vAlign w:val="bottom"/>
            <w:hideMark/>
          </w:tcPr>
          <w:p w:rsidRPr="00997F1C" w:rsidR="003E5AEF" w:rsidP="003E5AEF" w:rsidRDefault="003E5AEF" w14:paraId="3E4C5559" w14:textId="73CA17D6">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$(30)</w:t>
            </w:r>
          </w:p>
        </w:tc>
      </w:tr>
      <w:tr w:rsidRPr="00997F1C" w:rsidR="00997F1C" w14:paraId="64CC30FD" w14:textId="77777777">
        <w:trPr>
          <w:trHeight w:val="288"/>
          <w:jc w:val="center"/>
        </w:trPr>
        <w:tc>
          <w:tcPr>
            <w:tcW w:w="910" w:type="dxa"/>
            <w:tcBorders>
              <w:top w:val="single" w:color="auto" w:sz="4" w:space="0"/>
              <w:left w:val="single" w:color="auto" w:sz="4" w:space="0"/>
              <w:bottom w:val="double" w:color="auto" w:sz="4" w:space="0"/>
              <w:right w:val="nil"/>
            </w:tcBorders>
            <w:noWrap/>
            <w:vAlign w:val="bottom"/>
            <w:hideMark/>
          </w:tcPr>
          <w:p w:rsidRPr="00997F1C" w:rsidR="003E5AEF" w:rsidP="003E5AEF" w:rsidRDefault="003E5AEF" w14:paraId="0882FE59"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Other</w:t>
            </w:r>
          </w:p>
        </w:tc>
        <w:tc>
          <w:tcPr>
            <w:tcW w:w="5520" w:type="dxa"/>
            <w:tcBorders>
              <w:top w:val="single" w:color="auto" w:sz="4" w:space="0"/>
              <w:left w:val="nil"/>
              <w:bottom w:val="double" w:color="auto" w:sz="4" w:space="0"/>
              <w:right w:val="nil"/>
            </w:tcBorders>
            <w:noWrap/>
            <w:vAlign w:val="bottom"/>
            <w:hideMark/>
          </w:tcPr>
          <w:p w:rsidRPr="00997F1C" w:rsidR="003E5AEF" w:rsidP="003E5AEF" w:rsidRDefault="003E5AEF" w14:paraId="246447DE" w14:textId="77777777">
            <w:pPr>
              <w:spacing w:line="240" w:lineRule="auto"/>
              <w:ind w:firstLine="0"/>
              <w:rPr>
                <w:rFonts w:eastAsia="Times New Roman" w:cs="Calibri"/>
                <w:b/>
                <w:bCs/>
                <w:color w:val="000000" w:themeColor="text1"/>
                <w:szCs w:val="26"/>
              </w:rPr>
            </w:pPr>
          </w:p>
        </w:tc>
        <w:tc>
          <w:tcPr>
            <w:tcW w:w="2295" w:type="dxa"/>
            <w:tcBorders>
              <w:top w:val="single" w:color="auto" w:sz="4" w:space="0"/>
              <w:left w:val="nil"/>
              <w:bottom w:val="double" w:color="auto" w:sz="4" w:space="0"/>
              <w:right w:val="single" w:color="auto" w:sz="4" w:space="0"/>
            </w:tcBorders>
            <w:noWrap/>
            <w:vAlign w:val="bottom"/>
            <w:hideMark/>
          </w:tcPr>
          <w:p w:rsidRPr="00997F1C" w:rsidR="003E5AEF" w:rsidP="003E5AEF" w:rsidRDefault="003E5AEF" w14:paraId="3625D795" w14:textId="755499DB">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$(3)</w:t>
            </w:r>
          </w:p>
        </w:tc>
      </w:tr>
      <w:tr w:rsidRPr="00997F1C" w:rsidR="00997F1C" w14:paraId="0C302790" w14:textId="77777777">
        <w:trPr>
          <w:trHeight w:val="288"/>
          <w:jc w:val="center"/>
        </w:trPr>
        <w:tc>
          <w:tcPr>
            <w:tcW w:w="6430" w:type="dxa"/>
            <w:gridSpan w:val="2"/>
            <w:tcBorders>
              <w:top w:val="double" w:color="auto" w:sz="4" w:space="0"/>
              <w:left w:val="single" w:color="auto" w:sz="4" w:space="0"/>
              <w:bottom w:val="single" w:color="auto" w:sz="4" w:space="0"/>
              <w:right w:val="nil"/>
            </w:tcBorders>
            <w:noWrap/>
            <w:vAlign w:val="bottom"/>
            <w:hideMark/>
          </w:tcPr>
          <w:p w:rsidRPr="00997F1C" w:rsidR="003E5AEF" w:rsidP="003E5AEF" w:rsidRDefault="003E5AEF" w14:paraId="08804D27"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Forecast 2025 year</w:t>
            </w:r>
            <w:r w:rsidRPr="00997F1C">
              <w:rPr>
                <w:rFonts w:eastAsia="Times New Roman" w:cs="Calibri"/>
                <w:b/>
                <w:bCs/>
                <w:color w:val="000000" w:themeColor="text1"/>
                <w:szCs w:val="26"/>
              </w:rPr>
              <w:noBreakHyphen/>
              <w:t>end ERRA</w:t>
            </w:r>
            <w:r w:rsidRPr="00997F1C">
              <w:rPr>
                <w:rFonts w:eastAsia="Times New Roman" w:cs="Calibri"/>
                <w:b/>
                <w:bCs/>
                <w:color w:val="000000" w:themeColor="text1"/>
                <w:szCs w:val="26"/>
              </w:rPr>
              <w:noBreakHyphen/>
              <w:t>Main balance, before Balance Transfers</w:t>
            </w:r>
          </w:p>
        </w:tc>
        <w:tc>
          <w:tcPr>
            <w:tcW w:w="2295" w:type="dxa"/>
            <w:tcBorders>
              <w:top w:val="double" w:color="auto" w:sz="4" w:space="0"/>
              <w:left w:val="nil"/>
              <w:bottom w:val="single" w:color="auto" w:sz="4" w:space="0"/>
              <w:right w:val="single" w:color="auto" w:sz="4" w:space="0"/>
            </w:tcBorders>
            <w:noWrap/>
            <w:vAlign w:val="bottom"/>
            <w:hideMark/>
          </w:tcPr>
          <w:p w:rsidRPr="00997F1C" w:rsidR="003E5AEF" w:rsidP="003E5AEF" w:rsidRDefault="003E5AEF" w14:paraId="3D1C9295" w14:textId="263236E2">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 xml:space="preserve"> $(1,853)</w:t>
            </w:r>
          </w:p>
        </w:tc>
      </w:tr>
    </w:tbl>
    <w:p w:rsidRPr="00997F1C" w:rsidR="003E5AEF" w:rsidP="00A93519" w:rsidRDefault="53E8B74B" w14:paraId="44CE008A" w14:textId="1ED43A35">
      <w:pPr>
        <w:spacing w:before="120"/>
        <w:rPr>
          <w:color w:val="000000" w:themeColor="text1"/>
        </w:rPr>
      </w:pPr>
      <w:bookmarkStart w:name="_Toc177628745" w:id="80"/>
      <w:bookmarkStart w:name="_Toc179212701" w:id="81"/>
      <w:bookmarkStart w:name="_Toc182306102" w:id="82"/>
      <w:bookmarkStart w:name="_Toc182841774" w:id="83"/>
      <w:bookmarkStart w:name="_Toc212561155" w:id="84"/>
      <w:r w:rsidRPr="00997F1C">
        <w:rPr>
          <w:color w:val="000000" w:themeColor="text1"/>
        </w:rPr>
        <w:t xml:space="preserve">According to PG&amp;E, disposition of the </w:t>
      </w:r>
      <w:r w:rsidRPr="00997F1C" w:rsidR="0F46C419">
        <w:rPr>
          <w:color w:val="000000" w:themeColor="text1"/>
        </w:rPr>
        <w:t xml:space="preserve">ERRA-Main </w:t>
      </w:r>
      <w:r w:rsidRPr="00997F1C" w:rsidR="1DA33B7D">
        <w:rPr>
          <w:color w:val="000000" w:themeColor="text1"/>
        </w:rPr>
        <w:t xml:space="preserve">trigger balance </w:t>
      </w:r>
      <w:r w:rsidRPr="00997F1C">
        <w:rPr>
          <w:color w:val="000000" w:themeColor="text1"/>
        </w:rPr>
        <w:t xml:space="preserve">for amortization in 2026 rates is consistent with D.14-12-053, D.20-03-012, and </w:t>
      </w:r>
      <w:r w:rsidR="00A93519">
        <w:rPr>
          <w:color w:val="000000" w:themeColor="text1"/>
        </w:rPr>
        <w:br/>
      </w:r>
      <w:r w:rsidRPr="00997F1C">
        <w:rPr>
          <w:color w:val="000000" w:themeColor="text1"/>
        </w:rPr>
        <w:t xml:space="preserve">D.23-05-010, which confirmed the disposition of </w:t>
      </w:r>
      <w:r w:rsidRPr="00997F1C" w:rsidR="0F46C419">
        <w:rPr>
          <w:color w:val="000000" w:themeColor="text1"/>
        </w:rPr>
        <w:t xml:space="preserve">ERRA-Main </w:t>
      </w:r>
      <w:r w:rsidRPr="00997F1C">
        <w:rPr>
          <w:color w:val="000000" w:themeColor="text1"/>
        </w:rPr>
        <w:t xml:space="preserve">triggers through the annual ERRA Forecast decisions.  PG&amp;E argued that amortization through the </w:t>
      </w:r>
      <w:r w:rsidRPr="00997F1C" w:rsidR="1F60D56B">
        <w:rPr>
          <w:color w:val="000000" w:themeColor="text1"/>
        </w:rPr>
        <w:t xml:space="preserve">annual electric true-up advice letter </w:t>
      </w:r>
      <w:r w:rsidRPr="00997F1C">
        <w:rPr>
          <w:color w:val="000000" w:themeColor="text1"/>
        </w:rPr>
        <w:t>would minimize the number of rate changes in 2026 and provide a smoother customer rate experience.</w:t>
      </w:r>
      <w:r w:rsidRPr="00997F1C" w:rsidR="003E5AEF">
        <w:rPr>
          <w:color w:val="000000" w:themeColor="text1"/>
          <w:vertAlign w:val="superscript"/>
        </w:rPr>
        <w:footnoteReference w:id="37"/>
      </w:r>
      <w:r w:rsidRPr="00997F1C">
        <w:rPr>
          <w:color w:val="000000" w:themeColor="text1"/>
        </w:rPr>
        <w:t xml:space="preserve">  PG&amp;E requested that amortization of the ERRA</w:t>
      </w:r>
      <w:r w:rsidRPr="00997F1C" w:rsidR="2140944E">
        <w:rPr>
          <w:color w:val="000000" w:themeColor="text1"/>
        </w:rPr>
        <w:t>-Main</w:t>
      </w:r>
      <w:r w:rsidRPr="00997F1C">
        <w:rPr>
          <w:color w:val="000000" w:themeColor="text1"/>
        </w:rPr>
        <w:t xml:space="preserve"> Trigger Balance occur through the PCIA, including the transfer of the </w:t>
      </w:r>
      <w:proofErr w:type="spellStart"/>
      <w:r w:rsidRPr="00997F1C">
        <w:rPr>
          <w:color w:val="000000" w:themeColor="text1"/>
        </w:rPr>
        <w:t>overcollected</w:t>
      </w:r>
      <w:proofErr w:type="spellEnd"/>
      <w:r w:rsidRPr="00997F1C">
        <w:rPr>
          <w:color w:val="000000" w:themeColor="text1"/>
        </w:rPr>
        <w:t xml:space="preserve"> ERRA balance in the Vintage 2025 PCIA subaccount for consolidation with the balance of the PABA vintages in the bundled PCIA rates.</w:t>
      </w:r>
      <w:r w:rsidRPr="00997F1C" w:rsidR="003E5AEF">
        <w:rPr>
          <w:color w:val="000000" w:themeColor="text1"/>
          <w:vertAlign w:val="superscript"/>
        </w:rPr>
        <w:footnoteReference w:id="38"/>
      </w:r>
    </w:p>
    <w:p w:rsidRPr="00997F1C" w:rsidR="003E5AEF" w:rsidP="00A93519" w:rsidRDefault="00C14557" w14:paraId="2DF7770A" w14:textId="7A2B2F4A">
      <w:pPr>
        <w:pStyle w:val="Heading3"/>
      </w:pPr>
      <w:bookmarkStart w:name="_Toc212561203" w:id="85"/>
      <w:bookmarkStart w:name="_Toc217384625" w:id="86"/>
      <w:r w:rsidRPr="00997F1C">
        <w:t xml:space="preserve">Trigger </w:t>
      </w:r>
      <w:r w:rsidRPr="00997F1C" w:rsidR="003E5AEF">
        <w:t>Party Comments</w:t>
      </w:r>
      <w:bookmarkEnd w:id="85"/>
      <w:bookmarkEnd w:id="86"/>
    </w:p>
    <w:p w:rsidRPr="00997F1C" w:rsidR="003E5AEF" w:rsidP="003E5AEF" w:rsidRDefault="002F40DF" w14:paraId="099E8A5C" w14:textId="3D98FC8C">
      <w:pPr>
        <w:rPr>
          <w:color w:val="000000" w:themeColor="text1"/>
        </w:rPr>
      </w:pPr>
      <w:r w:rsidRPr="00997F1C">
        <w:rPr>
          <w:color w:val="000000" w:themeColor="text1"/>
        </w:rPr>
        <w:t xml:space="preserve">No party </w:t>
      </w:r>
      <w:r w:rsidRPr="00997F1C" w:rsidR="00CE47A5">
        <w:rPr>
          <w:color w:val="000000" w:themeColor="text1"/>
        </w:rPr>
        <w:t xml:space="preserve">protested PG&amp;E’s proposed treatment </w:t>
      </w:r>
      <w:r w:rsidRPr="00997F1C" w:rsidR="000210A2">
        <w:rPr>
          <w:color w:val="000000" w:themeColor="text1"/>
        </w:rPr>
        <w:t>of the ERRA</w:t>
      </w:r>
      <w:r w:rsidRPr="00997F1C" w:rsidR="00097ED4">
        <w:rPr>
          <w:color w:val="000000" w:themeColor="text1"/>
        </w:rPr>
        <w:t>-Main</w:t>
      </w:r>
      <w:r w:rsidRPr="00997F1C" w:rsidR="000210A2">
        <w:rPr>
          <w:color w:val="000000" w:themeColor="text1"/>
        </w:rPr>
        <w:t xml:space="preserve"> trigger balance.  </w:t>
      </w:r>
    </w:p>
    <w:p w:rsidRPr="00A93519" w:rsidR="003E5AEF" w:rsidP="00A93519" w:rsidRDefault="00C14557" w14:paraId="222EA917" w14:textId="7820465C">
      <w:pPr>
        <w:pStyle w:val="Heading3"/>
      </w:pPr>
      <w:bookmarkStart w:name="_Toc212561204" w:id="87"/>
      <w:bookmarkStart w:name="_Toc217384626" w:id="88"/>
      <w:r w:rsidRPr="00A93519">
        <w:t xml:space="preserve">Trigger </w:t>
      </w:r>
      <w:r w:rsidRPr="00A93519" w:rsidR="003E5AEF">
        <w:t>Discussion</w:t>
      </w:r>
      <w:bookmarkEnd w:id="87"/>
      <w:bookmarkEnd w:id="88"/>
    </w:p>
    <w:p w:rsidRPr="00997F1C" w:rsidR="003E5AEF" w:rsidP="003E5AEF" w:rsidRDefault="00097ED4" w14:paraId="73199DA3" w14:textId="1CCC01E4">
      <w:pPr>
        <w:rPr>
          <w:color w:val="000000" w:themeColor="text1"/>
        </w:rPr>
      </w:pPr>
      <w:r w:rsidRPr="00997F1C">
        <w:rPr>
          <w:color w:val="000000" w:themeColor="text1"/>
        </w:rPr>
        <w:t xml:space="preserve">Given the submission and revision of the ERRA-Main trigger balance </w:t>
      </w:r>
      <w:r w:rsidRPr="00997F1C" w:rsidR="003D112F">
        <w:rPr>
          <w:color w:val="000000" w:themeColor="text1"/>
        </w:rPr>
        <w:t xml:space="preserve">within weeks of the proposed decision, the Commission was unable to fully assess the impact </w:t>
      </w:r>
      <w:r w:rsidRPr="00997F1C" w:rsidR="00EF760F">
        <w:rPr>
          <w:color w:val="000000" w:themeColor="text1"/>
        </w:rPr>
        <w:t>of</w:t>
      </w:r>
      <w:r w:rsidRPr="00997F1C" w:rsidR="003D112F">
        <w:rPr>
          <w:color w:val="000000" w:themeColor="text1"/>
        </w:rPr>
        <w:t xml:space="preserve"> </w:t>
      </w:r>
      <w:r w:rsidRPr="00997F1C" w:rsidR="00EF760F">
        <w:rPr>
          <w:color w:val="000000" w:themeColor="text1"/>
        </w:rPr>
        <w:t xml:space="preserve">amortizing this overcollection on rates.  </w:t>
      </w:r>
      <w:r w:rsidRPr="00997F1C" w:rsidR="00CC7541">
        <w:rPr>
          <w:color w:val="000000" w:themeColor="text1"/>
        </w:rPr>
        <w:t>In addition,</w:t>
      </w:r>
      <w:r w:rsidRPr="00997F1C" w:rsidR="00EF760F">
        <w:rPr>
          <w:color w:val="000000" w:themeColor="text1"/>
        </w:rPr>
        <w:t xml:space="preserve"> the </w:t>
      </w:r>
      <w:r w:rsidRPr="00997F1C" w:rsidR="004C3919">
        <w:rPr>
          <w:color w:val="000000" w:themeColor="text1"/>
        </w:rPr>
        <w:t xml:space="preserve">cost </w:t>
      </w:r>
      <w:r w:rsidRPr="00997F1C" w:rsidR="004C3919">
        <w:rPr>
          <w:color w:val="000000" w:themeColor="text1"/>
        </w:rPr>
        <w:lastRenderedPageBreak/>
        <w:t>recovery approved in this application is</w:t>
      </w:r>
      <w:r w:rsidRPr="00997F1C" w:rsidR="00EF760F">
        <w:rPr>
          <w:color w:val="000000" w:themeColor="text1"/>
        </w:rPr>
        <w:t xml:space="preserve"> trued up in the annual electric true-up advice letter</w:t>
      </w:r>
      <w:r w:rsidRPr="00997F1C" w:rsidR="00CC7541">
        <w:rPr>
          <w:color w:val="000000" w:themeColor="text1"/>
        </w:rPr>
        <w:t>, which consolidates various rate changes</w:t>
      </w:r>
      <w:r w:rsidRPr="00997F1C" w:rsidR="004C3919">
        <w:rPr>
          <w:color w:val="000000" w:themeColor="text1"/>
        </w:rPr>
        <w:t>, so the Commission will not otherwise have an opportunity to consider the rate impacts of this request</w:t>
      </w:r>
      <w:r w:rsidRPr="00997F1C" w:rsidR="00CC7541">
        <w:rPr>
          <w:color w:val="000000" w:themeColor="text1"/>
        </w:rPr>
        <w:t>.</w:t>
      </w:r>
      <w:r w:rsidRPr="00997F1C" w:rsidR="00EF760F">
        <w:rPr>
          <w:color w:val="000000" w:themeColor="text1"/>
        </w:rPr>
        <w:t xml:space="preserve">  </w:t>
      </w:r>
      <w:r w:rsidRPr="00997F1C" w:rsidR="004C3919">
        <w:rPr>
          <w:color w:val="000000" w:themeColor="text1"/>
        </w:rPr>
        <w:t>G</w:t>
      </w:r>
      <w:r w:rsidRPr="00997F1C" w:rsidR="00EF760F">
        <w:rPr>
          <w:color w:val="000000" w:themeColor="text1"/>
        </w:rPr>
        <w:t xml:space="preserve">iven potential rate impacts that cannot be assessed in this expedited application, we require PG&amp;E to file </w:t>
      </w:r>
      <w:r w:rsidRPr="00997F1C" w:rsidR="002E72E5">
        <w:rPr>
          <w:color w:val="000000" w:themeColor="text1"/>
        </w:rPr>
        <w:t>an information-only</w:t>
      </w:r>
      <w:r w:rsidRPr="00997F1C" w:rsidR="00EF760F">
        <w:rPr>
          <w:color w:val="000000" w:themeColor="text1"/>
        </w:rPr>
        <w:t xml:space="preserve"> advice letter that separately documents the rate changes made </w:t>
      </w:r>
      <w:proofErr w:type="gramStart"/>
      <w:r w:rsidRPr="00997F1C" w:rsidR="00EF760F">
        <w:rPr>
          <w:color w:val="000000" w:themeColor="text1"/>
        </w:rPr>
        <w:t>as a result of</w:t>
      </w:r>
      <w:proofErr w:type="gramEnd"/>
      <w:r w:rsidRPr="00997F1C" w:rsidR="00EF760F">
        <w:rPr>
          <w:color w:val="000000" w:themeColor="text1"/>
        </w:rPr>
        <w:t xml:space="preserve"> the ERRA trigger.</w:t>
      </w:r>
      <w:r w:rsidRPr="00997F1C" w:rsidR="00613B0F">
        <w:rPr>
          <w:color w:val="000000" w:themeColor="text1"/>
        </w:rPr>
        <w:t xml:space="preserve"> That advice letter shall update the rate impacts demonstrated in </w:t>
      </w:r>
      <w:r w:rsidRPr="00997F1C" w:rsidR="00060227">
        <w:rPr>
          <w:color w:val="000000" w:themeColor="text1"/>
        </w:rPr>
        <w:t xml:space="preserve">Tables </w:t>
      </w:r>
      <w:r w:rsidRPr="00997F1C" w:rsidR="00D156AC">
        <w:rPr>
          <w:color w:val="000000" w:themeColor="text1"/>
        </w:rPr>
        <w:t>13</w:t>
      </w:r>
      <w:r w:rsidRPr="00997F1C" w:rsidR="00060227">
        <w:rPr>
          <w:color w:val="000000" w:themeColor="text1"/>
        </w:rPr>
        <w:t xml:space="preserve">-3, </w:t>
      </w:r>
      <w:r w:rsidRPr="00997F1C" w:rsidR="00BC5E10">
        <w:rPr>
          <w:color w:val="000000" w:themeColor="text1"/>
        </w:rPr>
        <w:t>13-5</w:t>
      </w:r>
      <w:r w:rsidRPr="00997F1C" w:rsidR="00A72BEC">
        <w:rPr>
          <w:color w:val="000000" w:themeColor="text1"/>
        </w:rPr>
        <w:t xml:space="preserve"> to 13-10</w:t>
      </w:r>
      <w:r w:rsidRPr="00997F1C" w:rsidR="00A72E16">
        <w:rPr>
          <w:color w:val="000000" w:themeColor="text1"/>
        </w:rPr>
        <w:t xml:space="preserve"> of its Testimony, Fall Update and Fall Update Errata.</w:t>
      </w:r>
    </w:p>
    <w:p w:rsidRPr="00997F1C" w:rsidR="003E5AEF" w:rsidP="00BB5F01" w:rsidRDefault="003E5AEF" w14:paraId="38C15E97" w14:textId="0131DA66">
      <w:pPr>
        <w:pStyle w:val="Heading2"/>
        <w:numPr>
          <w:ilvl w:val="1"/>
          <w:numId w:val="14"/>
        </w:numPr>
        <w:rPr>
          <w:color w:val="000000" w:themeColor="text1"/>
        </w:rPr>
      </w:pPr>
      <w:bookmarkStart w:name="_Toc217384627" w:id="89"/>
      <w:r w:rsidRPr="00997F1C">
        <w:rPr>
          <w:color w:val="000000" w:themeColor="text1"/>
        </w:rPr>
        <w:t xml:space="preserve">Public Policy </w:t>
      </w:r>
      <w:r w:rsidR="00A93519">
        <w:rPr>
          <w:color w:val="000000" w:themeColor="text1"/>
        </w:rPr>
        <w:br/>
      </w:r>
      <w:r w:rsidRPr="00997F1C">
        <w:rPr>
          <w:color w:val="000000" w:themeColor="text1"/>
        </w:rPr>
        <w:t>Charge Procurement</w:t>
      </w:r>
      <w:bookmarkEnd w:id="80"/>
      <w:bookmarkEnd w:id="81"/>
      <w:bookmarkEnd w:id="82"/>
      <w:bookmarkEnd w:id="83"/>
      <w:bookmarkEnd w:id="84"/>
      <w:bookmarkEnd w:id="89"/>
    </w:p>
    <w:p w:rsidRPr="00997F1C" w:rsidR="003E5AEF" w:rsidP="003E5AEF" w:rsidRDefault="003E5AEF" w14:paraId="6D56A1BE" w14:textId="59715B12">
      <w:pPr>
        <w:rPr>
          <w:color w:val="000000" w:themeColor="text1"/>
        </w:rPr>
      </w:pPr>
      <w:r w:rsidRPr="00997F1C">
        <w:rPr>
          <w:color w:val="000000" w:themeColor="text1"/>
        </w:rPr>
        <w:t xml:space="preserve">PG&amp;E forecasts that its 2026 Public Policy Charge Procurement (PPCP) revenue requirement </w:t>
      </w:r>
      <w:r w:rsidRPr="00997F1C" w:rsidR="00D81A32">
        <w:rPr>
          <w:color w:val="000000" w:themeColor="text1"/>
        </w:rPr>
        <w:t xml:space="preserve">would </w:t>
      </w:r>
      <w:r w:rsidRPr="00997F1C">
        <w:rPr>
          <w:color w:val="000000" w:themeColor="text1"/>
        </w:rPr>
        <w:t>be -$1.72 million</w:t>
      </w:r>
      <w:r w:rsidRPr="00997F1C" w:rsidR="00E81F33">
        <w:rPr>
          <w:color w:val="000000" w:themeColor="text1"/>
        </w:rPr>
        <w:t>.</w:t>
      </w:r>
      <w:r w:rsidRPr="00997F1C" w:rsidR="00E81F33">
        <w:rPr>
          <w:color w:val="000000" w:themeColor="text1"/>
          <w:vertAlign w:val="superscript"/>
        </w:rPr>
        <w:t xml:space="preserve">  </w:t>
      </w:r>
      <w:r w:rsidRPr="00997F1C">
        <w:rPr>
          <w:color w:val="000000" w:themeColor="text1"/>
        </w:rPr>
        <w:t>No party protested this forecast.  We have reviewed this forecast and find that it is reasonable.</w:t>
      </w:r>
    </w:p>
    <w:p w:rsidRPr="00997F1C" w:rsidR="003E5AEF" w:rsidP="003E5AEF" w:rsidRDefault="53E8B74B" w14:paraId="2F87DC87" w14:textId="6FF1DBA4">
      <w:pPr>
        <w:rPr>
          <w:color w:val="000000" w:themeColor="text1"/>
        </w:rPr>
      </w:pPr>
      <w:r w:rsidRPr="00997F1C">
        <w:rPr>
          <w:color w:val="000000" w:themeColor="text1"/>
        </w:rPr>
        <w:t>The PPCP subaccount is a two-way balancing subaccount in the Public Purpose Policy Charge Balancing Account.</w:t>
      </w:r>
      <w:r w:rsidRPr="00997F1C" w:rsidR="003E5AEF">
        <w:rPr>
          <w:color w:val="000000" w:themeColor="text1"/>
          <w:vertAlign w:val="superscript"/>
        </w:rPr>
        <w:footnoteReference w:id="39"/>
      </w:r>
      <w:r w:rsidRPr="00997F1C">
        <w:rPr>
          <w:color w:val="000000" w:themeColor="text1"/>
        </w:rPr>
        <w:t xml:space="preserve">  The PPCP subaccount was established to record the recovery of the above-market costs associated with:  </w:t>
      </w:r>
      <w:r w:rsidRPr="00997F1C" w:rsidR="0012268E">
        <w:rPr>
          <w:color w:val="000000" w:themeColor="text1"/>
        </w:rPr>
        <w:br/>
      </w:r>
      <w:r w:rsidRPr="00997F1C">
        <w:rPr>
          <w:color w:val="000000" w:themeColor="text1"/>
        </w:rPr>
        <w:t xml:space="preserve">(1) the Public Utility Regulatory Policies Act (PURPA) Standard Offer Contract approved in D.20-05-006, and (2) existing under 20 megawatts (MW) QF contracts pursuant to D.10-12-035.  </w:t>
      </w:r>
    </w:p>
    <w:p w:rsidRPr="00997F1C" w:rsidR="003E5AEF" w:rsidP="00BB5F01" w:rsidRDefault="003E5AEF" w14:paraId="0A23ED1B" w14:textId="70942BD5">
      <w:pPr>
        <w:pStyle w:val="Heading2"/>
        <w:numPr>
          <w:ilvl w:val="1"/>
          <w:numId w:val="14"/>
        </w:numPr>
        <w:rPr>
          <w:color w:val="000000" w:themeColor="text1"/>
        </w:rPr>
      </w:pPr>
      <w:bookmarkStart w:name="_Toc177628748" w:id="90"/>
      <w:bookmarkStart w:name="_Toc179212704" w:id="91"/>
      <w:bookmarkStart w:name="_Toc182306103" w:id="92"/>
      <w:bookmarkStart w:name="_Toc182841775" w:id="93"/>
      <w:bookmarkStart w:name="_Toc212561156" w:id="94"/>
      <w:bookmarkStart w:name="_Toc217384628" w:id="95"/>
      <w:r w:rsidRPr="00997F1C">
        <w:rPr>
          <w:color w:val="000000" w:themeColor="text1"/>
        </w:rPr>
        <w:t xml:space="preserve">Tree Mortality </w:t>
      </w:r>
      <w:r w:rsidR="00A93519">
        <w:rPr>
          <w:color w:val="000000" w:themeColor="text1"/>
        </w:rPr>
        <w:br/>
      </w:r>
      <w:r w:rsidRPr="00997F1C">
        <w:rPr>
          <w:color w:val="000000" w:themeColor="text1"/>
        </w:rPr>
        <w:t>Non-</w:t>
      </w:r>
      <w:proofErr w:type="spellStart"/>
      <w:r w:rsidRPr="00997F1C">
        <w:rPr>
          <w:color w:val="000000" w:themeColor="text1"/>
        </w:rPr>
        <w:t>bypassable</w:t>
      </w:r>
      <w:proofErr w:type="spellEnd"/>
      <w:r w:rsidRPr="00997F1C">
        <w:rPr>
          <w:color w:val="000000" w:themeColor="text1"/>
        </w:rPr>
        <w:t xml:space="preserve"> Charge</w:t>
      </w:r>
      <w:bookmarkEnd w:id="90"/>
      <w:bookmarkEnd w:id="91"/>
      <w:bookmarkEnd w:id="92"/>
      <w:bookmarkEnd w:id="93"/>
      <w:bookmarkEnd w:id="94"/>
      <w:bookmarkEnd w:id="95"/>
    </w:p>
    <w:p w:rsidRPr="00997F1C" w:rsidR="003E5AEF" w:rsidP="003E5AEF" w:rsidRDefault="53E8B74B" w14:paraId="1F4BD1EB" w14:textId="030E263A">
      <w:pPr>
        <w:rPr>
          <w:color w:val="000000" w:themeColor="text1"/>
        </w:rPr>
      </w:pPr>
      <w:r w:rsidRPr="00997F1C">
        <w:rPr>
          <w:color w:val="000000" w:themeColor="text1"/>
        </w:rPr>
        <w:t>PG&amp;E forecasts its Tree Mortality Non-</w:t>
      </w:r>
      <w:proofErr w:type="spellStart"/>
      <w:proofErr w:type="gramStart"/>
      <w:r w:rsidRPr="00997F1C">
        <w:rPr>
          <w:color w:val="000000" w:themeColor="text1"/>
        </w:rPr>
        <w:t>bypassable</w:t>
      </w:r>
      <w:proofErr w:type="spellEnd"/>
      <w:proofErr w:type="gramEnd"/>
      <w:r w:rsidRPr="00997F1C">
        <w:rPr>
          <w:color w:val="000000" w:themeColor="text1"/>
        </w:rPr>
        <w:t xml:space="preserve"> Charge (TMNBC) revenue requirement at $41.579 million for 2026.  </w:t>
      </w:r>
    </w:p>
    <w:p w:rsidRPr="00997F1C" w:rsidR="003E5AEF" w:rsidP="003E5AEF" w:rsidRDefault="53E8B74B" w14:paraId="3AC0E52F" w14:textId="77777777">
      <w:pPr>
        <w:rPr>
          <w:color w:val="000000" w:themeColor="text1"/>
        </w:rPr>
      </w:pPr>
      <w:r w:rsidRPr="00997F1C">
        <w:rPr>
          <w:color w:val="000000" w:themeColor="text1"/>
        </w:rPr>
        <w:t xml:space="preserve">Res. E-4770 requires each IOU to use the Renewable Auction Mechanism procurement process to purchase its share of at least 50 MW of generating </w:t>
      </w:r>
      <w:r w:rsidRPr="00997F1C">
        <w:rPr>
          <w:color w:val="000000" w:themeColor="text1"/>
        </w:rPr>
        <w:lastRenderedPageBreak/>
        <w:t>capacity from facilities that can use biofuel from high hazard zones.</w:t>
      </w:r>
      <w:r w:rsidRPr="00997F1C" w:rsidR="003E5AEF">
        <w:rPr>
          <w:color w:val="000000" w:themeColor="text1"/>
          <w:vertAlign w:val="superscript"/>
        </w:rPr>
        <w:footnoteReference w:id="40"/>
      </w:r>
      <w:r w:rsidRPr="00997F1C">
        <w:rPr>
          <w:color w:val="000000" w:themeColor="text1"/>
        </w:rPr>
        <w:t xml:space="preserve">  Senate Bill (SB) 859, Statutes 2016, Chapter 368,</w:t>
      </w:r>
      <w:r w:rsidRPr="00997F1C" w:rsidR="003E5AEF">
        <w:rPr>
          <w:color w:val="000000" w:themeColor="text1"/>
          <w:vertAlign w:val="superscript"/>
        </w:rPr>
        <w:footnoteReference w:id="41"/>
      </w:r>
      <w:r w:rsidRPr="00997F1C">
        <w:rPr>
          <w:color w:val="000000" w:themeColor="text1"/>
        </w:rPr>
        <w:t xml:space="preserve"> required electric IOUs to procure respective shares of 125 MW from existing biomass facilities using prescribed amounts of dead and dying trees located in high-hazard zones as feedstock, for 5-year contracts.  SB 859 required that the procurement costs to satisfy this requirement be recovered </w:t>
      </w:r>
      <w:proofErr w:type="gramStart"/>
      <w:r w:rsidRPr="00997F1C">
        <w:rPr>
          <w:color w:val="000000" w:themeColor="text1"/>
        </w:rPr>
        <w:t>from</w:t>
      </w:r>
      <w:proofErr w:type="gramEnd"/>
      <w:r w:rsidRPr="00997F1C">
        <w:rPr>
          <w:color w:val="000000" w:themeColor="text1"/>
        </w:rPr>
        <w:t xml:space="preserve"> all customers on a </w:t>
      </w:r>
      <w:proofErr w:type="gramStart"/>
      <w:r w:rsidRPr="00997F1C">
        <w:rPr>
          <w:color w:val="000000" w:themeColor="text1"/>
        </w:rPr>
        <w:t>non-</w:t>
      </w:r>
      <w:proofErr w:type="spellStart"/>
      <w:proofErr w:type="gramEnd"/>
      <w:r w:rsidRPr="00997F1C">
        <w:rPr>
          <w:color w:val="000000" w:themeColor="text1"/>
        </w:rPr>
        <w:t>bypassable</w:t>
      </w:r>
      <w:proofErr w:type="spellEnd"/>
      <w:r w:rsidRPr="00997F1C">
        <w:rPr>
          <w:color w:val="000000" w:themeColor="text1"/>
        </w:rPr>
        <w:t xml:space="preserve"> basis.</w:t>
      </w:r>
    </w:p>
    <w:p w:rsidRPr="00997F1C" w:rsidR="003E5AEF" w:rsidP="003E5AEF" w:rsidRDefault="53E8B74B" w14:paraId="15251A7D" w14:textId="77777777">
      <w:pPr>
        <w:rPr>
          <w:color w:val="000000" w:themeColor="text1"/>
        </w:rPr>
      </w:pPr>
      <w:r w:rsidRPr="00997F1C">
        <w:rPr>
          <w:color w:val="000000" w:themeColor="text1"/>
        </w:rPr>
        <w:t>Res. E-4805, which implemented the requirements of SB 859,</w:t>
      </w:r>
      <w:r w:rsidRPr="00997F1C" w:rsidR="003E5AEF">
        <w:rPr>
          <w:color w:val="000000" w:themeColor="text1"/>
          <w:vertAlign w:val="superscript"/>
        </w:rPr>
        <w:footnoteReference w:id="42"/>
      </w:r>
      <w:r w:rsidRPr="00997F1C">
        <w:rPr>
          <w:color w:val="000000" w:themeColor="text1"/>
        </w:rPr>
        <w:t xml:space="preserve"> required IOUs to track electric procurement costs associated with power purchase agreements.  D.18-12-003 established a </w:t>
      </w:r>
      <w:proofErr w:type="gramStart"/>
      <w:r w:rsidRPr="00997F1C">
        <w:rPr>
          <w:color w:val="000000" w:themeColor="text1"/>
        </w:rPr>
        <w:t>non-</w:t>
      </w:r>
      <w:proofErr w:type="spellStart"/>
      <w:proofErr w:type="gramEnd"/>
      <w:r w:rsidRPr="00997F1C">
        <w:rPr>
          <w:color w:val="000000" w:themeColor="text1"/>
        </w:rPr>
        <w:t>bypassable</w:t>
      </w:r>
      <w:proofErr w:type="spellEnd"/>
      <w:r w:rsidRPr="00997F1C">
        <w:rPr>
          <w:color w:val="000000" w:themeColor="text1"/>
        </w:rPr>
        <w:t xml:space="preserve"> charge for costs associated with tree mortality biomass energy procurement.  The TMNBC recovers net costs of the tree mortality-related biomass energy procurement.</w:t>
      </w:r>
      <w:r w:rsidRPr="00997F1C" w:rsidR="003E5AEF">
        <w:rPr>
          <w:color w:val="000000" w:themeColor="text1"/>
          <w:vertAlign w:val="superscript"/>
        </w:rPr>
        <w:footnoteReference w:id="43"/>
      </w:r>
    </w:p>
    <w:p w:rsidRPr="00997F1C" w:rsidR="003E5AEF" w:rsidP="003E5AEF" w:rsidRDefault="53E8B74B" w14:paraId="4B75DBCA" w14:textId="77777777">
      <w:pPr>
        <w:rPr>
          <w:color w:val="000000" w:themeColor="text1"/>
        </w:rPr>
      </w:pPr>
      <w:r w:rsidRPr="00997F1C">
        <w:rPr>
          <w:color w:val="000000" w:themeColor="text1"/>
        </w:rPr>
        <w:t>PG&amp;E calculated its 2026 procurement cost forecast for the TMNBC revenue requirement based on executed supply purchase contracts, executed RA and RPS sales, and CAISO market energy and ancillary service revenues for unsold RPS-eligible generation.</w:t>
      </w:r>
      <w:r w:rsidRPr="00997F1C" w:rsidR="003E5AEF">
        <w:rPr>
          <w:color w:val="000000" w:themeColor="text1"/>
          <w:vertAlign w:val="superscript"/>
        </w:rPr>
        <w:footnoteReference w:id="44"/>
      </w:r>
      <w:r w:rsidRPr="00997F1C">
        <w:rPr>
          <w:color w:val="000000" w:themeColor="text1"/>
        </w:rPr>
        <w:t xml:space="preserve">  Executed supply contracts that are forecasted to provide deliveries to PG&amp;E in 2025 include:  1) Burney Forest Products; 2) Wheelabrator Shasta; and 3) Woodland Biomass.</w:t>
      </w:r>
      <w:r w:rsidRPr="00997F1C" w:rsidR="003E5AEF">
        <w:rPr>
          <w:color w:val="000000" w:themeColor="text1"/>
          <w:vertAlign w:val="superscript"/>
        </w:rPr>
        <w:footnoteReference w:id="45"/>
      </w:r>
      <w:r w:rsidRPr="00997F1C">
        <w:rPr>
          <w:color w:val="000000" w:themeColor="text1"/>
        </w:rPr>
        <w:t xml:space="preserve"> </w:t>
      </w:r>
    </w:p>
    <w:p w:rsidRPr="00997F1C" w:rsidR="003E5AEF" w:rsidP="003E5AEF" w:rsidRDefault="003E5AEF" w14:paraId="037DBEEF" w14:textId="77777777">
      <w:pPr>
        <w:rPr>
          <w:color w:val="000000" w:themeColor="text1"/>
        </w:rPr>
      </w:pPr>
      <w:r w:rsidRPr="00997F1C">
        <w:rPr>
          <w:color w:val="000000" w:themeColor="text1"/>
        </w:rPr>
        <w:t>No party protested the forecasted revenue requirement for the TMNBC.  We have reviewed this forecast and find that it is reasonable.</w:t>
      </w:r>
    </w:p>
    <w:p w:rsidRPr="00997F1C" w:rsidR="003E5AEF" w:rsidP="00BB5F01" w:rsidRDefault="003E5AEF" w14:paraId="0A12958B" w14:textId="7F626DBB">
      <w:pPr>
        <w:pStyle w:val="Heading2"/>
        <w:numPr>
          <w:ilvl w:val="1"/>
          <w:numId w:val="14"/>
        </w:numPr>
        <w:rPr>
          <w:color w:val="000000" w:themeColor="text1"/>
        </w:rPr>
      </w:pPr>
      <w:bookmarkStart w:name="_Toc177628752" w:id="96"/>
      <w:bookmarkStart w:name="_Toc179212708" w:id="97"/>
      <w:bookmarkStart w:name="_Toc182306104" w:id="98"/>
      <w:bookmarkStart w:name="_Toc182841776" w:id="99"/>
      <w:bookmarkStart w:name="_Toc212561157" w:id="100"/>
      <w:bookmarkStart w:name="_Toc217384629" w:id="101"/>
      <w:r w:rsidRPr="00997F1C">
        <w:rPr>
          <w:color w:val="000000" w:themeColor="text1"/>
        </w:rPr>
        <w:lastRenderedPageBreak/>
        <w:t xml:space="preserve">Bioenergy Market </w:t>
      </w:r>
      <w:r w:rsidR="00A93519">
        <w:rPr>
          <w:color w:val="000000" w:themeColor="text1"/>
        </w:rPr>
        <w:br/>
      </w:r>
      <w:r w:rsidRPr="00997F1C">
        <w:rPr>
          <w:color w:val="000000" w:themeColor="text1"/>
        </w:rPr>
        <w:t>Adjusting Tariff</w:t>
      </w:r>
      <w:bookmarkEnd w:id="96"/>
      <w:bookmarkEnd w:id="97"/>
      <w:bookmarkEnd w:id="98"/>
      <w:bookmarkEnd w:id="99"/>
      <w:bookmarkEnd w:id="100"/>
      <w:bookmarkEnd w:id="101"/>
    </w:p>
    <w:p w:rsidRPr="00997F1C" w:rsidR="003E5AEF" w:rsidP="003E5AEF" w:rsidRDefault="003E5AEF" w14:paraId="05FFAA40" w14:textId="6F905020">
      <w:pPr>
        <w:rPr>
          <w:color w:val="000000" w:themeColor="text1"/>
        </w:rPr>
      </w:pPr>
      <w:r w:rsidRPr="00997F1C">
        <w:rPr>
          <w:color w:val="000000" w:themeColor="text1"/>
        </w:rPr>
        <w:t>For 2026, PG&amp;E forecasts that its Bioenergy Market Adjustment Tariff (</w:t>
      </w:r>
      <w:proofErr w:type="spellStart"/>
      <w:r w:rsidRPr="00997F1C">
        <w:rPr>
          <w:color w:val="000000" w:themeColor="text1"/>
        </w:rPr>
        <w:t>BioMAT</w:t>
      </w:r>
      <w:proofErr w:type="spellEnd"/>
      <w:r w:rsidRPr="00997F1C">
        <w:rPr>
          <w:color w:val="000000" w:themeColor="text1"/>
        </w:rPr>
        <w:t xml:space="preserve">) revenue requirement will be $13.763 million.  SB 1122, Statutes 2012, Chapter 612, requires IOUs to procure 250 MW of RPS-eligible generation from bioenergy generation facilities.  The Commission implemented SB 1122 with D.14-12-081, setting the quantities of each type of generation to be procured by each IOU and establishing the pricing mechanism and other rules for the </w:t>
      </w:r>
      <w:proofErr w:type="spellStart"/>
      <w:r w:rsidRPr="00997F1C">
        <w:rPr>
          <w:color w:val="000000" w:themeColor="text1"/>
        </w:rPr>
        <w:t>BioMAT</w:t>
      </w:r>
      <w:proofErr w:type="spellEnd"/>
      <w:r w:rsidRPr="00997F1C">
        <w:rPr>
          <w:color w:val="000000" w:themeColor="text1"/>
        </w:rPr>
        <w:t xml:space="preserve"> Program.</w:t>
      </w:r>
    </w:p>
    <w:p w:rsidRPr="00997F1C" w:rsidR="003E5AEF" w:rsidP="003E5AEF" w:rsidRDefault="003E5AEF" w14:paraId="3C3307EE" w14:textId="77777777">
      <w:pPr>
        <w:rPr>
          <w:color w:val="000000" w:themeColor="text1"/>
        </w:rPr>
      </w:pPr>
      <w:r w:rsidRPr="00997F1C">
        <w:rPr>
          <w:color w:val="000000" w:themeColor="text1"/>
        </w:rPr>
        <w:t xml:space="preserve">No party protested this forecasted revenue requirement.  We reviewed this forecast and </w:t>
      </w:r>
      <w:proofErr w:type="gramStart"/>
      <w:r w:rsidRPr="00997F1C">
        <w:rPr>
          <w:color w:val="000000" w:themeColor="text1"/>
        </w:rPr>
        <w:t>find</w:t>
      </w:r>
      <w:proofErr w:type="gramEnd"/>
      <w:r w:rsidRPr="00997F1C">
        <w:rPr>
          <w:color w:val="000000" w:themeColor="text1"/>
        </w:rPr>
        <w:t xml:space="preserve"> that it is reasonable.</w:t>
      </w:r>
    </w:p>
    <w:p w:rsidRPr="00997F1C" w:rsidR="003E5AEF" w:rsidP="00D737A5" w:rsidRDefault="003E5AEF" w14:paraId="0CC41586" w14:textId="1D274D8F">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177628755" w:id="102"/>
      <w:bookmarkStart w:name="_Toc179212711" w:id="103"/>
      <w:bookmarkStart w:name="_Toc182306105" w:id="104"/>
      <w:bookmarkStart w:name="_Toc182841777" w:id="105"/>
      <w:bookmarkStart w:name="_Toc212561158" w:id="106"/>
      <w:bookmarkStart w:name="_Toc217384630" w:id="107"/>
      <w:bookmarkEnd w:id="42"/>
      <w:bookmarkEnd w:id="43"/>
      <w:r w:rsidRPr="00997F1C">
        <w:rPr>
          <w:rFonts w:ascii="Arial" w:hAnsi="Arial" w:eastAsiaTheme="majorEastAsia" w:cstheme="majorBidi"/>
          <w:b/>
          <w:color w:val="000000" w:themeColor="text1"/>
          <w:szCs w:val="32"/>
        </w:rPr>
        <w:t xml:space="preserve">Revenue Requirement Adjustments </w:t>
      </w:r>
      <w:r w:rsidRPr="00997F1C" w:rsidR="0012268E">
        <w:rPr>
          <w:rFonts w:ascii="Arial" w:hAnsi="Arial" w:eastAsiaTheme="majorEastAsia" w:cstheme="majorBidi"/>
          <w:b/>
          <w:color w:val="000000" w:themeColor="text1"/>
          <w:szCs w:val="32"/>
        </w:rPr>
        <w:br/>
      </w:r>
      <w:r w:rsidRPr="00997F1C">
        <w:rPr>
          <w:rFonts w:ascii="Arial" w:hAnsi="Arial" w:eastAsiaTheme="majorEastAsia" w:cstheme="majorBidi"/>
          <w:b/>
          <w:color w:val="000000" w:themeColor="text1"/>
          <w:szCs w:val="32"/>
        </w:rPr>
        <w:t>Authorized in Other Proceedings</w:t>
      </w:r>
      <w:bookmarkEnd w:id="102"/>
      <w:bookmarkEnd w:id="103"/>
      <w:bookmarkEnd w:id="104"/>
      <w:bookmarkEnd w:id="105"/>
      <w:bookmarkEnd w:id="106"/>
      <w:bookmarkEnd w:id="107"/>
    </w:p>
    <w:p w:rsidRPr="00997F1C" w:rsidR="003E5AEF" w:rsidP="003E5AEF" w:rsidRDefault="003E5AEF" w14:paraId="597A63E9" w14:textId="125614C3">
      <w:pPr>
        <w:rPr>
          <w:color w:val="000000" w:themeColor="text1"/>
        </w:rPr>
      </w:pPr>
      <w:r w:rsidRPr="00997F1C">
        <w:rPr>
          <w:color w:val="000000" w:themeColor="text1"/>
        </w:rPr>
        <w:t xml:space="preserve">PG&amp;E </w:t>
      </w:r>
      <w:r w:rsidRPr="00997F1C" w:rsidR="00D81A32">
        <w:rPr>
          <w:color w:val="000000" w:themeColor="text1"/>
        </w:rPr>
        <w:t xml:space="preserve">proposed </w:t>
      </w:r>
      <w:r w:rsidRPr="00997F1C">
        <w:rPr>
          <w:color w:val="000000" w:themeColor="text1"/>
        </w:rPr>
        <w:t>to reduce its 2025 revenue requirement by $1.25 billion to account for revenue requirements authorized in other proceedings.  Therefore, the two accounts described in this section each have negative values.  PG&amp;E is not requesting cost recovery for these adjustments in the instant proceeding and therefore we did not assess these subaccounts for reasonableness.  It is reasonable to reduce the net revenue requirement by these amounts to ensure that PG&amp;E does not recover the same costs more than once.</w:t>
      </w:r>
    </w:p>
    <w:p w:rsidRPr="00997F1C" w:rsidR="003E5AEF" w:rsidP="00D737A5" w:rsidRDefault="003E5AEF" w14:paraId="4757BE41" w14:textId="07D725E5">
      <w:pPr>
        <w:keepNext/>
        <w:keepLines/>
        <w:numPr>
          <w:ilvl w:val="1"/>
          <w:numId w:val="11"/>
        </w:numPr>
        <w:spacing w:after="120" w:line="240" w:lineRule="auto"/>
        <w:ind w:right="2160"/>
        <w:outlineLvl w:val="1"/>
        <w:rPr>
          <w:rFonts w:ascii="Arial" w:hAnsi="Arial" w:cs="Arial"/>
          <w:b/>
          <w:color w:val="000000" w:themeColor="text1"/>
          <w:szCs w:val="26"/>
        </w:rPr>
      </w:pPr>
      <w:bookmarkStart w:name="_Toc177628756" w:id="108"/>
      <w:bookmarkStart w:name="_Toc179212712" w:id="109"/>
      <w:bookmarkStart w:name="_Toc182306106" w:id="110"/>
      <w:bookmarkStart w:name="_Toc182841778" w:id="111"/>
      <w:bookmarkStart w:name="_Toc212561159" w:id="112"/>
      <w:bookmarkStart w:name="_Toc217384631" w:id="113"/>
      <w:r w:rsidRPr="00997F1C">
        <w:rPr>
          <w:rFonts w:ascii="Arial" w:hAnsi="Arial" w:cs="Arial"/>
          <w:b/>
          <w:color w:val="000000" w:themeColor="text1"/>
          <w:szCs w:val="26"/>
        </w:rPr>
        <w:t xml:space="preserve">Utility-Owned Generation – </w:t>
      </w:r>
      <w:r w:rsidRPr="00997F1C" w:rsidR="0012268E">
        <w:rPr>
          <w:rFonts w:ascii="Arial" w:hAnsi="Arial" w:cs="Arial"/>
          <w:b/>
          <w:color w:val="000000" w:themeColor="text1"/>
          <w:szCs w:val="26"/>
        </w:rPr>
        <w:br/>
      </w:r>
      <w:r w:rsidRPr="00997F1C">
        <w:rPr>
          <w:rFonts w:ascii="Arial" w:hAnsi="Arial" w:cs="Arial"/>
          <w:b/>
          <w:color w:val="000000" w:themeColor="text1"/>
          <w:szCs w:val="26"/>
        </w:rPr>
        <w:t>Related Costs</w:t>
      </w:r>
      <w:bookmarkEnd w:id="108"/>
      <w:bookmarkEnd w:id="109"/>
      <w:bookmarkEnd w:id="110"/>
      <w:bookmarkEnd w:id="111"/>
      <w:bookmarkEnd w:id="112"/>
      <w:bookmarkEnd w:id="113"/>
    </w:p>
    <w:p w:rsidRPr="00997F1C" w:rsidR="003E5AEF" w:rsidP="003E5AEF" w:rsidRDefault="003E5AEF" w14:paraId="0C2AB0F0" w14:textId="5FEC477A">
      <w:pPr>
        <w:rPr>
          <w:color w:val="000000" w:themeColor="text1"/>
        </w:rPr>
      </w:pPr>
      <w:r w:rsidRPr="00997F1C">
        <w:rPr>
          <w:color w:val="000000" w:themeColor="text1"/>
        </w:rPr>
        <w:t xml:space="preserve">UOG-Related Costs are those authorized in PG&amp;E’s 2023 General Rate Case, D.23-11-069, or approved in other regulatory proceedings.  PG&amp;E did not request approval of these costs in this Application.  PG&amp;E forecasts that its revenue requirement for UOG-Related Costs will be $1.231 billion for 2026.  </w:t>
      </w:r>
    </w:p>
    <w:p w:rsidRPr="00997F1C" w:rsidR="003E5AEF" w:rsidP="003E5AEF" w:rsidRDefault="003E5AEF" w14:paraId="5CD29B30" w14:textId="77777777">
      <w:pPr>
        <w:ind w:left="720" w:firstLine="0"/>
        <w:rPr>
          <w:color w:val="000000" w:themeColor="text1"/>
        </w:rPr>
      </w:pPr>
      <w:r w:rsidRPr="00997F1C">
        <w:rPr>
          <w:color w:val="000000" w:themeColor="text1"/>
        </w:rPr>
        <w:t>For reference, these costs are as follows:</w:t>
      </w:r>
    </w:p>
    <w:p w:rsidRPr="00997F1C" w:rsidR="003E5AEF" w:rsidP="003E5AEF" w:rsidRDefault="53E8B74B" w14:paraId="16985C87" w14:textId="194250B0">
      <w:pPr>
        <w:keepNext/>
        <w:spacing w:after="240" w:line="240" w:lineRule="auto"/>
        <w:ind w:firstLine="0"/>
        <w:jc w:val="center"/>
        <w:rPr>
          <w:b/>
          <w:bCs/>
          <w:color w:val="000000" w:themeColor="text1"/>
          <w:szCs w:val="26"/>
        </w:rPr>
      </w:pPr>
      <w:r w:rsidRPr="00997F1C">
        <w:rPr>
          <w:b/>
          <w:bCs/>
          <w:color w:val="000000" w:themeColor="text1"/>
        </w:rPr>
        <w:lastRenderedPageBreak/>
        <w:t xml:space="preserve">Table </w:t>
      </w:r>
      <w:r w:rsidRPr="00997F1C" w:rsidR="003E5AEF">
        <w:rPr>
          <w:b/>
          <w:bCs/>
          <w:color w:val="000000" w:themeColor="text1"/>
        </w:rPr>
        <w:fldChar w:fldCharType="begin"/>
      </w:r>
      <w:r w:rsidRPr="00997F1C" w:rsidR="003E5AEF">
        <w:rPr>
          <w:b/>
          <w:bCs/>
          <w:color w:val="000000" w:themeColor="text1"/>
        </w:rPr>
        <w:instrText xml:space="preserve"> SEQ Table \* ARABIC </w:instrText>
      </w:r>
      <w:r w:rsidRPr="00997F1C" w:rsidR="003E5AEF">
        <w:rPr>
          <w:b/>
          <w:bCs/>
          <w:color w:val="000000" w:themeColor="text1"/>
        </w:rPr>
        <w:fldChar w:fldCharType="separate"/>
      </w:r>
      <w:r w:rsidR="00A93519">
        <w:rPr>
          <w:b/>
          <w:bCs/>
          <w:noProof/>
          <w:color w:val="000000" w:themeColor="text1"/>
        </w:rPr>
        <w:t>4</w:t>
      </w:r>
      <w:r w:rsidRPr="00997F1C" w:rsidR="003E5AEF">
        <w:rPr>
          <w:b/>
          <w:bCs/>
          <w:noProof/>
          <w:color w:val="000000" w:themeColor="text1"/>
        </w:rPr>
        <w:fldChar w:fldCharType="end"/>
      </w:r>
      <w:r w:rsidRPr="00997F1C">
        <w:rPr>
          <w:b/>
          <w:bCs/>
          <w:color w:val="000000" w:themeColor="text1"/>
        </w:rPr>
        <w:t>: UOG-Related Costs</w:t>
      </w:r>
      <w:r w:rsidRPr="00997F1C" w:rsidR="003E5AEF">
        <w:rPr>
          <w:b/>
          <w:bCs/>
          <w:color w:val="000000" w:themeColor="text1"/>
          <w:vertAlign w:val="superscript"/>
        </w:rPr>
        <w:footnoteReference w:id="46"/>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4A0" w:firstRow="1" w:lastRow="0" w:firstColumn="1" w:lastColumn="0" w:noHBand="0" w:noVBand="1"/>
      </w:tblPr>
      <w:tblGrid>
        <w:gridCol w:w="5125"/>
        <w:gridCol w:w="2430"/>
        <w:gridCol w:w="1980"/>
      </w:tblGrid>
      <w:tr w:rsidRPr="00997F1C" w:rsidR="00997F1C" w14:paraId="3A44B09B" w14:textId="77777777">
        <w:trPr>
          <w:trHeight w:val="1044"/>
          <w:tblHeader/>
        </w:trPr>
        <w:tc>
          <w:tcPr>
            <w:tcW w:w="5125" w:type="dxa"/>
            <w:noWrap/>
            <w:vAlign w:val="bottom"/>
            <w:hideMark/>
          </w:tcPr>
          <w:p w:rsidRPr="00997F1C" w:rsidR="003E5AEF" w:rsidP="003E5AEF" w:rsidRDefault="003E5AEF" w14:paraId="6E226395" w14:textId="77777777">
            <w:pPr>
              <w:keepNext/>
              <w:spacing w:line="240" w:lineRule="auto"/>
              <w:ind w:firstLine="0"/>
              <w:jc w:val="center"/>
              <w:rPr>
                <w:rFonts w:ascii="Times New Roman" w:hAnsi="Times New Roman" w:eastAsia="Times New Roman" w:cs="Times New Roman"/>
                <w:color w:val="000000" w:themeColor="text1"/>
                <w:sz w:val="20"/>
                <w:szCs w:val="24"/>
              </w:rPr>
            </w:pPr>
          </w:p>
        </w:tc>
        <w:tc>
          <w:tcPr>
            <w:tcW w:w="2430" w:type="dxa"/>
            <w:noWrap/>
            <w:vAlign w:val="bottom"/>
            <w:hideMark/>
          </w:tcPr>
          <w:p w:rsidRPr="00997F1C" w:rsidR="003E5AEF" w:rsidP="003E5AEF" w:rsidRDefault="003E5AEF" w14:paraId="38534257" w14:textId="77777777">
            <w:pPr>
              <w:keepNext/>
              <w:spacing w:line="240" w:lineRule="auto"/>
              <w:ind w:firstLine="0"/>
              <w:jc w:val="center"/>
              <w:rPr>
                <w:rFonts w:eastAsia="Times New Roman" w:cs="Calibri"/>
                <w:b/>
                <w:bCs/>
                <w:color w:val="000000" w:themeColor="text1"/>
                <w:szCs w:val="26"/>
              </w:rPr>
            </w:pPr>
            <w:r w:rsidRPr="00997F1C">
              <w:rPr>
                <w:rFonts w:eastAsia="Times New Roman" w:cs="Calibri"/>
                <w:b/>
                <w:bCs/>
                <w:color w:val="000000" w:themeColor="text1"/>
                <w:szCs w:val="26"/>
              </w:rPr>
              <w:t>Authorization</w:t>
            </w:r>
          </w:p>
        </w:tc>
        <w:tc>
          <w:tcPr>
            <w:tcW w:w="1980" w:type="dxa"/>
            <w:vAlign w:val="bottom"/>
            <w:hideMark/>
          </w:tcPr>
          <w:p w:rsidRPr="00997F1C" w:rsidR="003E5AEF" w:rsidP="003E5AEF" w:rsidRDefault="003E5AEF" w14:paraId="6D24DD24" w14:textId="77777777">
            <w:pPr>
              <w:keepNext/>
              <w:spacing w:line="240" w:lineRule="auto"/>
              <w:ind w:firstLine="0"/>
              <w:jc w:val="center"/>
              <w:rPr>
                <w:rFonts w:eastAsia="Times New Roman" w:cs="Calibri"/>
                <w:b/>
                <w:bCs/>
                <w:color w:val="000000" w:themeColor="text1"/>
                <w:szCs w:val="26"/>
              </w:rPr>
            </w:pPr>
            <w:r w:rsidRPr="00997F1C">
              <w:rPr>
                <w:rFonts w:eastAsia="Times New Roman" w:cs="Calibri"/>
                <w:b/>
                <w:bCs/>
                <w:color w:val="000000" w:themeColor="text1"/>
                <w:szCs w:val="26"/>
              </w:rPr>
              <w:t>Revenue Requirement (Thousands)</w:t>
            </w:r>
          </w:p>
        </w:tc>
      </w:tr>
      <w:tr w:rsidRPr="00997F1C" w:rsidR="00997F1C" w14:paraId="559E0410" w14:textId="77777777">
        <w:trPr>
          <w:trHeight w:val="348"/>
        </w:trPr>
        <w:tc>
          <w:tcPr>
            <w:tcW w:w="5125" w:type="dxa"/>
            <w:noWrap/>
            <w:vAlign w:val="bottom"/>
          </w:tcPr>
          <w:p w:rsidRPr="00997F1C" w:rsidR="003E5AEF" w:rsidP="003E5AEF" w:rsidRDefault="003E5AEF" w14:paraId="7837EDF7" w14:textId="77777777">
            <w:pPr>
              <w:spacing w:line="240" w:lineRule="auto"/>
              <w:ind w:firstLine="0"/>
              <w:rPr>
                <w:rFonts w:eastAsia="Times New Roman" w:cs="Calibri"/>
                <w:color w:val="000000" w:themeColor="text1"/>
                <w:szCs w:val="26"/>
              </w:rPr>
            </w:pPr>
            <w:r w:rsidRPr="00997F1C">
              <w:rPr>
                <w:rFonts w:eastAsia="Times New Roman" w:cs="Calibri"/>
                <w:b/>
                <w:bCs/>
                <w:color w:val="000000" w:themeColor="text1"/>
                <w:szCs w:val="26"/>
                <w:u w:val="single"/>
              </w:rPr>
              <w:t>Authorized UOG-Related Costs</w:t>
            </w:r>
          </w:p>
        </w:tc>
        <w:tc>
          <w:tcPr>
            <w:tcW w:w="2430" w:type="dxa"/>
            <w:noWrap/>
            <w:vAlign w:val="bottom"/>
          </w:tcPr>
          <w:p w:rsidRPr="00997F1C" w:rsidR="003E5AEF" w:rsidP="003E5AEF" w:rsidRDefault="003E5AEF" w14:paraId="14B11DC3" w14:textId="77777777">
            <w:pPr>
              <w:keepNext/>
              <w:spacing w:line="240" w:lineRule="auto"/>
              <w:ind w:firstLine="0"/>
              <w:jc w:val="center"/>
              <w:rPr>
                <w:rFonts w:eastAsia="Times New Roman" w:cs="Calibri"/>
                <w:color w:val="000000" w:themeColor="text1"/>
                <w:szCs w:val="26"/>
              </w:rPr>
            </w:pPr>
          </w:p>
        </w:tc>
        <w:tc>
          <w:tcPr>
            <w:tcW w:w="1980" w:type="dxa"/>
            <w:vAlign w:val="center"/>
          </w:tcPr>
          <w:p w:rsidRPr="00997F1C" w:rsidR="003E5AEF" w:rsidP="003E5AEF" w:rsidRDefault="003E5AEF" w14:paraId="69CF6D39" w14:textId="77777777">
            <w:pPr>
              <w:keepNext/>
              <w:spacing w:line="240" w:lineRule="auto"/>
              <w:ind w:firstLine="0"/>
              <w:jc w:val="right"/>
              <w:rPr>
                <w:rFonts w:eastAsia="Times New Roman" w:cs="Calibri"/>
                <w:color w:val="000000" w:themeColor="text1"/>
                <w:szCs w:val="26"/>
              </w:rPr>
            </w:pPr>
          </w:p>
        </w:tc>
      </w:tr>
      <w:tr w:rsidRPr="00997F1C" w:rsidR="00997F1C" w14:paraId="6F7CD318" w14:textId="77777777">
        <w:trPr>
          <w:trHeight w:val="348"/>
        </w:trPr>
        <w:tc>
          <w:tcPr>
            <w:tcW w:w="5125" w:type="dxa"/>
            <w:noWrap/>
            <w:vAlign w:val="center"/>
            <w:hideMark/>
          </w:tcPr>
          <w:p w:rsidRPr="00997F1C" w:rsidR="003E5AEF" w:rsidP="003E5AEF" w:rsidRDefault="003E5AEF" w14:paraId="2A0ECA48"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2023 GRC + 2024 to 2026 Attrition</w:t>
            </w:r>
          </w:p>
        </w:tc>
        <w:tc>
          <w:tcPr>
            <w:tcW w:w="2430" w:type="dxa"/>
            <w:noWrap/>
            <w:vAlign w:val="bottom"/>
            <w:hideMark/>
          </w:tcPr>
          <w:p w:rsidRPr="00997F1C" w:rsidR="003E5AEF" w:rsidP="003E5AEF" w:rsidRDefault="003E5AEF" w14:paraId="1472F849" w14:textId="77777777">
            <w:pPr>
              <w:keepNext/>
              <w:spacing w:line="240" w:lineRule="auto"/>
              <w:ind w:firstLine="0"/>
              <w:jc w:val="center"/>
              <w:rPr>
                <w:rFonts w:eastAsia="Times New Roman" w:cs="Calibri"/>
                <w:color w:val="000000" w:themeColor="text1"/>
                <w:szCs w:val="26"/>
              </w:rPr>
            </w:pPr>
            <w:r w:rsidRPr="00997F1C">
              <w:rPr>
                <w:rFonts w:eastAsia="Times New Roman" w:cs="Calibri"/>
                <w:color w:val="000000" w:themeColor="text1"/>
                <w:szCs w:val="26"/>
              </w:rPr>
              <w:t>D.23-11-069</w:t>
            </w:r>
          </w:p>
        </w:tc>
        <w:tc>
          <w:tcPr>
            <w:tcW w:w="1980" w:type="dxa"/>
            <w:vAlign w:val="center"/>
            <w:hideMark/>
          </w:tcPr>
          <w:p w:rsidRPr="00997F1C" w:rsidR="003E5AEF" w:rsidP="003E5AEF" w:rsidRDefault="003E5AEF" w14:paraId="19ABD0FA" w14:textId="77777777">
            <w:pPr>
              <w:keepNext/>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 xml:space="preserve">$1,205,338 </w:t>
            </w:r>
          </w:p>
        </w:tc>
      </w:tr>
      <w:tr w:rsidRPr="00997F1C" w:rsidR="00997F1C" w14:paraId="63D9DBC5" w14:textId="77777777">
        <w:trPr>
          <w:trHeight w:val="360"/>
        </w:trPr>
        <w:tc>
          <w:tcPr>
            <w:tcW w:w="5125" w:type="dxa"/>
            <w:noWrap/>
            <w:vAlign w:val="center"/>
            <w:hideMark/>
          </w:tcPr>
          <w:p w:rsidRPr="00997F1C" w:rsidR="003E5AEF" w:rsidP="003E5AEF" w:rsidRDefault="003E5AEF" w14:paraId="22BB3C7A"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Cost of Capital and Debt Adjustment</w:t>
            </w:r>
          </w:p>
        </w:tc>
        <w:tc>
          <w:tcPr>
            <w:tcW w:w="2430" w:type="dxa"/>
            <w:noWrap/>
            <w:vAlign w:val="bottom"/>
            <w:hideMark/>
          </w:tcPr>
          <w:p w:rsidRPr="00997F1C" w:rsidR="003E5AEF" w:rsidP="003E5AEF" w:rsidRDefault="005E1E46" w14:paraId="040BD86F" w14:textId="77B4C5D6">
            <w:pPr>
              <w:spacing w:line="240" w:lineRule="auto"/>
              <w:ind w:firstLine="0"/>
              <w:jc w:val="center"/>
              <w:rPr>
                <w:rFonts w:eastAsia="Times New Roman" w:cs="Calibri"/>
                <w:color w:val="000000" w:themeColor="text1"/>
                <w:szCs w:val="26"/>
                <w:lang w:val="it-IT"/>
              </w:rPr>
            </w:pPr>
            <w:r w:rsidRPr="00997F1C">
              <w:rPr>
                <w:rFonts w:eastAsia="Times New Roman" w:cs="Calibri"/>
                <w:color w:val="000000" w:themeColor="text1"/>
                <w:szCs w:val="26"/>
                <w:lang w:val="it-IT"/>
              </w:rPr>
              <w:t>Advice Letter (</w:t>
            </w:r>
            <w:r w:rsidRPr="00997F1C" w:rsidR="003E5AEF">
              <w:rPr>
                <w:rFonts w:eastAsia="Times New Roman" w:cs="Calibri"/>
                <w:color w:val="000000" w:themeColor="text1"/>
                <w:szCs w:val="26"/>
                <w:lang w:val="it-IT"/>
              </w:rPr>
              <w:t>AL</w:t>
            </w:r>
            <w:r w:rsidRPr="00997F1C">
              <w:rPr>
                <w:rFonts w:eastAsia="Times New Roman" w:cs="Calibri"/>
                <w:color w:val="000000" w:themeColor="text1"/>
                <w:szCs w:val="26"/>
                <w:lang w:val="it-IT"/>
              </w:rPr>
              <w:t>)</w:t>
            </w:r>
            <w:r w:rsidRPr="00997F1C" w:rsidR="003E5AEF">
              <w:rPr>
                <w:rFonts w:eastAsia="Times New Roman" w:cs="Calibri"/>
                <w:color w:val="000000" w:themeColor="text1"/>
                <w:szCs w:val="26"/>
                <w:lang w:val="it-IT"/>
              </w:rPr>
              <w:t xml:space="preserve"> 5042-G/7535-E</w:t>
            </w:r>
          </w:p>
        </w:tc>
        <w:tc>
          <w:tcPr>
            <w:tcW w:w="1980" w:type="dxa"/>
            <w:vAlign w:val="center"/>
            <w:hideMark/>
          </w:tcPr>
          <w:p w:rsidRPr="00997F1C" w:rsidR="003E5AEF" w:rsidP="003E5AEF" w:rsidRDefault="003E5AEF" w14:paraId="557AD212" w14:textId="77777777">
            <w:pPr>
              <w:spacing w:line="240" w:lineRule="auto"/>
              <w:ind w:firstLine="0"/>
              <w:jc w:val="right"/>
              <w:rPr>
                <w:rFonts w:eastAsia="Times New Roman" w:cs="Calibri"/>
                <w:color w:val="000000" w:themeColor="text1"/>
                <w:szCs w:val="26"/>
              </w:rPr>
            </w:pPr>
            <w:r w:rsidRPr="00997F1C">
              <w:rPr>
                <w:color w:val="000000" w:themeColor="text1"/>
              </w:rPr>
              <w:t xml:space="preserve">$19,893 </w:t>
            </w:r>
          </w:p>
        </w:tc>
      </w:tr>
      <w:tr w:rsidRPr="00997F1C" w:rsidR="00997F1C" w14:paraId="3C49ED75" w14:textId="77777777">
        <w:trPr>
          <w:trHeight w:val="348"/>
        </w:trPr>
        <w:tc>
          <w:tcPr>
            <w:tcW w:w="5125" w:type="dxa"/>
            <w:noWrap/>
            <w:vAlign w:val="center"/>
            <w:hideMark/>
          </w:tcPr>
          <w:p w:rsidRPr="00997F1C" w:rsidR="003E5AEF" w:rsidP="003E5AEF" w:rsidRDefault="003E5AEF" w14:paraId="37D10F99"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Hydro Sales</w:t>
            </w:r>
          </w:p>
        </w:tc>
        <w:tc>
          <w:tcPr>
            <w:tcW w:w="2430" w:type="dxa"/>
            <w:noWrap/>
            <w:vAlign w:val="bottom"/>
            <w:hideMark/>
          </w:tcPr>
          <w:p w:rsidRPr="00997F1C" w:rsidR="003E5AEF" w:rsidP="003E5AEF" w:rsidRDefault="003E5AEF" w14:paraId="6A504429" w14:textId="77777777">
            <w:pPr>
              <w:spacing w:line="240" w:lineRule="auto"/>
              <w:ind w:firstLine="0"/>
              <w:jc w:val="center"/>
              <w:rPr>
                <w:rFonts w:eastAsia="Times New Roman" w:cs="Calibri"/>
                <w:color w:val="000000" w:themeColor="text1"/>
                <w:szCs w:val="26"/>
              </w:rPr>
            </w:pPr>
            <w:r w:rsidRPr="00997F1C">
              <w:rPr>
                <w:rFonts w:eastAsia="Times New Roman" w:cs="Calibri"/>
                <w:color w:val="000000" w:themeColor="text1"/>
                <w:szCs w:val="26"/>
              </w:rPr>
              <w:t>AL 5042-G/7535-E</w:t>
            </w:r>
          </w:p>
        </w:tc>
        <w:tc>
          <w:tcPr>
            <w:tcW w:w="1980" w:type="dxa"/>
            <w:vAlign w:val="center"/>
            <w:hideMark/>
          </w:tcPr>
          <w:p w:rsidRPr="00997F1C" w:rsidR="003E5AEF" w:rsidP="003E5AEF" w:rsidRDefault="003E5AEF" w14:paraId="2453C219" w14:textId="77777777">
            <w:pPr>
              <w:spacing w:line="240" w:lineRule="auto"/>
              <w:ind w:firstLine="0"/>
              <w:jc w:val="right"/>
              <w:rPr>
                <w:rFonts w:eastAsia="Times New Roman" w:cs="Calibri"/>
                <w:color w:val="000000" w:themeColor="text1"/>
                <w:szCs w:val="26"/>
              </w:rPr>
            </w:pPr>
            <w:r w:rsidRPr="00997F1C">
              <w:rPr>
                <w:color w:val="000000" w:themeColor="text1"/>
              </w:rPr>
              <w:t xml:space="preserve"> $(8,866)</w:t>
            </w:r>
          </w:p>
        </w:tc>
      </w:tr>
      <w:tr w:rsidRPr="00997F1C" w:rsidR="00997F1C" w14:paraId="27C8F0BF" w14:textId="77777777">
        <w:trPr>
          <w:trHeight w:val="348"/>
        </w:trPr>
        <w:tc>
          <w:tcPr>
            <w:tcW w:w="5125" w:type="dxa"/>
            <w:noWrap/>
            <w:vAlign w:val="center"/>
            <w:hideMark/>
          </w:tcPr>
          <w:p w:rsidRPr="00997F1C" w:rsidR="003E5AEF" w:rsidP="003E5AEF" w:rsidRDefault="003E5AEF" w14:paraId="7B277A11"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Pension</w:t>
            </w:r>
          </w:p>
        </w:tc>
        <w:tc>
          <w:tcPr>
            <w:tcW w:w="2430" w:type="dxa"/>
            <w:noWrap/>
            <w:vAlign w:val="bottom"/>
            <w:hideMark/>
          </w:tcPr>
          <w:p w:rsidRPr="00997F1C" w:rsidR="003E5AEF" w:rsidP="003E5AEF" w:rsidRDefault="003E5AEF" w14:paraId="3482D2D7" w14:textId="77777777">
            <w:pPr>
              <w:spacing w:line="240" w:lineRule="auto"/>
              <w:ind w:firstLine="0"/>
              <w:jc w:val="center"/>
              <w:rPr>
                <w:rFonts w:eastAsia="Times New Roman" w:cs="Calibri"/>
                <w:color w:val="000000" w:themeColor="text1"/>
                <w:szCs w:val="26"/>
              </w:rPr>
            </w:pPr>
            <w:r w:rsidRPr="00997F1C">
              <w:rPr>
                <w:rFonts w:eastAsia="Times New Roman" w:cs="Calibri"/>
                <w:color w:val="000000" w:themeColor="text1"/>
                <w:szCs w:val="26"/>
              </w:rPr>
              <w:t>AL 5042-G/7535-E</w:t>
            </w:r>
          </w:p>
        </w:tc>
        <w:tc>
          <w:tcPr>
            <w:tcW w:w="1980" w:type="dxa"/>
            <w:vAlign w:val="center"/>
            <w:hideMark/>
          </w:tcPr>
          <w:p w:rsidRPr="00997F1C" w:rsidR="003E5AEF" w:rsidP="003E5AEF" w:rsidRDefault="003E5AEF" w14:paraId="19DF54E7" w14:textId="77777777">
            <w:pPr>
              <w:spacing w:line="240" w:lineRule="auto"/>
              <w:ind w:firstLine="0"/>
              <w:jc w:val="right"/>
              <w:rPr>
                <w:rFonts w:eastAsia="Times New Roman" w:cs="Calibri"/>
                <w:color w:val="000000" w:themeColor="text1"/>
                <w:szCs w:val="26"/>
              </w:rPr>
            </w:pPr>
            <w:r w:rsidRPr="00997F1C">
              <w:rPr>
                <w:color w:val="000000" w:themeColor="text1"/>
              </w:rPr>
              <w:t xml:space="preserve"> $30,252 </w:t>
            </w:r>
          </w:p>
        </w:tc>
      </w:tr>
      <w:tr w:rsidRPr="00997F1C" w:rsidR="00997F1C" w14:paraId="33993AD7" w14:textId="77777777">
        <w:trPr>
          <w:trHeight w:val="348"/>
        </w:trPr>
        <w:tc>
          <w:tcPr>
            <w:tcW w:w="5125" w:type="dxa"/>
            <w:noWrap/>
            <w:vAlign w:val="center"/>
            <w:hideMark/>
          </w:tcPr>
          <w:p w:rsidRPr="00997F1C" w:rsidR="003E5AEF" w:rsidP="003E5AEF" w:rsidRDefault="003E5AEF" w14:paraId="62C88628"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Gain on Sale of San Francisco General Office</w:t>
            </w:r>
          </w:p>
        </w:tc>
        <w:tc>
          <w:tcPr>
            <w:tcW w:w="2430" w:type="dxa"/>
            <w:noWrap/>
            <w:vAlign w:val="center"/>
            <w:hideMark/>
          </w:tcPr>
          <w:p w:rsidRPr="00997F1C" w:rsidR="003E5AEF" w:rsidP="003E5AEF" w:rsidRDefault="003E5AEF" w14:paraId="41CFA444" w14:textId="77777777">
            <w:pPr>
              <w:spacing w:line="240" w:lineRule="auto"/>
              <w:ind w:firstLine="0"/>
              <w:jc w:val="center"/>
              <w:rPr>
                <w:rFonts w:eastAsia="Times New Roman" w:cs="Calibri"/>
                <w:color w:val="000000" w:themeColor="text1"/>
                <w:szCs w:val="26"/>
              </w:rPr>
            </w:pPr>
            <w:r w:rsidRPr="00997F1C">
              <w:rPr>
                <w:color w:val="000000" w:themeColor="text1"/>
              </w:rPr>
              <w:t>D.21</w:t>
            </w:r>
            <w:r w:rsidRPr="00997F1C">
              <w:rPr>
                <w:rFonts w:ascii="Cambria Math" w:hAnsi="Cambria Math" w:cs="Cambria Math"/>
                <w:color w:val="000000" w:themeColor="text1"/>
              </w:rPr>
              <w:t>‑</w:t>
            </w:r>
            <w:r w:rsidRPr="00997F1C">
              <w:rPr>
                <w:color w:val="000000" w:themeColor="text1"/>
              </w:rPr>
              <w:t>08</w:t>
            </w:r>
            <w:r w:rsidRPr="00997F1C">
              <w:rPr>
                <w:rFonts w:ascii="Cambria Math" w:hAnsi="Cambria Math" w:cs="Cambria Math"/>
                <w:color w:val="000000" w:themeColor="text1"/>
              </w:rPr>
              <w:t>‑</w:t>
            </w:r>
            <w:r w:rsidRPr="00997F1C">
              <w:rPr>
                <w:color w:val="000000" w:themeColor="text1"/>
              </w:rPr>
              <w:t>027</w:t>
            </w:r>
          </w:p>
        </w:tc>
        <w:tc>
          <w:tcPr>
            <w:tcW w:w="1980" w:type="dxa"/>
            <w:vAlign w:val="center"/>
            <w:hideMark/>
          </w:tcPr>
          <w:p w:rsidRPr="00997F1C" w:rsidR="003E5AEF" w:rsidP="003E5AEF" w:rsidRDefault="003E5AEF" w14:paraId="55DDA895" w14:textId="77777777">
            <w:pPr>
              <w:spacing w:line="240" w:lineRule="auto"/>
              <w:ind w:firstLine="0"/>
              <w:jc w:val="right"/>
              <w:rPr>
                <w:rFonts w:eastAsia="Times New Roman" w:cs="Calibri"/>
                <w:color w:val="000000" w:themeColor="text1"/>
                <w:szCs w:val="26"/>
              </w:rPr>
            </w:pPr>
            <w:r w:rsidRPr="00997F1C">
              <w:rPr>
                <w:color w:val="000000" w:themeColor="text1"/>
              </w:rPr>
              <w:t xml:space="preserve"> $(21,028)</w:t>
            </w:r>
          </w:p>
        </w:tc>
      </w:tr>
      <w:tr w:rsidRPr="00997F1C" w:rsidR="00997F1C" w14:paraId="0EF6D528" w14:textId="77777777">
        <w:trPr>
          <w:trHeight w:val="348"/>
        </w:trPr>
        <w:tc>
          <w:tcPr>
            <w:tcW w:w="5125" w:type="dxa"/>
            <w:noWrap/>
            <w:vAlign w:val="center"/>
            <w:hideMark/>
          </w:tcPr>
          <w:p w:rsidRPr="00997F1C" w:rsidR="003E5AEF" w:rsidP="003E5AEF" w:rsidRDefault="003E5AEF" w14:paraId="1873145D"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Purchase of Oakland General Office</w:t>
            </w:r>
          </w:p>
        </w:tc>
        <w:tc>
          <w:tcPr>
            <w:tcW w:w="2430" w:type="dxa"/>
            <w:noWrap/>
            <w:vAlign w:val="center"/>
            <w:hideMark/>
          </w:tcPr>
          <w:p w:rsidRPr="00997F1C" w:rsidR="003E5AEF" w:rsidP="003E5AEF" w:rsidRDefault="003E5AEF" w14:paraId="11E0E77D" w14:textId="77777777">
            <w:pPr>
              <w:spacing w:line="240" w:lineRule="auto"/>
              <w:ind w:firstLine="0"/>
              <w:jc w:val="center"/>
              <w:rPr>
                <w:rFonts w:eastAsia="Times New Roman" w:cs="Calibri"/>
                <w:color w:val="000000" w:themeColor="text1"/>
                <w:szCs w:val="26"/>
              </w:rPr>
            </w:pPr>
            <w:r w:rsidRPr="00997F1C">
              <w:rPr>
                <w:color w:val="000000" w:themeColor="text1"/>
              </w:rPr>
              <w:t>D.24-08-009</w:t>
            </w:r>
          </w:p>
        </w:tc>
        <w:tc>
          <w:tcPr>
            <w:tcW w:w="1980" w:type="dxa"/>
            <w:vAlign w:val="center"/>
            <w:hideMark/>
          </w:tcPr>
          <w:p w:rsidRPr="00997F1C" w:rsidR="003E5AEF" w:rsidP="003E5AEF" w:rsidRDefault="003E5AEF" w14:paraId="7C1D669F" w14:textId="77777777">
            <w:pPr>
              <w:spacing w:line="240" w:lineRule="auto"/>
              <w:ind w:firstLine="0"/>
              <w:jc w:val="right"/>
              <w:rPr>
                <w:rFonts w:eastAsia="Times New Roman" w:cs="Calibri"/>
                <w:color w:val="000000" w:themeColor="text1"/>
                <w:szCs w:val="26"/>
              </w:rPr>
            </w:pPr>
            <w:r w:rsidRPr="00997F1C">
              <w:rPr>
                <w:color w:val="000000" w:themeColor="text1"/>
              </w:rPr>
              <w:t xml:space="preserve"> $9,286 </w:t>
            </w:r>
          </w:p>
        </w:tc>
      </w:tr>
      <w:tr w:rsidRPr="00997F1C" w:rsidR="00997F1C" w14:paraId="21BD4E41" w14:textId="77777777">
        <w:trPr>
          <w:trHeight w:val="348"/>
        </w:trPr>
        <w:tc>
          <w:tcPr>
            <w:tcW w:w="5125" w:type="dxa"/>
            <w:noWrap/>
            <w:vAlign w:val="center"/>
            <w:hideMark/>
          </w:tcPr>
          <w:p w:rsidRPr="00997F1C" w:rsidR="003E5AEF" w:rsidP="003E5AEF" w:rsidRDefault="003E5AEF" w14:paraId="2E5C0885"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Non-Wildfire Self Insurance Adjustment</w:t>
            </w:r>
          </w:p>
        </w:tc>
        <w:tc>
          <w:tcPr>
            <w:tcW w:w="2430" w:type="dxa"/>
            <w:noWrap/>
            <w:vAlign w:val="center"/>
            <w:hideMark/>
          </w:tcPr>
          <w:p w:rsidRPr="00997F1C" w:rsidR="003E5AEF" w:rsidP="003E5AEF" w:rsidRDefault="003E5AEF" w14:paraId="1BBF9782" w14:textId="77777777">
            <w:pPr>
              <w:spacing w:line="240" w:lineRule="auto"/>
              <w:ind w:firstLine="0"/>
              <w:jc w:val="center"/>
              <w:rPr>
                <w:rFonts w:eastAsia="Times New Roman" w:cs="Calibri"/>
                <w:color w:val="000000" w:themeColor="text1"/>
                <w:szCs w:val="26"/>
              </w:rPr>
            </w:pPr>
            <w:r w:rsidRPr="00997F1C">
              <w:rPr>
                <w:color w:val="000000" w:themeColor="text1"/>
              </w:rPr>
              <w:t>D.25-03-008</w:t>
            </w:r>
          </w:p>
        </w:tc>
        <w:tc>
          <w:tcPr>
            <w:tcW w:w="1980" w:type="dxa"/>
            <w:vAlign w:val="center"/>
            <w:hideMark/>
          </w:tcPr>
          <w:p w:rsidRPr="00997F1C" w:rsidR="003E5AEF" w:rsidP="003E5AEF" w:rsidRDefault="003E5AEF" w14:paraId="20240AC1" w14:textId="77777777">
            <w:pPr>
              <w:spacing w:line="240" w:lineRule="auto"/>
              <w:ind w:firstLine="0"/>
              <w:jc w:val="right"/>
              <w:rPr>
                <w:rFonts w:eastAsia="Times New Roman" w:cs="Calibri"/>
                <w:color w:val="000000" w:themeColor="text1"/>
                <w:szCs w:val="26"/>
              </w:rPr>
            </w:pPr>
            <w:r w:rsidRPr="00997F1C">
              <w:rPr>
                <w:color w:val="000000" w:themeColor="text1"/>
              </w:rPr>
              <w:t xml:space="preserve"> $(8,350)</w:t>
            </w:r>
          </w:p>
        </w:tc>
      </w:tr>
      <w:tr w:rsidRPr="00997F1C" w:rsidR="00997F1C" w14:paraId="57CE8913" w14:textId="77777777">
        <w:trPr>
          <w:trHeight w:val="360"/>
        </w:trPr>
        <w:tc>
          <w:tcPr>
            <w:tcW w:w="5125" w:type="dxa"/>
            <w:noWrap/>
            <w:vAlign w:val="center"/>
            <w:hideMark/>
          </w:tcPr>
          <w:p w:rsidRPr="00997F1C" w:rsidR="003E5AEF" w:rsidP="003E5AEF" w:rsidRDefault="003E5AEF" w14:paraId="766FD9AB"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2022 WMCE</w:t>
            </w:r>
          </w:p>
        </w:tc>
        <w:tc>
          <w:tcPr>
            <w:tcW w:w="2430" w:type="dxa"/>
            <w:noWrap/>
            <w:vAlign w:val="center"/>
            <w:hideMark/>
          </w:tcPr>
          <w:p w:rsidRPr="00997F1C" w:rsidR="003E5AEF" w:rsidP="003E5AEF" w:rsidRDefault="003E5AEF" w14:paraId="3BFE6EF5" w14:textId="77777777">
            <w:pPr>
              <w:spacing w:line="240" w:lineRule="auto"/>
              <w:ind w:firstLine="0"/>
              <w:jc w:val="center"/>
              <w:rPr>
                <w:rFonts w:eastAsia="Times New Roman" w:cs="Calibri"/>
                <w:color w:val="000000" w:themeColor="text1"/>
                <w:szCs w:val="26"/>
              </w:rPr>
            </w:pPr>
            <w:r w:rsidRPr="00997F1C">
              <w:rPr>
                <w:color w:val="000000" w:themeColor="text1"/>
              </w:rPr>
              <w:t>D.25-09-008</w:t>
            </w:r>
          </w:p>
        </w:tc>
        <w:tc>
          <w:tcPr>
            <w:tcW w:w="1980" w:type="dxa"/>
            <w:vAlign w:val="center"/>
            <w:hideMark/>
          </w:tcPr>
          <w:p w:rsidRPr="00997F1C" w:rsidR="003E5AEF" w:rsidP="003E5AEF" w:rsidRDefault="003E5AEF" w14:paraId="2AF36DF8" w14:textId="77777777">
            <w:pPr>
              <w:spacing w:line="240" w:lineRule="auto"/>
              <w:ind w:firstLine="0"/>
              <w:jc w:val="right"/>
              <w:rPr>
                <w:rFonts w:eastAsia="Times New Roman" w:cs="Calibri"/>
                <w:color w:val="000000" w:themeColor="text1"/>
                <w:szCs w:val="26"/>
              </w:rPr>
            </w:pPr>
            <w:r w:rsidRPr="00997F1C">
              <w:rPr>
                <w:color w:val="000000" w:themeColor="text1"/>
              </w:rPr>
              <w:t xml:space="preserve"> $4,742 </w:t>
            </w:r>
          </w:p>
        </w:tc>
      </w:tr>
      <w:tr w:rsidRPr="00997F1C" w:rsidR="00997F1C" w14:paraId="1207A61D" w14:textId="77777777">
        <w:trPr>
          <w:trHeight w:val="348"/>
        </w:trPr>
        <w:tc>
          <w:tcPr>
            <w:tcW w:w="5125" w:type="dxa"/>
            <w:noWrap/>
            <w:vAlign w:val="center"/>
          </w:tcPr>
          <w:p w:rsidRPr="00997F1C" w:rsidR="003E5AEF" w:rsidP="003E5AEF" w:rsidRDefault="003E5AEF" w14:paraId="296D90C5" w14:textId="77777777">
            <w:pPr>
              <w:keepNext/>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Total</w:t>
            </w:r>
          </w:p>
        </w:tc>
        <w:tc>
          <w:tcPr>
            <w:tcW w:w="2430" w:type="dxa"/>
            <w:noWrap/>
            <w:vAlign w:val="bottom"/>
          </w:tcPr>
          <w:p w:rsidRPr="00997F1C" w:rsidR="003E5AEF" w:rsidP="003E5AEF" w:rsidRDefault="003E5AEF" w14:paraId="6B579A80" w14:textId="77777777">
            <w:pPr>
              <w:spacing w:line="240" w:lineRule="auto"/>
              <w:ind w:firstLine="0"/>
              <w:jc w:val="center"/>
              <w:rPr>
                <w:rFonts w:eastAsia="Times New Roman" w:cs="Calibri"/>
                <w:b/>
                <w:bCs/>
                <w:color w:val="000000" w:themeColor="text1"/>
                <w:szCs w:val="26"/>
              </w:rPr>
            </w:pPr>
          </w:p>
        </w:tc>
        <w:tc>
          <w:tcPr>
            <w:tcW w:w="1980" w:type="dxa"/>
            <w:vAlign w:val="center"/>
          </w:tcPr>
          <w:p w:rsidRPr="00997F1C" w:rsidR="003E5AEF" w:rsidP="003E5AEF" w:rsidRDefault="003E5AEF" w14:paraId="1ACEFE8A" w14:textId="77777777">
            <w:pPr>
              <w:spacing w:line="240" w:lineRule="auto"/>
              <w:ind w:firstLine="0"/>
              <w:jc w:val="right"/>
              <w:rPr>
                <w:rFonts w:eastAsia="Times New Roman" w:cs="Calibri"/>
                <w:b/>
                <w:bCs/>
                <w:color w:val="000000" w:themeColor="text1"/>
                <w:szCs w:val="26"/>
              </w:rPr>
            </w:pPr>
            <w:r w:rsidRPr="00997F1C">
              <w:rPr>
                <w:color w:val="000000" w:themeColor="text1"/>
              </w:rPr>
              <w:t xml:space="preserve"> </w:t>
            </w:r>
            <w:r w:rsidRPr="00997F1C">
              <w:rPr>
                <w:b/>
                <w:bCs/>
                <w:color w:val="000000" w:themeColor="text1"/>
              </w:rPr>
              <w:t xml:space="preserve">$1,231,267 </w:t>
            </w:r>
          </w:p>
        </w:tc>
      </w:tr>
      <w:tr w:rsidRPr="00997F1C" w:rsidR="00997F1C" w14:paraId="20790C8C" w14:textId="77777777">
        <w:trPr>
          <w:trHeight w:val="348"/>
        </w:trPr>
        <w:tc>
          <w:tcPr>
            <w:tcW w:w="9535" w:type="dxa"/>
            <w:gridSpan w:val="3"/>
            <w:noWrap/>
            <w:vAlign w:val="center"/>
            <w:hideMark/>
          </w:tcPr>
          <w:p w:rsidRPr="00997F1C" w:rsidR="003E5AEF" w:rsidP="003E5AEF" w:rsidRDefault="003E5AEF" w14:paraId="4A7C5FEE" w14:textId="77777777">
            <w:pPr>
              <w:spacing w:line="240" w:lineRule="auto"/>
              <w:ind w:firstLine="0"/>
              <w:rPr>
                <w:rFonts w:eastAsia="Times New Roman" w:cs="Calibri"/>
                <w:b/>
                <w:bCs/>
                <w:color w:val="000000" w:themeColor="text1"/>
                <w:szCs w:val="26"/>
                <w:u w:val="single"/>
              </w:rPr>
            </w:pPr>
            <w:r w:rsidRPr="00997F1C">
              <w:rPr>
                <w:rFonts w:eastAsia="Times New Roman" w:cs="Calibri"/>
                <w:b/>
                <w:bCs/>
                <w:color w:val="000000" w:themeColor="text1"/>
                <w:szCs w:val="26"/>
                <w:u w:val="single"/>
              </w:rPr>
              <w:t>Recovery of Authorized UOG-Related Costs</w:t>
            </w:r>
          </w:p>
        </w:tc>
      </w:tr>
      <w:tr w:rsidRPr="00997F1C" w:rsidR="00997F1C" w14:paraId="6D2E2363" w14:textId="77777777">
        <w:trPr>
          <w:trHeight w:val="348"/>
        </w:trPr>
        <w:tc>
          <w:tcPr>
            <w:tcW w:w="5125" w:type="dxa"/>
            <w:noWrap/>
            <w:vAlign w:val="center"/>
          </w:tcPr>
          <w:p w:rsidRPr="00997F1C" w:rsidR="003E5AEF" w:rsidP="003E5AEF" w:rsidRDefault="003E5AEF" w14:paraId="5EE31D97"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PCIA</w:t>
            </w:r>
          </w:p>
        </w:tc>
        <w:tc>
          <w:tcPr>
            <w:tcW w:w="2430" w:type="dxa"/>
            <w:noWrap/>
            <w:vAlign w:val="bottom"/>
          </w:tcPr>
          <w:p w:rsidRPr="00997F1C" w:rsidR="003E5AEF" w:rsidP="003E5AEF" w:rsidRDefault="003E5AEF" w14:paraId="49F315AD" w14:textId="77777777">
            <w:pPr>
              <w:spacing w:line="240" w:lineRule="auto"/>
              <w:ind w:firstLine="0"/>
              <w:jc w:val="center"/>
              <w:rPr>
                <w:rFonts w:eastAsia="Times New Roman" w:cs="Calibri"/>
                <w:color w:val="000000" w:themeColor="text1"/>
                <w:szCs w:val="26"/>
              </w:rPr>
            </w:pPr>
          </w:p>
        </w:tc>
        <w:tc>
          <w:tcPr>
            <w:tcW w:w="1980" w:type="dxa"/>
            <w:vAlign w:val="center"/>
          </w:tcPr>
          <w:p w:rsidRPr="00997F1C" w:rsidR="003E5AEF" w:rsidP="003E5AEF" w:rsidRDefault="003E5AEF" w14:paraId="0D93764D" w14:textId="77777777">
            <w:pPr>
              <w:spacing w:line="240" w:lineRule="auto"/>
              <w:ind w:firstLine="0"/>
              <w:jc w:val="right"/>
              <w:rPr>
                <w:rFonts w:eastAsia="Times New Roman" w:cs="Calibri"/>
                <w:color w:val="000000" w:themeColor="text1"/>
                <w:szCs w:val="26"/>
              </w:rPr>
            </w:pPr>
            <w:r w:rsidRPr="00997F1C">
              <w:rPr>
                <w:color w:val="000000" w:themeColor="text1"/>
              </w:rPr>
              <w:t xml:space="preserve"> $1,185,531 </w:t>
            </w:r>
          </w:p>
        </w:tc>
      </w:tr>
      <w:tr w:rsidRPr="00997F1C" w:rsidR="00997F1C" w14:paraId="7E7D29D8" w14:textId="77777777">
        <w:trPr>
          <w:trHeight w:val="348"/>
        </w:trPr>
        <w:tc>
          <w:tcPr>
            <w:tcW w:w="5125" w:type="dxa"/>
            <w:noWrap/>
            <w:vAlign w:val="center"/>
            <w:hideMark/>
          </w:tcPr>
          <w:p w:rsidRPr="00997F1C" w:rsidR="003E5AEF" w:rsidP="003E5AEF" w:rsidRDefault="003E5AEF" w14:paraId="1E108EBE"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ERRA</w:t>
            </w:r>
          </w:p>
        </w:tc>
        <w:tc>
          <w:tcPr>
            <w:tcW w:w="2430" w:type="dxa"/>
            <w:noWrap/>
            <w:vAlign w:val="bottom"/>
            <w:hideMark/>
          </w:tcPr>
          <w:p w:rsidRPr="00997F1C" w:rsidR="003E5AEF" w:rsidP="003E5AEF" w:rsidRDefault="003E5AEF" w14:paraId="7C40D993" w14:textId="77777777">
            <w:pPr>
              <w:spacing w:line="240" w:lineRule="auto"/>
              <w:ind w:firstLine="0"/>
              <w:jc w:val="center"/>
              <w:rPr>
                <w:rFonts w:eastAsia="Times New Roman" w:cs="Calibri"/>
                <w:color w:val="000000" w:themeColor="text1"/>
                <w:szCs w:val="26"/>
              </w:rPr>
            </w:pPr>
          </w:p>
        </w:tc>
        <w:tc>
          <w:tcPr>
            <w:tcW w:w="1980" w:type="dxa"/>
            <w:vAlign w:val="center"/>
            <w:hideMark/>
          </w:tcPr>
          <w:p w:rsidRPr="00997F1C" w:rsidR="003E5AEF" w:rsidP="003E5AEF" w:rsidRDefault="003E5AEF" w14:paraId="5EE7D257" w14:textId="77777777">
            <w:pPr>
              <w:spacing w:line="240" w:lineRule="auto"/>
              <w:ind w:firstLine="0"/>
              <w:jc w:val="right"/>
              <w:rPr>
                <w:rFonts w:eastAsia="Times New Roman" w:cs="Calibri"/>
                <w:color w:val="000000" w:themeColor="text1"/>
                <w:szCs w:val="26"/>
              </w:rPr>
            </w:pPr>
            <w:r w:rsidRPr="00997F1C">
              <w:rPr>
                <w:color w:val="000000" w:themeColor="text1"/>
              </w:rPr>
              <w:t xml:space="preserve"> $(737)</w:t>
            </w:r>
          </w:p>
        </w:tc>
      </w:tr>
      <w:tr w:rsidRPr="00997F1C" w:rsidR="00997F1C" w14:paraId="7773B8D6" w14:textId="77777777">
        <w:trPr>
          <w:trHeight w:val="348"/>
        </w:trPr>
        <w:tc>
          <w:tcPr>
            <w:tcW w:w="5125" w:type="dxa"/>
            <w:noWrap/>
            <w:vAlign w:val="center"/>
            <w:hideMark/>
          </w:tcPr>
          <w:p w:rsidRPr="00997F1C" w:rsidR="003E5AEF" w:rsidP="003E5AEF" w:rsidRDefault="003E5AEF" w14:paraId="22BB464C" w14:textId="77777777">
            <w:pPr>
              <w:keepNext/>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CAM</w:t>
            </w:r>
          </w:p>
        </w:tc>
        <w:tc>
          <w:tcPr>
            <w:tcW w:w="2430" w:type="dxa"/>
            <w:noWrap/>
            <w:vAlign w:val="bottom"/>
            <w:hideMark/>
          </w:tcPr>
          <w:p w:rsidRPr="00997F1C" w:rsidR="003E5AEF" w:rsidP="003E5AEF" w:rsidRDefault="003E5AEF" w14:paraId="05848AC9" w14:textId="77777777">
            <w:pPr>
              <w:spacing w:line="240" w:lineRule="auto"/>
              <w:ind w:firstLine="0"/>
              <w:jc w:val="center"/>
              <w:rPr>
                <w:rFonts w:eastAsia="Times New Roman" w:cs="Calibri"/>
                <w:color w:val="000000" w:themeColor="text1"/>
                <w:szCs w:val="26"/>
              </w:rPr>
            </w:pPr>
          </w:p>
        </w:tc>
        <w:tc>
          <w:tcPr>
            <w:tcW w:w="1980" w:type="dxa"/>
            <w:vAlign w:val="center"/>
            <w:hideMark/>
          </w:tcPr>
          <w:p w:rsidRPr="00997F1C" w:rsidR="003E5AEF" w:rsidP="003E5AEF" w:rsidRDefault="003E5AEF" w14:paraId="48CCE4D6" w14:textId="77777777">
            <w:pPr>
              <w:spacing w:line="240" w:lineRule="auto"/>
              <w:ind w:firstLine="0"/>
              <w:jc w:val="right"/>
              <w:rPr>
                <w:rFonts w:eastAsia="Times New Roman" w:cs="Calibri"/>
                <w:color w:val="000000" w:themeColor="text1"/>
                <w:szCs w:val="26"/>
              </w:rPr>
            </w:pPr>
            <w:r w:rsidRPr="00997F1C">
              <w:rPr>
                <w:color w:val="000000" w:themeColor="text1"/>
              </w:rPr>
              <w:t xml:space="preserve"> $46,474 </w:t>
            </w:r>
          </w:p>
        </w:tc>
      </w:tr>
      <w:tr w:rsidRPr="00997F1C" w:rsidR="00997F1C" w14:paraId="187CF323" w14:textId="77777777">
        <w:trPr>
          <w:trHeight w:val="348"/>
        </w:trPr>
        <w:tc>
          <w:tcPr>
            <w:tcW w:w="5125" w:type="dxa"/>
            <w:noWrap/>
            <w:vAlign w:val="center"/>
            <w:hideMark/>
          </w:tcPr>
          <w:p w:rsidRPr="00997F1C" w:rsidR="003E5AEF" w:rsidP="003E5AEF" w:rsidRDefault="003E5AEF" w14:paraId="2D86D471" w14:textId="77777777">
            <w:pPr>
              <w:keepNext/>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Total</w:t>
            </w:r>
          </w:p>
        </w:tc>
        <w:tc>
          <w:tcPr>
            <w:tcW w:w="2430" w:type="dxa"/>
            <w:noWrap/>
            <w:vAlign w:val="bottom"/>
            <w:hideMark/>
          </w:tcPr>
          <w:p w:rsidRPr="00997F1C" w:rsidR="003E5AEF" w:rsidP="003E5AEF" w:rsidRDefault="003E5AEF" w14:paraId="2890BFB4" w14:textId="77777777">
            <w:pPr>
              <w:spacing w:line="240" w:lineRule="auto"/>
              <w:ind w:firstLine="0"/>
              <w:jc w:val="center"/>
              <w:rPr>
                <w:rFonts w:eastAsia="Times New Roman" w:cs="Calibri"/>
                <w:b/>
                <w:bCs/>
                <w:color w:val="000000" w:themeColor="text1"/>
                <w:szCs w:val="26"/>
              </w:rPr>
            </w:pPr>
          </w:p>
        </w:tc>
        <w:tc>
          <w:tcPr>
            <w:tcW w:w="1980" w:type="dxa"/>
            <w:vAlign w:val="center"/>
            <w:hideMark/>
          </w:tcPr>
          <w:p w:rsidRPr="00997F1C" w:rsidR="003E5AEF" w:rsidP="003E5AEF" w:rsidRDefault="003E5AEF" w14:paraId="54172F43" w14:textId="77777777">
            <w:pPr>
              <w:spacing w:line="240" w:lineRule="auto"/>
              <w:ind w:firstLine="0"/>
              <w:jc w:val="right"/>
              <w:rPr>
                <w:rFonts w:eastAsia="Times New Roman" w:cs="Calibri"/>
                <w:b/>
                <w:bCs/>
                <w:color w:val="000000" w:themeColor="text1"/>
                <w:szCs w:val="26"/>
              </w:rPr>
            </w:pPr>
            <w:r w:rsidRPr="00997F1C">
              <w:rPr>
                <w:b/>
                <w:bCs/>
                <w:color w:val="000000" w:themeColor="text1"/>
              </w:rPr>
              <w:t xml:space="preserve"> $1,231,267 </w:t>
            </w:r>
          </w:p>
        </w:tc>
      </w:tr>
    </w:tbl>
    <w:p w:rsidRPr="00997F1C" w:rsidR="003E5AEF" w:rsidP="00D737A5" w:rsidRDefault="003E5AEF" w14:paraId="0C88385F" w14:textId="63D5657B">
      <w:pPr>
        <w:keepNext/>
        <w:keepLines/>
        <w:numPr>
          <w:ilvl w:val="1"/>
          <w:numId w:val="11"/>
        </w:numPr>
        <w:spacing w:before="120" w:after="120" w:line="240" w:lineRule="auto"/>
        <w:ind w:right="2160"/>
        <w:outlineLvl w:val="1"/>
        <w:rPr>
          <w:rFonts w:ascii="Arial" w:hAnsi="Arial" w:cs="Arial"/>
          <w:b/>
          <w:color w:val="000000" w:themeColor="text1"/>
          <w:szCs w:val="26"/>
        </w:rPr>
      </w:pPr>
      <w:bookmarkStart w:name="_Toc177628761" w:id="114"/>
      <w:bookmarkStart w:name="_Toc179212717" w:id="115"/>
      <w:bookmarkStart w:name="_Toc182306111" w:id="116"/>
      <w:bookmarkStart w:name="_Toc182841783" w:id="117"/>
      <w:bookmarkStart w:name="_Toc212561160" w:id="118"/>
      <w:bookmarkStart w:name="_Toc217384632" w:id="119"/>
      <w:r w:rsidRPr="00997F1C">
        <w:rPr>
          <w:rFonts w:ascii="Arial" w:hAnsi="Arial" w:cs="Arial"/>
          <w:b/>
          <w:color w:val="000000" w:themeColor="text1"/>
          <w:szCs w:val="26"/>
        </w:rPr>
        <w:t xml:space="preserve">Residential </w:t>
      </w:r>
      <w:proofErr w:type="spellStart"/>
      <w:r w:rsidRPr="00997F1C">
        <w:rPr>
          <w:rFonts w:ascii="Arial" w:hAnsi="Arial" w:cs="Arial"/>
          <w:b/>
          <w:color w:val="000000" w:themeColor="text1"/>
          <w:szCs w:val="26"/>
        </w:rPr>
        <w:t>Uncollectibles</w:t>
      </w:r>
      <w:proofErr w:type="spellEnd"/>
      <w:r w:rsidRPr="00997F1C">
        <w:rPr>
          <w:rFonts w:ascii="Arial" w:hAnsi="Arial" w:cs="Arial"/>
          <w:b/>
          <w:color w:val="000000" w:themeColor="text1"/>
          <w:szCs w:val="26"/>
        </w:rPr>
        <w:t xml:space="preserve"> </w:t>
      </w:r>
      <w:r w:rsidRPr="00997F1C" w:rsidR="0012268E">
        <w:rPr>
          <w:rFonts w:ascii="Arial" w:hAnsi="Arial" w:cs="Arial"/>
          <w:b/>
          <w:color w:val="000000" w:themeColor="text1"/>
          <w:szCs w:val="26"/>
        </w:rPr>
        <w:br/>
      </w:r>
      <w:r w:rsidRPr="00997F1C">
        <w:rPr>
          <w:rFonts w:ascii="Arial" w:hAnsi="Arial" w:cs="Arial"/>
          <w:b/>
          <w:color w:val="000000" w:themeColor="text1"/>
          <w:szCs w:val="26"/>
        </w:rPr>
        <w:t>Balancing Account (RUBA-E)</w:t>
      </w:r>
      <w:bookmarkEnd w:id="114"/>
      <w:bookmarkEnd w:id="115"/>
      <w:bookmarkEnd w:id="116"/>
      <w:bookmarkEnd w:id="117"/>
      <w:bookmarkEnd w:id="118"/>
      <w:bookmarkEnd w:id="119"/>
    </w:p>
    <w:p w:rsidRPr="00997F1C" w:rsidR="003E5AEF" w:rsidP="003E5AEF" w:rsidRDefault="53E8B74B" w14:paraId="60E73FE5" w14:textId="77777777">
      <w:pPr>
        <w:rPr>
          <w:color w:val="000000" w:themeColor="text1"/>
        </w:rPr>
      </w:pPr>
      <w:r w:rsidRPr="00997F1C">
        <w:rPr>
          <w:color w:val="000000" w:themeColor="text1"/>
        </w:rPr>
        <w:t xml:space="preserve">In 2020, the Commission authorized the creation of the RUBA-E to compare </w:t>
      </w:r>
      <w:proofErr w:type="spellStart"/>
      <w:r w:rsidRPr="00997F1C">
        <w:rPr>
          <w:color w:val="000000" w:themeColor="text1"/>
        </w:rPr>
        <w:t>uncollectibles</w:t>
      </w:r>
      <w:proofErr w:type="spellEnd"/>
      <w:r w:rsidRPr="00997F1C">
        <w:rPr>
          <w:color w:val="000000" w:themeColor="text1"/>
        </w:rPr>
        <w:t xml:space="preserve"> recovered from residential electric customers to actual </w:t>
      </w:r>
      <w:proofErr w:type="spellStart"/>
      <w:r w:rsidRPr="00997F1C">
        <w:rPr>
          <w:color w:val="000000" w:themeColor="text1"/>
        </w:rPr>
        <w:lastRenderedPageBreak/>
        <w:t>uncollectibles</w:t>
      </w:r>
      <w:proofErr w:type="spellEnd"/>
      <w:r w:rsidRPr="00997F1C">
        <w:rPr>
          <w:color w:val="000000" w:themeColor="text1"/>
        </w:rPr>
        <w:t>.</w:t>
      </w:r>
      <w:r w:rsidRPr="00997F1C" w:rsidR="003E5AEF">
        <w:rPr>
          <w:color w:val="000000" w:themeColor="text1"/>
          <w:vertAlign w:val="superscript"/>
        </w:rPr>
        <w:footnoteReference w:id="47"/>
      </w:r>
      <w:r w:rsidRPr="00997F1C">
        <w:rPr>
          <w:color w:val="000000" w:themeColor="text1"/>
        </w:rPr>
        <w:t xml:space="preserve">  The Commission also authorized PG&amp;E to record the Arrearage Management Program (AMP) debt forgiveness of charges for services provided by PG&amp;E, services provided by eligible third-party service providers participating in AMP, and third-party taxes, charges, and fees.  The Generation Subaccount records </w:t>
      </w:r>
      <w:proofErr w:type="spellStart"/>
      <w:r w:rsidRPr="00997F1C">
        <w:rPr>
          <w:color w:val="000000" w:themeColor="text1"/>
        </w:rPr>
        <w:t>uncollectibles</w:t>
      </w:r>
      <w:proofErr w:type="spellEnd"/>
      <w:r w:rsidRPr="00997F1C">
        <w:rPr>
          <w:color w:val="000000" w:themeColor="text1"/>
        </w:rPr>
        <w:t xml:space="preserve"> associated with generation charges recovered from bundled residential customers compared to actual generation </w:t>
      </w:r>
      <w:proofErr w:type="spellStart"/>
      <w:r w:rsidRPr="00997F1C">
        <w:rPr>
          <w:color w:val="000000" w:themeColor="text1"/>
        </w:rPr>
        <w:t>uncollectibles</w:t>
      </w:r>
      <w:proofErr w:type="spellEnd"/>
      <w:r w:rsidRPr="00997F1C">
        <w:rPr>
          <w:color w:val="000000" w:themeColor="text1"/>
        </w:rPr>
        <w:t>.</w:t>
      </w:r>
    </w:p>
    <w:p w:rsidRPr="00997F1C" w:rsidR="003E5AEF" w:rsidP="003E5AEF" w:rsidRDefault="003E5AEF" w14:paraId="228B148D" w14:textId="77777777">
      <w:pPr>
        <w:rPr>
          <w:color w:val="000000" w:themeColor="text1"/>
        </w:rPr>
      </w:pPr>
      <w:r w:rsidRPr="00997F1C">
        <w:rPr>
          <w:color w:val="000000" w:themeColor="text1"/>
        </w:rPr>
        <w:t xml:space="preserve">In its Fall Update, PG&amp;E recorded -$19.119 million in its RUBA-E generation subaccount.   </w:t>
      </w:r>
    </w:p>
    <w:p w:rsidRPr="00997F1C" w:rsidR="003E5AEF" w:rsidP="00D737A5" w:rsidRDefault="003E5AEF" w14:paraId="4CA02F54" w14:textId="7E18A520">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212561161" w:id="120"/>
      <w:bookmarkStart w:name="_Toc179212725" w:id="121"/>
      <w:bookmarkStart w:name="_Toc182306120" w:id="122"/>
      <w:bookmarkStart w:name="_Toc182841792" w:id="123"/>
      <w:bookmarkStart w:name="_Toc177628767" w:id="124"/>
      <w:bookmarkStart w:name="_Hlk180140069" w:id="125"/>
      <w:bookmarkStart w:name="_Toc217384633" w:id="126"/>
      <w:r w:rsidRPr="00997F1C">
        <w:rPr>
          <w:rFonts w:ascii="Arial" w:hAnsi="Arial" w:eastAsiaTheme="majorEastAsia" w:cstheme="majorBidi"/>
          <w:b/>
          <w:color w:val="000000" w:themeColor="text1"/>
          <w:szCs w:val="32"/>
        </w:rPr>
        <w:t xml:space="preserve">Pre-2019 Banked </w:t>
      </w:r>
      <w:bookmarkEnd w:id="120"/>
      <w:r w:rsidRPr="00997F1C" w:rsidR="008401DA">
        <w:rPr>
          <w:rFonts w:ascii="Arial" w:hAnsi="Arial" w:eastAsiaTheme="majorEastAsia" w:cstheme="majorBidi"/>
          <w:b/>
          <w:color w:val="000000" w:themeColor="text1"/>
          <w:szCs w:val="32"/>
        </w:rPr>
        <w:t xml:space="preserve">Renewable </w:t>
      </w:r>
      <w:r w:rsidR="00A93519">
        <w:rPr>
          <w:rFonts w:ascii="Arial" w:hAnsi="Arial" w:eastAsiaTheme="majorEastAsia" w:cstheme="majorBidi"/>
          <w:b/>
          <w:color w:val="000000" w:themeColor="text1"/>
          <w:szCs w:val="32"/>
        </w:rPr>
        <w:br/>
      </w:r>
      <w:r w:rsidRPr="00997F1C" w:rsidR="008401DA">
        <w:rPr>
          <w:rFonts w:ascii="Arial" w:hAnsi="Arial" w:eastAsiaTheme="majorEastAsia" w:cstheme="majorBidi"/>
          <w:b/>
          <w:color w:val="000000" w:themeColor="text1"/>
          <w:szCs w:val="32"/>
        </w:rPr>
        <w:t>Energy Credits</w:t>
      </w:r>
      <w:bookmarkEnd w:id="126"/>
    </w:p>
    <w:p w:rsidRPr="00997F1C" w:rsidR="003B1E27" w:rsidP="00A52D94" w:rsidRDefault="6990976A" w14:paraId="023F6F42" w14:textId="2332F657">
      <w:pPr>
        <w:pStyle w:val="Standard"/>
        <w:rPr>
          <w:color w:val="000000" w:themeColor="text1"/>
        </w:rPr>
      </w:pPr>
      <w:r w:rsidRPr="00997F1C">
        <w:rPr>
          <w:color w:val="000000" w:themeColor="text1"/>
        </w:rPr>
        <w:t xml:space="preserve">PG&amp;E proposed to use certain banked </w:t>
      </w:r>
      <w:r w:rsidRPr="00997F1C" w:rsidR="008401DA">
        <w:rPr>
          <w:color w:val="000000" w:themeColor="text1"/>
        </w:rPr>
        <w:t>renewable energy credits (</w:t>
      </w:r>
      <w:r w:rsidRPr="00997F1C">
        <w:rPr>
          <w:color w:val="000000" w:themeColor="text1"/>
        </w:rPr>
        <w:t>REC</w:t>
      </w:r>
      <w:r w:rsidRPr="00997F1C" w:rsidR="008401DA">
        <w:rPr>
          <w:color w:val="000000" w:themeColor="text1"/>
        </w:rPr>
        <w:t>)</w:t>
      </w:r>
      <w:r w:rsidRPr="00997F1C">
        <w:rPr>
          <w:color w:val="000000" w:themeColor="text1"/>
        </w:rPr>
        <w:t xml:space="preserve"> to meet its RPS compliance target and </w:t>
      </w:r>
      <w:proofErr w:type="spellStart"/>
      <w:r w:rsidRPr="00997F1C">
        <w:rPr>
          <w:color w:val="000000" w:themeColor="text1"/>
        </w:rPr>
        <w:t>CalCCA</w:t>
      </w:r>
      <w:proofErr w:type="spellEnd"/>
      <w:r w:rsidRPr="00997F1C">
        <w:rPr>
          <w:color w:val="000000" w:themeColor="text1"/>
        </w:rPr>
        <w:t xml:space="preserve"> and DACC opposed the proposal on grounds that it violated the Commission’s principles of customer indifference.  We find that PG&amp;E</w:t>
      </w:r>
      <w:r w:rsidRPr="00997F1C" w:rsidR="3C49285C">
        <w:rPr>
          <w:color w:val="000000" w:themeColor="text1"/>
        </w:rPr>
        <w:t xml:space="preserve">’s </w:t>
      </w:r>
      <w:r w:rsidRPr="00997F1C">
        <w:rPr>
          <w:color w:val="000000" w:themeColor="text1"/>
        </w:rPr>
        <w:t xml:space="preserve">proposal is reasonable on an interim basis while awaiting a more comprehensive decision on use of banked RECs in </w:t>
      </w:r>
      <w:r w:rsidRPr="00997F1C" w:rsidR="004F73E4">
        <w:rPr>
          <w:color w:val="000000" w:themeColor="text1"/>
        </w:rPr>
        <w:t>a</w:t>
      </w:r>
      <w:r w:rsidRPr="00997F1C">
        <w:rPr>
          <w:color w:val="000000" w:themeColor="text1"/>
        </w:rPr>
        <w:t xml:space="preserve"> </w:t>
      </w:r>
      <w:r w:rsidRPr="00997F1C" w:rsidR="004F73E4">
        <w:rPr>
          <w:color w:val="000000" w:themeColor="text1"/>
        </w:rPr>
        <w:t>rulemaking</w:t>
      </w:r>
      <w:r w:rsidRPr="00997F1C">
        <w:rPr>
          <w:color w:val="000000" w:themeColor="text1"/>
        </w:rPr>
        <w:t>.</w:t>
      </w:r>
    </w:p>
    <w:p w:rsidRPr="00997F1C" w:rsidR="003E5AEF" w:rsidP="00D737A5" w:rsidRDefault="003E5AEF" w14:paraId="35620366"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212561162" w:id="127"/>
      <w:bookmarkStart w:name="_Toc217384634" w:id="128"/>
      <w:r w:rsidRPr="00997F1C">
        <w:rPr>
          <w:rFonts w:ascii="Arial" w:hAnsi="Arial" w:cs="Arial"/>
          <w:b/>
          <w:color w:val="000000" w:themeColor="text1"/>
          <w:szCs w:val="26"/>
        </w:rPr>
        <w:t>Background</w:t>
      </w:r>
      <w:bookmarkEnd w:id="127"/>
      <w:bookmarkEnd w:id="128"/>
    </w:p>
    <w:p w:rsidRPr="00997F1C" w:rsidR="003E5AEF" w:rsidP="003E5AEF" w:rsidRDefault="53E8B74B" w14:paraId="0C292C56" w14:textId="686D29D6">
      <w:pPr>
        <w:rPr>
          <w:color w:val="000000" w:themeColor="text1"/>
        </w:rPr>
      </w:pPr>
      <w:r w:rsidRPr="00997F1C">
        <w:rPr>
          <w:color w:val="000000" w:themeColor="text1"/>
        </w:rPr>
        <w:t>PG&amp;E forecasted a short RPS position in 2026 and stated that it expected to use banked RECs to meet the RPS compliance target.</w:t>
      </w:r>
      <w:r w:rsidRPr="00997F1C" w:rsidR="003E5AEF">
        <w:rPr>
          <w:color w:val="000000" w:themeColor="text1"/>
          <w:vertAlign w:val="superscript"/>
        </w:rPr>
        <w:footnoteReference w:id="48"/>
      </w:r>
      <w:r w:rsidRPr="00997F1C">
        <w:rPr>
          <w:color w:val="000000" w:themeColor="text1"/>
        </w:rPr>
        <w:t xml:space="preserve">  PG&amp;E noted that the Commission determined in D.23-12-022, modified by D.24-08-004, that RECs generated and banked in and after 2019 (Post-2019 Banked RECs) are first applied to meet the minimum retained RPS requirement.</w:t>
      </w:r>
      <w:r w:rsidRPr="00997F1C" w:rsidR="003E5AEF">
        <w:rPr>
          <w:color w:val="000000" w:themeColor="text1"/>
          <w:vertAlign w:val="superscript"/>
        </w:rPr>
        <w:footnoteReference w:id="49"/>
      </w:r>
      <w:r w:rsidRPr="00997F1C">
        <w:rPr>
          <w:color w:val="000000" w:themeColor="text1"/>
        </w:rPr>
        <w:t xml:space="preserve">  PG&amp;E stated that once these retained volumes had been exhausted, it would then utilize RECs </w:t>
      </w:r>
      <w:r w:rsidRPr="00997F1C">
        <w:rPr>
          <w:color w:val="000000" w:themeColor="text1"/>
        </w:rPr>
        <w:lastRenderedPageBreak/>
        <w:t>generated and retained before January 1, 2019 (Pre-2019 Banked RECs) to meet the compliance target.</w:t>
      </w:r>
      <w:r w:rsidRPr="00997F1C" w:rsidR="003E5AEF">
        <w:rPr>
          <w:color w:val="000000" w:themeColor="text1"/>
          <w:vertAlign w:val="superscript"/>
        </w:rPr>
        <w:footnoteReference w:id="50"/>
      </w:r>
      <w:r w:rsidRPr="00997F1C">
        <w:rPr>
          <w:color w:val="000000" w:themeColor="text1"/>
        </w:rPr>
        <w:t xml:space="preserve">  If the Pre-2019 Banked REC volumes were exhausted, PG&amp;E would then look to retain previously Unsold RPS volumes, if available, to meet its minimum retained RPS requirement.</w:t>
      </w:r>
      <w:r w:rsidRPr="00997F1C" w:rsidR="003E5AEF">
        <w:rPr>
          <w:color w:val="000000" w:themeColor="text1"/>
          <w:vertAlign w:val="superscript"/>
        </w:rPr>
        <w:footnoteReference w:id="51"/>
      </w:r>
      <w:r w:rsidRPr="00997F1C">
        <w:rPr>
          <w:color w:val="000000" w:themeColor="text1"/>
        </w:rPr>
        <w:t xml:space="preserve"> </w:t>
      </w:r>
    </w:p>
    <w:p w:rsidRPr="00997F1C" w:rsidR="005936DA" w:rsidP="005936DA" w:rsidRDefault="53E8B74B" w14:paraId="3433CB8C" w14:textId="13A7B337">
      <w:pPr>
        <w:rPr>
          <w:color w:val="000000" w:themeColor="text1"/>
        </w:rPr>
      </w:pPr>
      <w:r w:rsidRPr="00997F1C">
        <w:rPr>
          <w:color w:val="000000" w:themeColor="text1"/>
        </w:rPr>
        <w:t>PG&amp;E stated that, as ordered in D.19-10-001, it would apply the applicable current RPS Adder when crediting customers based on their PCIA vintage for any Post-2019 Banked RECs utilized towards meeting PG&amp;E’s minimum retained RPS requirement.</w:t>
      </w:r>
      <w:r w:rsidRPr="00997F1C" w:rsidR="003E5AEF">
        <w:rPr>
          <w:color w:val="000000" w:themeColor="text1"/>
          <w:vertAlign w:val="superscript"/>
        </w:rPr>
        <w:footnoteReference w:id="52"/>
      </w:r>
      <w:r w:rsidRPr="00997F1C">
        <w:rPr>
          <w:color w:val="000000" w:themeColor="text1"/>
        </w:rPr>
        <w:t xml:space="preserve">  For any utilized Pre-2019 Banked RECs, PG&amp;E stated that it would credit applicable ERRA Forecast year vintage customers (e.g., vintage 2026 for the 2026 ERRA Forecast), regardless of delivery year, as D.19-10-001 excluded these RECs from receiving any additional ratemaking treatment associated with bundled RPS compliance.</w:t>
      </w:r>
      <w:r w:rsidRPr="00997F1C" w:rsidR="003E5AEF">
        <w:rPr>
          <w:color w:val="000000" w:themeColor="text1"/>
          <w:vertAlign w:val="superscript"/>
        </w:rPr>
        <w:footnoteReference w:id="53"/>
      </w:r>
    </w:p>
    <w:p w:rsidRPr="00997F1C" w:rsidR="003E5AEF" w:rsidP="00D737A5" w:rsidRDefault="003E5AEF" w14:paraId="05033478"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212561163" w:id="129"/>
      <w:bookmarkStart w:name="_Toc217384635" w:id="130"/>
      <w:r w:rsidRPr="00997F1C">
        <w:rPr>
          <w:rFonts w:ascii="Arial" w:hAnsi="Arial" w:cs="Arial"/>
          <w:b/>
          <w:color w:val="000000" w:themeColor="text1"/>
          <w:szCs w:val="26"/>
        </w:rPr>
        <w:t>Party Comments</w:t>
      </w:r>
      <w:bookmarkEnd w:id="129"/>
      <w:bookmarkEnd w:id="130"/>
    </w:p>
    <w:p w:rsidRPr="00997F1C" w:rsidR="003E5AEF" w:rsidP="00D737A5" w:rsidRDefault="003E5AEF" w14:paraId="6700905F" w14:textId="77777777">
      <w:pPr>
        <w:keepNext/>
        <w:keepLines/>
        <w:numPr>
          <w:ilvl w:val="2"/>
          <w:numId w:val="9"/>
        </w:numPr>
        <w:spacing w:after="120" w:line="240" w:lineRule="auto"/>
        <w:ind w:right="2160"/>
        <w:outlineLvl w:val="2"/>
        <w:rPr>
          <w:rFonts w:ascii="Arial" w:hAnsi="Arial" w:eastAsiaTheme="majorEastAsia" w:cstheme="majorBidi"/>
          <w:b/>
          <w:color w:val="000000" w:themeColor="text1"/>
          <w:szCs w:val="24"/>
        </w:rPr>
      </w:pPr>
      <w:bookmarkStart w:name="_Toc217384636" w:id="131"/>
      <w:proofErr w:type="spellStart"/>
      <w:r w:rsidRPr="00997F1C">
        <w:rPr>
          <w:rFonts w:ascii="Arial" w:hAnsi="Arial" w:eastAsiaTheme="majorEastAsia" w:cstheme="majorBidi"/>
          <w:b/>
          <w:color w:val="000000" w:themeColor="text1"/>
          <w:szCs w:val="24"/>
        </w:rPr>
        <w:t>CalCCA</w:t>
      </w:r>
      <w:bookmarkEnd w:id="131"/>
      <w:proofErr w:type="spellEnd"/>
    </w:p>
    <w:p w:rsidRPr="00997F1C" w:rsidR="00345D71" w:rsidP="00345D71" w:rsidRDefault="00372DE2" w14:paraId="1D6B948A" w14:textId="77777777">
      <w:pPr>
        <w:rPr>
          <w:color w:val="000000" w:themeColor="text1"/>
        </w:rPr>
      </w:pPr>
      <w:proofErr w:type="spellStart"/>
      <w:r w:rsidRPr="00997F1C">
        <w:rPr>
          <w:color w:val="000000" w:themeColor="text1"/>
        </w:rPr>
        <w:t>CalCCA</w:t>
      </w:r>
      <w:proofErr w:type="spellEnd"/>
      <w:r w:rsidRPr="00997F1C">
        <w:rPr>
          <w:color w:val="000000" w:themeColor="text1"/>
        </w:rPr>
        <w:t xml:space="preserve"> argued that, to the extent a REC was previously purchased by bundled customers at the time it was generated, the value of that REC should be credited to the PCIA vintage corresponding to the year it was generated to ensure both bundled and unbundled customers are treated fairly.</w:t>
      </w:r>
      <w:r w:rsidRPr="00997F1C" w:rsidR="00345D71">
        <w:rPr>
          <w:color w:val="000000" w:themeColor="text1"/>
          <w:vertAlign w:val="superscript"/>
        </w:rPr>
        <w:footnoteReference w:id="54"/>
      </w:r>
      <w:r w:rsidRPr="00997F1C">
        <w:rPr>
          <w:color w:val="000000" w:themeColor="text1"/>
        </w:rPr>
        <w:t xml:space="preserve">  According to </w:t>
      </w:r>
      <w:proofErr w:type="spellStart"/>
      <w:r w:rsidRPr="00997F1C">
        <w:rPr>
          <w:color w:val="000000" w:themeColor="text1"/>
        </w:rPr>
        <w:t>CalCCA</w:t>
      </w:r>
      <w:proofErr w:type="spellEnd"/>
      <w:r w:rsidRPr="00997F1C">
        <w:rPr>
          <w:color w:val="000000" w:themeColor="text1"/>
        </w:rPr>
        <w:t xml:space="preserve">, PG&amp;E’s banked REC proposal in this proceeding fails to comport with Pub. Util. Code Section 366.2(g), Commission precedent implementing the indifference framework established in California law (including D.19-10-001 and </w:t>
      </w:r>
      <w:r w:rsidRPr="00997F1C">
        <w:rPr>
          <w:color w:val="000000" w:themeColor="text1"/>
        </w:rPr>
        <w:lastRenderedPageBreak/>
        <w:t>its predecessors), “and basic logic.”</w:t>
      </w:r>
      <w:r w:rsidRPr="00997F1C" w:rsidR="00345D71">
        <w:rPr>
          <w:color w:val="000000" w:themeColor="text1"/>
          <w:vertAlign w:val="superscript"/>
        </w:rPr>
        <w:footnoteReference w:id="55"/>
      </w:r>
      <w:r w:rsidRPr="00997F1C">
        <w:rPr>
          <w:color w:val="000000" w:themeColor="text1"/>
        </w:rPr>
        <w:t xml:space="preserve">  According to </w:t>
      </w:r>
      <w:proofErr w:type="spellStart"/>
      <w:r w:rsidRPr="00997F1C">
        <w:rPr>
          <w:color w:val="000000" w:themeColor="text1"/>
        </w:rPr>
        <w:t>CalCCA</w:t>
      </w:r>
      <w:proofErr w:type="spellEnd"/>
      <w:r w:rsidRPr="00997F1C">
        <w:rPr>
          <w:color w:val="000000" w:themeColor="text1"/>
        </w:rPr>
        <w:t xml:space="preserve">, PG&amp;E’s proposal would denying departed load its fair share of the value of those </w:t>
      </w:r>
      <w:proofErr w:type="spellStart"/>
      <w:r w:rsidRPr="00997F1C">
        <w:rPr>
          <w:color w:val="000000" w:themeColor="text1"/>
        </w:rPr>
        <w:t>RECs.</w:t>
      </w:r>
      <w:proofErr w:type="spellEnd"/>
      <w:r w:rsidRPr="00997F1C" w:rsidR="00345D71">
        <w:rPr>
          <w:color w:val="000000" w:themeColor="text1"/>
          <w:vertAlign w:val="superscript"/>
        </w:rPr>
        <w:footnoteReference w:id="56"/>
      </w:r>
    </w:p>
    <w:p w:rsidRPr="00997F1C" w:rsidR="00345D71" w:rsidP="00345D71" w:rsidRDefault="00345D71" w14:paraId="432E2EC0" w14:textId="4E0C0E82">
      <w:pPr>
        <w:rPr>
          <w:color w:val="000000" w:themeColor="text1"/>
        </w:rPr>
      </w:pPr>
      <w:proofErr w:type="spellStart"/>
      <w:r w:rsidRPr="00997F1C">
        <w:rPr>
          <w:color w:val="000000" w:themeColor="text1"/>
        </w:rPr>
        <w:t>CalCCA</w:t>
      </w:r>
      <w:proofErr w:type="spellEnd"/>
      <w:r w:rsidRPr="00997F1C">
        <w:rPr>
          <w:color w:val="000000" w:themeColor="text1"/>
        </w:rPr>
        <w:t xml:space="preserve"> argued that the Commission should therefore reject PG&amp;E’s Banked REC proposal, since (1) PG&amp;E’s current bundled customers in 2026 should be responsible for the cost of RPS compliance on their behalf in 2026, and (2) unbundled customers</w:t>
      </w:r>
      <w:r w:rsidRPr="00997F1C" w:rsidR="00884DDB">
        <w:rPr>
          <w:color w:val="000000" w:themeColor="text1"/>
        </w:rPr>
        <w:t xml:space="preserve"> who were customers at the time that the </w:t>
      </w:r>
      <w:r w:rsidRPr="00997F1C" w:rsidR="00B207C7">
        <w:rPr>
          <w:color w:val="000000" w:themeColor="text1"/>
        </w:rPr>
        <w:t>RECs were paid for</w:t>
      </w:r>
      <w:r w:rsidRPr="00997F1C">
        <w:rPr>
          <w:color w:val="000000" w:themeColor="text1"/>
        </w:rPr>
        <w:t xml:space="preserve"> should receive credit for the value of RPS attributes that are now being used for bundled customer RPS compliance</w:t>
      </w:r>
      <w:r w:rsidRPr="00997F1C" w:rsidR="00094B9A">
        <w:rPr>
          <w:color w:val="000000" w:themeColor="text1"/>
        </w:rPr>
        <w:t>,</w:t>
      </w:r>
      <w:r w:rsidRPr="00997F1C" w:rsidR="004F563A">
        <w:rPr>
          <w:color w:val="000000" w:themeColor="text1"/>
        </w:rPr>
        <w:t xml:space="preserve"> now that they have departed from CCA service</w:t>
      </w:r>
      <w:r w:rsidRPr="00997F1C">
        <w:rPr>
          <w:color w:val="000000" w:themeColor="text1"/>
        </w:rPr>
        <w:t xml:space="preserve">. </w:t>
      </w:r>
    </w:p>
    <w:p w:rsidRPr="00997F1C" w:rsidR="00213CD1" w:rsidP="00183D45" w:rsidRDefault="3445861F" w14:paraId="0A3DAB1C" w14:textId="2393093E">
      <w:pPr>
        <w:rPr>
          <w:color w:val="000000" w:themeColor="text1"/>
        </w:rPr>
      </w:pPr>
      <w:proofErr w:type="spellStart"/>
      <w:r w:rsidRPr="00997F1C">
        <w:rPr>
          <w:color w:val="000000" w:themeColor="text1"/>
        </w:rPr>
        <w:t>CalCCA</w:t>
      </w:r>
      <w:proofErr w:type="spellEnd"/>
      <w:r w:rsidRPr="00997F1C">
        <w:rPr>
          <w:color w:val="000000" w:themeColor="text1"/>
        </w:rPr>
        <w:t xml:space="preserve"> also stated in its </w:t>
      </w:r>
      <w:r w:rsidRPr="00997F1C" w:rsidR="47B2FB3A">
        <w:rPr>
          <w:color w:val="000000" w:themeColor="text1"/>
        </w:rPr>
        <w:t xml:space="preserve">Fall Update Comments that PG&amp;E’s proposal </w:t>
      </w:r>
      <w:r w:rsidRPr="00997F1C" w:rsidR="5CA9B2F2">
        <w:rPr>
          <w:color w:val="000000" w:themeColor="text1"/>
        </w:rPr>
        <w:t xml:space="preserve">(1) </w:t>
      </w:r>
      <w:r w:rsidRPr="00997F1C" w:rsidR="47B2FB3A">
        <w:rPr>
          <w:color w:val="000000" w:themeColor="text1"/>
        </w:rPr>
        <w:t>“violates Section 366.2(g) of the Public Utilities Code and the Commission’s settled indifference framework</w:t>
      </w:r>
      <w:r w:rsidRPr="00997F1C" w:rsidR="5CA9B2F2">
        <w:rPr>
          <w:color w:val="000000" w:themeColor="text1"/>
        </w:rPr>
        <w:t>,</w:t>
      </w:r>
      <w:r w:rsidRPr="00997F1C" w:rsidR="47B2FB3A">
        <w:rPr>
          <w:color w:val="000000" w:themeColor="text1"/>
        </w:rPr>
        <w:t xml:space="preserve">” and </w:t>
      </w:r>
      <w:r w:rsidRPr="00997F1C" w:rsidR="5CA9B2F2">
        <w:rPr>
          <w:color w:val="000000" w:themeColor="text1"/>
        </w:rPr>
        <w:t xml:space="preserve">(2) </w:t>
      </w:r>
      <w:r w:rsidRPr="00997F1C" w:rsidR="47B2FB3A">
        <w:rPr>
          <w:color w:val="000000" w:themeColor="text1"/>
        </w:rPr>
        <w:t>exacerbates the PCIA rate increases that occurred</w:t>
      </w:r>
      <w:r w:rsidRPr="00997F1C" w:rsidR="5CA9B2F2">
        <w:rPr>
          <w:color w:val="000000" w:themeColor="text1"/>
        </w:rPr>
        <w:t>, in part,</w:t>
      </w:r>
      <w:r w:rsidRPr="00997F1C" w:rsidR="47B2FB3A">
        <w:rPr>
          <w:color w:val="000000" w:themeColor="text1"/>
        </w:rPr>
        <w:t xml:space="preserve"> as a result of </w:t>
      </w:r>
      <w:r w:rsidRPr="00997F1C" w:rsidR="5C075FEA">
        <w:rPr>
          <w:color w:val="000000" w:themeColor="text1"/>
        </w:rPr>
        <w:t>MPB changes approved in D.</w:t>
      </w:r>
      <w:r w:rsidRPr="00997F1C" w:rsidR="5CA9B2F2">
        <w:rPr>
          <w:color w:val="000000" w:themeColor="text1"/>
        </w:rPr>
        <w:t>25-06-049.</w:t>
      </w:r>
      <w:r w:rsidRPr="00997F1C" w:rsidR="007E01C0">
        <w:rPr>
          <w:rStyle w:val="FootnoteReference"/>
          <w:color w:val="000000" w:themeColor="text1"/>
        </w:rPr>
        <w:footnoteReference w:id="57"/>
      </w:r>
      <w:r w:rsidRPr="00997F1C" w:rsidR="40DE3AD5">
        <w:rPr>
          <w:color w:val="000000" w:themeColor="text1"/>
        </w:rPr>
        <w:t xml:space="preserve"> </w:t>
      </w:r>
      <w:r w:rsidRPr="00997F1C" w:rsidR="7142C13F">
        <w:rPr>
          <w:color w:val="000000" w:themeColor="text1"/>
        </w:rPr>
        <w:t xml:space="preserve"> </w:t>
      </w:r>
      <w:proofErr w:type="spellStart"/>
      <w:r w:rsidRPr="00997F1C" w:rsidR="40DE3AD5">
        <w:rPr>
          <w:color w:val="000000" w:themeColor="text1"/>
        </w:rPr>
        <w:t>CalCCA</w:t>
      </w:r>
      <w:proofErr w:type="spellEnd"/>
      <w:r w:rsidRPr="00997F1C" w:rsidR="40DE3AD5">
        <w:rPr>
          <w:color w:val="000000" w:themeColor="text1"/>
        </w:rPr>
        <w:t xml:space="preserve"> argued that</w:t>
      </w:r>
      <w:r w:rsidRPr="00997F1C" w:rsidR="7805BF12">
        <w:rPr>
          <w:color w:val="000000" w:themeColor="text1"/>
        </w:rPr>
        <w:t xml:space="preserve">, if the Commission does not </w:t>
      </w:r>
      <w:r w:rsidRPr="00997F1C" w:rsidR="636E2C06">
        <w:rPr>
          <w:color w:val="000000" w:themeColor="text1"/>
        </w:rPr>
        <w:t>address the pre-2019 Banked RECs methodology, “the impact on departed customers will balloon to over a billion dollars.”</w:t>
      </w:r>
      <w:r w:rsidRPr="00997F1C" w:rsidR="006008BA">
        <w:rPr>
          <w:rStyle w:val="FootnoteReference"/>
          <w:color w:val="000000" w:themeColor="text1"/>
        </w:rPr>
        <w:footnoteReference w:id="58"/>
      </w:r>
    </w:p>
    <w:p w:rsidRPr="00997F1C" w:rsidR="003E5AEF" w:rsidP="00D737A5" w:rsidRDefault="003E5AEF" w14:paraId="6530E3A6" w14:textId="77777777">
      <w:pPr>
        <w:keepNext/>
        <w:keepLines/>
        <w:numPr>
          <w:ilvl w:val="2"/>
          <w:numId w:val="9"/>
        </w:numPr>
        <w:spacing w:after="120" w:line="240" w:lineRule="auto"/>
        <w:ind w:right="2160"/>
        <w:outlineLvl w:val="2"/>
        <w:rPr>
          <w:rFonts w:ascii="Arial" w:hAnsi="Arial" w:eastAsiaTheme="majorEastAsia" w:cstheme="majorBidi"/>
          <w:b/>
          <w:color w:val="000000" w:themeColor="text1"/>
          <w:szCs w:val="24"/>
        </w:rPr>
      </w:pPr>
      <w:bookmarkStart w:name="_Toc217384637" w:id="132"/>
      <w:r w:rsidRPr="00997F1C">
        <w:rPr>
          <w:rFonts w:ascii="Arial" w:hAnsi="Arial" w:eastAsiaTheme="majorEastAsia" w:cstheme="majorBidi"/>
          <w:b/>
          <w:color w:val="000000" w:themeColor="text1"/>
          <w:szCs w:val="24"/>
        </w:rPr>
        <w:t>DACC</w:t>
      </w:r>
      <w:bookmarkEnd w:id="132"/>
    </w:p>
    <w:p w:rsidRPr="00997F1C" w:rsidR="003E5AEF" w:rsidP="003E5AEF" w:rsidRDefault="53E8B74B" w14:paraId="1F9A551D" w14:textId="77777777">
      <w:pPr>
        <w:rPr>
          <w:color w:val="000000" w:themeColor="text1"/>
        </w:rPr>
      </w:pPr>
      <w:r w:rsidRPr="00997F1C">
        <w:rPr>
          <w:color w:val="000000" w:themeColor="text1"/>
        </w:rPr>
        <w:t>DACC also opposed PG&amp;E’s proposal.</w:t>
      </w:r>
      <w:r w:rsidRPr="00997F1C" w:rsidR="003E5AEF">
        <w:rPr>
          <w:color w:val="000000" w:themeColor="text1"/>
          <w:vertAlign w:val="superscript"/>
        </w:rPr>
        <w:footnoteReference w:id="59"/>
      </w:r>
      <w:r w:rsidRPr="00997F1C">
        <w:rPr>
          <w:color w:val="000000" w:themeColor="text1"/>
        </w:rPr>
        <w:t xml:space="preserve">  DACC noted that in R.25-02-005, the Commission stated in D.25-06-049 that, </w:t>
      </w:r>
    </w:p>
    <w:p w:rsidRPr="00997F1C" w:rsidR="003E5AEF" w:rsidP="0012268E" w:rsidRDefault="53E8B74B" w14:paraId="7EBFEC09" w14:textId="77777777">
      <w:pPr>
        <w:spacing w:after="120" w:line="240" w:lineRule="auto"/>
        <w:ind w:left="720" w:right="1440" w:firstLine="0"/>
        <w:rPr>
          <w:color w:val="000000" w:themeColor="text1"/>
        </w:rPr>
      </w:pPr>
      <w:r w:rsidRPr="00997F1C">
        <w:rPr>
          <w:color w:val="000000" w:themeColor="text1"/>
        </w:rPr>
        <w:t xml:space="preserve">The departed customer is also entitled to any residual procurement benefits enjoyed by the incumbent IOU attributable to the departed customer. The Public Utilities </w:t>
      </w:r>
      <w:r w:rsidRPr="00997F1C">
        <w:rPr>
          <w:color w:val="000000" w:themeColor="text1"/>
        </w:rPr>
        <w:lastRenderedPageBreak/>
        <w:t>Code and existing policy mandate processes and mechanisms that ensure these costs and benefits are retained by the departing customers, promoting fairness and indifference to all customers.</w:t>
      </w:r>
      <w:r w:rsidRPr="00997F1C" w:rsidR="003E5AEF">
        <w:rPr>
          <w:color w:val="000000" w:themeColor="text1"/>
          <w:vertAlign w:val="superscript"/>
        </w:rPr>
        <w:footnoteReference w:id="60"/>
      </w:r>
    </w:p>
    <w:p w:rsidRPr="00997F1C" w:rsidR="003E5AEF" w:rsidP="003E5AEF" w:rsidRDefault="12BC4B9C" w14:paraId="23CEFF72" w14:textId="3F9568F8">
      <w:pPr>
        <w:ind w:firstLine="0"/>
        <w:rPr>
          <w:color w:val="000000" w:themeColor="text1"/>
        </w:rPr>
      </w:pPr>
      <w:r w:rsidRPr="00997F1C">
        <w:rPr>
          <w:color w:val="000000" w:themeColor="text1"/>
        </w:rPr>
        <w:t xml:space="preserve">DACC argued that PG&amp;E had disregarded this finding in its </w:t>
      </w:r>
      <w:r w:rsidRPr="00997F1C" w:rsidR="14AB56CF">
        <w:rPr>
          <w:color w:val="000000" w:themeColor="text1"/>
        </w:rPr>
        <w:t xml:space="preserve">Fall </w:t>
      </w:r>
      <w:r w:rsidRPr="00997F1C">
        <w:rPr>
          <w:color w:val="000000" w:themeColor="text1"/>
        </w:rPr>
        <w:t>Update by continuing to propose that bundled customers be allowed to use pre-2019 banked RECs without compensation to departed load.  According to DACC, this is “inequitable, unfair and counter to the Commission’s historical indifference principles and the manner in which the PCIA is to be calculated.”</w:t>
      </w:r>
      <w:r w:rsidRPr="00997F1C" w:rsidR="003E5AEF">
        <w:rPr>
          <w:color w:val="000000" w:themeColor="text1"/>
          <w:vertAlign w:val="superscript"/>
        </w:rPr>
        <w:footnoteReference w:id="61"/>
      </w:r>
    </w:p>
    <w:p w:rsidRPr="00997F1C" w:rsidR="00073E8A" w:rsidP="00A52D94" w:rsidRDefault="00073E8A" w14:paraId="0B5ED9E2" w14:textId="6E7E8C52">
      <w:pPr>
        <w:keepNext/>
        <w:keepLines/>
        <w:numPr>
          <w:ilvl w:val="2"/>
          <w:numId w:val="9"/>
        </w:numPr>
        <w:spacing w:after="120" w:line="240" w:lineRule="auto"/>
        <w:ind w:right="2160"/>
        <w:outlineLvl w:val="2"/>
        <w:rPr>
          <w:rFonts w:ascii="Arial" w:hAnsi="Arial" w:eastAsiaTheme="majorEastAsia" w:cstheme="majorBidi"/>
          <w:b/>
          <w:color w:val="000000" w:themeColor="text1"/>
          <w:szCs w:val="24"/>
        </w:rPr>
      </w:pPr>
      <w:bookmarkStart w:name="_Toc217384638" w:id="133"/>
      <w:r w:rsidRPr="00997F1C">
        <w:rPr>
          <w:rFonts w:ascii="Arial" w:hAnsi="Arial" w:eastAsiaTheme="majorEastAsia" w:cstheme="majorBidi"/>
          <w:b/>
          <w:color w:val="000000" w:themeColor="text1"/>
          <w:szCs w:val="24"/>
        </w:rPr>
        <w:t>PG&amp;E</w:t>
      </w:r>
      <w:bookmarkEnd w:id="133"/>
    </w:p>
    <w:p w:rsidRPr="00997F1C" w:rsidR="00073E8A" w:rsidP="00073E8A" w:rsidRDefault="78E23715" w14:paraId="37DE7325" w14:textId="77777777">
      <w:pPr>
        <w:rPr>
          <w:color w:val="000000" w:themeColor="text1"/>
        </w:rPr>
      </w:pPr>
      <w:bookmarkStart w:name="_Toc212561164" w:id="134"/>
      <w:r w:rsidRPr="00997F1C">
        <w:rPr>
          <w:color w:val="000000" w:themeColor="text1"/>
        </w:rPr>
        <w:t xml:space="preserve">In </w:t>
      </w:r>
      <w:proofErr w:type="gramStart"/>
      <w:r w:rsidRPr="00997F1C">
        <w:rPr>
          <w:color w:val="000000" w:themeColor="text1"/>
        </w:rPr>
        <w:t>reply</w:t>
      </w:r>
      <w:proofErr w:type="gramEnd"/>
      <w:r w:rsidRPr="00997F1C">
        <w:rPr>
          <w:color w:val="000000" w:themeColor="text1"/>
        </w:rPr>
        <w:t xml:space="preserve"> briefs, PG&amp;E argued that </w:t>
      </w:r>
      <w:proofErr w:type="spellStart"/>
      <w:r w:rsidRPr="00997F1C">
        <w:rPr>
          <w:color w:val="000000" w:themeColor="text1"/>
        </w:rPr>
        <w:t>CalCCA’s</w:t>
      </w:r>
      <w:proofErr w:type="spellEnd"/>
      <w:r w:rsidRPr="00997F1C">
        <w:rPr>
          <w:color w:val="000000" w:themeColor="text1"/>
        </w:rPr>
        <w:t xml:space="preserve"> interpretation of D.19-10-001 is “unsupported” and that </w:t>
      </w:r>
      <w:proofErr w:type="spellStart"/>
      <w:r w:rsidRPr="00997F1C">
        <w:rPr>
          <w:color w:val="000000" w:themeColor="text1"/>
        </w:rPr>
        <w:t>CalCCA</w:t>
      </w:r>
      <w:proofErr w:type="spellEnd"/>
      <w:r w:rsidRPr="00997F1C">
        <w:rPr>
          <w:color w:val="000000" w:themeColor="text1"/>
        </w:rPr>
        <w:t xml:space="preserve"> erroneously attempted to retroactively apply findings of D.19-10-001.</w:t>
      </w:r>
      <w:r w:rsidRPr="00997F1C" w:rsidR="00073E8A">
        <w:rPr>
          <w:rStyle w:val="FootnoteReference"/>
          <w:color w:val="000000" w:themeColor="text1"/>
        </w:rPr>
        <w:footnoteReference w:id="62"/>
      </w:r>
      <w:r w:rsidRPr="00997F1C">
        <w:rPr>
          <w:color w:val="000000" w:themeColor="text1"/>
        </w:rPr>
        <w:t xml:space="preserve">  According to PG&amp;E, there is no basis to compensate now departing load customers for Pre-2019 Banked </w:t>
      </w:r>
      <w:proofErr w:type="spellStart"/>
      <w:r w:rsidRPr="00997F1C">
        <w:rPr>
          <w:color w:val="000000" w:themeColor="text1"/>
        </w:rPr>
        <w:t>RECs.</w:t>
      </w:r>
      <w:proofErr w:type="spellEnd"/>
      <w:r w:rsidRPr="00997F1C" w:rsidR="00073E8A">
        <w:rPr>
          <w:rStyle w:val="FootnoteReference"/>
          <w:color w:val="000000" w:themeColor="text1"/>
        </w:rPr>
        <w:footnoteReference w:id="63"/>
      </w:r>
    </w:p>
    <w:p w:rsidRPr="00997F1C" w:rsidR="00073E8A" w:rsidP="00073E8A" w:rsidRDefault="78E23715" w14:paraId="6BF42F0D" w14:textId="77777777">
      <w:pPr>
        <w:rPr>
          <w:color w:val="000000" w:themeColor="text1"/>
        </w:rPr>
      </w:pPr>
      <w:r w:rsidRPr="00997F1C">
        <w:rPr>
          <w:color w:val="000000" w:themeColor="text1"/>
        </w:rPr>
        <w:t xml:space="preserve">PG&amp;E stated that </w:t>
      </w:r>
      <w:proofErr w:type="spellStart"/>
      <w:r w:rsidRPr="00997F1C">
        <w:rPr>
          <w:color w:val="000000" w:themeColor="text1"/>
        </w:rPr>
        <w:t>CalCCA</w:t>
      </w:r>
      <w:proofErr w:type="spellEnd"/>
      <w:r w:rsidRPr="00997F1C">
        <w:rPr>
          <w:color w:val="000000" w:themeColor="text1"/>
        </w:rPr>
        <w:t xml:space="preserve"> cites to D.19-10-001 “but fails to identify with any specificity how D.19-10-001 applies to pre-2019 </w:t>
      </w:r>
      <w:proofErr w:type="spellStart"/>
      <w:r w:rsidRPr="00997F1C">
        <w:rPr>
          <w:color w:val="000000" w:themeColor="text1"/>
        </w:rPr>
        <w:t>RECs.</w:t>
      </w:r>
      <w:proofErr w:type="spellEnd"/>
      <w:r w:rsidRPr="00997F1C">
        <w:rPr>
          <w:color w:val="000000" w:themeColor="text1"/>
        </w:rPr>
        <w:t>”</w:t>
      </w:r>
      <w:r w:rsidRPr="00997F1C" w:rsidR="00073E8A">
        <w:rPr>
          <w:rStyle w:val="FootnoteReference"/>
          <w:color w:val="000000" w:themeColor="text1"/>
        </w:rPr>
        <w:footnoteReference w:id="64"/>
      </w:r>
      <w:r w:rsidRPr="00997F1C">
        <w:rPr>
          <w:color w:val="000000" w:themeColor="text1"/>
        </w:rPr>
        <w:t xml:space="preserve"> According to PG&amp;E, </w:t>
      </w:r>
      <w:proofErr w:type="spellStart"/>
      <w:r w:rsidRPr="00997F1C">
        <w:rPr>
          <w:color w:val="000000" w:themeColor="text1"/>
        </w:rPr>
        <w:t>CalCCA</w:t>
      </w:r>
      <w:proofErr w:type="spellEnd"/>
      <w:r w:rsidRPr="00997F1C">
        <w:rPr>
          <w:color w:val="000000" w:themeColor="text1"/>
        </w:rPr>
        <w:t xml:space="preserve"> “simply asserts that Section 366.2(g) and a long line of Commission decisions implementing the indifference principle require PG&amp;E to value all RECs used for bundled customer compliance – including ‘pre-2019’ banked REC – at the RPS Adder applicable in the year those RECs are used.”</w:t>
      </w:r>
      <w:r w:rsidRPr="00997F1C" w:rsidR="00073E8A">
        <w:rPr>
          <w:rStyle w:val="FootnoteReference"/>
          <w:color w:val="000000" w:themeColor="text1"/>
        </w:rPr>
        <w:footnoteReference w:id="65"/>
      </w:r>
    </w:p>
    <w:p w:rsidRPr="00997F1C" w:rsidR="00653721" w:rsidP="00A52D94" w:rsidRDefault="78E23715" w14:paraId="21446280" w14:textId="1283C91E">
      <w:pPr>
        <w:rPr>
          <w:b/>
          <w:color w:val="000000" w:themeColor="text1"/>
        </w:rPr>
      </w:pPr>
      <w:r w:rsidRPr="00997F1C">
        <w:rPr>
          <w:color w:val="000000" w:themeColor="text1"/>
        </w:rPr>
        <w:lastRenderedPageBreak/>
        <w:t>PG&amp;E noted that D.19-10-001, Finding of Fact 8 states that the methods approved in the decision apply to RECs generated commencing January 1, 2019 and going forward and does not mention RECs generated before this time.</w:t>
      </w:r>
      <w:r w:rsidRPr="00997F1C" w:rsidR="00073E8A">
        <w:rPr>
          <w:rStyle w:val="FootnoteReference"/>
          <w:color w:val="000000" w:themeColor="text1"/>
        </w:rPr>
        <w:footnoteReference w:id="66"/>
      </w:r>
      <w:r w:rsidRPr="00997F1C">
        <w:rPr>
          <w:color w:val="000000" w:themeColor="text1"/>
        </w:rPr>
        <w:t xml:space="preserve">  PG&amp;E further stated that </w:t>
      </w:r>
      <w:proofErr w:type="spellStart"/>
      <w:r w:rsidRPr="00997F1C">
        <w:rPr>
          <w:color w:val="000000" w:themeColor="text1"/>
        </w:rPr>
        <w:t>CalCCA’s</w:t>
      </w:r>
      <w:proofErr w:type="spellEnd"/>
      <w:r w:rsidRPr="00997F1C">
        <w:rPr>
          <w:color w:val="000000" w:themeColor="text1"/>
        </w:rPr>
        <w:t xml:space="preserve"> argument in an attachment to D.19-10-001 applies to “all RECs” is unpersuasive.</w:t>
      </w:r>
      <w:r w:rsidRPr="00997F1C" w:rsidR="00073E8A">
        <w:rPr>
          <w:rStyle w:val="FootnoteReference"/>
          <w:color w:val="000000" w:themeColor="text1"/>
        </w:rPr>
        <w:footnoteReference w:id="67"/>
      </w:r>
      <w:r w:rsidRPr="00997F1C">
        <w:rPr>
          <w:color w:val="000000" w:themeColor="text1"/>
        </w:rPr>
        <w:t xml:space="preserve">  According to PG&amp;E, the Commission “unambiguously states in its findings that the methods are prospective for RECs generated commencing January 1, 2019 and going forward. The methods in </w:t>
      </w:r>
      <w:r w:rsidR="00A93519">
        <w:rPr>
          <w:color w:val="000000" w:themeColor="text1"/>
        </w:rPr>
        <w:br/>
      </w:r>
      <w:r w:rsidRPr="00997F1C">
        <w:rPr>
          <w:color w:val="000000" w:themeColor="text1"/>
        </w:rPr>
        <w:t>D.19-10-001 are clearly prospective and exclude pre-2019 RECs from its requirements.”</w:t>
      </w:r>
      <w:r w:rsidRPr="00997F1C" w:rsidR="00073E8A">
        <w:rPr>
          <w:rStyle w:val="FootnoteReference"/>
          <w:color w:val="000000" w:themeColor="text1"/>
        </w:rPr>
        <w:footnoteReference w:id="68"/>
      </w:r>
    </w:p>
    <w:p w:rsidRPr="00997F1C" w:rsidR="003E5AEF" w:rsidP="00D737A5" w:rsidRDefault="003E5AEF" w14:paraId="572A7AB9" w14:textId="7E47BDAC">
      <w:pPr>
        <w:keepNext/>
        <w:keepLines/>
        <w:numPr>
          <w:ilvl w:val="1"/>
          <w:numId w:val="9"/>
        </w:numPr>
        <w:spacing w:after="120" w:line="240" w:lineRule="auto"/>
        <w:ind w:right="2160"/>
        <w:outlineLvl w:val="1"/>
        <w:rPr>
          <w:rFonts w:ascii="Arial" w:hAnsi="Arial" w:cs="Arial"/>
          <w:b/>
          <w:color w:val="000000" w:themeColor="text1"/>
          <w:szCs w:val="26"/>
        </w:rPr>
      </w:pPr>
      <w:bookmarkStart w:name="_Toc217384639" w:id="135"/>
      <w:r w:rsidRPr="00997F1C">
        <w:rPr>
          <w:rFonts w:ascii="Arial" w:hAnsi="Arial" w:cs="Arial"/>
          <w:b/>
          <w:color w:val="000000" w:themeColor="text1"/>
          <w:szCs w:val="26"/>
        </w:rPr>
        <w:t>Discussion</w:t>
      </w:r>
      <w:bookmarkEnd w:id="134"/>
      <w:bookmarkEnd w:id="135"/>
    </w:p>
    <w:p w:rsidRPr="00997F1C" w:rsidR="00705F57" w:rsidP="00A52D94" w:rsidRDefault="02B9FF24" w14:paraId="13D904B3" w14:textId="4CF70944">
      <w:pPr>
        <w:pStyle w:val="Standard"/>
        <w:rPr>
          <w:color w:val="000000" w:themeColor="text1"/>
        </w:rPr>
      </w:pPr>
      <w:r w:rsidRPr="00997F1C">
        <w:rPr>
          <w:color w:val="000000" w:themeColor="text1"/>
        </w:rPr>
        <w:t xml:space="preserve">D.19-10-001 stated </w:t>
      </w:r>
      <w:r w:rsidRPr="00997F1C" w:rsidR="60C11472">
        <w:rPr>
          <w:color w:val="000000" w:themeColor="text1"/>
        </w:rPr>
        <w:t xml:space="preserve">in Finding of Fact </w:t>
      </w:r>
      <w:r w:rsidRPr="00997F1C" w:rsidR="381E49F0">
        <w:rPr>
          <w:color w:val="000000" w:themeColor="text1"/>
        </w:rPr>
        <w:t>8</w:t>
      </w:r>
      <w:r w:rsidRPr="00997F1C" w:rsidR="60C11472">
        <w:rPr>
          <w:color w:val="000000" w:themeColor="text1"/>
        </w:rPr>
        <w:t xml:space="preserve"> </w:t>
      </w:r>
      <w:r w:rsidRPr="00997F1C" w:rsidR="61747617">
        <w:rPr>
          <w:color w:val="000000" w:themeColor="text1"/>
        </w:rPr>
        <w:t xml:space="preserve">that “[t]he methods adopted in </w:t>
      </w:r>
      <w:r w:rsidR="00A93519">
        <w:rPr>
          <w:color w:val="000000" w:themeColor="text1"/>
        </w:rPr>
        <w:br/>
      </w:r>
      <w:r w:rsidRPr="00997F1C" w:rsidR="61747617">
        <w:rPr>
          <w:color w:val="000000" w:themeColor="text1"/>
        </w:rPr>
        <w:t xml:space="preserve">this Decision apply to RECs generated commencing January 1, </w:t>
      </w:r>
      <w:proofErr w:type="gramStart"/>
      <w:r w:rsidRPr="00997F1C" w:rsidR="61747617">
        <w:rPr>
          <w:color w:val="000000" w:themeColor="text1"/>
        </w:rPr>
        <w:t>2019</w:t>
      </w:r>
      <w:proofErr w:type="gramEnd"/>
      <w:r w:rsidRPr="00997F1C" w:rsidR="61747617">
        <w:rPr>
          <w:color w:val="000000" w:themeColor="text1"/>
        </w:rPr>
        <w:t xml:space="preserve"> and going forward.”</w:t>
      </w:r>
      <w:r w:rsidRPr="00997F1C" w:rsidR="00205BFE">
        <w:rPr>
          <w:rStyle w:val="FootnoteReference"/>
          <w:color w:val="000000" w:themeColor="text1"/>
        </w:rPr>
        <w:footnoteReference w:id="69"/>
      </w:r>
      <w:r w:rsidRPr="00997F1C" w:rsidR="61747617">
        <w:rPr>
          <w:color w:val="000000" w:themeColor="text1"/>
        </w:rPr>
        <w:t xml:space="preserve">  </w:t>
      </w:r>
      <w:r w:rsidRPr="00997F1C">
        <w:rPr>
          <w:color w:val="000000" w:themeColor="text1"/>
        </w:rPr>
        <w:t xml:space="preserve">We agree with PG&amp;E that </w:t>
      </w:r>
      <w:r w:rsidRPr="00997F1C" w:rsidR="7F56FAC3">
        <w:rPr>
          <w:color w:val="000000" w:themeColor="text1"/>
        </w:rPr>
        <w:t xml:space="preserve">the </w:t>
      </w:r>
      <w:r w:rsidRPr="00997F1C" w:rsidR="764574FA">
        <w:rPr>
          <w:color w:val="000000" w:themeColor="text1"/>
        </w:rPr>
        <w:t xml:space="preserve">methodology established in </w:t>
      </w:r>
      <w:r w:rsidR="00A93519">
        <w:rPr>
          <w:color w:val="000000" w:themeColor="text1"/>
        </w:rPr>
        <w:br/>
      </w:r>
      <w:r w:rsidRPr="00997F1C" w:rsidR="42F3C662">
        <w:rPr>
          <w:color w:val="000000" w:themeColor="text1"/>
        </w:rPr>
        <w:t xml:space="preserve">D.19-10-001 </w:t>
      </w:r>
      <w:r w:rsidRPr="00997F1C" w:rsidR="54E6115E">
        <w:rPr>
          <w:color w:val="000000" w:themeColor="text1"/>
        </w:rPr>
        <w:t xml:space="preserve">applies to post-2019 banked </w:t>
      </w:r>
      <w:proofErr w:type="spellStart"/>
      <w:r w:rsidRPr="00997F1C" w:rsidR="54E6115E">
        <w:rPr>
          <w:color w:val="000000" w:themeColor="text1"/>
        </w:rPr>
        <w:t>RECs</w:t>
      </w:r>
      <w:r w:rsidRPr="00997F1C" w:rsidR="55238A14">
        <w:rPr>
          <w:color w:val="000000" w:themeColor="text1"/>
        </w:rPr>
        <w:t>.</w:t>
      </w:r>
      <w:proofErr w:type="spellEnd"/>
      <w:r w:rsidRPr="00997F1C" w:rsidR="54E6115E">
        <w:rPr>
          <w:color w:val="000000" w:themeColor="text1"/>
        </w:rPr>
        <w:t xml:space="preserve"> </w:t>
      </w:r>
      <w:r w:rsidRPr="00997F1C" w:rsidR="005F2B38">
        <w:rPr>
          <w:color w:val="000000" w:themeColor="text1"/>
        </w:rPr>
        <w:t xml:space="preserve"> </w:t>
      </w:r>
      <w:r w:rsidRPr="00997F1C" w:rsidR="3B15AC78">
        <w:rPr>
          <w:color w:val="000000" w:themeColor="text1"/>
        </w:rPr>
        <w:t>H</w:t>
      </w:r>
      <w:r w:rsidRPr="00997F1C" w:rsidR="521CFAD8">
        <w:rPr>
          <w:color w:val="000000" w:themeColor="text1"/>
        </w:rPr>
        <w:t>owever,</w:t>
      </w:r>
      <w:r w:rsidRPr="00997F1C" w:rsidR="4DD04FED">
        <w:rPr>
          <w:color w:val="000000" w:themeColor="text1"/>
        </w:rPr>
        <w:t xml:space="preserve"> the decision</w:t>
      </w:r>
      <w:r w:rsidRPr="00997F1C" w:rsidR="521CFAD8">
        <w:rPr>
          <w:color w:val="000000" w:themeColor="text1"/>
        </w:rPr>
        <w:t xml:space="preserve"> </w:t>
      </w:r>
      <w:r w:rsidRPr="00997F1C" w:rsidR="099BAB96">
        <w:rPr>
          <w:color w:val="000000" w:themeColor="text1"/>
        </w:rPr>
        <w:t xml:space="preserve">did not </w:t>
      </w:r>
      <w:r w:rsidRPr="00997F1C" w:rsidR="2517498F">
        <w:rPr>
          <w:color w:val="000000" w:themeColor="text1"/>
        </w:rPr>
        <w:t xml:space="preserve">conclusively </w:t>
      </w:r>
      <w:r w:rsidRPr="00997F1C" w:rsidR="13E5B340">
        <w:rPr>
          <w:color w:val="000000" w:themeColor="text1"/>
        </w:rPr>
        <w:t>resolve how to value</w:t>
      </w:r>
      <w:r w:rsidRPr="00997F1C" w:rsidR="1F2BB64B">
        <w:rPr>
          <w:color w:val="000000" w:themeColor="text1"/>
        </w:rPr>
        <w:t xml:space="preserve"> pr</w:t>
      </w:r>
      <w:r w:rsidRPr="00997F1C" w:rsidR="6B12E146">
        <w:rPr>
          <w:color w:val="000000" w:themeColor="text1"/>
        </w:rPr>
        <w:t xml:space="preserve">e-2019 </w:t>
      </w:r>
      <w:proofErr w:type="spellStart"/>
      <w:r w:rsidRPr="00997F1C" w:rsidR="6B12E146">
        <w:rPr>
          <w:color w:val="000000" w:themeColor="text1"/>
        </w:rPr>
        <w:t>RECs</w:t>
      </w:r>
      <w:r w:rsidRPr="00997F1C" w:rsidR="42F3C662">
        <w:rPr>
          <w:color w:val="000000" w:themeColor="text1"/>
        </w:rPr>
        <w:t>.</w:t>
      </w:r>
      <w:proofErr w:type="spellEnd"/>
      <w:r w:rsidRPr="00997F1C" w:rsidR="42F3C662">
        <w:rPr>
          <w:color w:val="000000" w:themeColor="text1"/>
        </w:rPr>
        <w:t xml:space="preserve">  </w:t>
      </w:r>
      <w:r w:rsidRPr="00997F1C" w:rsidR="00BF6D75">
        <w:rPr>
          <w:color w:val="000000" w:themeColor="text1"/>
        </w:rPr>
        <w:t>Given the expedited nature of ERRA Forecast proceedings, i</w:t>
      </w:r>
      <w:r w:rsidRPr="00997F1C" w:rsidR="70C799BA">
        <w:rPr>
          <w:color w:val="000000" w:themeColor="text1"/>
        </w:rPr>
        <w:t>t would not be possible at this time to</w:t>
      </w:r>
      <w:r w:rsidRPr="00997F1C" w:rsidR="63EAE6CD">
        <w:rPr>
          <w:color w:val="000000" w:themeColor="text1"/>
        </w:rPr>
        <w:t xml:space="preserve"> consider </w:t>
      </w:r>
      <w:r w:rsidRPr="00997F1C" w:rsidR="3F2BB611">
        <w:rPr>
          <w:color w:val="000000" w:themeColor="text1"/>
        </w:rPr>
        <w:t xml:space="preserve">whether and </w:t>
      </w:r>
      <w:r w:rsidRPr="00997F1C" w:rsidR="63EAE6CD">
        <w:rPr>
          <w:color w:val="000000" w:themeColor="text1"/>
        </w:rPr>
        <w:t xml:space="preserve">how to </w:t>
      </w:r>
      <w:r w:rsidRPr="00997F1C" w:rsidR="046C7CF0">
        <w:rPr>
          <w:color w:val="000000" w:themeColor="text1"/>
        </w:rPr>
        <w:t>apply</w:t>
      </w:r>
      <w:r w:rsidRPr="00997F1C" w:rsidR="69485183">
        <w:rPr>
          <w:color w:val="000000" w:themeColor="text1"/>
        </w:rPr>
        <w:t xml:space="preserve"> pre-banked REC</w:t>
      </w:r>
      <w:r w:rsidRPr="00997F1C" w:rsidR="00BF6D75">
        <w:rPr>
          <w:color w:val="000000" w:themeColor="text1"/>
        </w:rPr>
        <w:t>s</w:t>
      </w:r>
      <w:r w:rsidRPr="00997F1C" w:rsidR="05718A23">
        <w:rPr>
          <w:color w:val="000000" w:themeColor="text1"/>
        </w:rPr>
        <w:t xml:space="preserve"> to the </w:t>
      </w:r>
      <w:r w:rsidRPr="00997F1C" w:rsidR="2E5D7382">
        <w:rPr>
          <w:color w:val="000000" w:themeColor="text1"/>
        </w:rPr>
        <w:t>specific vintages of customers</w:t>
      </w:r>
      <w:r w:rsidRPr="00997F1C" w:rsidR="6FFB6AF8">
        <w:rPr>
          <w:color w:val="000000" w:themeColor="text1"/>
        </w:rPr>
        <w:t xml:space="preserve"> that were bundled customers at the time the REC was procured</w:t>
      </w:r>
      <w:r w:rsidRPr="00997F1C" w:rsidR="43A640A0">
        <w:rPr>
          <w:color w:val="000000" w:themeColor="text1"/>
        </w:rPr>
        <w:t xml:space="preserve"> but have since departed</w:t>
      </w:r>
      <w:r w:rsidRPr="00997F1C" w:rsidR="73CA169D">
        <w:rPr>
          <w:color w:val="000000" w:themeColor="text1"/>
        </w:rPr>
        <w:t xml:space="preserve"> from IOU service</w:t>
      </w:r>
      <w:r w:rsidRPr="00997F1C" w:rsidR="0B4D387F">
        <w:rPr>
          <w:color w:val="000000" w:themeColor="text1"/>
        </w:rPr>
        <w:t xml:space="preserve"> for </w:t>
      </w:r>
      <w:r w:rsidRPr="00997F1C" w:rsidR="6F5C5122">
        <w:rPr>
          <w:color w:val="000000" w:themeColor="text1"/>
        </w:rPr>
        <w:t xml:space="preserve">rates effective January 1, 2026. </w:t>
      </w:r>
      <w:r w:rsidRPr="00997F1C" w:rsidR="73CA169D">
        <w:rPr>
          <w:color w:val="000000" w:themeColor="text1"/>
        </w:rPr>
        <w:t xml:space="preserve"> </w:t>
      </w:r>
      <w:r w:rsidRPr="00997F1C" w:rsidR="42F3C662">
        <w:rPr>
          <w:color w:val="000000" w:themeColor="text1"/>
        </w:rPr>
        <w:t xml:space="preserve">We therefore find it reasonable to adopt PG&amp;E’s Pre-2019 Banked RECs methodology </w:t>
      </w:r>
      <w:r w:rsidRPr="00997F1C" w:rsidR="4301AECE">
        <w:rPr>
          <w:color w:val="000000" w:themeColor="text1"/>
        </w:rPr>
        <w:t xml:space="preserve">on an interim basis </w:t>
      </w:r>
      <w:r w:rsidRPr="00997F1C" w:rsidR="42F3C662">
        <w:rPr>
          <w:color w:val="000000" w:themeColor="text1"/>
        </w:rPr>
        <w:t xml:space="preserve">for the purpose of this decision.  </w:t>
      </w:r>
    </w:p>
    <w:p w:rsidRPr="00997F1C" w:rsidR="00787EF8" w:rsidP="00A52D94" w:rsidRDefault="65A001CA" w14:paraId="7CCEF77A" w14:textId="342A47F4">
      <w:pPr>
        <w:pStyle w:val="Standard"/>
        <w:rPr>
          <w:color w:val="000000" w:themeColor="text1"/>
        </w:rPr>
      </w:pPr>
      <w:r w:rsidRPr="00997F1C">
        <w:rPr>
          <w:color w:val="000000" w:themeColor="text1"/>
        </w:rPr>
        <w:lastRenderedPageBreak/>
        <w:t xml:space="preserve">The proposal to address conflicting understandings regarding the valuation of Pre-2019 Banked RECs is appropriate for consideration in a rulemaking.  PG&amp;E is directed to file </w:t>
      </w:r>
      <w:r w:rsidRPr="00997F1C" w:rsidR="6D4B3FD5">
        <w:rPr>
          <w:color w:val="000000" w:themeColor="text1"/>
        </w:rPr>
        <w:t>a Tier 2</w:t>
      </w:r>
      <w:r w:rsidRPr="00997F1C">
        <w:rPr>
          <w:color w:val="000000" w:themeColor="text1"/>
        </w:rPr>
        <w:t xml:space="preserve"> advice letter </w:t>
      </w:r>
      <w:r w:rsidRPr="00997F1C" w:rsidR="1F9D2744">
        <w:rPr>
          <w:color w:val="000000" w:themeColor="text1"/>
        </w:rPr>
        <w:t xml:space="preserve">by </w:t>
      </w:r>
      <w:r w:rsidRPr="00997F1C" w:rsidR="005F5F38">
        <w:rPr>
          <w:color w:val="000000" w:themeColor="text1"/>
        </w:rPr>
        <w:t>February</w:t>
      </w:r>
      <w:r w:rsidRPr="00997F1C" w:rsidR="1F9D2744">
        <w:rPr>
          <w:color w:val="000000" w:themeColor="text1"/>
        </w:rPr>
        <w:t xml:space="preserve"> 1, </w:t>
      </w:r>
      <w:proofErr w:type="gramStart"/>
      <w:r w:rsidRPr="00997F1C" w:rsidR="1F9D2744">
        <w:rPr>
          <w:color w:val="000000" w:themeColor="text1"/>
        </w:rPr>
        <w:t>2026</w:t>
      </w:r>
      <w:proofErr w:type="gramEnd"/>
      <w:r w:rsidRPr="00997F1C" w:rsidR="1F9D2744">
        <w:rPr>
          <w:color w:val="000000" w:themeColor="text1"/>
        </w:rPr>
        <w:t xml:space="preserve"> </w:t>
      </w:r>
      <w:r w:rsidRPr="00997F1C" w:rsidR="5299BC2E">
        <w:rPr>
          <w:color w:val="000000" w:themeColor="text1"/>
        </w:rPr>
        <w:t xml:space="preserve">to </w:t>
      </w:r>
      <w:r w:rsidRPr="00997F1C" w:rsidR="28E8D23D">
        <w:rPr>
          <w:color w:val="000000" w:themeColor="text1"/>
        </w:rPr>
        <w:t xml:space="preserve">propose how they will </w:t>
      </w:r>
      <w:r w:rsidRPr="00997F1C" w:rsidR="5299BC2E">
        <w:rPr>
          <w:color w:val="000000" w:themeColor="text1"/>
        </w:rPr>
        <w:t>track and report the quantity of pre-</w:t>
      </w:r>
      <w:r w:rsidRPr="00997F1C" w:rsidR="2458F0F4">
        <w:rPr>
          <w:color w:val="000000" w:themeColor="text1"/>
        </w:rPr>
        <w:t xml:space="preserve">2019 </w:t>
      </w:r>
      <w:r w:rsidRPr="00997F1C" w:rsidR="5299BC2E">
        <w:rPr>
          <w:color w:val="000000" w:themeColor="text1"/>
        </w:rPr>
        <w:t>banked RECs used to meet 2026 compliance and the year</w:t>
      </w:r>
      <w:r w:rsidRPr="00997F1C" w:rsidR="5F970390">
        <w:rPr>
          <w:color w:val="000000" w:themeColor="text1"/>
        </w:rPr>
        <w:t xml:space="preserve"> those</w:t>
      </w:r>
      <w:r w:rsidRPr="00997F1C" w:rsidR="5299BC2E">
        <w:rPr>
          <w:color w:val="000000" w:themeColor="text1"/>
        </w:rPr>
        <w:t xml:space="preserve"> RECs were </w:t>
      </w:r>
      <w:r w:rsidRPr="00997F1C" w:rsidR="6E4120A5">
        <w:rPr>
          <w:color w:val="000000" w:themeColor="text1"/>
        </w:rPr>
        <w:t>generated</w:t>
      </w:r>
      <w:r w:rsidRPr="00997F1C">
        <w:rPr>
          <w:color w:val="000000" w:themeColor="text1"/>
        </w:rPr>
        <w:t xml:space="preserve">. </w:t>
      </w:r>
      <w:r w:rsidRPr="00997F1C" w:rsidR="00787EF8">
        <w:rPr>
          <w:color w:val="000000" w:themeColor="text1"/>
        </w:rPr>
        <w:t xml:space="preserve"> The advice </w:t>
      </w:r>
      <w:proofErr w:type="gramStart"/>
      <w:r w:rsidRPr="00997F1C" w:rsidR="00787EF8">
        <w:rPr>
          <w:color w:val="000000" w:themeColor="text1"/>
        </w:rPr>
        <w:t>letter shall</w:t>
      </w:r>
      <w:proofErr w:type="gramEnd"/>
      <w:r w:rsidRPr="00997F1C" w:rsidR="00787EF8">
        <w:rPr>
          <w:color w:val="000000" w:themeColor="text1"/>
        </w:rPr>
        <w:t xml:space="preserve"> explain how PG&amp;E intends to track the quantity and generation year of all Pre-2019 </w:t>
      </w:r>
      <w:r w:rsidR="00E20858">
        <w:rPr>
          <w:color w:val="000000" w:themeColor="text1"/>
        </w:rPr>
        <w:t>B</w:t>
      </w:r>
      <w:r w:rsidRPr="00997F1C" w:rsidR="00787EF8">
        <w:rPr>
          <w:color w:val="000000" w:themeColor="text1"/>
        </w:rPr>
        <w:t xml:space="preserve">anked RECs it will use to meet 2026 compliance requirements </w:t>
      </w:r>
      <w:r w:rsidRPr="00997F1C" w:rsidR="002607AC">
        <w:rPr>
          <w:color w:val="000000" w:themeColor="text1"/>
        </w:rPr>
        <w:t>until further Commission guidance is put into place</w:t>
      </w:r>
      <w:r w:rsidRPr="00997F1C" w:rsidR="00787EF8">
        <w:rPr>
          <w:color w:val="000000" w:themeColor="text1"/>
        </w:rPr>
        <w:t xml:space="preserve">.  The advice letter shall also explain how PG&amp;E intends to forecast how many and which RECs PG&amp;E intends to use for bundled customer compliance from October 1, 2026, through December 31, 2026. </w:t>
      </w:r>
    </w:p>
    <w:p w:rsidRPr="00997F1C" w:rsidR="00705F57" w:rsidP="00A52D94" w:rsidRDefault="65A001CA" w14:paraId="77D27C8D" w14:textId="7663A15B">
      <w:pPr>
        <w:pStyle w:val="Standard"/>
        <w:rPr>
          <w:color w:val="000000" w:themeColor="text1"/>
        </w:rPr>
      </w:pPr>
      <w:r w:rsidRPr="00997F1C">
        <w:rPr>
          <w:color w:val="000000" w:themeColor="text1"/>
        </w:rPr>
        <w:t>Th</w:t>
      </w:r>
      <w:r w:rsidRPr="00997F1C" w:rsidR="4B9E40A8">
        <w:rPr>
          <w:color w:val="000000" w:themeColor="text1"/>
        </w:rPr>
        <w:t>is information will</w:t>
      </w:r>
      <w:r w:rsidRPr="00997F1C">
        <w:rPr>
          <w:color w:val="000000" w:themeColor="text1"/>
        </w:rPr>
        <w:t xml:space="preserve"> allow any updated guidance from the Commission regarding the treatment of Pre-2019 Banked RECs to apply to Pre-2019 Banked RECs used for bundled compliance in 2026. </w:t>
      </w:r>
      <w:r w:rsidRPr="00997F1C" w:rsidR="00886E4B">
        <w:rPr>
          <w:color w:val="000000" w:themeColor="text1"/>
        </w:rPr>
        <w:t xml:space="preserve"> </w:t>
      </w:r>
      <w:r w:rsidRPr="00997F1C">
        <w:rPr>
          <w:color w:val="000000" w:themeColor="text1"/>
        </w:rPr>
        <w:t xml:space="preserve">Should the Commission issue updated guidance on the appropriate valuation of Pre-2019 Banked RECs prior to September 1, 2026, </w:t>
      </w:r>
      <w:r w:rsidRPr="00997F1C" w:rsidR="48F49ADF">
        <w:rPr>
          <w:color w:val="000000" w:themeColor="text1"/>
        </w:rPr>
        <w:t>PG&amp;</w:t>
      </w:r>
      <w:r w:rsidRPr="00997F1C">
        <w:rPr>
          <w:color w:val="000000" w:themeColor="text1"/>
        </w:rPr>
        <w:t xml:space="preserve">E will be required to incorporate that guidance into its </w:t>
      </w:r>
      <w:r w:rsidRPr="00997F1C" w:rsidR="000F31F4">
        <w:rPr>
          <w:color w:val="000000" w:themeColor="text1"/>
        </w:rPr>
        <w:t xml:space="preserve">2027 </w:t>
      </w:r>
      <w:r w:rsidRPr="00997F1C" w:rsidR="48F49ADF">
        <w:rPr>
          <w:color w:val="000000" w:themeColor="text1"/>
        </w:rPr>
        <w:t>ERRA forecast Fall</w:t>
      </w:r>
      <w:r w:rsidRPr="00997F1C">
        <w:rPr>
          <w:color w:val="000000" w:themeColor="text1"/>
        </w:rPr>
        <w:t xml:space="preserve"> Update</w:t>
      </w:r>
      <w:r w:rsidRPr="00997F1C" w:rsidR="000F31F4">
        <w:rPr>
          <w:color w:val="000000" w:themeColor="text1"/>
        </w:rPr>
        <w:t>, filed in 2026</w:t>
      </w:r>
      <w:r w:rsidRPr="00997F1C">
        <w:rPr>
          <w:color w:val="000000" w:themeColor="text1"/>
        </w:rPr>
        <w:t xml:space="preserve">. </w:t>
      </w:r>
      <w:r w:rsidRPr="00997F1C" w:rsidR="48F49ADF">
        <w:rPr>
          <w:color w:val="000000" w:themeColor="text1"/>
        </w:rPr>
        <w:t xml:space="preserve"> </w:t>
      </w:r>
    </w:p>
    <w:p w:rsidRPr="00997F1C" w:rsidR="003E5AEF" w:rsidP="00D737A5" w:rsidRDefault="00D517A2" w14:paraId="583D7F33" w14:textId="204AEAFA">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212561165" w:id="136"/>
      <w:bookmarkStart w:name="_Toc217384640" w:id="137"/>
      <w:r w:rsidRPr="00997F1C">
        <w:rPr>
          <w:rFonts w:ascii="Arial" w:hAnsi="Arial" w:eastAsiaTheme="majorEastAsia" w:cstheme="majorBidi"/>
          <w:b/>
          <w:color w:val="000000" w:themeColor="text1"/>
          <w:szCs w:val="32"/>
        </w:rPr>
        <w:t>Slice</w:t>
      </w:r>
      <w:r>
        <w:rPr>
          <w:rFonts w:ascii="Arial" w:hAnsi="Arial" w:eastAsiaTheme="majorEastAsia" w:cstheme="majorBidi"/>
          <w:b/>
          <w:color w:val="000000" w:themeColor="text1"/>
          <w:szCs w:val="32"/>
        </w:rPr>
        <w:t>-</w:t>
      </w:r>
      <w:r w:rsidRPr="00997F1C">
        <w:rPr>
          <w:rFonts w:ascii="Arial" w:hAnsi="Arial" w:eastAsiaTheme="majorEastAsia" w:cstheme="majorBidi"/>
          <w:b/>
          <w:color w:val="000000" w:themeColor="text1"/>
          <w:szCs w:val="32"/>
        </w:rPr>
        <w:t>of</w:t>
      </w:r>
      <w:r>
        <w:rPr>
          <w:rFonts w:ascii="Arial" w:hAnsi="Arial" w:eastAsiaTheme="majorEastAsia" w:cstheme="majorBidi"/>
          <w:b/>
          <w:color w:val="000000" w:themeColor="text1"/>
          <w:szCs w:val="32"/>
        </w:rPr>
        <w:t>-</w:t>
      </w:r>
      <w:r w:rsidRPr="00997F1C">
        <w:rPr>
          <w:rFonts w:ascii="Arial" w:hAnsi="Arial" w:eastAsiaTheme="majorEastAsia" w:cstheme="majorBidi"/>
          <w:b/>
          <w:color w:val="000000" w:themeColor="text1"/>
          <w:szCs w:val="32"/>
        </w:rPr>
        <w:t>Day</w:t>
      </w:r>
      <w:r>
        <w:rPr>
          <w:rFonts w:ascii="Arial" w:hAnsi="Arial" w:eastAsiaTheme="majorEastAsia" w:cstheme="majorBidi"/>
          <w:b/>
          <w:color w:val="000000" w:themeColor="text1"/>
          <w:szCs w:val="32"/>
        </w:rPr>
        <w:t xml:space="preserve"> </w:t>
      </w:r>
      <w:r w:rsidRPr="00997F1C">
        <w:rPr>
          <w:rFonts w:ascii="Arial" w:hAnsi="Arial" w:eastAsiaTheme="majorEastAsia" w:cstheme="majorBidi"/>
          <w:b/>
          <w:color w:val="000000" w:themeColor="text1"/>
          <w:szCs w:val="32"/>
        </w:rPr>
        <w:t>Resource</w:t>
      </w:r>
      <w:r>
        <w:rPr>
          <w:rFonts w:ascii="Arial" w:hAnsi="Arial" w:eastAsiaTheme="majorEastAsia" w:cstheme="majorBidi"/>
          <w:b/>
          <w:color w:val="000000" w:themeColor="text1"/>
          <w:szCs w:val="32"/>
        </w:rPr>
        <w:t xml:space="preserve"> </w:t>
      </w:r>
      <w:r w:rsidRPr="00997F1C" w:rsidR="003E5AEF">
        <w:rPr>
          <w:rFonts w:ascii="Arial" w:hAnsi="Arial" w:eastAsiaTheme="majorEastAsia" w:cstheme="majorBidi"/>
          <w:b/>
          <w:color w:val="000000" w:themeColor="text1"/>
          <w:szCs w:val="32"/>
        </w:rPr>
        <w:t>Adequacy</w:t>
      </w:r>
      <w:r>
        <w:rPr>
          <w:rFonts w:ascii="Arial" w:hAnsi="Arial" w:eastAsiaTheme="majorEastAsia" w:cstheme="majorBidi"/>
          <w:b/>
          <w:color w:val="000000" w:themeColor="text1"/>
          <w:szCs w:val="32"/>
        </w:rPr>
        <w:t xml:space="preserve"> </w:t>
      </w:r>
      <w:r w:rsidR="00A93519">
        <w:rPr>
          <w:rFonts w:ascii="Arial" w:hAnsi="Arial" w:eastAsiaTheme="majorEastAsia" w:cstheme="majorBidi"/>
          <w:b/>
          <w:color w:val="000000" w:themeColor="text1"/>
          <w:szCs w:val="32"/>
        </w:rPr>
        <w:br/>
      </w:r>
      <w:r w:rsidRPr="00997F1C" w:rsidR="003E5AEF">
        <w:rPr>
          <w:rFonts w:ascii="Arial" w:hAnsi="Arial" w:eastAsiaTheme="majorEastAsia" w:cstheme="majorBidi"/>
          <w:b/>
          <w:color w:val="000000" w:themeColor="text1"/>
          <w:szCs w:val="32"/>
        </w:rPr>
        <w:t>Counting Methodology</w:t>
      </w:r>
      <w:bookmarkEnd w:id="136"/>
      <w:bookmarkEnd w:id="137"/>
    </w:p>
    <w:p w:rsidRPr="00997F1C" w:rsidR="003E5AEF" w:rsidP="003E5AEF" w:rsidRDefault="53E8B74B" w14:paraId="4A45B2E6" w14:textId="752D7418">
      <w:pPr>
        <w:rPr>
          <w:color w:val="000000" w:themeColor="text1"/>
        </w:rPr>
      </w:pPr>
      <w:bookmarkStart w:name="_Toc212561166" w:id="138"/>
      <w:r w:rsidRPr="00997F1C">
        <w:rPr>
          <w:color w:val="000000" w:themeColor="text1"/>
        </w:rPr>
        <w:t>PG&amp;E proposed a methodology to comply with recently adopted RA Slice-of-Day (</w:t>
      </w:r>
      <w:proofErr w:type="spellStart"/>
      <w:r w:rsidRPr="00997F1C">
        <w:rPr>
          <w:color w:val="000000" w:themeColor="text1"/>
        </w:rPr>
        <w:t>SoD</w:t>
      </w:r>
      <w:proofErr w:type="spellEnd"/>
      <w:r w:rsidRPr="00997F1C">
        <w:rPr>
          <w:color w:val="000000" w:themeColor="text1"/>
        </w:rPr>
        <w:t>) requirements. We have reviewed PG&amp;E’s proposal</w:t>
      </w:r>
      <w:r w:rsidRPr="00997F1C" w:rsidR="003E5AEF">
        <w:rPr>
          <w:color w:val="000000" w:themeColor="text1"/>
          <w:vertAlign w:val="superscript"/>
        </w:rPr>
        <w:footnoteReference w:id="70"/>
      </w:r>
      <w:r w:rsidRPr="00997F1C">
        <w:rPr>
          <w:color w:val="000000" w:themeColor="text1"/>
        </w:rPr>
        <w:t xml:space="preserve"> and revised proposal,</w:t>
      </w:r>
      <w:r w:rsidRPr="00997F1C" w:rsidR="003E5AEF">
        <w:rPr>
          <w:color w:val="000000" w:themeColor="text1"/>
          <w:vertAlign w:val="superscript"/>
        </w:rPr>
        <w:footnoteReference w:id="71"/>
      </w:r>
      <w:r w:rsidRPr="00997F1C">
        <w:rPr>
          <w:color w:val="000000" w:themeColor="text1"/>
        </w:rPr>
        <w:t xml:space="preserve"> and well as party comments</w:t>
      </w:r>
      <w:r w:rsidRPr="00997F1C" w:rsidR="003E5AEF">
        <w:rPr>
          <w:color w:val="000000" w:themeColor="text1"/>
          <w:vertAlign w:val="superscript"/>
        </w:rPr>
        <w:footnoteReference w:id="72"/>
      </w:r>
      <w:r w:rsidRPr="00997F1C">
        <w:rPr>
          <w:color w:val="000000" w:themeColor="text1"/>
        </w:rPr>
        <w:t xml:space="preserve"> and remarks on the two proposals in </w:t>
      </w:r>
      <w:r w:rsidRPr="00997F1C">
        <w:rPr>
          <w:color w:val="000000" w:themeColor="text1"/>
        </w:rPr>
        <w:lastRenderedPageBreak/>
        <w:t>hearing.</w:t>
      </w:r>
      <w:r w:rsidRPr="00997F1C" w:rsidR="003E5AEF">
        <w:rPr>
          <w:color w:val="000000" w:themeColor="text1"/>
          <w:vertAlign w:val="superscript"/>
        </w:rPr>
        <w:footnoteReference w:id="73"/>
      </w:r>
      <w:r w:rsidRPr="00997F1C">
        <w:rPr>
          <w:color w:val="000000" w:themeColor="text1"/>
        </w:rPr>
        <w:t xml:space="preserve">  We find that PG&amp;E</w:t>
      </w:r>
      <w:r w:rsidRPr="00997F1C" w:rsidR="631D4BF5">
        <w:rPr>
          <w:color w:val="000000" w:themeColor="text1"/>
        </w:rPr>
        <w:t xml:space="preserve"> shall adopt on an interim basis the methodology used by </w:t>
      </w:r>
      <w:r w:rsidRPr="00997F1C" w:rsidR="00E15514">
        <w:rPr>
          <w:color w:val="000000" w:themeColor="text1"/>
        </w:rPr>
        <w:t>Southern California Edison (</w:t>
      </w:r>
      <w:r w:rsidRPr="00997F1C" w:rsidR="631D4BF5">
        <w:rPr>
          <w:color w:val="000000" w:themeColor="text1"/>
        </w:rPr>
        <w:t>SCE</w:t>
      </w:r>
      <w:r w:rsidRPr="00997F1C" w:rsidR="00E15514">
        <w:rPr>
          <w:color w:val="000000" w:themeColor="text1"/>
        </w:rPr>
        <w:t>)</w:t>
      </w:r>
      <w:r w:rsidRPr="00997F1C" w:rsidR="631D4BF5">
        <w:rPr>
          <w:color w:val="000000" w:themeColor="text1"/>
        </w:rPr>
        <w:t xml:space="preserve"> </w:t>
      </w:r>
      <w:r w:rsidRPr="00997F1C">
        <w:rPr>
          <w:color w:val="000000" w:themeColor="text1"/>
        </w:rPr>
        <w:t xml:space="preserve">awaiting a more comprehensive decision </w:t>
      </w:r>
      <w:r w:rsidRPr="00997F1C" w:rsidR="631D4BF5">
        <w:rPr>
          <w:color w:val="000000" w:themeColor="text1"/>
        </w:rPr>
        <w:t xml:space="preserve">on </w:t>
      </w:r>
      <w:proofErr w:type="spellStart"/>
      <w:r w:rsidRPr="00997F1C" w:rsidR="631D4BF5">
        <w:rPr>
          <w:color w:val="000000" w:themeColor="text1"/>
        </w:rPr>
        <w:t>SoD</w:t>
      </w:r>
      <w:proofErr w:type="spellEnd"/>
      <w:r w:rsidRPr="00997F1C" w:rsidR="66EBC7C6">
        <w:rPr>
          <w:color w:val="000000" w:themeColor="text1"/>
        </w:rPr>
        <w:t xml:space="preserve"> compliance</w:t>
      </w:r>
      <w:r w:rsidRPr="00997F1C">
        <w:rPr>
          <w:color w:val="000000" w:themeColor="text1"/>
        </w:rPr>
        <w:t xml:space="preserve"> in </w:t>
      </w:r>
      <w:r w:rsidRPr="00997F1C" w:rsidR="004F73E4">
        <w:rPr>
          <w:color w:val="000000" w:themeColor="text1"/>
        </w:rPr>
        <w:t>a r</w:t>
      </w:r>
      <w:r w:rsidRPr="00997F1C">
        <w:rPr>
          <w:color w:val="000000" w:themeColor="text1"/>
        </w:rPr>
        <w:t xml:space="preserve">ulemaking.  </w:t>
      </w:r>
    </w:p>
    <w:p w:rsidRPr="00997F1C" w:rsidR="003E5AEF" w:rsidP="00D737A5" w:rsidRDefault="003E5AEF" w14:paraId="6EED068E"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217384641" w:id="139"/>
      <w:r w:rsidRPr="00997F1C">
        <w:rPr>
          <w:rFonts w:ascii="Arial" w:hAnsi="Arial" w:cs="Arial"/>
          <w:b/>
          <w:color w:val="000000" w:themeColor="text1"/>
          <w:szCs w:val="26"/>
        </w:rPr>
        <w:t>Background</w:t>
      </w:r>
      <w:bookmarkEnd w:id="138"/>
      <w:bookmarkEnd w:id="139"/>
    </w:p>
    <w:p w:rsidRPr="00997F1C" w:rsidR="003E5AEF" w:rsidP="003E5AEF" w:rsidRDefault="53E8B74B" w14:paraId="16217019" w14:textId="434D16B3">
      <w:pPr>
        <w:rPr>
          <w:color w:val="000000" w:themeColor="text1"/>
        </w:rPr>
      </w:pPr>
      <w:r w:rsidRPr="00997F1C">
        <w:rPr>
          <w:color w:val="000000" w:themeColor="text1"/>
        </w:rPr>
        <w:t>Pursuant to D.22-06-050, the Commission’s Resource Adequacy (RA) compliance program now requires meeting 24</w:t>
      </w:r>
      <w:r w:rsidRPr="00997F1C" w:rsidR="00A25797">
        <w:rPr>
          <w:color w:val="000000" w:themeColor="text1"/>
        </w:rPr>
        <w:t xml:space="preserve"> </w:t>
      </w:r>
      <w:r w:rsidRPr="00997F1C">
        <w:rPr>
          <w:color w:val="000000" w:themeColor="text1"/>
        </w:rPr>
        <w:t>hour</w:t>
      </w:r>
      <w:r w:rsidRPr="00997F1C" w:rsidR="00A25797">
        <w:rPr>
          <w:color w:val="000000" w:themeColor="text1"/>
        </w:rPr>
        <w:t>ly</w:t>
      </w:r>
      <w:r w:rsidRPr="00997F1C">
        <w:rPr>
          <w:color w:val="000000" w:themeColor="text1"/>
        </w:rPr>
        <w:t xml:space="preserve"> requirement positions for each month instead of </w:t>
      </w:r>
      <w:r w:rsidRPr="00997F1C" w:rsidR="00E15514">
        <w:rPr>
          <w:color w:val="000000" w:themeColor="text1"/>
        </w:rPr>
        <w:t xml:space="preserve">one </w:t>
      </w:r>
      <w:r w:rsidRPr="00997F1C">
        <w:rPr>
          <w:color w:val="000000" w:themeColor="text1"/>
        </w:rPr>
        <w:t>hour</w:t>
      </w:r>
      <w:r w:rsidRPr="00997F1C" w:rsidR="00A25797">
        <w:rPr>
          <w:color w:val="000000" w:themeColor="text1"/>
        </w:rPr>
        <w:t>ly requirement</w:t>
      </w:r>
      <w:r w:rsidRPr="00997F1C">
        <w:rPr>
          <w:color w:val="000000" w:themeColor="text1"/>
        </w:rPr>
        <w:t xml:space="preserve">.  PG&amp;E stated that adjustments are necessary to reflect the Commission’s compliance program’s impact on its Retained RA quantities used for the purpose of </w:t>
      </w:r>
      <w:proofErr w:type="spellStart"/>
      <w:r w:rsidRPr="00997F1C">
        <w:rPr>
          <w:color w:val="000000" w:themeColor="text1"/>
        </w:rPr>
        <w:t>ratesetting</w:t>
      </w:r>
      <w:proofErr w:type="spellEnd"/>
      <w:r w:rsidRPr="00997F1C">
        <w:rPr>
          <w:color w:val="000000" w:themeColor="text1"/>
        </w:rPr>
        <w:t>.</w:t>
      </w:r>
      <w:r w:rsidRPr="00997F1C" w:rsidR="003E5AEF">
        <w:rPr>
          <w:color w:val="000000" w:themeColor="text1"/>
          <w:vertAlign w:val="superscript"/>
        </w:rPr>
        <w:footnoteReference w:id="74"/>
      </w:r>
      <w:r w:rsidRPr="00997F1C">
        <w:rPr>
          <w:color w:val="000000" w:themeColor="text1"/>
        </w:rPr>
        <w:t xml:space="preserve">  </w:t>
      </w:r>
    </w:p>
    <w:p w:rsidRPr="00997F1C" w:rsidR="003E5AEF" w:rsidP="00D737A5" w:rsidRDefault="003E5AEF" w14:paraId="1BD621F6"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217384642" w:id="140"/>
      <w:r w:rsidRPr="00997F1C">
        <w:rPr>
          <w:rFonts w:ascii="Arial" w:hAnsi="Arial" w:cs="Arial"/>
          <w:b/>
          <w:color w:val="000000" w:themeColor="text1"/>
          <w:szCs w:val="26"/>
        </w:rPr>
        <w:t>PG&amp;E Proposal</w:t>
      </w:r>
      <w:bookmarkEnd w:id="140"/>
    </w:p>
    <w:p w:rsidRPr="00997F1C" w:rsidR="003E5AEF" w:rsidP="003E5AEF" w:rsidRDefault="53E8B74B" w14:paraId="00E19AA9" w14:textId="3E3942A1">
      <w:pPr>
        <w:rPr>
          <w:color w:val="000000" w:themeColor="text1"/>
        </w:rPr>
      </w:pPr>
      <w:r w:rsidRPr="00997F1C">
        <w:rPr>
          <w:color w:val="000000" w:themeColor="text1"/>
        </w:rPr>
        <w:t xml:space="preserve">PG&amp;E initially requested to use average hourly battery discharge and charging to calculate capacity value; this methodology resulted in nearly a </w:t>
      </w:r>
      <w:proofErr w:type="gramStart"/>
      <w:r w:rsidRPr="00997F1C">
        <w:rPr>
          <w:color w:val="000000" w:themeColor="text1"/>
        </w:rPr>
        <w:t>zero capacity</w:t>
      </w:r>
      <w:proofErr w:type="gramEnd"/>
      <w:r w:rsidRPr="00997F1C">
        <w:rPr>
          <w:color w:val="000000" w:themeColor="text1"/>
        </w:rPr>
        <w:t xml:space="preserve"> value for PCIA-eligible batteries. </w:t>
      </w:r>
      <w:r w:rsidRPr="00997F1C" w:rsidR="5AA1AFC7">
        <w:rPr>
          <w:color w:val="000000" w:themeColor="text1"/>
        </w:rPr>
        <w:t xml:space="preserve"> </w:t>
      </w:r>
      <w:r w:rsidRPr="00997F1C">
        <w:rPr>
          <w:color w:val="000000" w:themeColor="text1"/>
        </w:rPr>
        <w:t xml:space="preserve">Following protest from </w:t>
      </w:r>
      <w:proofErr w:type="spellStart"/>
      <w:r w:rsidRPr="00997F1C">
        <w:rPr>
          <w:color w:val="000000" w:themeColor="text1"/>
        </w:rPr>
        <w:t>CalCCA</w:t>
      </w:r>
      <w:proofErr w:type="spellEnd"/>
      <w:r w:rsidRPr="00997F1C">
        <w:rPr>
          <w:color w:val="000000" w:themeColor="text1"/>
        </w:rPr>
        <w:t>,</w:t>
      </w:r>
      <w:r w:rsidRPr="00997F1C" w:rsidR="003E5AEF">
        <w:rPr>
          <w:color w:val="000000" w:themeColor="text1"/>
          <w:vertAlign w:val="superscript"/>
        </w:rPr>
        <w:footnoteReference w:id="75"/>
      </w:r>
      <w:r w:rsidRPr="00997F1C">
        <w:rPr>
          <w:color w:val="000000" w:themeColor="text1"/>
        </w:rPr>
        <w:t xml:space="preserve"> PG&amp;E revised its proposal.</w:t>
      </w:r>
      <w:r w:rsidRPr="00997F1C" w:rsidR="003E5AEF">
        <w:rPr>
          <w:color w:val="000000" w:themeColor="text1"/>
          <w:vertAlign w:val="superscript"/>
        </w:rPr>
        <w:footnoteReference w:id="76"/>
      </w:r>
      <w:r w:rsidRPr="00997F1C">
        <w:rPr>
          <w:color w:val="000000" w:themeColor="text1"/>
        </w:rPr>
        <w:t xml:space="preserve">  In the updated proposal, PG&amp;E applied a 100 percent weight on its </w:t>
      </w:r>
      <w:proofErr w:type="spellStart"/>
      <w:r w:rsidRPr="00997F1C">
        <w:rPr>
          <w:color w:val="000000" w:themeColor="text1"/>
        </w:rPr>
        <w:t>SoD</w:t>
      </w:r>
      <w:proofErr w:type="spellEnd"/>
      <w:r w:rsidRPr="00997F1C">
        <w:rPr>
          <w:color w:val="000000" w:themeColor="text1"/>
        </w:rPr>
        <w:t xml:space="preserve"> position during the CAISO peak hour.  According to PG&amp;E, this revision would make its forecast RA retention obligations consistent with requirements for Retained RA set forth in D.19-10-001.</w:t>
      </w:r>
    </w:p>
    <w:p w:rsidRPr="00997F1C" w:rsidR="003E5AEF" w:rsidP="003E5AEF" w:rsidRDefault="53E8B74B" w14:paraId="69F6F306" w14:textId="4D43FEBF">
      <w:pPr>
        <w:rPr>
          <w:color w:val="000000" w:themeColor="text1"/>
        </w:rPr>
      </w:pPr>
      <w:r w:rsidRPr="00997F1C">
        <w:rPr>
          <w:color w:val="000000" w:themeColor="text1"/>
        </w:rPr>
        <w:t>The Revised Proposal contains a weighting scheme that places 100 percent of the portfolio</w:t>
      </w:r>
      <w:r w:rsidRPr="00997F1C" w:rsidR="15175DF0">
        <w:rPr>
          <w:color w:val="000000" w:themeColor="text1"/>
        </w:rPr>
        <w:t>’</w:t>
      </w:r>
      <w:r w:rsidRPr="00997F1C">
        <w:rPr>
          <w:color w:val="000000" w:themeColor="text1"/>
        </w:rPr>
        <w:t xml:space="preserve">s </w:t>
      </w:r>
      <w:proofErr w:type="spellStart"/>
      <w:r w:rsidRPr="00997F1C">
        <w:rPr>
          <w:color w:val="000000" w:themeColor="text1"/>
        </w:rPr>
        <w:t>SoD</w:t>
      </w:r>
      <w:proofErr w:type="spellEnd"/>
      <w:r w:rsidRPr="00997F1C">
        <w:rPr>
          <w:color w:val="000000" w:themeColor="text1"/>
        </w:rPr>
        <w:t xml:space="preserve"> position during the CAISO peak hour (peak hour), and 0 percent on the other 23 </w:t>
      </w:r>
      <w:proofErr w:type="spellStart"/>
      <w:r w:rsidRPr="00997F1C">
        <w:rPr>
          <w:color w:val="000000" w:themeColor="text1"/>
        </w:rPr>
        <w:t>SoD</w:t>
      </w:r>
      <w:proofErr w:type="spellEnd"/>
      <w:r w:rsidRPr="00997F1C">
        <w:rPr>
          <w:color w:val="000000" w:themeColor="text1"/>
        </w:rPr>
        <w:t xml:space="preserve"> hours.</w:t>
      </w:r>
      <w:r w:rsidRPr="00997F1C" w:rsidR="003E5AEF">
        <w:rPr>
          <w:color w:val="000000" w:themeColor="text1"/>
          <w:vertAlign w:val="superscript"/>
        </w:rPr>
        <w:footnoteReference w:id="77"/>
      </w:r>
      <w:r w:rsidRPr="00997F1C">
        <w:rPr>
          <w:color w:val="000000" w:themeColor="text1"/>
        </w:rPr>
        <w:t xml:space="preserve"> </w:t>
      </w:r>
      <w:r w:rsidRPr="00997F1C" w:rsidR="5AA1AFC7">
        <w:rPr>
          <w:color w:val="000000" w:themeColor="text1"/>
        </w:rPr>
        <w:t xml:space="preserve"> </w:t>
      </w:r>
      <w:r w:rsidRPr="00997F1C">
        <w:rPr>
          <w:color w:val="000000" w:themeColor="text1"/>
        </w:rPr>
        <w:t xml:space="preserve">According to PG&amp;E, the amount of solar retained in the peak hour is no different than under the status quo, and the only </w:t>
      </w:r>
      <w:r w:rsidRPr="00997F1C">
        <w:rPr>
          <w:color w:val="000000" w:themeColor="text1"/>
        </w:rPr>
        <w:lastRenderedPageBreak/>
        <w:t xml:space="preserve">exception between the status quo and the Revised Proposal is that PG&amp;E’s retained battery storage quantities reflect those that are forecast to be discharged in the peak hour. </w:t>
      </w:r>
      <w:r w:rsidRPr="00997F1C" w:rsidR="5AA1AFC7">
        <w:rPr>
          <w:color w:val="000000" w:themeColor="text1"/>
        </w:rPr>
        <w:t xml:space="preserve"> </w:t>
      </w:r>
      <w:r w:rsidRPr="00997F1C">
        <w:rPr>
          <w:color w:val="000000" w:themeColor="text1"/>
        </w:rPr>
        <w:t xml:space="preserve">According to PG&amp;E, the 100 percent peak hour weighting captures the </w:t>
      </w:r>
      <w:proofErr w:type="spellStart"/>
      <w:r w:rsidRPr="00997F1C">
        <w:rPr>
          <w:color w:val="000000" w:themeColor="text1"/>
        </w:rPr>
        <w:t>SoD</w:t>
      </w:r>
      <w:proofErr w:type="spellEnd"/>
      <w:r w:rsidRPr="00997F1C">
        <w:rPr>
          <w:color w:val="000000" w:themeColor="text1"/>
        </w:rPr>
        <w:t xml:space="preserve"> volumes for all of the other 23 </w:t>
      </w:r>
      <w:proofErr w:type="spellStart"/>
      <w:r w:rsidRPr="00997F1C">
        <w:rPr>
          <w:color w:val="000000" w:themeColor="text1"/>
        </w:rPr>
        <w:t>SoD</w:t>
      </w:r>
      <w:proofErr w:type="spellEnd"/>
      <w:r w:rsidRPr="00997F1C">
        <w:rPr>
          <w:color w:val="000000" w:themeColor="text1"/>
        </w:rPr>
        <w:t xml:space="preserve"> positions in each month since the resources being retained in the peak hour deliver across all hours.</w:t>
      </w:r>
      <w:r w:rsidRPr="00997F1C" w:rsidR="003E5AEF">
        <w:rPr>
          <w:color w:val="000000" w:themeColor="text1"/>
          <w:vertAlign w:val="superscript"/>
        </w:rPr>
        <w:footnoteReference w:id="78"/>
      </w:r>
      <w:r w:rsidRPr="00997F1C">
        <w:rPr>
          <w:color w:val="000000" w:themeColor="text1"/>
        </w:rPr>
        <w:t xml:space="preserve">  PG&amp;E states that its PGE forecast Retained RA in each hour of the month that is effectively set at the level of Retained RA derived in the peak hour.</w:t>
      </w:r>
      <w:r w:rsidRPr="00997F1C" w:rsidR="5AA1AFC7">
        <w:rPr>
          <w:color w:val="000000" w:themeColor="text1"/>
        </w:rPr>
        <w:t xml:space="preserve"> </w:t>
      </w:r>
      <w:r w:rsidRPr="00997F1C">
        <w:rPr>
          <w:color w:val="000000" w:themeColor="text1"/>
        </w:rPr>
        <w:t xml:space="preserve"> The peak hour requirement in each month is either the maximum or close to the maximum hourly requirement in each month. </w:t>
      </w:r>
    </w:p>
    <w:p w:rsidRPr="00997F1C" w:rsidR="003E5AEF" w:rsidP="003E5AEF" w:rsidRDefault="53E8B74B" w14:paraId="41D61EC6" w14:textId="77777777">
      <w:pPr>
        <w:rPr>
          <w:color w:val="000000" w:themeColor="text1"/>
        </w:rPr>
      </w:pPr>
      <w:r w:rsidRPr="00997F1C">
        <w:rPr>
          <w:color w:val="000000" w:themeColor="text1"/>
        </w:rPr>
        <w:t>PG&amp;E argued that the Revised Proposal, adopted on an interim basis, is reasonable for ratemaking purposes.</w:t>
      </w:r>
      <w:r w:rsidRPr="00997F1C" w:rsidR="003E5AEF">
        <w:rPr>
          <w:color w:val="000000" w:themeColor="text1"/>
          <w:vertAlign w:val="superscript"/>
        </w:rPr>
        <w:footnoteReference w:id="79"/>
      </w:r>
    </w:p>
    <w:p w:rsidRPr="00997F1C" w:rsidR="003E5AEF" w:rsidP="00D737A5" w:rsidRDefault="003E5AEF" w14:paraId="4E675EF5"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212561167" w:id="141"/>
      <w:bookmarkStart w:name="_Toc217384643" w:id="142"/>
      <w:proofErr w:type="spellStart"/>
      <w:r w:rsidRPr="00997F1C">
        <w:rPr>
          <w:rFonts w:ascii="Arial" w:hAnsi="Arial" w:cs="Arial"/>
          <w:b/>
          <w:color w:val="000000" w:themeColor="text1"/>
          <w:szCs w:val="26"/>
        </w:rPr>
        <w:t>CalCCA</w:t>
      </w:r>
      <w:proofErr w:type="spellEnd"/>
      <w:r w:rsidRPr="00997F1C">
        <w:rPr>
          <w:rFonts w:ascii="Arial" w:hAnsi="Arial" w:cs="Arial"/>
          <w:b/>
          <w:color w:val="000000" w:themeColor="text1"/>
          <w:szCs w:val="26"/>
        </w:rPr>
        <w:t xml:space="preserve"> Comments</w:t>
      </w:r>
      <w:bookmarkEnd w:id="141"/>
      <w:bookmarkEnd w:id="142"/>
    </w:p>
    <w:p w:rsidRPr="00997F1C" w:rsidR="003E5AEF" w:rsidP="003E5AEF" w:rsidRDefault="53E8B74B" w14:paraId="6EB2AC5A" w14:textId="1B836BE7">
      <w:pPr>
        <w:rPr>
          <w:color w:val="000000" w:themeColor="text1"/>
        </w:rPr>
      </w:pPr>
      <w:proofErr w:type="spellStart"/>
      <w:r w:rsidRPr="00997F1C">
        <w:rPr>
          <w:color w:val="000000" w:themeColor="text1"/>
        </w:rPr>
        <w:t>CalCCA</w:t>
      </w:r>
      <w:proofErr w:type="spellEnd"/>
      <w:r w:rsidRPr="00997F1C">
        <w:rPr>
          <w:color w:val="000000" w:themeColor="text1"/>
        </w:rPr>
        <w:t xml:space="preserve"> asked the Commission to reject PG&amp;E’s </w:t>
      </w:r>
      <w:proofErr w:type="spellStart"/>
      <w:r w:rsidRPr="00997F1C" w:rsidR="13DF11FC">
        <w:rPr>
          <w:color w:val="000000" w:themeColor="text1"/>
        </w:rPr>
        <w:t>SoD</w:t>
      </w:r>
      <w:proofErr w:type="spellEnd"/>
      <w:r w:rsidRPr="00997F1C" w:rsidR="13DF11FC">
        <w:rPr>
          <w:color w:val="000000" w:themeColor="text1"/>
        </w:rPr>
        <w:t xml:space="preserve"> </w:t>
      </w:r>
      <w:r w:rsidRPr="00997F1C">
        <w:rPr>
          <w:color w:val="000000" w:themeColor="text1"/>
        </w:rPr>
        <w:t>RA proposal and instead consider the matter in a rulemaking proceeding such as R.25-02-005.</w:t>
      </w:r>
      <w:r w:rsidRPr="00997F1C" w:rsidR="003E5AEF">
        <w:rPr>
          <w:color w:val="000000" w:themeColor="text1"/>
          <w:vertAlign w:val="superscript"/>
        </w:rPr>
        <w:footnoteReference w:id="80"/>
      </w:r>
      <w:r w:rsidRPr="00997F1C">
        <w:rPr>
          <w:color w:val="000000" w:themeColor="text1"/>
        </w:rPr>
        <w:t xml:space="preserve">  </w:t>
      </w:r>
      <w:proofErr w:type="spellStart"/>
      <w:r w:rsidRPr="00997F1C">
        <w:rPr>
          <w:color w:val="000000" w:themeColor="text1"/>
        </w:rPr>
        <w:t>CalCCA</w:t>
      </w:r>
      <w:proofErr w:type="spellEnd"/>
      <w:r w:rsidRPr="00997F1C">
        <w:rPr>
          <w:color w:val="000000" w:themeColor="text1"/>
        </w:rPr>
        <w:t xml:space="preserve"> stated that if the Commission adopts PG&amp;E’s </w:t>
      </w:r>
      <w:proofErr w:type="spellStart"/>
      <w:r w:rsidRPr="00997F1C" w:rsidR="13DF11FC">
        <w:rPr>
          <w:color w:val="000000" w:themeColor="text1"/>
        </w:rPr>
        <w:t>SoD</w:t>
      </w:r>
      <w:proofErr w:type="spellEnd"/>
      <w:r w:rsidRPr="00997F1C" w:rsidR="13DF11FC">
        <w:rPr>
          <w:color w:val="000000" w:themeColor="text1"/>
        </w:rPr>
        <w:t xml:space="preserve"> </w:t>
      </w:r>
      <w:r w:rsidRPr="00997F1C">
        <w:rPr>
          <w:color w:val="000000" w:themeColor="text1"/>
        </w:rPr>
        <w:t>RA proposal, PG&amp;E should “correct an error that understates the Retained RA provided by storage resources procured pursuant to D.19-11-016 and recovered through a Modified CAM allocation.”</w:t>
      </w:r>
      <w:r w:rsidRPr="00997F1C" w:rsidR="003E5AEF">
        <w:rPr>
          <w:color w:val="000000" w:themeColor="text1"/>
          <w:vertAlign w:val="superscript"/>
        </w:rPr>
        <w:footnoteReference w:id="81"/>
      </w:r>
    </w:p>
    <w:p w:rsidRPr="00997F1C" w:rsidR="00144F1C" w:rsidP="00144F1C" w:rsidRDefault="53E8B74B" w14:paraId="318EF98A" w14:textId="793FA72F">
      <w:pPr>
        <w:rPr>
          <w:color w:val="000000" w:themeColor="text1"/>
        </w:rPr>
      </w:pPr>
      <w:r w:rsidRPr="00997F1C">
        <w:rPr>
          <w:color w:val="000000" w:themeColor="text1"/>
        </w:rPr>
        <w:t xml:space="preserve">Alternatively, </w:t>
      </w:r>
      <w:proofErr w:type="spellStart"/>
      <w:r w:rsidRPr="00997F1C">
        <w:rPr>
          <w:color w:val="000000" w:themeColor="text1"/>
        </w:rPr>
        <w:t>CalCCA</w:t>
      </w:r>
      <w:proofErr w:type="spellEnd"/>
      <w:r w:rsidRPr="00997F1C">
        <w:rPr>
          <w:color w:val="000000" w:themeColor="text1"/>
        </w:rPr>
        <w:t xml:space="preserve"> asked the Commission to adopt for PG&amp;E the methodology approved last year in the SCE ERRA forecast proceeding.</w:t>
      </w:r>
      <w:r w:rsidRPr="00997F1C" w:rsidR="003E5AEF">
        <w:rPr>
          <w:color w:val="000000" w:themeColor="text1"/>
          <w:vertAlign w:val="superscript"/>
        </w:rPr>
        <w:footnoteReference w:id="82"/>
      </w:r>
      <w:r w:rsidRPr="00997F1C" w:rsidR="447859EB">
        <w:rPr>
          <w:color w:val="000000" w:themeColor="text1"/>
        </w:rPr>
        <w:t xml:space="preserve"> </w:t>
      </w:r>
      <w:r w:rsidRPr="00997F1C" w:rsidR="5961CADF">
        <w:rPr>
          <w:color w:val="000000" w:themeColor="text1"/>
        </w:rPr>
        <w:t xml:space="preserve"> </w:t>
      </w:r>
      <w:r w:rsidRPr="00997F1C" w:rsidR="79F9BB03">
        <w:rPr>
          <w:color w:val="000000" w:themeColor="text1"/>
        </w:rPr>
        <w:t>In</w:t>
      </w:r>
      <w:r w:rsidRPr="00997F1C" w:rsidR="5961CADF">
        <w:rPr>
          <w:color w:val="000000" w:themeColor="text1"/>
        </w:rPr>
        <w:t xml:space="preserve"> </w:t>
      </w:r>
      <w:r w:rsidRPr="00997F1C" w:rsidR="5961CADF">
        <w:rPr>
          <w:color w:val="000000" w:themeColor="text1"/>
        </w:rPr>
        <w:lastRenderedPageBreak/>
        <w:t>SCE</w:t>
      </w:r>
      <w:r w:rsidRPr="00997F1C" w:rsidR="316DD4CF">
        <w:rPr>
          <w:color w:val="000000" w:themeColor="text1"/>
        </w:rPr>
        <w:t>’</w:t>
      </w:r>
      <w:r w:rsidRPr="00997F1C" w:rsidR="5961CADF">
        <w:rPr>
          <w:color w:val="000000" w:themeColor="text1"/>
        </w:rPr>
        <w:t xml:space="preserve">s methodology, the capacity value for stand-alone storage resources </w:t>
      </w:r>
      <w:r w:rsidRPr="00997F1C" w:rsidR="316DD4CF">
        <w:rPr>
          <w:color w:val="000000" w:themeColor="text1"/>
        </w:rPr>
        <w:t xml:space="preserve">is calculated </w:t>
      </w:r>
      <w:r w:rsidRPr="00997F1C" w:rsidR="5961CADF">
        <w:rPr>
          <w:color w:val="000000" w:themeColor="text1"/>
        </w:rPr>
        <w:t xml:space="preserve">as the storage </w:t>
      </w:r>
      <w:r w:rsidRPr="00997F1C" w:rsidR="2111D2DE">
        <w:rPr>
          <w:color w:val="000000" w:themeColor="text1"/>
        </w:rPr>
        <w:t xml:space="preserve">Net Qualifying Capacity (NQC) </w:t>
      </w:r>
      <w:r w:rsidRPr="00997F1C" w:rsidR="5961CADF">
        <w:rPr>
          <w:color w:val="000000" w:themeColor="text1"/>
        </w:rPr>
        <w:t xml:space="preserve">minus an estimate of the RA capacity needed for charging. </w:t>
      </w:r>
      <w:r w:rsidRPr="00997F1C" w:rsidR="79F9BB03">
        <w:rPr>
          <w:color w:val="000000" w:themeColor="text1"/>
        </w:rPr>
        <w:t xml:space="preserve"> </w:t>
      </w:r>
      <w:r w:rsidRPr="00997F1C" w:rsidR="5961CADF">
        <w:rPr>
          <w:color w:val="000000" w:themeColor="text1"/>
        </w:rPr>
        <w:t>SCE’s</w:t>
      </w:r>
      <w:r w:rsidRPr="00997F1C" w:rsidR="316DD4CF">
        <w:rPr>
          <w:color w:val="000000" w:themeColor="text1"/>
        </w:rPr>
        <w:t xml:space="preserve"> </w:t>
      </w:r>
      <w:r w:rsidRPr="00997F1C" w:rsidR="5961CADF">
        <w:rPr>
          <w:color w:val="000000" w:themeColor="text1"/>
        </w:rPr>
        <w:t>formula for calculating the RA quantity from storage resources is: NQC – NQC * 4 / 24 / Round Trip Efficiency.</w:t>
      </w:r>
      <w:r w:rsidRPr="00997F1C" w:rsidR="00A44600">
        <w:rPr>
          <w:rStyle w:val="FootnoteReference"/>
          <w:color w:val="000000" w:themeColor="text1"/>
        </w:rPr>
        <w:footnoteReference w:id="83"/>
      </w:r>
    </w:p>
    <w:p w:rsidRPr="00997F1C" w:rsidR="00B80A19" w:rsidP="08E1DFB8" w:rsidRDefault="7FE0D1AB" w14:paraId="3B27B635" w14:textId="57829163">
      <w:pPr>
        <w:rPr>
          <w:rFonts w:ascii="Arial" w:hAnsi="Arial" w:cs="Arial"/>
          <w:b/>
          <w:bCs/>
          <w:color w:val="000000" w:themeColor="text1"/>
        </w:rPr>
      </w:pPr>
      <w:r w:rsidRPr="00997F1C">
        <w:rPr>
          <w:color w:val="000000" w:themeColor="text1"/>
        </w:rPr>
        <w:t xml:space="preserve">According to </w:t>
      </w:r>
      <w:proofErr w:type="spellStart"/>
      <w:r w:rsidRPr="00997F1C">
        <w:rPr>
          <w:color w:val="000000" w:themeColor="text1"/>
        </w:rPr>
        <w:t>CalCCA</w:t>
      </w:r>
      <w:proofErr w:type="spellEnd"/>
      <w:r w:rsidRPr="00997F1C">
        <w:rPr>
          <w:color w:val="000000" w:themeColor="text1"/>
        </w:rPr>
        <w:t xml:space="preserve">, SCE’s methodology </w:t>
      </w:r>
      <w:r w:rsidRPr="00997F1C" w:rsidR="0C12EAA8">
        <w:rPr>
          <w:color w:val="000000" w:themeColor="text1"/>
        </w:rPr>
        <w:t>is more reasonable tha</w:t>
      </w:r>
      <w:r w:rsidRPr="00997F1C" w:rsidR="00A25797">
        <w:rPr>
          <w:color w:val="000000" w:themeColor="text1"/>
        </w:rPr>
        <w:t>n</w:t>
      </w:r>
      <w:r w:rsidRPr="00997F1C" w:rsidR="0C12EAA8">
        <w:rPr>
          <w:color w:val="000000" w:themeColor="text1"/>
        </w:rPr>
        <w:t xml:space="preserve"> PG&amp;E’s revi</w:t>
      </w:r>
      <w:r w:rsidRPr="00997F1C" w:rsidR="5A7B7C5D">
        <w:rPr>
          <w:color w:val="000000" w:themeColor="text1"/>
        </w:rPr>
        <w:t xml:space="preserve">sed proposal because it (1) produces a result that better comports with market realities, and (2) would produce </w:t>
      </w:r>
      <w:r w:rsidRPr="00997F1C" w:rsidR="42F7DB9A">
        <w:rPr>
          <w:color w:val="000000" w:themeColor="text1"/>
        </w:rPr>
        <w:t>a consistent</w:t>
      </w:r>
      <w:r w:rsidRPr="00997F1C" w:rsidR="5A7B7C5D">
        <w:rPr>
          <w:color w:val="000000" w:themeColor="text1"/>
        </w:rPr>
        <w:t xml:space="preserve"> discount for battery storage RA, relative to bas</w:t>
      </w:r>
      <w:r w:rsidRPr="00997F1C" w:rsidR="42F7DB9A">
        <w:rPr>
          <w:color w:val="000000" w:themeColor="text1"/>
        </w:rPr>
        <w:t>eload, among</w:t>
      </w:r>
      <w:r w:rsidRPr="00997F1C" w:rsidR="2FB42700">
        <w:rPr>
          <w:color w:val="000000" w:themeColor="text1"/>
        </w:rPr>
        <w:t xml:space="preserve"> electric</w:t>
      </w:r>
      <w:r w:rsidRPr="00997F1C" w:rsidR="42F7DB9A">
        <w:rPr>
          <w:color w:val="000000" w:themeColor="text1"/>
        </w:rPr>
        <w:t xml:space="preserve"> utilities</w:t>
      </w:r>
      <w:r w:rsidRPr="00997F1C">
        <w:rPr>
          <w:color w:val="000000" w:themeColor="text1"/>
        </w:rPr>
        <w:t>.</w:t>
      </w:r>
      <w:r w:rsidRPr="00997F1C" w:rsidR="00B945BB">
        <w:rPr>
          <w:rStyle w:val="FootnoteReference"/>
          <w:color w:val="000000" w:themeColor="text1"/>
        </w:rPr>
        <w:footnoteReference w:id="84"/>
      </w:r>
      <w:r w:rsidRPr="00997F1C">
        <w:rPr>
          <w:color w:val="000000" w:themeColor="text1"/>
        </w:rPr>
        <w:t xml:space="preserve"> </w:t>
      </w:r>
      <w:r w:rsidRPr="00997F1C" w:rsidR="2FB42700">
        <w:rPr>
          <w:color w:val="000000" w:themeColor="text1"/>
        </w:rPr>
        <w:t xml:space="preserve"> According to </w:t>
      </w:r>
      <w:proofErr w:type="spellStart"/>
      <w:r w:rsidRPr="00997F1C" w:rsidR="2FB42700">
        <w:rPr>
          <w:color w:val="000000" w:themeColor="text1"/>
        </w:rPr>
        <w:t>CalCCA</w:t>
      </w:r>
      <w:proofErr w:type="spellEnd"/>
      <w:r w:rsidRPr="00997F1C" w:rsidR="2FB42700">
        <w:rPr>
          <w:color w:val="000000" w:themeColor="text1"/>
        </w:rPr>
        <w:t xml:space="preserve">, SCE’s interim </w:t>
      </w:r>
      <w:proofErr w:type="spellStart"/>
      <w:r w:rsidRPr="00997F1C" w:rsidR="24B1ED9D">
        <w:rPr>
          <w:color w:val="000000" w:themeColor="text1"/>
        </w:rPr>
        <w:t>SoD</w:t>
      </w:r>
      <w:proofErr w:type="spellEnd"/>
      <w:r w:rsidRPr="00997F1C" w:rsidR="24B1ED9D">
        <w:rPr>
          <w:color w:val="000000" w:themeColor="text1"/>
        </w:rPr>
        <w:t xml:space="preserve"> method uses a formula that produces a fixed discount for a battery storage resource relative to its maximum capacity, rather than an utility-specific optimized quantity that the battery would deliver in any given hour.</w:t>
      </w:r>
      <w:r w:rsidRPr="00997F1C" w:rsidR="008326E7">
        <w:rPr>
          <w:rStyle w:val="FootnoteReference"/>
          <w:color w:val="000000" w:themeColor="text1"/>
        </w:rPr>
        <w:footnoteReference w:id="85"/>
      </w:r>
    </w:p>
    <w:p w:rsidRPr="00997F1C" w:rsidR="003E5AEF" w:rsidP="00D737A5" w:rsidRDefault="003E5AEF" w14:paraId="05C9ABEE"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212561168" w:id="143"/>
      <w:bookmarkStart w:name="_Toc217384644" w:id="144"/>
      <w:r w:rsidRPr="00997F1C">
        <w:rPr>
          <w:rFonts w:ascii="Arial" w:hAnsi="Arial" w:cs="Arial"/>
          <w:b/>
          <w:color w:val="000000" w:themeColor="text1"/>
          <w:szCs w:val="26"/>
        </w:rPr>
        <w:t>PG&amp;E Response</w:t>
      </w:r>
      <w:bookmarkEnd w:id="144"/>
    </w:p>
    <w:p w:rsidRPr="00997F1C" w:rsidR="003E5AEF" w:rsidP="003E5AEF" w:rsidRDefault="53E8B74B" w14:paraId="24D5712D" w14:textId="4EBED0F6">
      <w:pPr>
        <w:rPr>
          <w:color w:val="000000" w:themeColor="text1"/>
        </w:rPr>
      </w:pPr>
      <w:r w:rsidRPr="00997F1C">
        <w:rPr>
          <w:color w:val="000000" w:themeColor="text1"/>
        </w:rPr>
        <w:t xml:space="preserve">PG&amp;E disagreed with </w:t>
      </w:r>
      <w:proofErr w:type="spellStart"/>
      <w:r w:rsidRPr="00997F1C">
        <w:rPr>
          <w:color w:val="000000" w:themeColor="text1"/>
        </w:rPr>
        <w:t>CalCCA’s</w:t>
      </w:r>
      <w:proofErr w:type="spellEnd"/>
      <w:r w:rsidRPr="00997F1C">
        <w:rPr>
          <w:color w:val="000000" w:themeColor="text1"/>
        </w:rPr>
        <w:t xml:space="preserve"> assessment that there is no compelling reason to adopt a revised </w:t>
      </w:r>
      <w:proofErr w:type="spellStart"/>
      <w:r w:rsidRPr="00997F1C" w:rsidR="13DF11FC">
        <w:rPr>
          <w:color w:val="000000" w:themeColor="text1"/>
        </w:rPr>
        <w:t>S</w:t>
      </w:r>
      <w:r w:rsidRPr="00997F1C" w:rsidR="1FAE44AE">
        <w:rPr>
          <w:color w:val="000000" w:themeColor="text1"/>
        </w:rPr>
        <w:t>o</w:t>
      </w:r>
      <w:r w:rsidRPr="00997F1C" w:rsidR="13DF11FC">
        <w:rPr>
          <w:color w:val="000000" w:themeColor="text1"/>
        </w:rPr>
        <w:t>D</w:t>
      </w:r>
      <w:proofErr w:type="spellEnd"/>
      <w:r w:rsidRPr="00997F1C" w:rsidR="13DF11FC">
        <w:rPr>
          <w:color w:val="000000" w:themeColor="text1"/>
        </w:rPr>
        <w:t xml:space="preserve"> </w:t>
      </w:r>
      <w:r w:rsidRPr="00997F1C">
        <w:rPr>
          <w:color w:val="000000" w:themeColor="text1"/>
        </w:rPr>
        <w:t>methodology in this proceeding and argued again that the Commission should adopt its proposed methodology on an interim basis.</w:t>
      </w:r>
      <w:r w:rsidRPr="00997F1C" w:rsidR="003E5AEF">
        <w:rPr>
          <w:color w:val="000000" w:themeColor="text1"/>
          <w:vertAlign w:val="superscript"/>
        </w:rPr>
        <w:footnoteReference w:id="86"/>
      </w:r>
      <w:r w:rsidRPr="00997F1C">
        <w:rPr>
          <w:color w:val="000000" w:themeColor="text1"/>
        </w:rPr>
        <w:t xml:space="preserve">  According to PG&amp;E, it is uncontested that the Commission has fundamentally modified its RA compliance program, and that the modifications will have an ongoing impact on resources used for RA compliance.</w:t>
      </w:r>
      <w:r w:rsidRPr="00997F1C" w:rsidR="003E5AEF">
        <w:rPr>
          <w:color w:val="000000" w:themeColor="text1"/>
          <w:vertAlign w:val="superscript"/>
        </w:rPr>
        <w:footnoteReference w:id="87"/>
      </w:r>
    </w:p>
    <w:p w:rsidRPr="00997F1C" w:rsidR="003E5AEF" w:rsidP="003E5AEF" w:rsidRDefault="53E8B74B" w14:paraId="2B63892A" w14:textId="29683F6A">
      <w:pPr>
        <w:rPr>
          <w:color w:val="000000" w:themeColor="text1"/>
        </w:rPr>
      </w:pPr>
      <w:r w:rsidRPr="00997F1C">
        <w:rPr>
          <w:color w:val="000000" w:themeColor="text1"/>
        </w:rPr>
        <w:t xml:space="preserve">PG&amp;E noted that under the Commission’s </w:t>
      </w:r>
      <w:proofErr w:type="spellStart"/>
      <w:r w:rsidRPr="00997F1C">
        <w:rPr>
          <w:color w:val="000000" w:themeColor="text1"/>
        </w:rPr>
        <w:t>SoD</w:t>
      </w:r>
      <w:proofErr w:type="spellEnd"/>
      <w:r w:rsidRPr="00997F1C">
        <w:rPr>
          <w:color w:val="000000" w:themeColor="text1"/>
        </w:rPr>
        <w:t xml:space="preserve"> RA program, there are significant distinctions between resources that may be used for compliance.  For </w:t>
      </w:r>
      <w:r w:rsidRPr="00997F1C">
        <w:rPr>
          <w:color w:val="000000" w:themeColor="text1"/>
        </w:rPr>
        <w:lastRenderedPageBreak/>
        <w:t>example, baseload resources face no hourly restrictions, but four-hour battery resources can only commit 16.7 percent of its capacity for RA compliance.</w:t>
      </w:r>
      <w:r w:rsidRPr="00997F1C" w:rsidR="003E5AEF">
        <w:rPr>
          <w:color w:val="000000" w:themeColor="text1"/>
          <w:vertAlign w:val="superscript"/>
        </w:rPr>
        <w:footnoteReference w:id="88"/>
      </w:r>
      <w:r w:rsidRPr="00997F1C">
        <w:rPr>
          <w:color w:val="000000" w:themeColor="text1"/>
        </w:rPr>
        <w:t xml:space="preserve">  Therefore, battery storage resources cannot be committed to meet RA compliance obligations in the same manner baseload resources can due to their limited hours of operation.</w:t>
      </w:r>
      <w:r w:rsidRPr="00997F1C" w:rsidR="003E5AEF">
        <w:rPr>
          <w:color w:val="000000" w:themeColor="text1"/>
          <w:vertAlign w:val="superscript"/>
        </w:rPr>
        <w:footnoteReference w:id="89"/>
      </w:r>
      <w:r w:rsidRPr="00997F1C">
        <w:rPr>
          <w:color w:val="000000" w:themeColor="text1"/>
        </w:rPr>
        <w:t xml:space="preserve">  PG&amp;E argued that the Commission should therefore consider differences between resource categorization when considering RA retained for compliance.</w:t>
      </w:r>
      <w:r w:rsidRPr="00997F1C" w:rsidR="003E5AEF">
        <w:rPr>
          <w:color w:val="000000" w:themeColor="text1"/>
          <w:vertAlign w:val="superscript"/>
        </w:rPr>
        <w:footnoteReference w:id="90"/>
      </w:r>
    </w:p>
    <w:p w:rsidRPr="00997F1C" w:rsidR="003E5AEF" w:rsidP="003E5AEF" w:rsidRDefault="53E8B74B" w14:paraId="0BF6FC75" w14:textId="2D91E89B">
      <w:pPr>
        <w:rPr>
          <w:color w:val="000000" w:themeColor="text1"/>
        </w:rPr>
      </w:pPr>
      <w:r w:rsidRPr="00997F1C">
        <w:rPr>
          <w:color w:val="000000" w:themeColor="text1"/>
        </w:rPr>
        <w:t>PG&amp;E further argued that adoption of SCE’s interim methodology in this proceeding is “inappropriate,” “impossible,” and “unimplementable,”</w:t>
      </w:r>
      <w:r w:rsidRPr="00997F1C" w:rsidR="003E5AEF">
        <w:rPr>
          <w:color w:val="000000" w:themeColor="text1"/>
          <w:vertAlign w:val="superscript"/>
        </w:rPr>
        <w:footnoteReference w:id="91"/>
      </w:r>
      <w:r w:rsidRPr="00997F1C">
        <w:rPr>
          <w:color w:val="000000" w:themeColor="text1"/>
        </w:rPr>
        <w:t xml:space="preserve"> since PG&amp;E does not possess the information necessary to apply SCE’s interim methodology to its own portfolio.</w:t>
      </w:r>
      <w:r w:rsidRPr="00997F1C" w:rsidR="003E5AEF">
        <w:rPr>
          <w:color w:val="000000" w:themeColor="text1"/>
          <w:vertAlign w:val="superscript"/>
        </w:rPr>
        <w:footnoteReference w:id="92"/>
      </w:r>
      <w:r w:rsidRPr="00997F1C">
        <w:rPr>
          <w:color w:val="000000" w:themeColor="text1"/>
        </w:rPr>
        <w:t xml:space="preserve">  </w:t>
      </w:r>
      <w:r w:rsidRPr="00997F1C" w:rsidR="4BEE841B">
        <w:rPr>
          <w:color w:val="000000" w:themeColor="text1"/>
        </w:rPr>
        <w:t>PG&amp;E stated that</w:t>
      </w:r>
      <w:r w:rsidRPr="00997F1C">
        <w:rPr>
          <w:color w:val="000000" w:themeColor="text1"/>
        </w:rPr>
        <w:t xml:space="preserve"> there is no record in this proceeding addressing: how bundled customer RA requirements would be weighted, how PG&amp;E would calculate retained RA volumes or how to calculate RA sales or unsold RA volumes.</w:t>
      </w:r>
      <w:r w:rsidRPr="00997F1C" w:rsidR="003E5AEF">
        <w:rPr>
          <w:color w:val="000000" w:themeColor="text1"/>
          <w:vertAlign w:val="superscript"/>
        </w:rPr>
        <w:footnoteReference w:id="93"/>
      </w:r>
    </w:p>
    <w:p w:rsidRPr="00997F1C" w:rsidR="003E5AEF" w:rsidP="00C059CE" w:rsidRDefault="53E8B74B" w14:paraId="482FE91A" w14:textId="56C1A47D">
      <w:pPr>
        <w:rPr>
          <w:color w:val="000000" w:themeColor="text1"/>
        </w:rPr>
      </w:pPr>
      <w:r w:rsidRPr="00997F1C">
        <w:rPr>
          <w:color w:val="000000" w:themeColor="text1"/>
        </w:rPr>
        <w:t xml:space="preserve">PG&amp;E further </w:t>
      </w:r>
      <w:r w:rsidRPr="00997F1C" w:rsidR="60787478">
        <w:rPr>
          <w:color w:val="000000" w:themeColor="text1"/>
        </w:rPr>
        <w:t xml:space="preserve">stated that </w:t>
      </w:r>
      <w:proofErr w:type="spellStart"/>
      <w:r w:rsidRPr="00997F1C">
        <w:rPr>
          <w:color w:val="000000" w:themeColor="text1"/>
        </w:rPr>
        <w:t>CalCCA’s</w:t>
      </w:r>
      <w:proofErr w:type="spellEnd"/>
      <w:r w:rsidRPr="00997F1C">
        <w:rPr>
          <w:color w:val="000000" w:themeColor="text1"/>
        </w:rPr>
        <w:t xml:space="preserve"> criticism that PG&amp;E’s Revised Proposal would produce different quantities of RA if applied to SCE or SDG&amp;E is irrelevant in this PG&amp;E-specific proceeding</w:t>
      </w:r>
      <w:r w:rsidRPr="00997F1C" w:rsidR="2A76B06C">
        <w:rPr>
          <w:color w:val="000000" w:themeColor="text1"/>
          <w:vertAlign w:val="superscript"/>
        </w:rPr>
        <w:t>,</w:t>
      </w:r>
      <w:r w:rsidRPr="00997F1C" w:rsidR="003E5AEF">
        <w:rPr>
          <w:color w:val="000000" w:themeColor="text1"/>
          <w:vertAlign w:val="superscript"/>
        </w:rPr>
        <w:footnoteReference w:id="94"/>
      </w:r>
      <w:r w:rsidRPr="00997F1C">
        <w:rPr>
          <w:color w:val="000000" w:themeColor="text1"/>
        </w:rPr>
        <w:t xml:space="preserve">  </w:t>
      </w:r>
    </w:p>
    <w:p w:rsidRPr="00997F1C" w:rsidR="00F968E0" w:rsidP="00D737A5" w:rsidRDefault="00F968E0" w14:paraId="103C9EBD" w14:textId="27E62D2F">
      <w:pPr>
        <w:keepNext/>
        <w:keepLines/>
        <w:numPr>
          <w:ilvl w:val="1"/>
          <w:numId w:val="9"/>
        </w:numPr>
        <w:spacing w:after="120" w:line="240" w:lineRule="auto"/>
        <w:ind w:right="2160"/>
        <w:outlineLvl w:val="1"/>
        <w:rPr>
          <w:rFonts w:ascii="Arial" w:hAnsi="Arial" w:cs="Arial"/>
          <w:b/>
          <w:color w:val="000000" w:themeColor="text1"/>
          <w:szCs w:val="26"/>
        </w:rPr>
      </w:pPr>
      <w:bookmarkStart w:name="_Toc217384645" w:id="145"/>
      <w:proofErr w:type="spellStart"/>
      <w:r w:rsidRPr="00997F1C">
        <w:rPr>
          <w:rFonts w:ascii="Arial" w:hAnsi="Arial" w:cs="Arial"/>
          <w:b/>
          <w:color w:val="000000" w:themeColor="text1"/>
          <w:szCs w:val="26"/>
        </w:rPr>
        <w:lastRenderedPageBreak/>
        <w:t>CalCCA</w:t>
      </w:r>
      <w:proofErr w:type="spellEnd"/>
      <w:r w:rsidRPr="00997F1C">
        <w:rPr>
          <w:rFonts w:ascii="Arial" w:hAnsi="Arial" w:cs="Arial"/>
          <w:b/>
          <w:color w:val="000000" w:themeColor="text1"/>
          <w:szCs w:val="26"/>
        </w:rPr>
        <w:t xml:space="preserve"> Response</w:t>
      </w:r>
      <w:bookmarkEnd w:id="145"/>
    </w:p>
    <w:p w:rsidRPr="00997F1C" w:rsidR="00C84DF7" w:rsidP="00C84DF7" w:rsidRDefault="5CC72D9B" w14:paraId="39B635CC" w14:textId="1963248A">
      <w:pPr>
        <w:pStyle w:val="Standard"/>
        <w:rPr>
          <w:color w:val="000000" w:themeColor="text1"/>
        </w:rPr>
      </w:pPr>
      <w:r w:rsidRPr="00997F1C">
        <w:rPr>
          <w:color w:val="000000" w:themeColor="text1"/>
        </w:rPr>
        <w:t xml:space="preserve">In its Fall Update Comments, </w:t>
      </w:r>
      <w:proofErr w:type="spellStart"/>
      <w:r w:rsidRPr="00997F1C">
        <w:rPr>
          <w:color w:val="000000" w:themeColor="text1"/>
        </w:rPr>
        <w:t>CalCCA</w:t>
      </w:r>
      <w:proofErr w:type="spellEnd"/>
      <w:r w:rsidRPr="00997F1C">
        <w:rPr>
          <w:color w:val="000000" w:themeColor="text1"/>
        </w:rPr>
        <w:t xml:space="preserve"> </w:t>
      </w:r>
      <w:r w:rsidRPr="00997F1C" w:rsidR="2975D0FA">
        <w:rPr>
          <w:color w:val="000000" w:themeColor="text1"/>
        </w:rPr>
        <w:t xml:space="preserve">asked the Commission not to adopt either of PG&amp;E’s SOD RA methodologies and instead should consider these methodologies in R.25-02-005. </w:t>
      </w:r>
      <w:r w:rsidRPr="00997F1C" w:rsidR="36DF84CF">
        <w:rPr>
          <w:color w:val="000000" w:themeColor="text1"/>
        </w:rPr>
        <w:t xml:space="preserve"> </w:t>
      </w:r>
      <w:proofErr w:type="spellStart"/>
      <w:r w:rsidRPr="00997F1C" w:rsidR="36DF84CF">
        <w:rPr>
          <w:color w:val="000000" w:themeColor="text1"/>
        </w:rPr>
        <w:t>CalCCA</w:t>
      </w:r>
      <w:proofErr w:type="spellEnd"/>
      <w:r w:rsidRPr="00997F1C" w:rsidR="36DF84CF">
        <w:rPr>
          <w:color w:val="000000" w:themeColor="text1"/>
        </w:rPr>
        <w:t xml:space="preserve"> further noted that PG&amp;E’s proposal “further exacerbates the PCIA rate increases departed customers face in 2026.”</w:t>
      </w:r>
      <w:r w:rsidRPr="00997F1C" w:rsidR="00C84DF7">
        <w:rPr>
          <w:rStyle w:val="FootnoteReference"/>
          <w:color w:val="000000" w:themeColor="text1"/>
        </w:rPr>
        <w:footnoteReference w:id="95"/>
      </w:r>
    </w:p>
    <w:p w:rsidRPr="00997F1C" w:rsidR="00F968E0" w:rsidP="00A52D94" w:rsidRDefault="2975D0FA" w14:paraId="15D4E47A" w14:textId="7E6435E2">
      <w:pPr>
        <w:pStyle w:val="Standard"/>
        <w:rPr>
          <w:color w:val="000000" w:themeColor="text1"/>
        </w:rPr>
      </w:pPr>
      <w:r w:rsidRPr="00997F1C">
        <w:rPr>
          <w:color w:val="000000" w:themeColor="text1"/>
        </w:rPr>
        <w:t xml:space="preserve">In addition, </w:t>
      </w:r>
      <w:proofErr w:type="spellStart"/>
      <w:r w:rsidRPr="00997F1C">
        <w:rPr>
          <w:color w:val="000000" w:themeColor="text1"/>
        </w:rPr>
        <w:t>CalCCA</w:t>
      </w:r>
      <w:proofErr w:type="spellEnd"/>
      <w:r w:rsidRPr="00997F1C">
        <w:rPr>
          <w:color w:val="000000" w:themeColor="text1"/>
        </w:rPr>
        <w:t xml:space="preserve"> </w:t>
      </w:r>
      <w:r w:rsidRPr="00997F1C" w:rsidR="4542B547">
        <w:rPr>
          <w:color w:val="000000" w:themeColor="text1"/>
        </w:rPr>
        <w:t xml:space="preserve">addressed PG&amp;E’s claims that it lacks sufficient information to implement SCE’s interim </w:t>
      </w:r>
      <w:proofErr w:type="spellStart"/>
      <w:r w:rsidRPr="00997F1C" w:rsidR="4542B547">
        <w:rPr>
          <w:color w:val="000000" w:themeColor="text1"/>
        </w:rPr>
        <w:t>SoD</w:t>
      </w:r>
      <w:proofErr w:type="spellEnd"/>
      <w:r w:rsidRPr="00997F1C" w:rsidR="4542B547">
        <w:rPr>
          <w:color w:val="000000" w:themeColor="text1"/>
        </w:rPr>
        <w:t xml:space="preserve"> method</w:t>
      </w:r>
      <w:r w:rsidRPr="00997F1C" w:rsidR="7F18EBA0">
        <w:rPr>
          <w:color w:val="000000" w:themeColor="text1"/>
        </w:rPr>
        <w:t xml:space="preserve"> and stated that PG&amp;E “</w:t>
      </w:r>
      <w:r w:rsidRPr="00997F1C" w:rsidR="4542B547">
        <w:rPr>
          <w:color w:val="000000" w:themeColor="text1"/>
        </w:rPr>
        <w:t>overstates its inability to implement SCE’s method.</w:t>
      </w:r>
      <w:r w:rsidRPr="00997F1C" w:rsidR="7F18EBA0">
        <w:rPr>
          <w:color w:val="000000" w:themeColor="text1"/>
        </w:rPr>
        <w:t xml:space="preserve">” According to </w:t>
      </w:r>
      <w:proofErr w:type="spellStart"/>
      <w:r w:rsidRPr="00997F1C" w:rsidR="7F18EBA0">
        <w:rPr>
          <w:color w:val="000000" w:themeColor="text1"/>
        </w:rPr>
        <w:t>CalCCA</w:t>
      </w:r>
      <w:proofErr w:type="spellEnd"/>
      <w:r w:rsidRPr="00997F1C" w:rsidR="7F18EBA0">
        <w:rPr>
          <w:color w:val="000000" w:themeColor="text1"/>
        </w:rPr>
        <w:t>, i</w:t>
      </w:r>
      <w:r w:rsidRPr="00997F1C" w:rsidR="4542B547">
        <w:rPr>
          <w:color w:val="000000" w:themeColor="text1"/>
        </w:rPr>
        <w:t>mplement</w:t>
      </w:r>
      <w:r w:rsidRPr="00997F1C" w:rsidR="46C8DC0F">
        <w:rPr>
          <w:color w:val="000000" w:themeColor="text1"/>
        </w:rPr>
        <w:t>at</w:t>
      </w:r>
      <w:r w:rsidRPr="00997F1C" w:rsidR="4542B547">
        <w:rPr>
          <w:color w:val="000000" w:themeColor="text1"/>
        </w:rPr>
        <w:t>i</w:t>
      </w:r>
      <w:r w:rsidRPr="00997F1C" w:rsidR="7F18EBA0">
        <w:rPr>
          <w:color w:val="000000" w:themeColor="text1"/>
        </w:rPr>
        <w:t>on of SCE’s</w:t>
      </w:r>
      <w:r w:rsidRPr="00997F1C" w:rsidR="4542B547">
        <w:rPr>
          <w:color w:val="000000" w:themeColor="text1"/>
        </w:rPr>
        <w:t xml:space="preserve"> method for Retained RA</w:t>
      </w:r>
      <w:r w:rsidRPr="00997F1C" w:rsidR="46C8DC0F">
        <w:rPr>
          <w:color w:val="000000" w:themeColor="text1"/>
        </w:rPr>
        <w:t xml:space="preserve"> </w:t>
      </w:r>
      <w:r w:rsidRPr="00997F1C" w:rsidR="4542B547">
        <w:rPr>
          <w:color w:val="000000" w:themeColor="text1"/>
        </w:rPr>
        <w:t>simply requires PG&amp;E to apply SCE’s formula for calculating the RA quantity from storage</w:t>
      </w:r>
      <w:r w:rsidRPr="00997F1C" w:rsidR="46C8DC0F">
        <w:rPr>
          <w:color w:val="000000" w:themeColor="text1"/>
        </w:rPr>
        <w:t xml:space="preserve"> </w:t>
      </w:r>
      <w:r w:rsidRPr="00997F1C" w:rsidR="4542B547">
        <w:rPr>
          <w:color w:val="000000" w:themeColor="text1"/>
        </w:rPr>
        <w:t>resources</w:t>
      </w:r>
      <w:r w:rsidRPr="00997F1C" w:rsidR="46C8DC0F">
        <w:rPr>
          <w:color w:val="000000" w:themeColor="text1"/>
        </w:rPr>
        <w:t>, as</w:t>
      </w:r>
      <w:r w:rsidRPr="00997F1C" w:rsidR="4542B547">
        <w:rPr>
          <w:color w:val="000000" w:themeColor="text1"/>
        </w:rPr>
        <w:t xml:space="preserve"> included in </w:t>
      </w:r>
      <w:proofErr w:type="spellStart"/>
      <w:r w:rsidRPr="00997F1C" w:rsidR="4542B547">
        <w:rPr>
          <w:color w:val="000000" w:themeColor="text1"/>
        </w:rPr>
        <w:t>CalCCA’s</w:t>
      </w:r>
      <w:proofErr w:type="spellEnd"/>
      <w:r w:rsidRPr="00997F1C" w:rsidR="4542B547">
        <w:rPr>
          <w:color w:val="000000" w:themeColor="text1"/>
        </w:rPr>
        <w:t xml:space="preserve"> testimony</w:t>
      </w:r>
      <w:r w:rsidRPr="00997F1C" w:rsidR="46C8DC0F">
        <w:rPr>
          <w:color w:val="000000" w:themeColor="text1"/>
        </w:rPr>
        <w:t>.</w:t>
      </w:r>
      <w:r w:rsidRPr="00997F1C" w:rsidR="00914DC2">
        <w:rPr>
          <w:rStyle w:val="FootnoteReference"/>
          <w:color w:val="000000" w:themeColor="text1"/>
        </w:rPr>
        <w:footnoteReference w:id="96"/>
      </w:r>
    </w:p>
    <w:p w:rsidRPr="00997F1C" w:rsidR="003E5AEF" w:rsidP="00D737A5" w:rsidRDefault="003E5AEF" w14:paraId="3F7EF6A1" w14:textId="38181DD1">
      <w:pPr>
        <w:keepNext/>
        <w:keepLines/>
        <w:numPr>
          <w:ilvl w:val="1"/>
          <w:numId w:val="9"/>
        </w:numPr>
        <w:spacing w:after="120" w:line="240" w:lineRule="auto"/>
        <w:ind w:right="2160"/>
        <w:outlineLvl w:val="1"/>
        <w:rPr>
          <w:rFonts w:ascii="Arial" w:hAnsi="Arial" w:cs="Arial"/>
          <w:b/>
          <w:color w:val="000000" w:themeColor="text1"/>
          <w:szCs w:val="26"/>
        </w:rPr>
      </w:pPr>
      <w:bookmarkStart w:name="_Toc217384646" w:id="146"/>
      <w:r w:rsidRPr="00997F1C">
        <w:rPr>
          <w:rFonts w:ascii="Arial" w:hAnsi="Arial" w:cs="Arial"/>
          <w:b/>
          <w:color w:val="000000" w:themeColor="text1"/>
          <w:szCs w:val="26"/>
        </w:rPr>
        <w:t>Discussion</w:t>
      </w:r>
      <w:bookmarkEnd w:id="143"/>
      <w:bookmarkEnd w:id="146"/>
    </w:p>
    <w:p w:rsidRPr="00997F1C" w:rsidR="00CC4D97" w:rsidP="00CC4D97" w:rsidRDefault="003E5AEF" w14:paraId="0CBF0A54" w14:textId="35095538">
      <w:pPr>
        <w:rPr>
          <w:color w:val="000000" w:themeColor="text1"/>
        </w:rPr>
      </w:pPr>
      <w:r w:rsidRPr="00997F1C">
        <w:rPr>
          <w:color w:val="000000" w:themeColor="text1"/>
        </w:rPr>
        <w:t xml:space="preserve">We </w:t>
      </w:r>
      <w:r w:rsidRPr="00997F1C" w:rsidR="00017AFB">
        <w:rPr>
          <w:color w:val="000000" w:themeColor="text1"/>
        </w:rPr>
        <w:t>agree with PG&amp;E that the Commission’s RA</w:t>
      </w:r>
      <w:r w:rsidRPr="00997F1C" w:rsidR="00C3149C">
        <w:rPr>
          <w:color w:val="000000" w:themeColor="text1"/>
        </w:rPr>
        <w:t xml:space="preserve"> regulatory program has changed enough to warrant </w:t>
      </w:r>
      <w:r w:rsidRPr="00997F1C" w:rsidR="00AB10CE">
        <w:rPr>
          <w:color w:val="000000" w:themeColor="text1"/>
        </w:rPr>
        <w:t>a response</w:t>
      </w:r>
      <w:r w:rsidRPr="00997F1C" w:rsidR="00C3149C">
        <w:rPr>
          <w:color w:val="000000" w:themeColor="text1"/>
        </w:rPr>
        <w:t xml:space="preserve"> in this expedited proceeding. </w:t>
      </w:r>
      <w:r w:rsidRPr="00997F1C" w:rsidR="00017AFB">
        <w:rPr>
          <w:color w:val="000000" w:themeColor="text1"/>
        </w:rPr>
        <w:t xml:space="preserve"> </w:t>
      </w:r>
      <w:r w:rsidRPr="00997F1C" w:rsidR="00AB10CE">
        <w:rPr>
          <w:color w:val="000000" w:themeColor="text1"/>
        </w:rPr>
        <w:t>Nonetheless, we do not find that</w:t>
      </w:r>
      <w:r w:rsidRPr="00997F1C" w:rsidR="00EA10C7">
        <w:rPr>
          <w:color w:val="000000" w:themeColor="text1"/>
        </w:rPr>
        <w:t xml:space="preserve"> </w:t>
      </w:r>
      <w:r w:rsidRPr="00997F1C" w:rsidR="00AB10CE">
        <w:rPr>
          <w:color w:val="000000" w:themeColor="text1"/>
        </w:rPr>
        <w:t>PG</w:t>
      </w:r>
      <w:r w:rsidRPr="00997F1C">
        <w:rPr>
          <w:color w:val="000000" w:themeColor="text1"/>
        </w:rPr>
        <w:t>&amp;E</w:t>
      </w:r>
      <w:r w:rsidRPr="00997F1C" w:rsidR="004D5C02">
        <w:rPr>
          <w:color w:val="000000" w:themeColor="text1"/>
        </w:rPr>
        <w:t xml:space="preserve"> demonstrated that either of its </w:t>
      </w:r>
      <w:r w:rsidRPr="00997F1C">
        <w:rPr>
          <w:color w:val="000000" w:themeColor="text1"/>
        </w:rPr>
        <w:t>proposal</w:t>
      </w:r>
      <w:r w:rsidRPr="00997F1C" w:rsidR="00EA10C7">
        <w:rPr>
          <w:color w:val="000000" w:themeColor="text1"/>
        </w:rPr>
        <w:t>s</w:t>
      </w:r>
      <w:r w:rsidRPr="00997F1C">
        <w:rPr>
          <w:color w:val="000000" w:themeColor="text1"/>
        </w:rPr>
        <w:t xml:space="preserve"> </w:t>
      </w:r>
      <w:r w:rsidRPr="00997F1C" w:rsidR="00EA10C7">
        <w:rPr>
          <w:color w:val="000000" w:themeColor="text1"/>
        </w:rPr>
        <w:t xml:space="preserve">would result in a </w:t>
      </w:r>
      <w:r w:rsidRPr="00997F1C">
        <w:rPr>
          <w:color w:val="000000" w:themeColor="text1"/>
        </w:rPr>
        <w:t>reasonable</w:t>
      </w:r>
      <w:r w:rsidRPr="00997F1C" w:rsidR="00EA10C7">
        <w:rPr>
          <w:color w:val="000000" w:themeColor="text1"/>
        </w:rPr>
        <w:t xml:space="preserve"> outcome.  </w:t>
      </w:r>
      <w:r w:rsidRPr="00997F1C" w:rsidR="00CC4D97">
        <w:rPr>
          <w:color w:val="000000" w:themeColor="text1"/>
        </w:rPr>
        <w:t>PG&amp;E</w:t>
      </w:r>
      <w:r w:rsidRPr="00997F1C" w:rsidR="00021F1A">
        <w:rPr>
          <w:color w:val="000000" w:themeColor="text1"/>
        </w:rPr>
        <w:t xml:space="preserve"> </w:t>
      </w:r>
      <w:r w:rsidRPr="00997F1C" w:rsidR="00186499">
        <w:rPr>
          <w:color w:val="000000" w:themeColor="text1"/>
        </w:rPr>
        <w:t>did not provide sufficient evidence that the</w:t>
      </w:r>
      <w:r w:rsidRPr="00997F1C" w:rsidR="00CC4D97">
        <w:rPr>
          <w:color w:val="000000" w:themeColor="text1"/>
        </w:rPr>
        <w:t xml:space="preserve"> original and revised proposals</w:t>
      </w:r>
      <w:r w:rsidRPr="00997F1C" w:rsidR="00186499">
        <w:rPr>
          <w:color w:val="000000" w:themeColor="text1"/>
        </w:rPr>
        <w:t xml:space="preserve"> would</w:t>
      </w:r>
      <w:r w:rsidRPr="00997F1C" w:rsidR="00D52A5B">
        <w:rPr>
          <w:color w:val="000000" w:themeColor="text1"/>
        </w:rPr>
        <w:t xml:space="preserve"> </w:t>
      </w:r>
      <w:r w:rsidRPr="00997F1C" w:rsidR="00CC4D97">
        <w:rPr>
          <w:color w:val="000000" w:themeColor="text1"/>
        </w:rPr>
        <w:t>reasonably discount the RA value of storage resources by conflating energy with capacity and failing to account for batteries’ ability to provide capacity in any hour. </w:t>
      </w:r>
    </w:p>
    <w:p w:rsidR="00030BD8" w:rsidP="003E5AEF" w:rsidRDefault="1F268058" w14:paraId="79CCB8E5" w14:textId="43EFEB27">
      <w:pPr>
        <w:rPr>
          <w:color w:val="000000" w:themeColor="text1"/>
        </w:rPr>
      </w:pPr>
      <w:r w:rsidRPr="00997F1C">
        <w:rPr>
          <w:color w:val="000000" w:themeColor="text1"/>
        </w:rPr>
        <w:t xml:space="preserve">After </w:t>
      </w:r>
      <w:proofErr w:type="gramStart"/>
      <w:r w:rsidRPr="00997F1C" w:rsidR="5E9CF68B">
        <w:rPr>
          <w:color w:val="000000" w:themeColor="text1"/>
        </w:rPr>
        <w:t>review of</w:t>
      </w:r>
      <w:proofErr w:type="gramEnd"/>
      <w:r w:rsidRPr="00997F1C" w:rsidR="192C4512">
        <w:rPr>
          <w:color w:val="000000" w:themeColor="text1"/>
        </w:rPr>
        <w:t xml:space="preserve"> PG&amp;E’s proposals</w:t>
      </w:r>
      <w:r w:rsidRPr="00997F1C" w:rsidR="6971888A">
        <w:rPr>
          <w:color w:val="000000" w:themeColor="text1"/>
        </w:rPr>
        <w:t xml:space="preserve"> and</w:t>
      </w:r>
      <w:r w:rsidRPr="00997F1C" w:rsidR="192C4512">
        <w:rPr>
          <w:color w:val="000000" w:themeColor="text1"/>
        </w:rPr>
        <w:t xml:space="preserve"> </w:t>
      </w:r>
      <w:proofErr w:type="spellStart"/>
      <w:r w:rsidRPr="00997F1C" w:rsidR="192C4512">
        <w:rPr>
          <w:color w:val="000000" w:themeColor="text1"/>
        </w:rPr>
        <w:t>CalCCA’s</w:t>
      </w:r>
      <w:proofErr w:type="spellEnd"/>
      <w:r w:rsidRPr="00997F1C" w:rsidR="192C4512">
        <w:rPr>
          <w:color w:val="000000" w:themeColor="text1"/>
        </w:rPr>
        <w:t xml:space="preserve"> </w:t>
      </w:r>
      <w:r w:rsidRPr="00997F1C" w:rsidR="5E9CF68B">
        <w:rPr>
          <w:color w:val="000000" w:themeColor="text1"/>
        </w:rPr>
        <w:t xml:space="preserve">comments, we find that PG&amp;E </w:t>
      </w:r>
      <w:r w:rsidRPr="00997F1C" w:rsidR="004F0B5B">
        <w:rPr>
          <w:color w:val="000000" w:themeColor="text1"/>
        </w:rPr>
        <w:t xml:space="preserve">should </w:t>
      </w:r>
      <w:r w:rsidRPr="00997F1C" w:rsidR="5E9CF68B">
        <w:rPr>
          <w:color w:val="000000" w:themeColor="text1"/>
        </w:rPr>
        <w:t xml:space="preserve">adopt the </w:t>
      </w:r>
      <w:r w:rsidRPr="00997F1C" w:rsidR="59C20C0E">
        <w:rPr>
          <w:color w:val="000000" w:themeColor="text1"/>
        </w:rPr>
        <w:t xml:space="preserve">SCE </w:t>
      </w:r>
      <w:proofErr w:type="spellStart"/>
      <w:r w:rsidRPr="00997F1C" w:rsidR="59C20C0E">
        <w:rPr>
          <w:color w:val="000000" w:themeColor="text1"/>
        </w:rPr>
        <w:t>SoD</w:t>
      </w:r>
      <w:proofErr w:type="spellEnd"/>
      <w:r w:rsidRPr="00997F1C" w:rsidR="59C20C0E">
        <w:rPr>
          <w:color w:val="000000" w:themeColor="text1"/>
        </w:rPr>
        <w:t xml:space="preserve"> methodology</w:t>
      </w:r>
      <w:r w:rsidRPr="00997F1C" w:rsidR="00CC4D97">
        <w:rPr>
          <w:rStyle w:val="FootnoteReference"/>
          <w:color w:val="000000" w:themeColor="text1"/>
        </w:rPr>
        <w:footnoteReference w:id="97"/>
      </w:r>
      <w:r w:rsidRPr="00997F1C" w:rsidR="59C20C0E">
        <w:rPr>
          <w:color w:val="000000" w:themeColor="text1"/>
        </w:rPr>
        <w:t xml:space="preserve"> </w:t>
      </w:r>
      <w:r w:rsidRPr="00997F1C" w:rsidR="53E8B74B">
        <w:rPr>
          <w:color w:val="000000" w:themeColor="text1"/>
        </w:rPr>
        <w:t xml:space="preserve">on an interim basis while awaiting a more comprehensive decision on implementation of the </w:t>
      </w:r>
      <w:proofErr w:type="spellStart"/>
      <w:r w:rsidRPr="00997F1C" w:rsidR="53E8B74B">
        <w:rPr>
          <w:color w:val="000000" w:themeColor="text1"/>
        </w:rPr>
        <w:t>SoD</w:t>
      </w:r>
      <w:proofErr w:type="spellEnd"/>
      <w:r w:rsidRPr="00997F1C" w:rsidR="53E8B74B">
        <w:rPr>
          <w:color w:val="000000" w:themeColor="text1"/>
        </w:rPr>
        <w:t xml:space="preserve"> methodology.</w:t>
      </w:r>
      <w:r w:rsidRPr="00997F1C" w:rsidR="50EFC7D1">
        <w:rPr>
          <w:color w:val="000000" w:themeColor="text1"/>
        </w:rPr>
        <w:t xml:space="preserve"> </w:t>
      </w:r>
      <w:r w:rsidRPr="00997F1C" w:rsidR="7241AA7B">
        <w:rPr>
          <w:color w:val="000000" w:themeColor="text1"/>
        </w:rPr>
        <w:t xml:space="preserve"> </w:t>
      </w:r>
      <w:r w:rsidRPr="00997F1C" w:rsidR="5D0CE604">
        <w:rPr>
          <w:color w:val="000000" w:themeColor="text1"/>
        </w:rPr>
        <w:t xml:space="preserve">We disagree with PG&amp;E’s claim that SCE’s methodology is </w:t>
      </w:r>
      <w:r w:rsidRPr="00997F1C" w:rsidR="5D0CE604">
        <w:rPr>
          <w:color w:val="000000" w:themeColor="text1"/>
        </w:rPr>
        <w:lastRenderedPageBreak/>
        <w:t xml:space="preserve">“inappropriate,” “impossible,” and “unimplementable.” </w:t>
      </w:r>
      <w:r w:rsidRPr="00997F1C" w:rsidR="40BA8FFA">
        <w:rPr>
          <w:color w:val="000000" w:themeColor="text1"/>
        </w:rPr>
        <w:t xml:space="preserve"> </w:t>
      </w:r>
      <w:r w:rsidRPr="00997F1C" w:rsidR="6971888A">
        <w:rPr>
          <w:color w:val="000000" w:themeColor="text1"/>
        </w:rPr>
        <w:t xml:space="preserve">SCE’s methodology is simply a method to discount the NQC of storage resources to account for the fact that storage is not available at its NQC value for 24 hours.  PG&amp;E has sufficient information to apply </w:t>
      </w:r>
      <w:r w:rsidR="000F65BF">
        <w:rPr>
          <w:color w:val="000000" w:themeColor="text1"/>
        </w:rPr>
        <w:t>SC</w:t>
      </w:r>
      <w:r w:rsidRPr="00997F1C" w:rsidR="6971888A">
        <w:rPr>
          <w:color w:val="000000" w:themeColor="text1"/>
        </w:rPr>
        <w:t xml:space="preserve">E’s </w:t>
      </w:r>
      <w:r w:rsidR="004540F1">
        <w:rPr>
          <w:color w:val="000000" w:themeColor="text1"/>
        </w:rPr>
        <w:t xml:space="preserve">current </w:t>
      </w:r>
      <w:r w:rsidRPr="00997F1C" w:rsidR="6971888A">
        <w:rPr>
          <w:color w:val="000000" w:themeColor="text1"/>
        </w:rPr>
        <w:t>methodology</w:t>
      </w:r>
      <w:r w:rsidR="004540F1">
        <w:rPr>
          <w:color w:val="000000" w:themeColor="text1"/>
        </w:rPr>
        <w:t xml:space="preserve"> for calculating the RA sales</w:t>
      </w:r>
      <w:r w:rsidRPr="00997F1C" w:rsidR="6971888A">
        <w:rPr>
          <w:color w:val="000000" w:themeColor="text1"/>
        </w:rPr>
        <w:t xml:space="preserve">; </w:t>
      </w:r>
      <w:r w:rsidRPr="00897DB4" w:rsidR="00897DB4">
        <w:rPr>
          <w:color w:val="000000" w:themeColor="text1"/>
        </w:rPr>
        <w:t>PG&amp;E would apply SCE’s</w:t>
      </w:r>
      <w:r w:rsidRPr="00997F1C" w:rsidR="6971888A">
        <w:rPr>
          <w:color w:val="000000" w:themeColor="text1"/>
        </w:rPr>
        <w:t xml:space="preserve"> current methodology for calculating the RA sales, unsold and retained RA volumes</w:t>
      </w:r>
      <w:r w:rsidR="00C9350C">
        <w:rPr>
          <w:color w:val="000000" w:themeColor="text1"/>
        </w:rPr>
        <w:t xml:space="preserve"> </w:t>
      </w:r>
      <w:r w:rsidRPr="00A61E81" w:rsidR="00C9350C">
        <w:rPr>
          <w:color w:val="000000" w:themeColor="text1"/>
        </w:rPr>
        <w:t>for storage resources</w:t>
      </w:r>
      <w:r w:rsidRPr="00997F1C" w:rsidR="6971888A">
        <w:rPr>
          <w:color w:val="000000" w:themeColor="text1"/>
        </w:rPr>
        <w:t>.</w:t>
      </w:r>
    </w:p>
    <w:p w:rsidRPr="00997F1C" w:rsidR="00206698" w:rsidP="003E5AEF" w:rsidRDefault="00206698" w14:paraId="06E1FD97" w14:textId="1A56EDEF">
      <w:pPr>
        <w:rPr>
          <w:color w:val="000000" w:themeColor="text1"/>
        </w:rPr>
      </w:pPr>
      <w:r>
        <w:rPr>
          <w:color w:val="000000" w:themeColor="text1"/>
        </w:rPr>
        <w:t xml:space="preserve">To ensure </w:t>
      </w:r>
      <w:r w:rsidR="00220A06">
        <w:rPr>
          <w:color w:val="000000" w:themeColor="text1"/>
        </w:rPr>
        <w:t xml:space="preserve">that PG&amp;E’s </w:t>
      </w:r>
      <w:proofErr w:type="spellStart"/>
      <w:r w:rsidR="00220A06">
        <w:rPr>
          <w:color w:val="000000" w:themeColor="text1"/>
        </w:rPr>
        <w:t>SoD</w:t>
      </w:r>
      <w:proofErr w:type="spellEnd"/>
      <w:r w:rsidR="00220A06">
        <w:rPr>
          <w:color w:val="000000" w:themeColor="text1"/>
        </w:rPr>
        <w:t xml:space="preserve"> methodology is consistent with SCE’s </w:t>
      </w:r>
      <w:proofErr w:type="spellStart"/>
      <w:r w:rsidR="00220A06">
        <w:rPr>
          <w:color w:val="000000" w:themeColor="text1"/>
        </w:rPr>
        <w:t>S</w:t>
      </w:r>
      <w:r w:rsidR="00864667">
        <w:rPr>
          <w:color w:val="000000" w:themeColor="text1"/>
        </w:rPr>
        <w:t>o</w:t>
      </w:r>
      <w:r w:rsidR="00220A06">
        <w:rPr>
          <w:color w:val="000000" w:themeColor="text1"/>
        </w:rPr>
        <w:t>D</w:t>
      </w:r>
      <w:proofErr w:type="spellEnd"/>
      <w:r w:rsidR="00220A06">
        <w:rPr>
          <w:color w:val="000000" w:themeColor="text1"/>
        </w:rPr>
        <w:t xml:space="preserve"> methodology</w:t>
      </w:r>
      <w:r w:rsidR="008A40F6">
        <w:rPr>
          <w:color w:val="000000" w:themeColor="text1"/>
        </w:rPr>
        <w:t xml:space="preserve"> and appropriately implemented</w:t>
      </w:r>
      <w:r w:rsidR="00220A06">
        <w:rPr>
          <w:color w:val="000000" w:themeColor="text1"/>
        </w:rPr>
        <w:t>, we direct PG&amp;E to submit a</w:t>
      </w:r>
      <w:r w:rsidR="00864667">
        <w:rPr>
          <w:color w:val="000000" w:themeColor="text1"/>
        </w:rPr>
        <w:t xml:space="preserve"> Tier </w:t>
      </w:r>
      <w:r w:rsidR="00C9350C">
        <w:rPr>
          <w:color w:val="000000" w:themeColor="text1"/>
        </w:rPr>
        <w:t>1</w:t>
      </w:r>
      <w:r w:rsidR="00864667">
        <w:rPr>
          <w:color w:val="000000" w:themeColor="text1"/>
        </w:rPr>
        <w:t xml:space="preserve"> advice letter that explains</w:t>
      </w:r>
      <w:r w:rsidR="00C9350C">
        <w:rPr>
          <w:color w:val="000000" w:themeColor="text1"/>
        </w:rPr>
        <w:t xml:space="preserve"> how it has implemented</w:t>
      </w:r>
      <w:r w:rsidR="00864667">
        <w:rPr>
          <w:color w:val="000000" w:themeColor="text1"/>
        </w:rPr>
        <w:t xml:space="preserve"> </w:t>
      </w:r>
      <w:r w:rsidR="008A40F6">
        <w:rPr>
          <w:color w:val="000000" w:themeColor="text1"/>
        </w:rPr>
        <w:t>its</w:t>
      </w:r>
      <w:r w:rsidR="001C3780">
        <w:t xml:space="preserve"> </w:t>
      </w:r>
      <w:proofErr w:type="spellStart"/>
      <w:r w:rsidR="001C3780">
        <w:t>SoD</w:t>
      </w:r>
      <w:proofErr w:type="spellEnd"/>
      <w:r w:rsidR="001F47E6">
        <w:t xml:space="preserve"> methodology pursuant to this decision</w:t>
      </w:r>
      <w:r w:rsidR="00C9350C">
        <w:t xml:space="preserve"> for implementation </w:t>
      </w:r>
      <w:proofErr w:type="gramStart"/>
      <w:r w:rsidR="00C9350C">
        <w:t>in</w:t>
      </w:r>
      <w:proofErr w:type="gramEnd"/>
      <w:r w:rsidR="00C9350C">
        <w:t xml:space="preserve"> January 1, </w:t>
      </w:r>
      <w:proofErr w:type="gramStart"/>
      <w:r w:rsidR="00C9350C">
        <w:t>2026</w:t>
      </w:r>
      <w:proofErr w:type="gramEnd"/>
      <w:r w:rsidR="00C9350C">
        <w:t xml:space="preserve"> rates</w:t>
      </w:r>
      <w:r w:rsidR="008A40F6">
        <w:t xml:space="preserve">.  This </w:t>
      </w:r>
      <w:proofErr w:type="gramStart"/>
      <w:r w:rsidR="008A40F6">
        <w:t>advice letter</w:t>
      </w:r>
      <w:proofErr w:type="gramEnd"/>
      <w:r w:rsidR="008A40F6">
        <w:t xml:space="preserve"> will be due</w:t>
      </w:r>
      <w:r w:rsidRPr="001F47E6" w:rsidR="001F47E6">
        <w:rPr>
          <w:color w:val="000000" w:themeColor="text1"/>
        </w:rPr>
        <w:t xml:space="preserve"> </w:t>
      </w:r>
      <w:r w:rsidR="001F47E6">
        <w:rPr>
          <w:color w:val="000000" w:themeColor="text1"/>
        </w:rPr>
        <w:t>within 30 days</w:t>
      </w:r>
      <w:r w:rsidR="008A40F6">
        <w:rPr>
          <w:color w:val="000000" w:themeColor="text1"/>
        </w:rPr>
        <w:t xml:space="preserve"> of the issuance of this decision</w:t>
      </w:r>
      <w:r w:rsidR="00864667">
        <w:rPr>
          <w:color w:val="000000" w:themeColor="text1"/>
        </w:rPr>
        <w:t>.</w:t>
      </w:r>
    </w:p>
    <w:p w:rsidRPr="00997F1C" w:rsidR="003E5AEF" w:rsidP="00D737A5" w:rsidRDefault="003E5AEF" w14:paraId="164490EE" w14:textId="752543F8">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212561169" w:id="147"/>
      <w:bookmarkStart w:name="_Toc217384647" w:id="148"/>
      <w:r w:rsidRPr="00997F1C">
        <w:rPr>
          <w:rFonts w:ascii="Arial" w:hAnsi="Arial" w:eastAsiaTheme="majorEastAsia" w:cstheme="majorBidi"/>
          <w:b/>
          <w:color w:val="000000" w:themeColor="text1"/>
          <w:szCs w:val="32"/>
        </w:rPr>
        <w:t xml:space="preserve">2026 Sales and Peak </w:t>
      </w:r>
      <w:r w:rsidR="00A93519">
        <w:rPr>
          <w:rFonts w:ascii="Arial" w:hAnsi="Arial" w:eastAsiaTheme="majorEastAsia" w:cstheme="majorBidi"/>
          <w:b/>
          <w:color w:val="000000" w:themeColor="text1"/>
          <w:szCs w:val="32"/>
        </w:rPr>
        <w:br/>
      </w:r>
      <w:r w:rsidRPr="00997F1C">
        <w:rPr>
          <w:rFonts w:ascii="Arial" w:hAnsi="Arial" w:eastAsiaTheme="majorEastAsia" w:cstheme="majorBidi"/>
          <w:b/>
          <w:color w:val="000000" w:themeColor="text1"/>
          <w:szCs w:val="32"/>
        </w:rPr>
        <w:t>Demand Forecast</w:t>
      </w:r>
      <w:bookmarkEnd w:id="121"/>
      <w:bookmarkEnd w:id="122"/>
      <w:bookmarkEnd w:id="123"/>
      <w:bookmarkEnd w:id="147"/>
      <w:bookmarkEnd w:id="148"/>
      <w:r w:rsidRPr="00997F1C">
        <w:rPr>
          <w:rFonts w:ascii="Arial" w:hAnsi="Arial" w:eastAsiaTheme="majorEastAsia" w:cstheme="majorBidi"/>
          <w:b/>
          <w:color w:val="000000" w:themeColor="text1"/>
          <w:szCs w:val="32"/>
        </w:rPr>
        <w:t xml:space="preserve"> </w:t>
      </w:r>
      <w:bookmarkEnd w:id="124"/>
    </w:p>
    <w:p w:rsidRPr="00997F1C" w:rsidR="003E5AEF" w:rsidP="00D737A5" w:rsidRDefault="003E5AEF" w14:paraId="5F78B9EC" w14:textId="77777777">
      <w:pPr>
        <w:keepNext/>
        <w:keepLines/>
        <w:numPr>
          <w:ilvl w:val="1"/>
          <w:numId w:val="11"/>
        </w:numPr>
        <w:spacing w:after="120" w:line="240" w:lineRule="auto"/>
        <w:ind w:right="2160"/>
        <w:outlineLvl w:val="1"/>
        <w:rPr>
          <w:rFonts w:ascii="Arial" w:hAnsi="Arial" w:cs="Arial"/>
          <w:b/>
          <w:color w:val="000000" w:themeColor="text1"/>
          <w:szCs w:val="26"/>
        </w:rPr>
      </w:pPr>
      <w:bookmarkStart w:name="_Toc212561170" w:id="149"/>
      <w:bookmarkStart w:name="_Toc217384648" w:id="150"/>
      <w:bookmarkEnd w:id="125"/>
      <w:r w:rsidRPr="00997F1C">
        <w:rPr>
          <w:rFonts w:ascii="Arial" w:hAnsi="Arial" w:cs="Arial"/>
          <w:b/>
          <w:color w:val="000000" w:themeColor="text1"/>
          <w:szCs w:val="26"/>
        </w:rPr>
        <w:t>Background</w:t>
      </w:r>
      <w:bookmarkEnd w:id="149"/>
      <w:bookmarkEnd w:id="150"/>
    </w:p>
    <w:p w:rsidRPr="00997F1C" w:rsidR="003E5AEF" w:rsidP="003E5AEF" w:rsidRDefault="53E8B74B" w14:paraId="35818D2B" w14:textId="77777777">
      <w:pPr>
        <w:rPr>
          <w:color w:val="000000" w:themeColor="text1"/>
        </w:rPr>
      </w:pPr>
      <w:r w:rsidRPr="00997F1C">
        <w:rPr>
          <w:color w:val="000000" w:themeColor="text1"/>
        </w:rPr>
        <w:t>PG&amp;E forecasted an energy load requirement of 27,101 Gigawatt-hours (GWh) for 2026.</w:t>
      </w:r>
      <w:r w:rsidRPr="00997F1C" w:rsidR="003E5AEF">
        <w:rPr>
          <w:color w:val="000000" w:themeColor="text1"/>
          <w:vertAlign w:val="superscript"/>
        </w:rPr>
        <w:footnoteReference w:id="98"/>
      </w:r>
      <w:r w:rsidRPr="00997F1C">
        <w:rPr>
          <w:color w:val="000000" w:themeColor="text1"/>
        </w:rPr>
        <w:t xml:space="preserve">  This forecast was calculated as the retail sales forecast (89,500 GWh) less forecasted direct access load (11,414 GWh), less CCA load (38,806 GWh), plus unaccounted for energy/losses (2,316 GWh).  The departing load forecast included acceptance of all 12 of the CCA–provided 2026 monthly sales forecasts.</w:t>
      </w:r>
    </w:p>
    <w:p w:rsidRPr="00997F1C" w:rsidR="003E5AEF" w:rsidP="003E5AEF" w:rsidRDefault="53E8B74B" w14:paraId="46117CD1" w14:textId="7EC39D08">
      <w:pPr>
        <w:rPr>
          <w:color w:val="000000" w:themeColor="text1"/>
        </w:rPr>
      </w:pPr>
      <w:r w:rsidRPr="00997F1C">
        <w:rPr>
          <w:color w:val="000000" w:themeColor="text1"/>
        </w:rPr>
        <w:t>PG&amp;E’s bundled electricity sales forecast for 2026, as shown in the Fall Update, was about 5.4 percent lower than the forecast adopted in PG&amp;E’s 2025 ERRA Forecast Application, A.24-05-009.</w:t>
      </w:r>
      <w:r w:rsidRPr="00997F1C" w:rsidR="003E5AEF">
        <w:rPr>
          <w:color w:val="000000" w:themeColor="text1"/>
          <w:vertAlign w:val="superscript"/>
        </w:rPr>
        <w:footnoteReference w:id="99"/>
      </w:r>
      <w:r w:rsidRPr="00997F1C">
        <w:rPr>
          <w:color w:val="000000" w:themeColor="text1"/>
        </w:rPr>
        <w:t xml:space="preserve">  The 2026 system peak forecast was </w:t>
      </w:r>
      <w:r w:rsidRPr="00997F1C">
        <w:rPr>
          <w:color w:val="000000" w:themeColor="text1"/>
        </w:rPr>
        <w:lastRenderedPageBreak/>
        <w:t xml:space="preserve">about 2.0 percent higher than the 2025 peak forecast adopted in </w:t>
      </w:r>
      <w:r w:rsidRPr="00997F1C" w:rsidR="450CF4FC">
        <w:rPr>
          <w:color w:val="000000" w:themeColor="text1"/>
        </w:rPr>
        <w:t>A.24-05-009</w:t>
      </w:r>
      <w:r w:rsidRPr="00997F1C">
        <w:rPr>
          <w:color w:val="000000" w:themeColor="text1"/>
        </w:rPr>
        <w:t>.</w:t>
      </w:r>
      <w:r w:rsidRPr="00997F1C" w:rsidR="003E5AEF">
        <w:rPr>
          <w:color w:val="000000" w:themeColor="text1"/>
          <w:vertAlign w:val="superscript"/>
        </w:rPr>
        <w:footnoteReference w:id="100"/>
      </w:r>
      <w:r w:rsidRPr="00997F1C">
        <w:rPr>
          <w:color w:val="000000" w:themeColor="text1"/>
        </w:rPr>
        <w:t xml:space="preserve">  PG&amp;E attributed the changes to multiple factors, including a revision of its data center demand and lower than expected sales in the first third of 2025.</w:t>
      </w:r>
      <w:r w:rsidRPr="00997F1C" w:rsidR="003E5AEF">
        <w:rPr>
          <w:color w:val="000000" w:themeColor="text1"/>
          <w:vertAlign w:val="superscript"/>
        </w:rPr>
        <w:footnoteReference w:id="101"/>
      </w:r>
    </w:p>
    <w:p w:rsidRPr="00997F1C" w:rsidR="003E5AEF" w:rsidP="00D737A5" w:rsidRDefault="003E5AEF" w14:paraId="27EE41BB" w14:textId="77777777">
      <w:pPr>
        <w:keepNext/>
        <w:keepLines/>
        <w:numPr>
          <w:ilvl w:val="1"/>
          <w:numId w:val="11"/>
        </w:numPr>
        <w:spacing w:after="120" w:line="240" w:lineRule="auto"/>
        <w:ind w:right="2160"/>
        <w:outlineLvl w:val="1"/>
        <w:rPr>
          <w:rFonts w:ascii="Arial" w:hAnsi="Arial" w:cs="Arial"/>
          <w:b/>
          <w:color w:val="000000" w:themeColor="text1"/>
          <w:szCs w:val="26"/>
        </w:rPr>
      </w:pPr>
      <w:bookmarkStart w:name="_Toc177628769" w:id="151"/>
      <w:bookmarkStart w:name="_Toc179212727" w:id="152"/>
      <w:bookmarkStart w:name="_Toc182306122" w:id="153"/>
      <w:bookmarkStart w:name="_Toc182841794" w:id="154"/>
      <w:bookmarkStart w:name="_Toc212561171" w:id="155"/>
      <w:bookmarkStart w:name="_Toc217384649" w:id="156"/>
      <w:r w:rsidRPr="00997F1C">
        <w:rPr>
          <w:rFonts w:ascii="Arial" w:hAnsi="Arial" w:cs="Arial"/>
          <w:b/>
          <w:color w:val="000000" w:themeColor="text1"/>
          <w:szCs w:val="26"/>
        </w:rPr>
        <w:t>Methodology</w:t>
      </w:r>
      <w:bookmarkEnd w:id="151"/>
      <w:bookmarkEnd w:id="152"/>
      <w:bookmarkEnd w:id="153"/>
      <w:bookmarkEnd w:id="154"/>
      <w:bookmarkEnd w:id="155"/>
      <w:bookmarkEnd w:id="156"/>
    </w:p>
    <w:p w:rsidRPr="00997F1C" w:rsidR="003E5AEF" w:rsidP="003E5AEF" w:rsidRDefault="53E8B74B" w14:paraId="7A5C7AAC" w14:textId="77777777">
      <w:pPr>
        <w:rPr>
          <w:color w:val="000000" w:themeColor="text1"/>
        </w:rPr>
      </w:pPr>
      <w:r w:rsidRPr="00997F1C">
        <w:rPr>
          <w:color w:val="000000" w:themeColor="text1"/>
        </w:rPr>
        <w:t>For its bundled sales forecast, PG&amp;E first forecasted total electric sales at the “retail system” level.  Then PG&amp;E determined its bundled sales forecast by subtracting the energy requirements of customers who buy electricity from entities other than PG&amp;E, such as DA customers, CCA customers, and the Bay Area Rapid Transit District (BART).</w:t>
      </w:r>
      <w:r w:rsidRPr="00997F1C" w:rsidR="003E5AEF">
        <w:rPr>
          <w:color w:val="000000" w:themeColor="text1"/>
          <w:vertAlign w:val="superscript"/>
        </w:rPr>
        <w:footnoteReference w:id="102"/>
      </w:r>
      <w:r w:rsidRPr="00997F1C">
        <w:rPr>
          <w:color w:val="000000" w:themeColor="text1"/>
        </w:rPr>
        <w:t xml:space="preserve">  PG&amp;E calculated total energy requirements for its bundled customers by applying unaccounted for energy, and transmission and distribution losses to forecasted sales at the meter.</w:t>
      </w:r>
      <w:r w:rsidRPr="00997F1C" w:rsidR="003E5AEF">
        <w:rPr>
          <w:color w:val="000000" w:themeColor="text1"/>
          <w:vertAlign w:val="superscript"/>
        </w:rPr>
        <w:footnoteReference w:id="103"/>
      </w:r>
    </w:p>
    <w:p w:rsidRPr="00997F1C" w:rsidR="003E5AEF" w:rsidP="003E5AEF" w:rsidRDefault="53E8B74B" w14:paraId="48DB0D39" w14:textId="77777777">
      <w:pPr>
        <w:rPr>
          <w:color w:val="000000" w:themeColor="text1"/>
        </w:rPr>
      </w:pPr>
      <w:r w:rsidRPr="00997F1C">
        <w:rPr>
          <w:color w:val="000000" w:themeColor="text1"/>
        </w:rPr>
        <w:t>PG&amp;E’s retail sales forecast is influenced by economic measures, price variables, and weather variables, and other factors such as customer-sited solar generation, energy efficiency savings, electric vehicle charging, and building electrification.</w:t>
      </w:r>
      <w:r w:rsidRPr="00997F1C" w:rsidR="003E5AEF">
        <w:rPr>
          <w:color w:val="000000" w:themeColor="text1"/>
          <w:vertAlign w:val="superscript"/>
        </w:rPr>
        <w:footnoteReference w:id="104"/>
      </w:r>
    </w:p>
    <w:p w:rsidRPr="00997F1C" w:rsidR="003E5AEF" w:rsidP="005B4778" w:rsidRDefault="53E8B74B" w14:paraId="16971D8D" w14:textId="0C78A03C">
      <w:pPr>
        <w:rPr>
          <w:color w:val="000000" w:themeColor="text1"/>
        </w:rPr>
      </w:pPr>
      <w:r w:rsidRPr="00997F1C">
        <w:rPr>
          <w:color w:val="000000" w:themeColor="text1"/>
        </w:rPr>
        <w:t>For its 2026 forecast, PG&amp;E initially included data center demand for the first time.</w:t>
      </w:r>
      <w:r w:rsidRPr="00997F1C" w:rsidR="003E5AEF">
        <w:rPr>
          <w:color w:val="000000" w:themeColor="text1"/>
          <w:vertAlign w:val="superscript"/>
        </w:rPr>
        <w:footnoteReference w:id="105"/>
      </w:r>
      <w:r w:rsidRPr="00997F1C">
        <w:rPr>
          <w:color w:val="000000" w:themeColor="text1"/>
        </w:rPr>
        <w:t xml:space="preserve">  </w:t>
      </w:r>
      <w:r w:rsidRPr="00997F1C" w:rsidR="662B6623">
        <w:rPr>
          <w:color w:val="000000" w:themeColor="text1"/>
        </w:rPr>
        <w:t xml:space="preserve">According to PG&amp;E, </w:t>
      </w:r>
      <w:r w:rsidRPr="00997F1C" w:rsidR="7450AB57">
        <w:rPr>
          <w:color w:val="000000" w:themeColor="text1"/>
        </w:rPr>
        <w:t xml:space="preserve">its interconnection application queue served as the main source data for forecasting future data center facilities. PG&amp;E aggregated requested load from applications in each year, then multiplied that time series by an assumed application conversion rate of 70 percent to create a </w:t>
      </w:r>
      <w:r w:rsidRPr="00997F1C" w:rsidR="7450AB57">
        <w:rPr>
          <w:color w:val="000000" w:themeColor="text1"/>
        </w:rPr>
        <w:lastRenderedPageBreak/>
        <w:t>forecast of data center capacity installed</w:t>
      </w:r>
      <w:r w:rsidRPr="00997F1C">
        <w:rPr>
          <w:color w:val="000000" w:themeColor="text1"/>
        </w:rPr>
        <w:t>.</w:t>
      </w:r>
      <w:r w:rsidRPr="00997F1C" w:rsidR="005B4778">
        <w:rPr>
          <w:rStyle w:val="FootnoteReference"/>
          <w:color w:val="000000" w:themeColor="text1"/>
        </w:rPr>
        <w:footnoteReference w:id="106"/>
      </w:r>
      <w:r w:rsidRPr="00997F1C" w:rsidR="7450AB57">
        <w:rPr>
          <w:color w:val="000000" w:themeColor="text1"/>
        </w:rPr>
        <w:t xml:space="preserve">  In the Fall Update, PG&amp;E revised its forecasting methodology</w:t>
      </w:r>
      <w:r w:rsidRPr="00997F1C" w:rsidR="005B4778">
        <w:rPr>
          <w:rStyle w:val="FootnoteReference"/>
          <w:color w:val="000000" w:themeColor="text1"/>
        </w:rPr>
        <w:footnoteReference w:id="107"/>
      </w:r>
      <w:r w:rsidRPr="00997F1C" w:rsidR="7450AB57">
        <w:rPr>
          <w:color w:val="000000" w:themeColor="text1"/>
        </w:rPr>
        <w:t xml:space="preserve"> and included data center demand in </w:t>
      </w:r>
      <w:r w:rsidRPr="00997F1C" w:rsidR="08A14EC1">
        <w:rPr>
          <w:color w:val="000000" w:themeColor="text1"/>
        </w:rPr>
        <w:t xml:space="preserve">its Unmitigated Retail Sales and </w:t>
      </w:r>
      <w:r w:rsidRPr="00997F1C" w:rsidR="1A3849A5">
        <w:rPr>
          <w:color w:val="000000" w:themeColor="text1"/>
        </w:rPr>
        <w:t>Unmitigated Retail Peak forecasts.</w:t>
      </w:r>
      <w:r w:rsidRPr="00997F1C" w:rsidR="005B4778">
        <w:rPr>
          <w:rStyle w:val="FootnoteReference"/>
          <w:color w:val="000000" w:themeColor="text1"/>
        </w:rPr>
        <w:footnoteReference w:id="108"/>
      </w:r>
      <w:r w:rsidRPr="00997F1C" w:rsidR="7450AB57">
        <w:rPr>
          <w:color w:val="000000" w:themeColor="text1"/>
        </w:rPr>
        <w:t xml:space="preserve"> </w:t>
      </w:r>
    </w:p>
    <w:p w:rsidRPr="00997F1C" w:rsidR="003E5AEF" w:rsidP="00D928F8" w:rsidRDefault="003E5AEF" w14:paraId="6ABF1BCB" w14:textId="77777777">
      <w:pPr>
        <w:pStyle w:val="Heading3"/>
      </w:pPr>
      <w:bookmarkStart w:name="_Toc212561172" w:id="157"/>
      <w:bookmarkStart w:name="_Toc177628770" w:id="158"/>
      <w:bookmarkStart w:name="_Toc179212728" w:id="159"/>
      <w:bookmarkStart w:name="_Toc182306123" w:id="160"/>
      <w:bookmarkStart w:name="_Toc182841795" w:id="161"/>
      <w:bookmarkStart w:name="_Toc217384650" w:id="162"/>
      <w:r w:rsidRPr="00997F1C">
        <w:t>Party Comments</w:t>
      </w:r>
      <w:bookmarkEnd w:id="157"/>
      <w:bookmarkEnd w:id="162"/>
    </w:p>
    <w:p w:rsidRPr="00997F1C" w:rsidR="003E5AEF" w:rsidP="003E5AEF" w:rsidRDefault="53E8B74B" w14:paraId="409A2F56" w14:textId="78FBEBBA">
      <w:pPr>
        <w:rPr>
          <w:color w:val="000000" w:themeColor="text1"/>
        </w:rPr>
      </w:pPr>
      <w:r w:rsidRPr="00997F1C">
        <w:rPr>
          <w:color w:val="000000" w:themeColor="text1"/>
        </w:rPr>
        <w:t>SBUA argued that the Commission should direct PG&amp;E to consult with outside experts regarding the ongoing shift to remote work resulting from behavioral, economic and technological change following the COVID-19 pandemic.</w:t>
      </w:r>
      <w:r w:rsidRPr="00997F1C" w:rsidR="003E5AEF">
        <w:rPr>
          <w:color w:val="000000" w:themeColor="text1"/>
          <w:vertAlign w:val="superscript"/>
        </w:rPr>
        <w:footnoteReference w:id="109"/>
      </w:r>
    </w:p>
    <w:p w:rsidRPr="00997F1C" w:rsidR="003E5AEF" w:rsidP="003E5AEF" w:rsidRDefault="53E8B74B" w14:paraId="7616C1FE" w14:textId="4BD91166">
      <w:pPr>
        <w:rPr>
          <w:color w:val="000000" w:themeColor="text1"/>
        </w:rPr>
      </w:pPr>
      <w:r w:rsidRPr="00997F1C">
        <w:rPr>
          <w:color w:val="000000" w:themeColor="text1"/>
        </w:rPr>
        <w:t>In addition, SBUA asked the Commission to direct PG&amp;E to discontinue use of its Bass Diffusion Model, or provide more transparent validation, for fuel cell and behind the meter solar adoption.</w:t>
      </w:r>
      <w:r w:rsidRPr="00997F1C" w:rsidR="003E5AEF">
        <w:rPr>
          <w:color w:val="000000" w:themeColor="text1"/>
          <w:vertAlign w:val="superscript"/>
        </w:rPr>
        <w:footnoteReference w:id="110"/>
      </w:r>
      <w:r w:rsidRPr="00997F1C">
        <w:rPr>
          <w:color w:val="000000" w:themeColor="text1"/>
        </w:rPr>
        <w:t xml:space="preserve">  According to SBUA, PG&amp;E uses the Bass Diffusion Model to “inform” its forecast customer adoption of fuel cells and behind the meter solar but does not clarify how the forecast is informed by the model or how the model functions.</w:t>
      </w:r>
      <w:r w:rsidRPr="00997F1C" w:rsidR="003E5AEF">
        <w:rPr>
          <w:color w:val="000000" w:themeColor="text1"/>
          <w:vertAlign w:val="superscript"/>
        </w:rPr>
        <w:footnoteReference w:id="111"/>
      </w:r>
      <w:r w:rsidRPr="00997F1C">
        <w:rPr>
          <w:color w:val="000000" w:themeColor="text1"/>
        </w:rPr>
        <w:t xml:space="preserve">  According to SBUA, the Bass Diffusion Model “can result in highly arbitrary outcomes as the results can be dramatically influenced by small changes in assumptions or the historical period selected.”</w:t>
      </w:r>
      <w:r w:rsidRPr="00997F1C" w:rsidR="003E5AEF">
        <w:rPr>
          <w:color w:val="000000" w:themeColor="text1"/>
          <w:vertAlign w:val="superscript"/>
        </w:rPr>
        <w:footnoteReference w:id="112"/>
      </w:r>
      <w:r w:rsidRPr="00997F1C">
        <w:rPr>
          <w:color w:val="000000" w:themeColor="text1"/>
        </w:rPr>
        <w:t xml:space="preserve"> </w:t>
      </w:r>
    </w:p>
    <w:p w:rsidRPr="00997F1C" w:rsidR="003E5AEF" w:rsidP="00D928F8" w:rsidRDefault="003E5AEF" w14:paraId="621D1F9D" w14:textId="77777777">
      <w:pPr>
        <w:pStyle w:val="Heading3"/>
      </w:pPr>
      <w:bookmarkStart w:name="_Toc212561173" w:id="163"/>
      <w:bookmarkStart w:name="_Toc217384651" w:id="164"/>
      <w:r w:rsidRPr="00997F1C">
        <w:t>Discussion</w:t>
      </w:r>
      <w:bookmarkEnd w:id="163"/>
      <w:bookmarkEnd w:id="164"/>
    </w:p>
    <w:p w:rsidRPr="00997F1C" w:rsidR="003E5AEF" w:rsidP="00A93519" w:rsidRDefault="003E5AEF" w14:paraId="1252AB12" w14:textId="77777777">
      <w:pPr>
        <w:pStyle w:val="Heading4"/>
        <w:tabs>
          <w:tab w:val="clear" w:pos="2232"/>
        </w:tabs>
      </w:pPr>
      <w:bookmarkStart w:name="_Toc212561174" w:id="165"/>
      <w:bookmarkStart w:name="_Toc217384652" w:id="166"/>
      <w:r w:rsidRPr="00997F1C">
        <w:t>Post-COVID Demand Forecasts</w:t>
      </w:r>
      <w:bookmarkEnd w:id="165"/>
      <w:bookmarkEnd w:id="166"/>
    </w:p>
    <w:p w:rsidR="002C2C2B" w:rsidP="002C2C2B" w:rsidRDefault="003E5AEF" w14:paraId="5D1C2EA8" w14:textId="1A63111E">
      <w:pPr>
        <w:rPr>
          <w:color w:val="000000" w:themeColor="text1"/>
        </w:rPr>
      </w:pPr>
      <w:r w:rsidRPr="00997F1C">
        <w:rPr>
          <w:color w:val="000000" w:themeColor="text1"/>
        </w:rPr>
        <w:t xml:space="preserve">We are not persuaded by SBUA that PG&amp;E’s demand forecasts are deficient in their analysis of the shift to remote work following the COVID-19 </w:t>
      </w:r>
      <w:r w:rsidRPr="00997F1C">
        <w:rPr>
          <w:color w:val="000000" w:themeColor="text1"/>
        </w:rPr>
        <w:lastRenderedPageBreak/>
        <w:t xml:space="preserve">pandemic.  </w:t>
      </w:r>
      <w:r w:rsidR="002C2C2B">
        <w:rPr>
          <w:color w:val="000000" w:themeColor="text1"/>
        </w:rPr>
        <w:t>As PG&amp;E noted in testimony,</w:t>
      </w:r>
      <w:r w:rsidR="002C2C2B">
        <w:rPr>
          <w:rStyle w:val="FootnoteReference"/>
          <w:color w:val="000000" w:themeColor="text1"/>
        </w:rPr>
        <w:footnoteReference w:id="113"/>
      </w:r>
      <w:r w:rsidR="002C2C2B">
        <w:rPr>
          <w:color w:val="000000" w:themeColor="text1"/>
        </w:rPr>
        <w:t xml:space="preserve"> it</w:t>
      </w:r>
      <w:r w:rsidRPr="002C2C2B" w:rsidR="002C2C2B">
        <w:rPr>
          <w:color w:val="000000" w:themeColor="text1"/>
        </w:rPr>
        <w:t xml:space="preserve"> conducted a Meet &amp; Confer with a consultant for SBUA on February 21, 2025, providing historical monthly sales data by customer class in advance of the meeting and identifying post-regression adjustments. </w:t>
      </w:r>
      <w:r w:rsidR="002C2C2B">
        <w:rPr>
          <w:color w:val="000000" w:themeColor="text1"/>
        </w:rPr>
        <w:t xml:space="preserve"> According to </w:t>
      </w:r>
      <w:r w:rsidRPr="002C2C2B" w:rsidR="002C2C2B">
        <w:rPr>
          <w:color w:val="000000" w:themeColor="text1"/>
        </w:rPr>
        <w:t>PG&amp;E</w:t>
      </w:r>
      <w:r w:rsidR="002C2C2B">
        <w:rPr>
          <w:color w:val="000000" w:themeColor="text1"/>
        </w:rPr>
        <w:t xml:space="preserve">, PG&amp;E </w:t>
      </w:r>
      <w:r w:rsidRPr="002C2C2B" w:rsidR="002C2C2B">
        <w:rPr>
          <w:color w:val="000000" w:themeColor="text1"/>
        </w:rPr>
        <w:t>solicited data and analysis from SBUA to substantiate their assertions of lasting changes in small commercial load, but received none, either in advance or at the meeting. At the meeting, PG&amp;</w:t>
      </w:r>
      <w:proofErr w:type="gramStart"/>
      <w:r w:rsidRPr="002C2C2B" w:rsidR="002C2C2B">
        <w:rPr>
          <w:color w:val="000000" w:themeColor="text1"/>
        </w:rPr>
        <w:t xml:space="preserve">E </w:t>
      </w:r>
      <w:r w:rsidR="00FD3373">
        <w:rPr>
          <w:color w:val="000000" w:themeColor="text1"/>
        </w:rPr>
        <w:t>stated it</w:t>
      </w:r>
      <w:proofErr w:type="gramEnd"/>
      <w:r w:rsidR="00FD3373">
        <w:rPr>
          <w:color w:val="000000" w:themeColor="text1"/>
        </w:rPr>
        <w:t xml:space="preserve"> </w:t>
      </w:r>
      <w:r w:rsidRPr="002C2C2B" w:rsidR="002C2C2B">
        <w:rPr>
          <w:color w:val="000000" w:themeColor="text1"/>
        </w:rPr>
        <w:t xml:space="preserve">described its forecasting methodology and post-regression adjustments and summarized the rates calculation process showing impacts of increasing or decreasing load. </w:t>
      </w:r>
      <w:r w:rsidR="002C2C2B">
        <w:rPr>
          <w:color w:val="000000" w:themeColor="text1"/>
        </w:rPr>
        <w:t xml:space="preserve"> </w:t>
      </w:r>
      <w:r w:rsidRPr="002C2C2B" w:rsidR="002C2C2B">
        <w:rPr>
          <w:color w:val="000000" w:themeColor="text1"/>
        </w:rPr>
        <w:t>SBUA</w:t>
      </w:r>
      <w:r w:rsidR="002C2C2B">
        <w:rPr>
          <w:color w:val="000000" w:themeColor="text1"/>
        </w:rPr>
        <w:t xml:space="preserve">, according to PG&amp;E, </w:t>
      </w:r>
      <w:r w:rsidRPr="002C2C2B" w:rsidR="002C2C2B">
        <w:rPr>
          <w:color w:val="000000" w:themeColor="text1"/>
        </w:rPr>
        <w:t xml:space="preserve">reiterated its belief that long-term changes were not represented, but shared no data or analysis for PG&amp;E to address. </w:t>
      </w:r>
      <w:r w:rsidR="00FD3373">
        <w:rPr>
          <w:color w:val="000000" w:themeColor="text1"/>
        </w:rPr>
        <w:t xml:space="preserve"> </w:t>
      </w:r>
      <w:r w:rsidR="002C2C2B">
        <w:rPr>
          <w:color w:val="000000" w:themeColor="text1"/>
        </w:rPr>
        <w:t>PG&amp;E stated that b</w:t>
      </w:r>
      <w:r w:rsidRPr="002C2C2B" w:rsidR="002C2C2B">
        <w:rPr>
          <w:color w:val="000000" w:themeColor="text1"/>
        </w:rPr>
        <w:t>ecause SBUA d</w:t>
      </w:r>
      <w:r w:rsidR="00FD3373">
        <w:rPr>
          <w:color w:val="000000" w:themeColor="text1"/>
        </w:rPr>
        <w:t>id</w:t>
      </w:r>
      <w:r w:rsidRPr="002C2C2B" w:rsidR="002C2C2B">
        <w:rPr>
          <w:color w:val="000000" w:themeColor="text1"/>
        </w:rPr>
        <w:t xml:space="preserve"> not support its assertions with any forward-looking data or an illustrative forecast methodology, PG&amp;E </w:t>
      </w:r>
      <w:r w:rsidR="00FD3373">
        <w:rPr>
          <w:color w:val="000000" w:themeColor="text1"/>
        </w:rPr>
        <w:t>was unable</w:t>
      </w:r>
      <w:r w:rsidRPr="002C2C2B" w:rsidR="002C2C2B">
        <w:rPr>
          <w:color w:val="000000" w:themeColor="text1"/>
        </w:rPr>
        <w:t xml:space="preserve"> to provide any additional responsive testimony addressing SBUA’s concerns</w:t>
      </w:r>
      <w:r w:rsidR="002C2C2B">
        <w:rPr>
          <w:color w:val="000000" w:themeColor="text1"/>
        </w:rPr>
        <w:t>.</w:t>
      </w:r>
    </w:p>
    <w:p w:rsidR="00463290" w:rsidP="002C2C2B" w:rsidRDefault="00463290" w14:paraId="68C71AA5" w14:textId="096D21FB">
      <w:pPr>
        <w:rPr>
          <w:color w:val="000000" w:themeColor="text1"/>
        </w:rPr>
      </w:pPr>
      <w:r>
        <w:rPr>
          <w:color w:val="000000" w:themeColor="text1"/>
        </w:rPr>
        <w:t xml:space="preserve">Subsequently, SBUA did not provide substantive material for the record of this proceeding that persuaded </w:t>
      </w:r>
      <w:r w:rsidR="00FD3373">
        <w:rPr>
          <w:color w:val="000000" w:themeColor="text1"/>
        </w:rPr>
        <w:t>us to require modifications to PG&amp;E’s post-COVID demand forecasts.</w:t>
      </w:r>
    </w:p>
    <w:p w:rsidR="003E5AEF" w:rsidP="002C2C2B" w:rsidRDefault="003E5AEF" w14:paraId="08798DA3" w14:textId="6A731C93">
      <w:pPr>
        <w:rPr>
          <w:color w:val="000000" w:themeColor="text1"/>
        </w:rPr>
      </w:pPr>
      <w:r w:rsidRPr="00997F1C">
        <w:rPr>
          <w:color w:val="000000" w:themeColor="text1"/>
        </w:rPr>
        <w:t>Therefore, we do not direct PG&amp;E to update its methodology regarding the shift to remote work.</w:t>
      </w:r>
    </w:p>
    <w:p w:rsidR="007122DC" w:rsidP="007122DC" w:rsidRDefault="007122DC" w14:paraId="3FB9CEF3" w14:textId="5D7BB837">
      <w:pPr>
        <w:pStyle w:val="Heading4"/>
      </w:pPr>
      <w:bookmarkStart w:name="_Toc217384653" w:id="167"/>
      <w:r>
        <w:t>Bass Diffusion Model</w:t>
      </w:r>
      <w:bookmarkEnd w:id="167"/>
    </w:p>
    <w:p w:rsidRPr="007122DC" w:rsidR="007122DC" w:rsidP="00BA3B05" w:rsidRDefault="00DF4C17" w14:paraId="45592A32" w14:textId="7FE8B774">
      <w:pPr>
        <w:pStyle w:val="Standard"/>
      </w:pPr>
      <w:r>
        <w:t xml:space="preserve"> </w:t>
      </w:r>
      <w:r w:rsidR="00E75680">
        <w:t>We acknowledge SBUA’s concern</w:t>
      </w:r>
      <w:r w:rsidR="002C3E9E">
        <w:t xml:space="preserve">s about PG&amp;E’s use of the </w:t>
      </w:r>
      <w:r w:rsidR="00E75680">
        <w:t>Bass Diffusion Model</w:t>
      </w:r>
      <w:r w:rsidR="002C3E9E">
        <w:t xml:space="preserve">.  Nonetheless, </w:t>
      </w:r>
      <w:r w:rsidR="00DC106F">
        <w:t xml:space="preserve">there is insufficient support for SBUA’s assertions that </w:t>
      </w:r>
      <w:r w:rsidR="002F2437">
        <w:t>the model</w:t>
      </w:r>
      <w:r w:rsidR="00DC106F">
        <w:t xml:space="preserve"> </w:t>
      </w:r>
      <w:r w:rsidRPr="00997F1C" w:rsidR="00DC106F">
        <w:rPr>
          <w:color w:val="000000" w:themeColor="text1"/>
        </w:rPr>
        <w:t>“can result in highly arbitrary outcomes</w:t>
      </w:r>
      <w:r w:rsidR="00DC106F">
        <w:rPr>
          <w:color w:val="000000" w:themeColor="text1"/>
        </w:rPr>
        <w:t>”</w:t>
      </w:r>
      <w:r w:rsidR="003F6F87">
        <w:rPr>
          <w:color w:val="000000" w:themeColor="text1"/>
        </w:rPr>
        <w:t xml:space="preserve"> or that it lacks transparency.  Therefore, we decline to adopt SBUA’s recommendation that </w:t>
      </w:r>
      <w:r w:rsidRPr="00997F1C" w:rsidR="003F6F87">
        <w:rPr>
          <w:color w:val="000000" w:themeColor="text1"/>
        </w:rPr>
        <w:t>the Commission direct PG&amp;E to discontinue use of its Bass Diffusion Model</w:t>
      </w:r>
      <w:r w:rsidR="003F6F87">
        <w:rPr>
          <w:color w:val="000000" w:themeColor="text1"/>
        </w:rPr>
        <w:t>.</w:t>
      </w:r>
    </w:p>
    <w:p w:rsidRPr="00997F1C" w:rsidR="003E5AEF" w:rsidP="00D737A5" w:rsidRDefault="003E5AEF" w14:paraId="3E0BFBFF" w14:textId="77777777">
      <w:pPr>
        <w:keepNext/>
        <w:keepLines/>
        <w:numPr>
          <w:ilvl w:val="1"/>
          <w:numId w:val="11"/>
        </w:numPr>
        <w:spacing w:after="120" w:line="240" w:lineRule="auto"/>
        <w:ind w:right="2160"/>
        <w:outlineLvl w:val="1"/>
        <w:rPr>
          <w:rFonts w:ascii="Arial" w:hAnsi="Arial" w:cs="Arial"/>
          <w:b/>
          <w:color w:val="000000" w:themeColor="text1"/>
          <w:szCs w:val="26"/>
        </w:rPr>
      </w:pPr>
      <w:bookmarkStart w:name="_Toc212561176" w:id="168"/>
      <w:bookmarkStart w:name="_Toc217384654" w:id="169"/>
      <w:r w:rsidRPr="00997F1C">
        <w:rPr>
          <w:rFonts w:ascii="Arial" w:hAnsi="Arial" w:cs="Arial"/>
          <w:b/>
          <w:color w:val="000000" w:themeColor="text1"/>
          <w:szCs w:val="26"/>
        </w:rPr>
        <w:lastRenderedPageBreak/>
        <w:t>Data Center Demand Forecasting</w:t>
      </w:r>
      <w:bookmarkEnd w:id="168"/>
      <w:bookmarkEnd w:id="169"/>
    </w:p>
    <w:p w:rsidRPr="00997F1C" w:rsidR="003E5AEF" w:rsidP="003E5AEF" w:rsidRDefault="003E5AEF" w14:paraId="6CCF4265" w14:textId="56124A29">
      <w:pPr>
        <w:rPr>
          <w:color w:val="000000" w:themeColor="text1"/>
        </w:rPr>
      </w:pPr>
      <w:r w:rsidRPr="00997F1C">
        <w:rPr>
          <w:color w:val="000000" w:themeColor="text1"/>
        </w:rPr>
        <w:t>In its Fall Update, PG&amp;E revised its methodology for calculating data center demand.  The Commission approves this demand forecast methodology for use in the instant proceeding but urges PG&amp;E to revise its data center demand forecast methodology as new information is available.</w:t>
      </w:r>
    </w:p>
    <w:p w:rsidRPr="00997F1C" w:rsidR="003E5AEF" w:rsidP="00D737A5" w:rsidRDefault="003E5AEF" w14:paraId="663317F2" w14:textId="77777777">
      <w:pPr>
        <w:keepNext/>
        <w:keepLines/>
        <w:numPr>
          <w:ilvl w:val="2"/>
          <w:numId w:val="9"/>
        </w:numPr>
        <w:spacing w:after="120" w:line="240" w:lineRule="auto"/>
        <w:ind w:right="2160"/>
        <w:outlineLvl w:val="2"/>
        <w:rPr>
          <w:rFonts w:ascii="Arial" w:hAnsi="Arial" w:eastAsiaTheme="majorEastAsia" w:cstheme="majorBidi"/>
          <w:b/>
          <w:color w:val="000000" w:themeColor="text1"/>
          <w:szCs w:val="24"/>
        </w:rPr>
      </w:pPr>
      <w:bookmarkStart w:name="_Toc212561177" w:id="170"/>
      <w:bookmarkStart w:name="_Toc217384655" w:id="171"/>
      <w:r w:rsidRPr="00997F1C">
        <w:rPr>
          <w:rFonts w:ascii="Arial" w:hAnsi="Arial" w:eastAsiaTheme="majorEastAsia" w:cstheme="majorBidi"/>
          <w:b/>
          <w:color w:val="000000" w:themeColor="text1"/>
          <w:szCs w:val="24"/>
        </w:rPr>
        <w:t>Background</w:t>
      </w:r>
      <w:bookmarkEnd w:id="170"/>
      <w:bookmarkEnd w:id="171"/>
    </w:p>
    <w:p w:rsidRPr="00997F1C" w:rsidR="003E5AEF" w:rsidP="003E5AEF" w:rsidRDefault="53E8B74B" w14:paraId="512A9779" w14:textId="77777777">
      <w:pPr>
        <w:rPr>
          <w:color w:val="000000" w:themeColor="text1"/>
        </w:rPr>
      </w:pPr>
      <w:r w:rsidRPr="00997F1C">
        <w:rPr>
          <w:color w:val="000000" w:themeColor="text1"/>
        </w:rPr>
        <w:t>PG&amp;E’s demand forecasts in prepared testimony included a new line item for data centers for both energy load (in gigawatt-hours or GWh) and peak load (in MW).</w:t>
      </w:r>
      <w:r w:rsidRPr="00997F1C" w:rsidR="003E5AEF">
        <w:rPr>
          <w:color w:val="000000" w:themeColor="text1"/>
          <w:vertAlign w:val="superscript"/>
        </w:rPr>
        <w:footnoteReference w:id="114"/>
      </w:r>
      <w:r w:rsidRPr="00997F1C">
        <w:rPr>
          <w:color w:val="000000" w:themeColor="text1"/>
        </w:rPr>
        <w:t xml:space="preserve">  That calculation for data center demand was based on data in PG&amp;E’s interconnection queue, as well as a conversion factor of 70 percent.</w:t>
      </w:r>
      <w:r w:rsidRPr="00997F1C" w:rsidR="003E5AEF">
        <w:rPr>
          <w:color w:val="000000" w:themeColor="text1"/>
          <w:vertAlign w:val="superscript"/>
        </w:rPr>
        <w:footnoteReference w:id="115"/>
      </w:r>
      <w:r w:rsidRPr="00997F1C">
        <w:rPr>
          <w:color w:val="000000" w:themeColor="text1"/>
        </w:rPr>
        <w:t xml:space="preserve">  </w:t>
      </w:r>
    </w:p>
    <w:p w:rsidRPr="00997F1C" w:rsidR="003E5AEF" w:rsidP="003E5AEF" w:rsidRDefault="009C6FEB" w14:paraId="6A01E0C2" w14:textId="7187176B">
      <w:pPr>
        <w:rPr>
          <w:color w:val="000000" w:themeColor="text1"/>
        </w:rPr>
      </w:pPr>
      <w:r w:rsidRPr="00997F1C">
        <w:rPr>
          <w:color w:val="000000" w:themeColor="text1"/>
        </w:rPr>
        <w:t>T</w:t>
      </w:r>
      <w:r w:rsidRPr="00997F1C" w:rsidR="53E8B74B">
        <w:rPr>
          <w:color w:val="000000" w:themeColor="text1"/>
        </w:rPr>
        <w:t>wo rulings in this proceeding required PG&amp;E to provide more detailed information about its data center demand forecasts, including the basis for using a 70 percent conversion factor and a list of projects in the data center interconnection queue.</w:t>
      </w:r>
      <w:r w:rsidRPr="00997F1C" w:rsidR="003E5AEF">
        <w:rPr>
          <w:color w:val="000000" w:themeColor="text1"/>
          <w:vertAlign w:val="superscript"/>
        </w:rPr>
        <w:footnoteReference w:id="116"/>
      </w:r>
      <w:r w:rsidRPr="00997F1C" w:rsidR="53E8B74B">
        <w:rPr>
          <w:color w:val="000000" w:themeColor="text1"/>
        </w:rPr>
        <w:t xml:space="preserve">  PG&amp;E provided public and confidential responses to those rulings.</w:t>
      </w:r>
      <w:r w:rsidRPr="00997F1C" w:rsidR="003E5AEF">
        <w:rPr>
          <w:color w:val="000000" w:themeColor="text1"/>
          <w:vertAlign w:val="superscript"/>
        </w:rPr>
        <w:footnoteReference w:id="117"/>
      </w:r>
      <w:r w:rsidRPr="00997F1C" w:rsidR="53E8B74B">
        <w:rPr>
          <w:color w:val="000000" w:themeColor="text1"/>
        </w:rPr>
        <w:t xml:space="preserve">  </w:t>
      </w:r>
    </w:p>
    <w:p w:rsidRPr="00997F1C" w:rsidR="003E5AEF" w:rsidP="003E5AEF" w:rsidRDefault="53E8B74B" w14:paraId="65187094" w14:textId="77777777">
      <w:pPr>
        <w:rPr>
          <w:color w:val="000000" w:themeColor="text1"/>
        </w:rPr>
      </w:pPr>
      <w:r w:rsidRPr="00997F1C">
        <w:rPr>
          <w:color w:val="000000" w:themeColor="text1"/>
        </w:rPr>
        <w:t>As part of the Fall Update, filed concurrently with the second data center ruling response, PG&amp;E revised its demand forecast.</w:t>
      </w:r>
      <w:r w:rsidRPr="00997F1C" w:rsidR="003E5AEF">
        <w:rPr>
          <w:color w:val="000000" w:themeColor="text1"/>
          <w:vertAlign w:val="superscript"/>
        </w:rPr>
        <w:footnoteReference w:id="118"/>
      </w:r>
      <w:r w:rsidRPr="00997F1C">
        <w:rPr>
          <w:color w:val="000000" w:themeColor="text1"/>
        </w:rPr>
        <w:t xml:space="preserve">  In the revised demand forecast, PG&amp;E removed the lines for data center demand in its Table 2-3 and incorporated data center demand in its unmitigated retail sales and unmitigated </w:t>
      </w:r>
      <w:r w:rsidRPr="00997F1C">
        <w:rPr>
          <w:color w:val="000000" w:themeColor="text1"/>
        </w:rPr>
        <w:lastRenderedPageBreak/>
        <w:t>retail peak values instead.</w:t>
      </w:r>
      <w:r w:rsidRPr="00997F1C" w:rsidR="003E5AEF">
        <w:rPr>
          <w:color w:val="000000" w:themeColor="text1"/>
          <w:vertAlign w:val="superscript"/>
        </w:rPr>
        <w:footnoteReference w:id="119"/>
      </w:r>
      <w:r w:rsidRPr="00997F1C">
        <w:rPr>
          <w:color w:val="000000" w:themeColor="text1"/>
        </w:rPr>
        <w:t xml:space="preserve">  In addition, PG&amp;E adjusted the methodology for calculating data center demand to only assume new data center load from projects identified a “Business Case Customer Required Operative Date” by year-end 2026.</w:t>
      </w:r>
      <w:r w:rsidRPr="00997F1C" w:rsidR="003E5AEF">
        <w:rPr>
          <w:color w:val="000000" w:themeColor="text1"/>
          <w:vertAlign w:val="superscript"/>
        </w:rPr>
        <w:footnoteReference w:id="120"/>
      </w:r>
      <w:r w:rsidRPr="00997F1C">
        <w:rPr>
          <w:color w:val="000000" w:themeColor="text1"/>
        </w:rPr>
        <w:t xml:space="preserve">   </w:t>
      </w:r>
    </w:p>
    <w:p w:rsidRPr="00997F1C" w:rsidR="003E5AEF" w:rsidP="003E5AEF" w:rsidRDefault="53E8B74B" w14:paraId="75A3D280" w14:textId="77777777">
      <w:pPr>
        <w:rPr>
          <w:color w:val="000000" w:themeColor="text1"/>
        </w:rPr>
      </w:pPr>
      <w:r w:rsidRPr="00997F1C">
        <w:rPr>
          <w:color w:val="000000" w:themeColor="text1"/>
        </w:rPr>
        <w:t>As a result of this modification to the demand forecast methodology, the unmitigated retail sales forecast for 2026 decreased by 3.0 percent to 89,500 GWh</w:t>
      </w:r>
      <w:r w:rsidRPr="00997F1C" w:rsidR="003E5AEF">
        <w:rPr>
          <w:color w:val="000000" w:themeColor="text1"/>
          <w:vertAlign w:val="superscript"/>
        </w:rPr>
        <w:footnoteReference w:id="121"/>
      </w:r>
      <w:r w:rsidRPr="00997F1C">
        <w:rPr>
          <w:color w:val="000000" w:themeColor="text1"/>
        </w:rPr>
        <w:t xml:space="preserve"> when compared to PG&amp;E’s testimony, and the unmitigated retail peak forecast for December 2026 decreased by 0.8 percent.</w:t>
      </w:r>
    </w:p>
    <w:p w:rsidRPr="00997F1C" w:rsidR="003E5AEF" w:rsidP="00D737A5" w:rsidRDefault="003E5AEF" w14:paraId="28CF788E" w14:textId="77777777">
      <w:pPr>
        <w:keepNext/>
        <w:keepLines/>
        <w:numPr>
          <w:ilvl w:val="2"/>
          <w:numId w:val="9"/>
        </w:numPr>
        <w:spacing w:after="120" w:line="240" w:lineRule="auto"/>
        <w:ind w:right="2160"/>
        <w:outlineLvl w:val="2"/>
        <w:rPr>
          <w:rFonts w:ascii="Arial" w:hAnsi="Arial" w:eastAsiaTheme="majorEastAsia" w:cstheme="majorBidi"/>
          <w:b/>
          <w:color w:val="000000" w:themeColor="text1"/>
          <w:szCs w:val="24"/>
        </w:rPr>
      </w:pPr>
      <w:bookmarkStart w:name="_Toc212561178" w:id="172"/>
      <w:bookmarkStart w:name="_Toc217384656" w:id="173"/>
      <w:r w:rsidRPr="00997F1C">
        <w:rPr>
          <w:rFonts w:ascii="Arial" w:hAnsi="Arial" w:eastAsiaTheme="majorEastAsia" w:cstheme="majorBidi"/>
          <w:b/>
          <w:color w:val="000000" w:themeColor="text1"/>
          <w:szCs w:val="24"/>
        </w:rPr>
        <w:t>Party Comments</w:t>
      </w:r>
      <w:bookmarkEnd w:id="172"/>
      <w:bookmarkEnd w:id="173"/>
    </w:p>
    <w:p w:rsidRPr="00997F1C" w:rsidR="003E5AEF" w:rsidP="003E5AEF" w:rsidRDefault="003E5AEF" w14:paraId="3A50A366" w14:textId="77777777">
      <w:pPr>
        <w:rPr>
          <w:color w:val="000000" w:themeColor="text1"/>
        </w:rPr>
      </w:pPr>
      <w:r w:rsidRPr="00997F1C">
        <w:rPr>
          <w:color w:val="000000" w:themeColor="text1"/>
        </w:rPr>
        <w:t xml:space="preserve">SBUA argued that PG&amp;E’s methodology for its load adjustment for large data center near-term forecasting is flawed.  SBUA asked the Commission to direct PG&amp;E to adjust its 2027 ERRA forecast to: </w:t>
      </w:r>
    </w:p>
    <w:p w:rsidRPr="00997F1C" w:rsidR="003E5AEF" w:rsidP="00D737A5" w:rsidRDefault="53E8B74B" w14:paraId="4299424B" w14:textId="77777777">
      <w:pPr>
        <w:numPr>
          <w:ilvl w:val="0"/>
          <w:numId w:val="6"/>
        </w:numPr>
        <w:tabs>
          <w:tab w:val="clear" w:pos="360"/>
        </w:tabs>
        <w:spacing w:after="120" w:line="240" w:lineRule="auto"/>
        <w:ind w:left="1080" w:right="1440"/>
        <w:rPr>
          <w:color w:val="000000" w:themeColor="text1"/>
        </w:rPr>
      </w:pPr>
      <w:r w:rsidRPr="00997F1C">
        <w:rPr>
          <w:color w:val="000000" w:themeColor="text1"/>
        </w:rPr>
        <w:t>Treat data center additional loads like other additional loads;</w:t>
      </w:r>
      <w:r w:rsidRPr="00997F1C" w:rsidR="003E5AEF">
        <w:rPr>
          <w:color w:val="000000" w:themeColor="text1"/>
          <w:vertAlign w:val="superscript"/>
        </w:rPr>
        <w:footnoteReference w:id="122"/>
      </w:r>
      <w:r w:rsidRPr="00997F1C">
        <w:rPr>
          <w:color w:val="000000" w:themeColor="text1"/>
        </w:rPr>
        <w:t xml:space="preserve"> </w:t>
      </w:r>
    </w:p>
    <w:p w:rsidRPr="00997F1C" w:rsidR="003E5AEF" w:rsidP="00D737A5" w:rsidRDefault="53E8B74B" w14:paraId="0C91009B" w14:textId="77777777">
      <w:pPr>
        <w:numPr>
          <w:ilvl w:val="0"/>
          <w:numId w:val="6"/>
        </w:numPr>
        <w:tabs>
          <w:tab w:val="clear" w:pos="360"/>
        </w:tabs>
        <w:spacing w:after="120" w:line="240" w:lineRule="auto"/>
        <w:ind w:left="1080" w:right="1440"/>
        <w:rPr>
          <w:color w:val="000000" w:themeColor="text1"/>
        </w:rPr>
      </w:pPr>
      <w:r w:rsidRPr="00997F1C">
        <w:rPr>
          <w:color w:val="000000" w:themeColor="text1"/>
        </w:rPr>
        <w:t>Use its own 2024-2025 historical data rather than California Energy Commission (CEC) and Silicon Valley Power long-term planning data;</w:t>
      </w:r>
      <w:r w:rsidRPr="00997F1C" w:rsidR="003E5AEF">
        <w:rPr>
          <w:color w:val="000000" w:themeColor="text1"/>
          <w:vertAlign w:val="superscript"/>
        </w:rPr>
        <w:footnoteReference w:id="123"/>
      </w:r>
      <w:r w:rsidRPr="00997F1C">
        <w:rPr>
          <w:color w:val="000000" w:themeColor="text1"/>
        </w:rPr>
        <w:t xml:space="preserve"> and </w:t>
      </w:r>
    </w:p>
    <w:p w:rsidRPr="00997F1C" w:rsidR="003E5AEF" w:rsidP="00D737A5" w:rsidRDefault="53E8B74B" w14:paraId="31D0E71E" w14:textId="77777777">
      <w:pPr>
        <w:numPr>
          <w:ilvl w:val="0"/>
          <w:numId w:val="6"/>
        </w:numPr>
        <w:tabs>
          <w:tab w:val="clear" w:pos="360"/>
        </w:tabs>
        <w:spacing w:after="120" w:line="240" w:lineRule="auto"/>
        <w:ind w:left="1080" w:right="1440"/>
        <w:rPr>
          <w:color w:val="000000" w:themeColor="text1"/>
        </w:rPr>
      </w:pPr>
      <w:proofErr w:type="gramStart"/>
      <w:r w:rsidRPr="00997F1C">
        <w:rPr>
          <w:color w:val="000000" w:themeColor="text1"/>
        </w:rPr>
        <w:t>Instruct</w:t>
      </w:r>
      <w:proofErr w:type="gramEnd"/>
      <w:r w:rsidRPr="00997F1C">
        <w:rPr>
          <w:color w:val="000000" w:themeColor="text1"/>
        </w:rPr>
        <w:t xml:space="preserve"> PG&amp;E not to assume data centers will result in downward pressure on rates in the absence of smart policies protecting consumers.</w:t>
      </w:r>
      <w:r w:rsidRPr="00997F1C" w:rsidR="003E5AEF">
        <w:rPr>
          <w:color w:val="000000" w:themeColor="text1"/>
          <w:vertAlign w:val="superscript"/>
        </w:rPr>
        <w:footnoteReference w:id="124"/>
      </w:r>
    </w:p>
    <w:p w:rsidRPr="00997F1C" w:rsidR="003E5AEF" w:rsidP="00D737A5" w:rsidRDefault="003E5AEF" w14:paraId="4C2A067B" w14:textId="77777777">
      <w:pPr>
        <w:keepNext/>
        <w:keepLines/>
        <w:numPr>
          <w:ilvl w:val="2"/>
          <w:numId w:val="9"/>
        </w:numPr>
        <w:spacing w:after="120" w:line="240" w:lineRule="auto"/>
        <w:ind w:right="2160"/>
        <w:outlineLvl w:val="2"/>
        <w:rPr>
          <w:rFonts w:ascii="Arial" w:hAnsi="Arial" w:eastAsiaTheme="majorEastAsia" w:cstheme="majorBidi"/>
          <w:b/>
          <w:color w:val="000000" w:themeColor="text1"/>
          <w:szCs w:val="24"/>
        </w:rPr>
      </w:pPr>
      <w:bookmarkStart w:name="_Toc212561179" w:id="174"/>
      <w:bookmarkStart w:name="_Toc217384657" w:id="175"/>
      <w:r w:rsidRPr="00997F1C">
        <w:rPr>
          <w:rFonts w:ascii="Arial" w:hAnsi="Arial" w:eastAsiaTheme="majorEastAsia" w:cstheme="majorBidi"/>
          <w:b/>
          <w:color w:val="000000" w:themeColor="text1"/>
          <w:szCs w:val="24"/>
        </w:rPr>
        <w:lastRenderedPageBreak/>
        <w:t>Discussion</w:t>
      </w:r>
      <w:bookmarkEnd w:id="174"/>
      <w:bookmarkEnd w:id="175"/>
    </w:p>
    <w:p w:rsidRPr="00997F1C" w:rsidR="003E5AEF" w:rsidP="00A5195C" w:rsidRDefault="00F1212E" w14:paraId="66787169" w14:textId="236EA91C">
      <w:pPr>
        <w:rPr>
          <w:color w:val="000000" w:themeColor="text1"/>
        </w:rPr>
      </w:pPr>
      <w:r w:rsidRPr="00997F1C">
        <w:rPr>
          <w:color w:val="000000" w:themeColor="text1"/>
        </w:rPr>
        <w:t xml:space="preserve">Upon review of </w:t>
      </w:r>
      <w:r w:rsidRPr="00997F1C" w:rsidR="001A75EB">
        <w:rPr>
          <w:color w:val="000000" w:themeColor="text1"/>
        </w:rPr>
        <w:t>PG&amp;E’s Fall Update and responses to the two data cen</w:t>
      </w:r>
      <w:r w:rsidRPr="00997F1C" w:rsidR="001618F2">
        <w:rPr>
          <w:color w:val="000000" w:themeColor="text1"/>
        </w:rPr>
        <w:t>t</w:t>
      </w:r>
      <w:r w:rsidRPr="00997F1C" w:rsidR="001A75EB">
        <w:rPr>
          <w:color w:val="000000" w:themeColor="text1"/>
        </w:rPr>
        <w:t xml:space="preserve">er rulings, we are persuaded </w:t>
      </w:r>
      <w:r w:rsidRPr="00997F1C" w:rsidR="001618F2">
        <w:rPr>
          <w:color w:val="000000" w:themeColor="text1"/>
        </w:rPr>
        <w:t>that PG&amp;E’s 2026 demand forecasts are reasonable</w:t>
      </w:r>
      <w:r w:rsidRPr="00997F1C" w:rsidR="00580AA3">
        <w:rPr>
          <w:color w:val="000000" w:themeColor="text1"/>
        </w:rPr>
        <w:t xml:space="preserve">.  </w:t>
      </w:r>
    </w:p>
    <w:p w:rsidRPr="00997F1C" w:rsidR="003E5AEF" w:rsidP="00D737A5" w:rsidRDefault="003E5AEF" w14:paraId="35A3C322" w14:textId="0257FFB9">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179212730" w:id="176"/>
      <w:bookmarkStart w:name="_Toc182306124" w:id="177"/>
      <w:bookmarkStart w:name="_Toc182841796" w:id="178"/>
      <w:bookmarkStart w:name="_Toc212561180" w:id="179"/>
      <w:bookmarkStart w:name="_Toc217384658" w:id="180"/>
      <w:bookmarkEnd w:id="158"/>
      <w:bookmarkEnd w:id="159"/>
      <w:bookmarkEnd w:id="160"/>
      <w:bookmarkEnd w:id="161"/>
      <w:r w:rsidRPr="00997F1C">
        <w:rPr>
          <w:rFonts w:ascii="Arial" w:hAnsi="Arial" w:eastAsiaTheme="majorEastAsia" w:cstheme="majorBidi"/>
          <w:b/>
          <w:color w:val="000000" w:themeColor="text1"/>
          <w:szCs w:val="32"/>
        </w:rPr>
        <w:t xml:space="preserve">GHG Forecast Costs, </w:t>
      </w:r>
      <w:r w:rsidRPr="00997F1C" w:rsidR="00C765F1">
        <w:rPr>
          <w:rFonts w:ascii="Arial" w:hAnsi="Arial" w:eastAsiaTheme="majorEastAsia" w:cstheme="majorBidi"/>
          <w:b/>
          <w:color w:val="000000" w:themeColor="text1"/>
          <w:szCs w:val="32"/>
        </w:rPr>
        <w:t xml:space="preserve">Auction </w:t>
      </w:r>
      <w:r w:rsidR="009F5B6F">
        <w:rPr>
          <w:rFonts w:ascii="Arial" w:hAnsi="Arial" w:eastAsiaTheme="majorEastAsia" w:cstheme="majorBidi"/>
          <w:b/>
          <w:color w:val="000000" w:themeColor="text1"/>
          <w:szCs w:val="32"/>
        </w:rPr>
        <w:br/>
      </w:r>
      <w:r w:rsidRPr="00997F1C" w:rsidR="00C765F1">
        <w:rPr>
          <w:rFonts w:ascii="Arial" w:hAnsi="Arial" w:eastAsiaTheme="majorEastAsia" w:cstheme="majorBidi"/>
          <w:b/>
          <w:color w:val="000000" w:themeColor="text1"/>
          <w:szCs w:val="32"/>
        </w:rPr>
        <w:t xml:space="preserve">Proceeds, </w:t>
      </w:r>
      <w:r w:rsidRPr="00997F1C">
        <w:rPr>
          <w:rFonts w:ascii="Arial" w:hAnsi="Arial" w:eastAsiaTheme="majorEastAsia" w:cstheme="majorBidi"/>
          <w:b/>
          <w:color w:val="000000" w:themeColor="text1"/>
          <w:szCs w:val="32"/>
        </w:rPr>
        <w:t>and Reconciliation</w:t>
      </w:r>
      <w:bookmarkEnd w:id="176"/>
      <w:bookmarkEnd w:id="177"/>
      <w:bookmarkEnd w:id="178"/>
      <w:bookmarkEnd w:id="179"/>
      <w:bookmarkEnd w:id="180"/>
    </w:p>
    <w:p w:rsidRPr="00997F1C" w:rsidR="003E5AEF" w:rsidP="003E5AEF" w:rsidRDefault="003E5AEF" w14:paraId="6681AEBD" w14:textId="55851DCF">
      <w:pPr>
        <w:rPr>
          <w:color w:val="000000" w:themeColor="text1"/>
        </w:rPr>
      </w:pPr>
      <w:r w:rsidRPr="00997F1C">
        <w:rPr>
          <w:color w:val="000000" w:themeColor="text1"/>
        </w:rPr>
        <w:t>The Commission adopted standard procedures for electric utilities to request GHG forecast revenue and reconciliation requirements filed after 2013 in D.14</w:t>
      </w:r>
      <w:r w:rsidRPr="00997F1C">
        <w:rPr>
          <w:color w:val="000000" w:themeColor="text1"/>
        </w:rPr>
        <w:noBreakHyphen/>
        <w:t>10</w:t>
      </w:r>
      <w:r w:rsidRPr="00997F1C">
        <w:rPr>
          <w:color w:val="000000" w:themeColor="text1"/>
        </w:rPr>
        <w:noBreakHyphen/>
        <w:t>033.  The decision also adopted Confidentiality Protocols for Cap</w:t>
      </w:r>
      <w:r w:rsidRPr="00997F1C">
        <w:rPr>
          <w:color w:val="000000" w:themeColor="text1"/>
        </w:rPr>
        <w:noBreakHyphen/>
        <w:t>and</w:t>
      </w:r>
      <w:r w:rsidRPr="00997F1C">
        <w:rPr>
          <w:color w:val="000000" w:themeColor="text1"/>
        </w:rPr>
        <w:noBreakHyphen/>
        <w:t>Trade</w:t>
      </w:r>
      <w:r w:rsidRPr="00997F1C">
        <w:rPr>
          <w:color w:val="000000" w:themeColor="text1"/>
        </w:rPr>
        <w:noBreakHyphen/>
        <w:t>related data and required the utilities to use a proxy price in their forecasts.  Finally, the decision required the utilities to file GHG Forecast Revenue and Reconciliation Applications annually as part of their ERRA forecast applications.  We use the standards adopted in D.14</w:t>
      </w:r>
      <w:r w:rsidRPr="00997F1C">
        <w:rPr>
          <w:color w:val="000000" w:themeColor="text1"/>
        </w:rPr>
        <w:noBreakHyphen/>
        <w:t>10</w:t>
      </w:r>
      <w:r w:rsidRPr="00997F1C">
        <w:rPr>
          <w:color w:val="000000" w:themeColor="text1"/>
        </w:rPr>
        <w:noBreakHyphen/>
        <w:t>033 to review PG&amp;E’s current Forecast Application to determine the reasonableness of both the recorded and forecast variables.</w:t>
      </w:r>
    </w:p>
    <w:p w:rsidRPr="00997F1C" w:rsidR="003E5AEF" w:rsidP="003E5AEF" w:rsidRDefault="003E5AEF" w14:paraId="18197C21" w14:textId="77777777">
      <w:pPr>
        <w:rPr>
          <w:color w:val="000000" w:themeColor="text1"/>
        </w:rPr>
      </w:pPr>
      <w:r w:rsidRPr="00997F1C">
        <w:rPr>
          <w:color w:val="000000" w:themeColor="text1"/>
        </w:rPr>
        <w:t>R.20</w:t>
      </w:r>
      <w:r w:rsidRPr="00997F1C">
        <w:rPr>
          <w:color w:val="000000" w:themeColor="text1"/>
        </w:rPr>
        <w:noBreakHyphen/>
        <w:t>05</w:t>
      </w:r>
      <w:r w:rsidRPr="00997F1C">
        <w:rPr>
          <w:color w:val="000000" w:themeColor="text1"/>
        </w:rPr>
        <w:noBreakHyphen/>
        <w:t>002 reviewed the customer climate credits the State of California provides through the California Air Resources Board’s (CARB) Cap</w:t>
      </w:r>
      <w:r w:rsidRPr="00997F1C">
        <w:rPr>
          <w:color w:val="000000" w:themeColor="text1"/>
        </w:rPr>
        <w:noBreakHyphen/>
        <w:t>and</w:t>
      </w:r>
      <w:r w:rsidRPr="00997F1C">
        <w:rPr>
          <w:color w:val="000000" w:themeColor="text1"/>
        </w:rPr>
        <w:noBreakHyphen/>
        <w:t>Trade Program and adopted revisions to ensure that the credits were compliant with current statutes and regulations and streamlined certain existing processes.  In D.21</w:t>
      </w:r>
      <w:r w:rsidRPr="00997F1C">
        <w:rPr>
          <w:color w:val="000000" w:themeColor="text1"/>
        </w:rPr>
        <w:noBreakHyphen/>
        <w:t>08</w:t>
      </w:r>
      <w:r w:rsidRPr="00997F1C">
        <w:rPr>
          <w:color w:val="000000" w:themeColor="text1"/>
        </w:rPr>
        <w:noBreakHyphen/>
        <w:t>026, the Commission determined that the volumetric dispersion of the small business California Climate Credit did not comply with CARB’s Cap</w:t>
      </w:r>
      <w:r w:rsidRPr="00997F1C">
        <w:rPr>
          <w:color w:val="000000" w:themeColor="text1"/>
        </w:rPr>
        <w:noBreakHyphen/>
        <w:t>and</w:t>
      </w:r>
      <w:r w:rsidRPr="00997F1C">
        <w:rPr>
          <w:color w:val="000000" w:themeColor="text1"/>
        </w:rPr>
        <w:noBreakHyphen/>
        <w:t>Trade Regulation.  To bring the small business return into compliance, starting in 2022 the Commission modified the small business California Climate Credit methodology to a flat rate approach mirroring and equal in size to the residential California Climate Credit.</w:t>
      </w:r>
    </w:p>
    <w:p w:rsidRPr="00997F1C" w:rsidR="003E5AEF" w:rsidP="003E5AEF" w:rsidRDefault="003E5AEF" w14:paraId="24BBADF2" w14:textId="77777777">
      <w:pPr>
        <w:rPr>
          <w:color w:val="000000" w:themeColor="text1"/>
        </w:rPr>
      </w:pPr>
      <w:r w:rsidRPr="00997F1C">
        <w:rPr>
          <w:color w:val="000000" w:themeColor="text1"/>
        </w:rPr>
        <w:t>PG&amp;E AL 6326-E developed new D</w:t>
      </w:r>
      <w:r w:rsidRPr="00997F1C">
        <w:rPr>
          <w:color w:val="000000" w:themeColor="text1"/>
        </w:rPr>
        <w:noBreakHyphen/>
        <w:t>series templates to calculate credit amounts accounting for the methodological adjustments in D.21</w:t>
      </w:r>
      <w:r w:rsidRPr="00997F1C">
        <w:rPr>
          <w:color w:val="000000" w:themeColor="text1"/>
        </w:rPr>
        <w:noBreakHyphen/>
        <w:t>08</w:t>
      </w:r>
      <w:r w:rsidRPr="00997F1C">
        <w:rPr>
          <w:color w:val="000000" w:themeColor="text1"/>
        </w:rPr>
        <w:noBreakHyphen/>
        <w:t xml:space="preserve">026.  </w:t>
      </w:r>
      <w:r w:rsidRPr="00997F1C">
        <w:rPr>
          <w:color w:val="000000" w:themeColor="text1"/>
        </w:rPr>
        <w:lastRenderedPageBreak/>
        <w:t>Template D</w:t>
      </w:r>
      <w:r w:rsidRPr="00997F1C">
        <w:rPr>
          <w:color w:val="000000" w:themeColor="text1"/>
        </w:rPr>
        <w:noBreakHyphen/>
        <w:t>4 and Template D</w:t>
      </w:r>
      <w:r w:rsidRPr="00997F1C">
        <w:rPr>
          <w:color w:val="000000" w:themeColor="text1"/>
        </w:rPr>
        <w:noBreakHyphen/>
        <w:t>5, previously submitted as part of the ERRA application, were removed.</w:t>
      </w:r>
    </w:p>
    <w:p w:rsidRPr="00997F1C" w:rsidR="003E5AEF" w:rsidP="003E5AEF" w:rsidRDefault="53E8B74B" w14:paraId="4F0CD9FB" w14:textId="5C43B72F">
      <w:pPr>
        <w:rPr>
          <w:color w:val="000000" w:themeColor="text1"/>
        </w:rPr>
      </w:pPr>
      <w:r w:rsidRPr="00997F1C">
        <w:rPr>
          <w:color w:val="000000" w:themeColor="text1"/>
        </w:rPr>
        <w:t>PG&amp;E forecasted $</w:t>
      </w:r>
      <w:r w:rsidRPr="00997F1C" w:rsidR="00D37D9B">
        <w:rPr>
          <w:color w:val="000000" w:themeColor="text1"/>
        </w:rPr>
        <w:t>47,962,186</w:t>
      </w:r>
      <w:r w:rsidRPr="00997F1C">
        <w:rPr>
          <w:color w:val="000000" w:themeColor="text1"/>
        </w:rPr>
        <w:t xml:space="preserve"> in GHG Cap</w:t>
      </w:r>
      <w:r w:rsidRPr="00997F1C">
        <w:rPr>
          <w:color w:val="000000" w:themeColor="text1"/>
        </w:rPr>
        <w:noBreakHyphen/>
        <w:t>and</w:t>
      </w:r>
      <w:r w:rsidRPr="00997F1C">
        <w:rPr>
          <w:color w:val="000000" w:themeColor="text1"/>
        </w:rPr>
        <w:noBreakHyphen/>
        <w:t>Trade costs for 2026.</w:t>
      </w:r>
      <w:r w:rsidRPr="00997F1C" w:rsidR="003E5AEF">
        <w:rPr>
          <w:color w:val="000000" w:themeColor="text1"/>
          <w:vertAlign w:val="superscript"/>
        </w:rPr>
        <w:footnoteReference w:id="125"/>
      </w:r>
      <w:r w:rsidRPr="00997F1C">
        <w:rPr>
          <w:color w:val="000000" w:themeColor="text1"/>
        </w:rPr>
        <w:t xml:space="preserve">  PG&amp;E calculates the net GHG allowance proceeds available for customer return at $704,046,796</w:t>
      </w:r>
      <w:r w:rsidRPr="00997F1C" w:rsidR="003E5AEF">
        <w:rPr>
          <w:color w:val="000000" w:themeColor="text1"/>
          <w:vertAlign w:val="superscript"/>
        </w:rPr>
        <w:footnoteReference w:id="126"/>
      </w:r>
      <w:r w:rsidRPr="00997F1C">
        <w:rPr>
          <w:color w:val="000000" w:themeColor="text1"/>
        </w:rPr>
        <w:t xml:space="preserve"> and the net GHG </w:t>
      </w:r>
      <w:r w:rsidRPr="00997F1C" w:rsidR="1360585B">
        <w:rPr>
          <w:color w:val="000000" w:themeColor="text1"/>
        </w:rPr>
        <w:t xml:space="preserve">auction proceeds </w:t>
      </w:r>
      <w:r w:rsidRPr="00997F1C">
        <w:rPr>
          <w:color w:val="000000" w:themeColor="text1"/>
        </w:rPr>
        <w:t>return at $475,276,000.</w:t>
      </w:r>
      <w:r w:rsidRPr="00997F1C" w:rsidR="003E5AEF">
        <w:rPr>
          <w:color w:val="000000" w:themeColor="text1"/>
          <w:vertAlign w:val="superscript"/>
        </w:rPr>
        <w:footnoteReference w:id="127"/>
      </w:r>
      <w:r w:rsidRPr="00997F1C">
        <w:rPr>
          <w:color w:val="000000" w:themeColor="text1"/>
        </w:rPr>
        <w:t xml:space="preserve">  PG&amp;E’s net GHG </w:t>
      </w:r>
      <w:r w:rsidRPr="00997F1C" w:rsidR="1360585B">
        <w:rPr>
          <w:color w:val="000000" w:themeColor="text1"/>
        </w:rPr>
        <w:t xml:space="preserve">auction proceeds </w:t>
      </w:r>
      <w:r w:rsidRPr="00997F1C">
        <w:rPr>
          <w:color w:val="000000" w:themeColor="text1"/>
        </w:rPr>
        <w:t xml:space="preserve">and expenses consist of the following:  (1) a prior balance; (2) allowance </w:t>
      </w:r>
      <w:r w:rsidRPr="00997F1C" w:rsidR="1360585B">
        <w:rPr>
          <w:color w:val="000000" w:themeColor="text1"/>
        </w:rPr>
        <w:t>auction proceeds</w:t>
      </w:r>
      <w:r w:rsidRPr="00997F1C">
        <w:rPr>
          <w:color w:val="000000" w:themeColor="text1"/>
        </w:rPr>
        <w:t xml:space="preserve">; (3) revenue franchise fees and </w:t>
      </w:r>
      <w:proofErr w:type="spellStart"/>
      <w:r w:rsidRPr="00997F1C">
        <w:rPr>
          <w:color w:val="000000" w:themeColor="text1"/>
        </w:rPr>
        <w:t>uncollectibles</w:t>
      </w:r>
      <w:proofErr w:type="spellEnd"/>
      <w:r w:rsidRPr="00997F1C">
        <w:rPr>
          <w:color w:val="000000" w:themeColor="text1"/>
        </w:rPr>
        <w:t xml:space="preserve">; (4) outreach and administrative expenses; (5) interest; and (6) expenses for approved incremental clean energy and energy efficiency projects which may be funded by GHG allowance proceeds. </w:t>
      </w:r>
    </w:p>
    <w:p w:rsidRPr="00997F1C" w:rsidR="003E5AEF" w:rsidP="003E5AEF" w:rsidRDefault="53E8B74B" w14:paraId="3B134D72" w14:textId="5268EEAE">
      <w:pPr>
        <w:rPr>
          <w:color w:val="000000" w:themeColor="text1"/>
        </w:rPr>
      </w:pPr>
      <w:r w:rsidRPr="00997F1C">
        <w:rPr>
          <w:color w:val="000000" w:themeColor="text1"/>
        </w:rPr>
        <w:t>PG&amp;E proposes to distribute $</w:t>
      </w:r>
      <w:r w:rsidRPr="00997F1C" w:rsidR="40EAAE0C">
        <w:rPr>
          <w:color w:val="000000" w:themeColor="text1"/>
        </w:rPr>
        <w:t>51.2</w:t>
      </w:r>
      <w:r w:rsidRPr="00997F1C" w:rsidR="08DA8FB0">
        <w:rPr>
          <w:color w:val="000000" w:themeColor="text1"/>
        </w:rPr>
        <w:t>57</w:t>
      </w:r>
      <w:r w:rsidRPr="00997F1C">
        <w:rPr>
          <w:color w:val="000000" w:themeColor="text1"/>
        </w:rPr>
        <w:t> million to emissions-intensive trade-exposed (EITE) customers through the EITE customer return</w:t>
      </w:r>
      <w:r w:rsidRPr="00997F1C" w:rsidR="055B5263">
        <w:rPr>
          <w:color w:val="000000" w:themeColor="text1"/>
        </w:rPr>
        <w:t xml:space="preserve"> (CA Industry Assistance)</w:t>
      </w:r>
      <w:r w:rsidRPr="00997F1C" w:rsidR="00A00605">
        <w:rPr>
          <w:color w:val="000000" w:themeColor="text1"/>
        </w:rPr>
        <w:t>.</w:t>
      </w:r>
      <w:r w:rsidRPr="00997F1C" w:rsidR="005A58BD">
        <w:rPr>
          <w:color w:val="000000" w:themeColor="text1"/>
          <w:vertAlign w:val="superscript"/>
        </w:rPr>
        <w:footnoteReference w:id="128"/>
      </w:r>
      <w:r w:rsidRPr="00997F1C" w:rsidR="00A00605">
        <w:rPr>
          <w:color w:val="000000" w:themeColor="text1"/>
        </w:rPr>
        <w:t xml:space="preserve"> PG&amp;E proposes to distribute </w:t>
      </w:r>
      <w:r w:rsidRPr="00997F1C">
        <w:rPr>
          <w:color w:val="000000" w:themeColor="text1"/>
        </w:rPr>
        <w:t>$</w:t>
      </w:r>
      <w:r w:rsidRPr="00997F1C" w:rsidR="2D9D8F07">
        <w:rPr>
          <w:color w:val="000000" w:themeColor="text1"/>
        </w:rPr>
        <w:t>424.019</w:t>
      </w:r>
      <w:r w:rsidRPr="00997F1C">
        <w:rPr>
          <w:color w:val="000000" w:themeColor="text1"/>
        </w:rPr>
        <w:t> million</w:t>
      </w:r>
      <w:r w:rsidRPr="00997F1C" w:rsidR="31F13157">
        <w:rPr>
          <w:color w:val="000000" w:themeColor="text1"/>
        </w:rPr>
        <w:t xml:space="preserve"> </w:t>
      </w:r>
      <w:r w:rsidRPr="00997F1C">
        <w:rPr>
          <w:color w:val="000000" w:themeColor="text1"/>
        </w:rPr>
        <w:t>to residential and small commercial customers through the semi</w:t>
      </w:r>
      <w:r w:rsidRPr="00997F1C">
        <w:rPr>
          <w:color w:val="000000" w:themeColor="text1"/>
        </w:rPr>
        <w:noBreakHyphen/>
        <w:t>annual residential California Climate Credit of $</w:t>
      </w:r>
      <w:r w:rsidRPr="00997F1C" w:rsidR="0434B5EF">
        <w:rPr>
          <w:color w:val="000000" w:themeColor="text1"/>
        </w:rPr>
        <w:t>36.18</w:t>
      </w:r>
      <w:r w:rsidRPr="00997F1C">
        <w:rPr>
          <w:color w:val="000000" w:themeColor="text1"/>
        </w:rPr>
        <w:t xml:space="preserve"> per eligible account.</w:t>
      </w:r>
      <w:r w:rsidRPr="00997F1C" w:rsidR="003E5AEF">
        <w:rPr>
          <w:color w:val="000000" w:themeColor="text1"/>
          <w:vertAlign w:val="superscript"/>
        </w:rPr>
        <w:footnoteReference w:id="129"/>
      </w:r>
      <w:r w:rsidRPr="00997F1C">
        <w:rPr>
          <w:color w:val="000000" w:themeColor="text1"/>
        </w:rPr>
        <w:t xml:space="preserve"> </w:t>
      </w:r>
    </w:p>
    <w:p w:rsidRPr="00997F1C" w:rsidR="003E5AEF" w:rsidP="003E5AEF" w:rsidRDefault="003E5AEF" w14:paraId="6E8EF164" w14:textId="2CD761F0">
      <w:pPr>
        <w:rPr>
          <w:color w:val="000000" w:themeColor="text1"/>
        </w:rPr>
      </w:pPr>
      <w:r w:rsidRPr="00997F1C">
        <w:rPr>
          <w:color w:val="000000" w:themeColor="text1"/>
        </w:rPr>
        <w:t>The Commission therefore finds PG&amp;E’s GHG allowance</w:t>
      </w:r>
      <w:r w:rsidRPr="00997F1C">
        <w:rPr>
          <w:color w:val="000000" w:themeColor="text1"/>
        </w:rPr>
        <w:noBreakHyphen/>
        <w:t xml:space="preserve">related </w:t>
      </w:r>
      <w:r w:rsidRPr="00997F1C" w:rsidR="00A94C31">
        <w:rPr>
          <w:color w:val="000000" w:themeColor="text1"/>
        </w:rPr>
        <w:t xml:space="preserve">proceeds </w:t>
      </w:r>
      <w:r w:rsidRPr="00997F1C">
        <w:rPr>
          <w:color w:val="000000" w:themeColor="text1"/>
        </w:rPr>
        <w:t>and expenses reasonable and in compliance with applicable rules, orders and Commission decisions.</w:t>
      </w:r>
    </w:p>
    <w:p w:rsidRPr="00997F1C" w:rsidR="003E5AEF" w:rsidP="003E5AEF" w:rsidRDefault="003E5AEF" w14:paraId="7CCF8781" w14:textId="4FC1C8A6">
      <w:pPr>
        <w:rPr>
          <w:color w:val="000000" w:themeColor="text1"/>
        </w:rPr>
      </w:pPr>
      <w:r w:rsidRPr="00997F1C">
        <w:rPr>
          <w:color w:val="000000" w:themeColor="text1"/>
        </w:rPr>
        <w:t>A summary of PG&amp;</w:t>
      </w:r>
      <w:proofErr w:type="gramStart"/>
      <w:r w:rsidRPr="00997F1C">
        <w:rPr>
          <w:color w:val="000000" w:themeColor="text1"/>
        </w:rPr>
        <w:t>E’s</w:t>
      </w:r>
      <w:proofErr w:type="gramEnd"/>
      <w:r w:rsidRPr="00997F1C">
        <w:rPr>
          <w:color w:val="000000" w:themeColor="text1"/>
        </w:rPr>
        <w:t xml:space="preserve"> proposed GHG allowance</w:t>
      </w:r>
      <w:r w:rsidRPr="00997F1C">
        <w:rPr>
          <w:color w:val="000000" w:themeColor="text1"/>
        </w:rPr>
        <w:noBreakHyphen/>
        <w:t xml:space="preserve">related </w:t>
      </w:r>
      <w:r w:rsidRPr="00997F1C" w:rsidR="00A94C31">
        <w:rPr>
          <w:color w:val="000000" w:themeColor="text1"/>
        </w:rPr>
        <w:t xml:space="preserve">proceeds </w:t>
      </w:r>
      <w:r w:rsidRPr="00997F1C">
        <w:rPr>
          <w:color w:val="000000" w:themeColor="text1"/>
        </w:rPr>
        <w:t>and expenses, which is also the Commission’s adopted GHG allowance</w:t>
      </w:r>
      <w:r w:rsidRPr="00997F1C">
        <w:rPr>
          <w:color w:val="000000" w:themeColor="text1"/>
        </w:rPr>
        <w:noBreakHyphen/>
        <w:t xml:space="preserve">related </w:t>
      </w:r>
      <w:r w:rsidRPr="00997F1C" w:rsidR="00A94C31">
        <w:rPr>
          <w:color w:val="000000" w:themeColor="text1"/>
        </w:rPr>
        <w:lastRenderedPageBreak/>
        <w:t xml:space="preserve">proceeds </w:t>
      </w:r>
      <w:r w:rsidRPr="00997F1C">
        <w:rPr>
          <w:color w:val="000000" w:themeColor="text1"/>
        </w:rPr>
        <w:t>and expenses, are provided in Table 5 below and explained in the following sections:</w:t>
      </w:r>
    </w:p>
    <w:p w:rsidRPr="00997F1C" w:rsidR="003E5AEF" w:rsidP="003E5AEF" w:rsidRDefault="53E8B74B" w14:paraId="408E5B92" w14:textId="2B41BBEB">
      <w:pPr>
        <w:keepNext/>
        <w:spacing w:after="200" w:line="240" w:lineRule="auto"/>
        <w:ind w:firstLine="0"/>
        <w:jc w:val="center"/>
        <w:rPr>
          <w:b/>
          <w:bCs/>
          <w:color w:val="000000" w:themeColor="text1"/>
          <w:szCs w:val="26"/>
        </w:rPr>
      </w:pPr>
      <w:bookmarkStart w:name="_Toc26797686" w:id="181"/>
      <w:bookmarkStart w:name="_Toc26968998" w:id="182"/>
      <w:bookmarkStart w:name="_Toc93064660" w:id="183"/>
      <w:bookmarkStart w:name="_Toc26797687" w:id="184"/>
      <w:bookmarkStart w:name="_Toc26968999" w:id="185"/>
      <w:bookmarkStart w:name="_Toc93064661" w:id="186"/>
      <w:r w:rsidRPr="00997F1C">
        <w:rPr>
          <w:b/>
          <w:bCs/>
          <w:color w:val="000000" w:themeColor="text1"/>
        </w:rPr>
        <w:t xml:space="preserve">Table </w:t>
      </w:r>
      <w:r w:rsidRPr="00997F1C" w:rsidR="003E5AEF">
        <w:rPr>
          <w:b/>
          <w:bCs/>
          <w:color w:val="000000" w:themeColor="text1"/>
        </w:rPr>
        <w:fldChar w:fldCharType="begin"/>
      </w:r>
      <w:r w:rsidRPr="00997F1C" w:rsidR="003E5AEF">
        <w:rPr>
          <w:b/>
          <w:bCs/>
          <w:color w:val="000000" w:themeColor="text1"/>
        </w:rPr>
        <w:instrText xml:space="preserve"> SEQ Table \* ARABIC </w:instrText>
      </w:r>
      <w:r w:rsidRPr="00997F1C" w:rsidR="003E5AEF">
        <w:rPr>
          <w:b/>
          <w:bCs/>
          <w:color w:val="000000" w:themeColor="text1"/>
        </w:rPr>
        <w:fldChar w:fldCharType="separate"/>
      </w:r>
      <w:r w:rsidR="00A93519">
        <w:rPr>
          <w:b/>
          <w:bCs/>
          <w:noProof/>
          <w:color w:val="000000" w:themeColor="text1"/>
        </w:rPr>
        <w:t>5</w:t>
      </w:r>
      <w:r w:rsidRPr="00997F1C" w:rsidR="003E5AEF">
        <w:rPr>
          <w:b/>
          <w:bCs/>
          <w:noProof/>
          <w:color w:val="000000" w:themeColor="text1"/>
        </w:rPr>
        <w:fldChar w:fldCharType="end"/>
      </w:r>
      <w:r w:rsidRPr="00997F1C">
        <w:rPr>
          <w:b/>
          <w:bCs/>
          <w:color w:val="000000" w:themeColor="text1"/>
        </w:rPr>
        <w:t>: Summary of GHG Allowance Auction</w:t>
      </w:r>
      <w:r w:rsidRPr="00997F1C">
        <w:rPr>
          <w:b/>
          <w:bCs/>
          <w:color w:val="000000" w:themeColor="text1"/>
        </w:rPr>
        <w:noBreakHyphen/>
        <w:t xml:space="preserve">Related </w:t>
      </w:r>
      <w:r w:rsidRPr="00997F1C" w:rsidR="00A5195C">
        <w:rPr>
          <w:b/>
          <w:bCs/>
          <w:color w:val="000000" w:themeColor="text1"/>
          <w:szCs w:val="26"/>
        </w:rPr>
        <w:br/>
      </w:r>
      <w:r w:rsidRPr="00997F1C" w:rsidR="2DDC6672">
        <w:rPr>
          <w:b/>
          <w:bCs/>
          <w:color w:val="000000" w:themeColor="text1"/>
        </w:rPr>
        <w:t xml:space="preserve">Proceeds </w:t>
      </w:r>
      <w:r w:rsidRPr="00997F1C">
        <w:rPr>
          <w:b/>
          <w:bCs/>
          <w:color w:val="000000" w:themeColor="text1"/>
        </w:rPr>
        <w:t>and Expenses</w:t>
      </w:r>
      <w:r w:rsidRPr="00997F1C" w:rsidR="003E5AEF">
        <w:rPr>
          <w:b/>
          <w:bCs/>
          <w:color w:val="000000" w:themeColor="text1"/>
          <w:vertAlign w:val="superscript"/>
        </w:rPr>
        <w:footnoteReference w:id="130"/>
      </w:r>
    </w:p>
    <w:tbl>
      <w:tblPr>
        <w:tblW w:w="0" w:type="auto"/>
        <w:tblLook w:val="04A0" w:firstRow="1" w:lastRow="0" w:firstColumn="1" w:lastColumn="0" w:noHBand="0" w:noVBand="1"/>
      </w:tblPr>
      <w:tblGrid>
        <w:gridCol w:w="6830"/>
        <w:gridCol w:w="2510"/>
      </w:tblGrid>
      <w:tr w:rsidRPr="00997F1C" w:rsidR="00997F1C" w:rsidTr="46A7E850" w14:paraId="766901A7" w14:textId="77777777">
        <w:trPr>
          <w:trHeight w:val="708"/>
          <w:tblHeader/>
        </w:trPr>
        <w:tc>
          <w:tcPr>
            <w:tcW w:w="6830" w:type="dxa"/>
            <w:tcBorders>
              <w:top w:val="single" w:color="auto" w:sz="8" w:space="0"/>
              <w:left w:val="single" w:color="auto" w:sz="8" w:space="0"/>
              <w:bottom w:val="single" w:color="auto" w:sz="8" w:space="0"/>
              <w:right w:val="single" w:color="auto" w:sz="8" w:space="0"/>
            </w:tcBorders>
            <w:vAlign w:val="center"/>
            <w:hideMark/>
          </w:tcPr>
          <w:p w:rsidRPr="00997F1C" w:rsidR="003E5AEF" w:rsidP="003E5AEF" w:rsidRDefault="003E5AEF" w14:paraId="305BC5AF" w14:textId="77777777">
            <w:pPr>
              <w:spacing w:line="240" w:lineRule="auto"/>
              <w:ind w:firstLine="0"/>
              <w:jc w:val="center"/>
              <w:rPr>
                <w:rFonts w:eastAsia="Times New Roman" w:cs="Calibri"/>
                <w:b/>
                <w:bCs/>
                <w:color w:val="000000" w:themeColor="text1"/>
                <w:szCs w:val="26"/>
              </w:rPr>
            </w:pPr>
            <w:r w:rsidRPr="00997F1C">
              <w:rPr>
                <w:rFonts w:eastAsia="Times New Roman" w:cs="Calibri"/>
                <w:b/>
                <w:bCs/>
                <w:color w:val="000000" w:themeColor="text1"/>
                <w:szCs w:val="26"/>
              </w:rPr>
              <w:t>Program</w:t>
            </w:r>
          </w:p>
        </w:tc>
        <w:tc>
          <w:tcPr>
            <w:tcW w:w="2510" w:type="dxa"/>
            <w:tcBorders>
              <w:top w:val="single" w:color="auto" w:sz="8" w:space="0"/>
              <w:left w:val="nil"/>
              <w:bottom w:val="single" w:color="auto" w:sz="8" w:space="0"/>
              <w:right w:val="single" w:color="auto" w:sz="8" w:space="0"/>
            </w:tcBorders>
            <w:vAlign w:val="center"/>
            <w:hideMark/>
          </w:tcPr>
          <w:p w:rsidRPr="00997F1C" w:rsidR="003E5AEF" w:rsidP="003E5AEF" w:rsidRDefault="003E5AEF" w14:paraId="4BBB95A7" w14:textId="77777777">
            <w:pPr>
              <w:spacing w:line="240" w:lineRule="auto"/>
              <w:ind w:firstLine="0"/>
              <w:jc w:val="center"/>
              <w:rPr>
                <w:rFonts w:eastAsia="Times New Roman" w:cs="Calibri"/>
                <w:b/>
                <w:bCs/>
                <w:color w:val="000000" w:themeColor="text1"/>
                <w:szCs w:val="26"/>
              </w:rPr>
            </w:pPr>
            <w:r w:rsidRPr="00997F1C">
              <w:rPr>
                <w:rFonts w:eastAsia="Times New Roman" w:cs="Calibri"/>
                <w:b/>
                <w:bCs/>
                <w:color w:val="000000" w:themeColor="text1"/>
                <w:szCs w:val="26"/>
              </w:rPr>
              <w:t>PG&amp;E Proposed 2026 (thousands)</w:t>
            </w:r>
          </w:p>
        </w:tc>
      </w:tr>
      <w:tr w:rsidRPr="00997F1C" w:rsidR="00997F1C" w:rsidTr="46A7E850" w14:paraId="0C26738C" w14:textId="77777777">
        <w:trPr>
          <w:trHeight w:val="60"/>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357169A4" w14:textId="78F779B2">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 xml:space="preserve">GHG auction </w:t>
            </w:r>
            <w:r w:rsidRPr="00997F1C" w:rsidR="00A94C31">
              <w:rPr>
                <w:rFonts w:eastAsia="Times New Roman" w:cs="Calibri"/>
                <w:b/>
                <w:bCs/>
                <w:color w:val="000000" w:themeColor="text1"/>
                <w:szCs w:val="26"/>
              </w:rPr>
              <w:t xml:space="preserve">proceeds </w:t>
            </w:r>
          </w:p>
        </w:tc>
        <w:tc>
          <w:tcPr>
            <w:tcW w:w="2510" w:type="dxa"/>
            <w:tcBorders>
              <w:top w:val="nil"/>
              <w:left w:val="nil"/>
              <w:bottom w:val="nil"/>
              <w:right w:val="single" w:color="auto" w:sz="8" w:space="0"/>
            </w:tcBorders>
            <w:vAlign w:val="center"/>
            <w:hideMark/>
          </w:tcPr>
          <w:p w:rsidRPr="00997F1C" w:rsidR="003E5AEF" w:rsidP="003E5AEF" w:rsidRDefault="003E5AEF" w14:paraId="5AEE89B9" w14:textId="77777777">
            <w:pPr>
              <w:spacing w:line="240" w:lineRule="auto"/>
              <w:ind w:firstLine="0"/>
              <w:jc w:val="right"/>
              <w:rPr>
                <w:rFonts w:eastAsia="Times New Roman" w:cs="Calibri"/>
                <w:b/>
                <w:bCs/>
                <w:color w:val="000000" w:themeColor="text1"/>
                <w:szCs w:val="26"/>
              </w:rPr>
            </w:pPr>
          </w:p>
        </w:tc>
      </w:tr>
      <w:tr w:rsidRPr="00997F1C" w:rsidR="00997F1C" w:rsidTr="46A7E850" w14:paraId="64014E3F" w14:textId="77777777">
        <w:trPr>
          <w:trHeight w:val="80"/>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3A2B8692" w14:textId="77777777">
            <w:pPr>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 xml:space="preserve">Prior Balance </w:t>
            </w:r>
          </w:p>
        </w:tc>
        <w:tc>
          <w:tcPr>
            <w:tcW w:w="2510" w:type="dxa"/>
            <w:tcBorders>
              <w:top w:val="nil"/>
              <w:left w:val="nil"/>
              <w:bottom w:val="nil"/>
              <w:right w:val="single" w:color="auto" w:sz="8" w:space="0"/>
            </w:tcBorders>
            <w:vAlign w:val="center"/>
            <w:hideMark/>
          </w:tcPr>
          <w:p w:rsidRPr="00997F1C" w:rsidR="003E5AEF" w:rsidP="003E5AEF" w:rsidRDefault="00085043" w14:paraId="32D6582C" w14:textId="5D824963">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w:t>
            </w:r>
            <w:r w:rsidRPr="00997F1C" w:rsidR="003E5AEF">
              <w:rPr>
                <w:rFonts w:eastAsia="Times New Roman" w:cs="Calibri"/>
                <w:color w:val="000000" w:themeColor="text1"/>
                <w:szCs w:val="26"/>
              </w:rPr>
              <w:t>$199,666</w:t>
            </w:r>
          </w:p>
        </w:tc>
      </w:tr>
      <w:tr w:rsidRPr="00997F1C" w:rsidR="00997F1C" w:rsidTr="46A7E850" w14:paraId="4416DA1A" w14:textId="77777777">
        <w:trPr>
          <w:trHeight w:val="348"/>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2123C4EB" w14:textId="4904A71C">
            <w:pPr>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 xml:space="preserve">Allowance </w:t>
            </w:r>
            <w:r w:rsidRPr="00997F1C" w:rsidR="00A94C31">
              <w:rPr>
                <w:rFonts w:eastAsia="Times New Roman" w:cs="Calibri"/>
                <w:color w:val="000000" w:themeColor="text1"/>
                <w:szCs w:val="26"/>
              </w:rPr>
              <w:t>Auction Proceeds</w:t>
            </w:r>
          </w:p>
        </w:tc>
        <w:tc>
          <w:tcPr>
            <w:tcW w:w="2510" w:type="dxa"/>
            <w:tcBorders>
              <w:top w:val="nil"/>
              <w:left w:val="nil"/>
              <w:bottom w:val="nil"/>
              <w:right w:val="single" w:color="auto" w:sz="8" w:space="0"/>
            </w:tcBorders>
            <w:vAlign w:val="center"/>
            <w:hideMark/>
          </w:tcPr>
          <w:p w:rsidRPr="00997F1C" w:rsidR="003E5AEF" w:rsidP="003E5AEF" w:rsidRDefault="003E5AEF" w14:paraId="744632C6" w14:textId="528BCA5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$704,047</w:t>
            </w:r>
          </w:p>
        </w:tc>
      </w:tr>
      <w:tr w:rsidRPr="00997F1C" w:rsidR="00997F1C" w:rsidTr="46A7E850" w14:paraId="46BC9503" w14:textId="77777777">
        <w:trPr>
          <w:trHeight w:val="80"/>
        </w:trPr>
        <w:tc>
          <w:tcPr>
            <w:tcW w:w="6830" w:type="dxa"/>
            <w:tcBorders>
              <w:top w:val="nil"/>
              <w:left w:val="single" w:color="auto" w:sz="8" w:space="0"/>
              <w:bottom w:val="single" w:color="auto" w:sz="4" w:space="0"/>
              <w:right w:val="single" w:color="auto" w:sz="8" w:space="0"/>
            </w:tcBorders>
            <w:vAlign w:val="center"/>
            <w:hideMark/>
          </w:tcPr>
          <w:p w:rsidRPr="00997F1C" w:rsidR="003E5AEF" w:rsidP="003E5AEF" w:rsidRDefault="003E5AEF" w14:paraId="3BBA012B" w14:textId="77777777">
            <w:pPr>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 xml:space="preserve">Revenue Franchise Fees and </w:t>
            </w:r>
            <w:proofErr w:type="spellStart"/>
            <w:r w:rsidRPr="00997F1C">
              <w:rPr>
                <w:rFonts w:eastAsia="Times New Roman" w:cs="Calibri"/>
                <w:color w:val="000000" w:themeColor="text1"/>
                <w:szCs w:val="26"/>
              </w:rPr>
              <w:t>Uncollectibles</w:t>
            </w:r>
            <w:proofErr w:type="spellEnd"/>
          </w:p>
        </w:tc>
        <w:tc>
          <w:tcPr>
            <w:tcW w:w="2510" w:type="dxa"/>
            <w:tcBorders>
              <w:top w:val="nil"/>
              <w:left w:val="nil"/>
              <w:bottom w:val="single" w:color="auto" w:sz="4" w:space="0"/>
              <w:right w:val="single" w:color="auto" w:sz="8" w:space="0"/>
            </w:tcBorders>
            <w:vAlign w:val="center"/>
            <w:hideMark/>
          </w:tcPr>
          <w:p w:rsidRPr="00997F1C" w:rsidR="003E5AEF" w:rsidP="003E5AEF" w:rsidRDefault="003E5AEF" w14:paraId="69CBB3C6" w14:textId="57DE5E65">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$5,877</w:t>
            </w:r>
          </w:p>
        </w:tc>
      </w:tr>
      <w:tr w:rsidRPr="00997F1C" w:rsidR="00997F1C" w:rsidTr="46A7E850" w14:paraId="32FF59C1" w14:textId="77777777">
        <w:trPr>
          <w:trHeight w:val="360"/>
        </w:trPr>
        <w:tc>
          <w:tcPr>
            <w:tcW w:w="6830" w:type="dxa"/>
            <w:tcBorders>
              <w:top w:val="nil"/>
              <w:left w:val="single" w:color="auto" w:sz="8" w:space="0"/>
              <w:bottom w:val="single" w:color="auto" w:sz="8" w:space="0"/>
              <w:right w:val="single" w:color="auto" w:sz="8" w:space="0"/>
            </w:tcBorders>
            <w:vAlign w:val="center"/>
            <w:hideMark/>
          </w:tcPr>
          <w:p w:rsidRPr="00997F1C" w:rsidR="003E5AEF" w:rsidP="003E5AEF" w:rsidRDefault="003E5AEF" w14:paraId="4BAD6503" w14:textId="08D82D06">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 xml:space="preserve">GHG </w:t>
            </w:r>
            <w:r w:rsidRPr="00997F1C" w:rsidR="00A94C31">
              <w:rPr>
                <w:rFonts w:eastAsia="Times New Roman" w:cs="Calibri"/>
                <w:b/>
                <w:bCs/>
                <w:color w:val="000000" w:themeColor="text1"/>
                <w:szCs w:val="26"/>
              </w:rPr>
              <w:t xml:space="preserve">Proceeds </w:t>
            </w:r>
            <w:r w:rsidRPr="00997F1C">
              <w:rPr>
                <w:rFonts w:eastAsia="Times New Roman" w:cs="Calibri"/>
                <w:b/>
                <w:bCs/>
                <w:color w:val="000000" w:themeColor="text1"/>
                <w:szCs w:val="26"/>
              </w:rPr>
              <w:t>Subtotal</w:t>
            </w:r>
          </w:p>
        </w:tc>
        <w:tc>
          <w:tcPr>
            <w:tcW w:w="2510" w:type="dxa"/>
            <w:tcBorders>
              <w:top w:val="nil"/>
              <w:left w:val="nil"/>
              <w:bottom w:val="single" w:color="auto" w:sz="8" w:space="0"/>
              <w:right w:val="single" w:color="auto" w:sz="8" w:space="0"/>
            </w:tcBorders>
            <w:vAlign w:val="center"/>
            <w:hideMark/>
          </w:tcPr>
          <w:p w:rsidRPr="00997F1C" w:rsidR="003E5AEF" w:rsidP="003E5AEF" w:rsidRDefault="003E5AEF" w14:paraId="56090486" w14:textId="6843FAF8">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$510,258</w:t>
            </w:r>
          </w:p>
        </w:tc>
      </w:tr>
      <w:tr w:rsidRPr="00997F1C" w:rsidR="00997F1C" w:rsidTr="46A7E850" w14:paraId="47E06879" w14:textId="77777777">
        <w:trPr>
          <w:trHeight w:val="348"/>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0923091F"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Expenses</w:t>
            </w:r>
          </w:p>
        </w:tc>
        <w:tc>
          <w:tcPr>
            <w:tcW w:w="2510" w:type="dxa"/>
            <w:tcBorders>
              <w:top w:val="nil"/>
              <w:left w:val="nil"/>
              <w:bottom w:val="nil"/>
              <w:right w:val="single" w:color="auto" w:sz="8" w:space="0"/>
            </w:tcBorders>
            <w:vAlign w:val="center"/>
            <w:hideMark/>
          </w:tcPr>
          <w:p w:rsidRPr="00997F1C" w:rsidR="003E5AEF" w:rsidP="003E5AEF" w:rsidRDefault="003E5AEF" w14:paraId="2021B318" w14:textId="77777777">
            <w:pPr>
              <w:spacing w:line="240" w:lineRule="auto"/>
              <w:ind w:firstLine="0"/>
              <w:jc w:val="right"/>
              <w:rPr>
                <w:rFonts w:eastAsia="Times New Roman" w:cs="Calibri"/>
                <w:b/>
                <w:bCs/>
                <w:color w:val="000000" w:themeColor="text1"/>
                <w:szCs w:val="26"/>
              </w:rPr>
            </w:pPr>
          </w:p>
        </w:tc>
      </w:tr>
      <w:tr w:rsidRPr="00997F1C" w:rsidR="00997F1C" w:rsidTr="46A7E850" w14:paraId="116CE52A" w14:textId="77777777">
        <w:trPr>
          <w:trHeight w:val="80"/>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0714D21C" w14:textId="77777777">
            <w:pPr>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Outreach and Administrative Expenses</w:t>
            </w:r>
          </w:p>
        </w:tc>
        <w:tc>
          <w:tcPr>
            <w:tcW w:w="2510" w:type="dxa"/>
            <w:tcBorders>
              <w:top w:val="nil"/>
              <w:left w:val="nil"/>
              <w:bottom w:val="nil"/>
              <w:right w:val="single" w:color="auto" w:sz="8" w:space="0"/>
            </w:tcBorders>
            <w:vAlign w:val="center"/>
            <w:hideMark/>
          </w:tcPr>
          <w:p w:rsidRPr="00997F1C" w:rsidR="003E5AEF" w:rsidP="003E5AEF" w:rsidRDefault="00085043" w14:paraId="44CD4214" w14:textId="3C742299">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w:t>
            </w:r>
            <w:r w:rsidRPr="00997F1C" w:rsidR="003E5AEF">
              <w:rPr>
                <w:rFonts w:eastAsia="Times New Roman" w:cs="Calibri"/>
                <w:color w:val="000000" w:themeColor="text1"/>
                <w:szCs w:val="26"/>
              </w:rPr>
              <w:t>$934</w:t>
            </w:r>
          </w:p>
        </w:tc>
      </w:tr>
      <w:tr w:rsidRPr="00997F1C" w:rsidR="00997F1C" w:rsidTr="46A7E850" w14:paraId="1052F3FF" w14:textId="77777777">
        <w:trPr>
          <w:trHeight w:val="348"/>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19A04551" w14:textId="77777777">
            <w:pPr>
              <w:keepNext/>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Interest</w:t>
            </w:r>
          </w:p>
        </w:tc>
        <w:tc>
          <w:tcPr>
            <w:tcW w:w="2510" w:type="dxa"/>
            <w:tcBorders>
              <w:top w:val="nil"/>
              <w:left w:val="nil"/>
              <w:bottom w:val="single" w:color="auto" w:sz="4" w:space="0"/>
              <w:right w:val="single" w:color="auto" w:sz="8" w:space="0"/>
            </w:tcBorders>
            <w:vAlign w:val="center"/>
            <w:hideMark/>
          </w:tcPr>
          <w:p w:rsidRPr="00997F1C" w:rsidR="003E5AEF" w:rsidP="003E5AEF" w:rsidRDefault="003E5AEF" w14:paraId="348FEBB9" w14:textId="12FFFA5A">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$183</w:t>
            </w:r>
          </w:p>
        </w:tc>
      </w:tr>
      <w:tr w:rsidRPr="00997F1C" w:rsidR="00997F1C" w:rsidTr="46A7E850" w14:paraId="5A897B1B" w14:textId="77777777">
        <w:trPr>
          <w:trHeight w:val="360"/>
        </w:trPr>
        <w:tc>
          <w:tcPr>
            <w:tcW w:w="6830" w:type="dxa"/>
            <w:tcBorders>
              <w:top w:val="single" w:color="auto" w:sz="4" w:space="0"/>
              <w:left w:val="single" w:color="auto" w:sz="8" w:space="0"/>
              <w:bottom w:val="single" w:color="auto" w:sz="8" w:space="0"/>
              <w:right w:val="single" w:color="auto" w:sz="8" w:space="0"/>
            </w:tcBorders>
            <w:vAlign w:val="center"/>
            <w:hideMark/>
          </w:tcPr>
          <w:p w:rsidRPr="00997F1C" w:rsidR="003E5AEF" w:rsidP="003E5AEF" w:rsidRDefault="003E5AEF" w14:paraId="596744AB"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Expenses Subtotal</w:t>
            </w:r>
          </w:p>
        </w:tc>
        <w:tc>
          <w:tcPr>
            <w:tcW w:w="2510" w:type="dxa"/>
            <w:tcBorders>
              <w:top w:val="nil"/>
              <w:left w:val="nil"/>
              <w:bottom w:val="single" w:color="auto" w:sz="8" w:space="0"/>
              <w:right w:val="single" w:color="auto" w:sz="8" w:space="0"/>
            </w:tcBorders>
            <w:vAlign w:val="center"/>
            <w:hideMark/>
          </w:tcPr>
          <w:p w:rsidRPr="00997F1C" w:rsidR="003E5AEF" w:rsidP="003E5AEF" w:rsidRDefault="00085043" w14:paraId="69C23573" w14:textId="4AEA4A6B">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w:t>
            </w:r>
            <w:r w:rsidRPr="00997F1C" w:rsidR="003E5AEF">
              <w:rPr>
                <w:rFonts w:eastAsia="Times New Roman" w:cs="Calibri"/>
                <w:b/>
                <w:bCs/>
                <w:color w:val="000000" w:themeColor="text1"/>
                <w:szCs w:val="26"/>
              </w:rPr>
              <w:t>$750</w:t>
            </w:r>
          </w:p>
        </w:tc>
      </w:tr>
      <w:tr w:rsidRPr="00997F1C" w:rsidR="00997F1C" w:rsidTr="46A7E850" w14:paraId="78EDEF6E" w14:textId="77777777">
        <w:trPr>
          <w:trHeight w:val="60"/>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67449E16"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 xml:space="preserve">Clean Energy and Energy Efficiency Programs </w:t>
            </w:r>
          </w:p>
        </w:tc>
        <w:tc>
          <w:tcPr>
            <w:tcW w:w="2510" w:type="dxa"/>
            <w:tcBorders>
              <w:top w:val="nil"/>
              <w:left w:val="nil"/>
              <w:bottom w:val="nil"/>
              <w:right w:val="single" w:color="auto" w:sz="8" w:space="0"/>
            </w:tcBorders>
            <w:vAlign w:val="center"/>
            <w:hideMark/>
          </w:tcPr>
          <w:p w:rsidRPr="00997F1C" w:rsidR="003E5AEF" w:rsidP="003E5AEF" w:rsidRDefault="003E5AEF" w14:paraId="4E71A5AE" w14:textId="77777777">
            <w:pPr>
              <w:spacing w:line="240" w:lineRule="auto"/>
              <w:ind w:firstLine="0"/>
              <w:jc w:val="right"/>
              <w:rPr>
                <w:rFonts w:eastAsia="Times New Roman" w:cs="Calibri"/>
                <w:b/>
                <w:bCs/>
                <w:color w:val="000000" w:themeColor="text1"/>
                <w:szCs w:val="26"/>
              </w:rPr>
            </w:pPr>
          </w:p>
        </w:tc>
      </w:tr>
      <w:tr w:rsidRPr="00997F1C" w:rsidR="00997F1C" w:rsidTr="46A7E850" w14:paraId="263228A4" w14:textId="77777777">
        <w:trPr>
          <w:trHeight w:val="80"/>
        </w:trPr>
        <w:tc>
          <w:tcPr>
            <w:tcW w:w="6830" w:type="dxa"/>
            <w:tcBorders>
              <w:top w:val="nil"/>
              <w:left w:val="single" w:color="auto" w:sz="8" w:space="0"/>
              <w:bottom w:val="nil"/>
              <w:right w:val="single" w:color="auto" w:sz="8" w:space="0"/>
            </w:tcBorders>
            <w:vAlign w:val="center"/>
            <w:hideMark/>
          </w:tcPr>
          <w:p w:rsidRPr="00997F1C" w:rsidR="003E5AEF" w:rsidP="003E5AEF" w:rsidRDefault="53E8B74B" w14:paraId="5B074C64" w14:textId="77777777">
            <w:pPr>
              <w:spacing w:line="240" w:lineRule="auto"/>
              <w:ind w:left="360" w:firstLine="0"/>
              <w:rPr>
                <w:rFonts w:eastAsia="Times New Roman" w:cs="Calibri"/>
                <w:color w:val="000000" w:themeColor="text1"/>
                <w:szCs w:val="26"/>
              </w:rPr>
            </w:pPr>
            <w:r w:rsidRPr="00997F1C">
              <w:rPr>
                <w:rFonts w:eastAsia="Times New Roman" w:cs="Calibri"/>
                <w:color w:val="000000" w:themeColor="text1"/>
              </w:rPr>
              <w:t>PG&amp;E 2026 SOMAH</w:t>
            </w:r>
            <w:r w:rsidRPr="00997F1C" w:rsidR="003E5AEF">
              <w:rPr>
                <w:rFonts w:eastAsia="Times New Roman" w:cs="Calibri"/>
                <w:color w:val="000000" w:themeColor="text1"/>
                <w:vertAlign w:val="superscript"/>
              </w:rPr>
              <w:footnoteReference w:id="131"/>
            </w:r>
            <w:r w:rsidRPr="00997F1C">
              <w:rPr>
                <w:rFonts w:eastAsia="Times New Roman" w:cs="Calibri"/>
                <w:color w:val="000000" w:themeColor="text1"/>
              </w:rPr>
              <w:t xml:space="preserve"> Including True-Ups</w:t>
            </w:r>
          </w:p>
        </w:tc>
        <w:tc>
          <w:tcPr>
            <w:tcW w:w="2510" w:type="dxa"/>
            <w:tcBorders>
              <w:top w:val="nil"/>
              <w:left w:val="nil"/>
              <w:bottom w:val="nil"/>
              <w:right w:val="single" w:color="auto" w:sz="8" w:space="0"/>
            </w:tcBorders>
            <w:vAlign w:val="center"/>
            <w:hideMark/>
          </w:tcPr>
          <w:p w:rsidRPr="00997F1C" w:rsidR="003E5AEF" w:rsidP="003E5AEF" w:rsidRDefault="003E5AEF" w14:paraId="420A74DD" w14:textId="594AE860">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$15,196</w:t>
            </w:r>
          </w:p>
        </w:tc>
      </w:tr>
      <w:tr w:rsidRPr="00997F1C" w:rsidR="00997F1C" w:rsidTr="46A7E850" w14:paraId="10491A17" w14:textId="77777777">
        <w:trPr>
          <w:trHeight w:val="348"/>
        </w:trPr>
        <w:tc>
          <w:tcPr>
            <w:tcW w:w="6830" w:type="dxa"/>
            <w:tcBorders>
              <w:top w:val="nil"/>
              <w:left w:val="single" w:color="auto" w:sz="8" w:space="0"/>
              <w:bottom w:val="nil"/>
              <w:right w:val="single" w:color="auto" w:sz="8" w:space="0"/>
            </w:tcBorders>
            <w:vAlign w:val="center"/>
            <w:hideMark/>
          </w:tcPr>
          <w:p w:rsidRPr="00997F1C" w:rsidR="003E5AEF" w:rsidP="003E5AEF" w:rsidRDefault="53E8B74B" w14:paraId="6D4DD3B2" w14:textId="77777777">
            <w:pPr>
              <w:spacing w:line="240" w:lineRule="auto"/>
              <w:ind w:left="360" w:firstLine="0"/>
              <w:rPr>
                <w:rFonts w:eastAsia="Times New Roman" w:cs="Calibri"/>
                <w:color w:val="000000" w:themeColor="text1"/>
                <w:szCs w:val="26"/>
              </w:rPr>
            </w:pPr>
            <w:r w:rsidRPr="00997F1C">
              <w:rPr>
                <w:rFonts w:eastAsia="Times New Roman" w:cs="Calibri"/>
                <w:color w:val="000000" w:themeColor="text1"/>
              </w:rPr>
              <w:t>PG&amp;E 2026 DAC</w:t>
            </w:r>
            <w:r w:rsidRPr="00997F1C" w:rsidR="003E5AEF">
              <w:rPr>
                <w:rFonts w:eastAsia="Times New Roman" w:cs="Calibri"/>
                <w:color w:val="000000" w:themeColor="text1"/>
                <w:sz w:val="22"/>
              </w:rPr>
              <w:noBreakHyphen/>
            </w:r>
            <w:r w:rsidRPr="00997F1C">
              <w:rPr>
                <w:rFonts w:eastAsia="Times New Roman" w:cs="Calibri"/>
                <w:color w:val="000000" w:themeColor="text1"/>
              </w:rPr>
              <w:t>SASH</w:t>
            </w:r>
            <w:r w:rsidRPr="00997F1C" w:rsidR="003E5AEF">
              <w:rPr>
                <w:rFonts w:eastAsia="Times New Roman" w:cs="Calibri"/>
                <w:color w:val="000000" w:themeColor="text1"/>
                <w:vertAlign w:val="superscript"/>
              </w:rPr>
              <w:footnoteReference w:id="132"/>
            </w:r>
          </w:p>
        </w:tc>
        <w:tc>
          <w:tcPr>
            <w:tcW w:w="2510" w:type="dxa"/>
            <w:tcBorders>
              <w:top w:val="nil"/>
              <w:left w:val="nil"/>
              <w:bottom w:val="nil"/>
              <w:right w:val="single" w:color="auto" w:sz="8" w:space="0"/>
            </w:tcBorders>
            <w:vAlign w:val="center"/>
            <w:hideMark/>
          </w:tcPr>
          <w:p w:rsidRPr="00997F1C" w:rsidR="003E5AEF" w:rsidP="003E5AEF" w:rsidRDefault="003E5AEF" w14:paraId="5DBF55BD" w14:textId="4D39C7F4">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$4,370</w:t>
            </w:r>
          </w:p>
        </w:tc>
      </w:tr>
      <w:tr w:rsidRPr="00997F1C" w:rsidR="00997F1C" w:rsidTr="46A7E850" w14:paraId="04BB212B" w14:textId="77777777">
        <w:trPr>
          <w:trHeight w:val="80"/>
        </w:trPr>
        <w:tc>
          <w:tcPr>
            <w:tcW w:w="6830" w:type="dxa"/>
            <w:tcBorders>
              <w:top w:val="nil"/>
              <w:left w:val="single" w:color="auto" w:sz="8" w:space="0"/>
              <w:bottom w:val="nil"/>
              <w:right w:val="single" w:color="auto" w:sz="8" w:space="0"/>
            </w:tcBorders>
            <w:vAlign w:val="center"/>
            <w:hideMark/>
          </w:tcPr>
          <w:p w:rsidRPr="00997F1C" w:rsidR="003E5AEF" w:rsidP="003E5AEF" w:rsidRDefault="53E8B74B" w14:paraId="5F7AA372" w14:textId="77777777">
            <w:pPr>
              <w:spacing w:line="240" w:lineRule="auto"/>
              <w:ind w:left="600" w:hanging="240"/>
              <w:rPr>
                <w:rFonts w:eastAsia="Times New Roman" w:cs="Calibri"/>
                <w:color w:val="000000" w:themeColor="text1"/>
                <w:szCs w:val="26"/>
              </w:rPr>
            </w:pPr>
            <w:r w:rsidRPr="00997F1C">
              <w:rPr>
                <w:rFonts w:eastAsia="Times New Roman" w:cs="Calibri"/>
                <w:color w:val="000000" w:themeColor="text1"/>
              </w:rPr>
              <w:t>PG&amp;E 2026 DAC</w:t>
            </w:r>
            <w:r w:rsidRPr="00997F1C" w:rsidR="003E5AEF">
              <w:rPr>
                <w:rFonts w:eastAsia="Times New Roman" w:cs="Calibri"/>
                <w:color w:val="000000" w:themeColor="text1"/>
                <w:sz w:val="22"/>
              </w:rPr>
              <w:noBreakHyphen/>
            </w:r>
            <w:r w:rsidRPr="00997F1C">
              <w:rPr>
                <w:rFonts w:eastAsia="Times New Roman" w:cs="Calibri"/>
                <w:color w:val="000000" w:themeColor="text1"/>
              </w:rPr>
              <w:t>GT</w:t>
            </w:r>
            <w:r w:rsidRPr="00997F1C" w:rsidR="003E5AEF">
              <w:rPr>
                <w:rFonts w:eastAsia="Times New Roman" w:cs="Calibri"/>
                <w:color w:val="000000" w:themeColor="text1"/>
                <w:vertAlign w:val="superscript"/>
              </w:rPr>
              <w:footnoteReference w:id="133"/>
            </w:r>
            <w:r w:rsidRPr="00997F1C">
              <w:rPr>
                <w:rFonts w:eastAsia="Times New Roman" w:cs="Calibri"/>
                <w:color w:val="000000" w:themeColor="text1"/>
              </w:rPr>
              <w:t xml:space="preserve"> and CS-GT</w:t>
            </w:r>
            <w:r w:rsidRPr="00997F1C" w:rsidR="003E5AEF">
              <w:rPr>
                <w:rFonts w:eastAsia="Times New Roman" w:cs="Calibri"/>
                <w:color w:val="000000" w:themeColor="text1"/>
                <w:vertAlign w:val="superscript"/>
              </w:rPr>
              <w:footnoteReference w:id="134"/>
            </w:r>
            <w:r w:rsidRPr="00997F1C">
              <w:rPr>
                <w:rFonts w:eastAsia="Times New Roman" w:cs="Calibri"/>
                <w:color w:val="000000" w:themeColor="text1"/>
              </w:rPr>
              <w:t xml:space="preserve"> Including True-Ups</w:t>
            </w:r>
          </w:p>
        </w:tc>
        <w:tc>
          <w:tcPr>
            <w:tcW w:w="2510" w:type="dxa"/>
            <w:tcBorders>
              <w:top w:val="nil"/>
              <w:left w:val="nil"/>
              <w:bottom w:val="nil"/>
              <w:right w:val="single" w:color="auto" w:sz="8" w:space="0"/>
            </w:tcBorders>
            <w:vAlign w:val="center"/>
            <w:hideMark/>
          </w:tcPr>
          <w:p w:rsidRPr="00997F1C" w:rsidR="003E5AEF" w:rsidP="003E5AEF" w:rsidRDefault="003E5AEF" w14:paraId="7EDD2400"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$18,219</w:t>
            </w:r>
          </w:p>
        </w:tc>
      </w:tr>
      <w:tr w:rsidRPr="00997F1C" w:rsidR="00997F1C" w:rsidTr="46A7E850" w14:paraId="670B73B1" w14:textId="77777777">
        <w:trPr>
          <w:trHeight w:val="80"/>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19F42A31" w14:textId="77777777">
            <w:pPr>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CCA DAC-GT and CS-GT Including True-Ups</w:t>
            </w:r>
          </w:p>
        </w:tc>
        <w:tc>
          <w:tcPr>
            <w:tcW w:w="2510" w:type="dxa"/>
            <w:tcBorders>
              <w:top w:val="nil"/>
              <w:left w:val="nil"/>
              <w:bottom w:val="nil"/>
              <w:right w:val="single" w:color="auto" w:sz="8" w:space="0"/>
            </w:tcBorders>
            <w:vAlign w:val="center"/>
            <w:hideMark/>
          </w:tcPr>
          <w:p w:rsidRPr="00997F1C" w:rsidR="003E5AEF" w:rsidP="003E5AEF" w:rsidRDefault="003E5AEF" w14:paraId="47035CC9"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$13,206</w:t>
            </w:r>
          </w:p>
        </w:tc>
      </w:tr>
      <w:tr w:rsidRPr="00997F1C" w:rsidR="00997F1C" w:rsidTr="46A7E850" w14:paraId="3E8C1C0C" w14:textId="77777777">
        <w:trPr>
          <w:trHeight w:val="80"/>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3D6243FD" w14:textId="77777777">
            <w:pPr>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CCA Disbursement Reconciliation to PG&amp;E</w:t>
            </w:r>
          </w:p>
        </w:tc>
        <w:tc>
          <w:tcPr>
            <w:tcW w:w="2510" w:type="dxa"/>
            <w:tcBorders>
              <w:top w:val="nil"/>
              <w:left w:val="nil"/>
              <w:bottom w:val="nil"/>
              <w:right w:val="single" w:color="auto" w:sz="8" w:space="0"/>
            </w:tcBorders>
            <w:vAlign w:val="center"/>
            <w:hideMark/>
          </w:tcPr>
          <w:p w:rsidRPr="00997F1C" w:rsidR="003E5AEF" w:rsidP="003E5AEF" w:rsidRDefault="003E5AEF" w14:paraId="7DD70FF5"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-$715</w:t>
            </w:r>
          </w:p>
        </w:tc>
      </w:tr>
      <w:tr w:rsidRPr="00997F1C" w:rsidR="00997F1C" w:rsidTr="46A7E850" w14:paraId="42C81418" w14:textId="77777777">
        <w:trPr>
          <w:trHeight w:val="80"/>
        </w:trPr>
        <w:tc>
          <w:tcPr>
            <w:tcW w:w="6830" w:type="dxa"/>
            <w:tcBorders>
              <w:top w:val="nil"/>
              <w:left w:val="single" w:color="auto" w:sz="8" w:space="0"/>
              <w:bottom w:val="single" w:color="auto" w:sz="4" w:space="0"/>
              <w:right w:val="single" w:color="auto" w:sz="8" w:space="0"/>
            </w:tcBorders>
            <w:vAlign w:val="center"/>
            <w:hideMark/>
          </w:tcPr>
          <w:p w:rsidRPr="00997F1C" w:rsidR="003E5AEF" w:rsidP="003E5AEF" w:rsidRDefault="003E5AEF" w14:paraId="201CBD85" w14:textId="77777777">
            <w:pPr>
              <w:keepNext/>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 xml:space="preserve">Funding from Public Purpose Programs </w:t>
            </w:r>
          </w:p>
        </w:tc>
        <w:tc>
          <w:tcPr>
            <w:tcW w:w="2510" w:type="dxa"/>
            <w:tcBorders>
              <w:top w:val="nil"/>
              <w:left w:val="nil"/>
              <w:bottom w:val="single" w:color="auto" w:sz="4" w:space="0"/>
              <w:right w:val="single" w:color="auto" w:sz="8" w:space="0"/>
            </w:tcBorders>
            <w:vAlign w:val="center"/>
            <w:hideMark/>
          </w:tcPr>
          <w:p w:rsidRPr="00997F1C" w:rsidR="003E5AEF" w:rsidP="003E5AEF" w:rsidRDefault="003E5AEF" w14:paraId="099F63E6" w14:textId="77777777">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-$16,046</w:t>
            </w:r>
          </w:p>
        </w:tc>
      </w:tr>
      <w:tr w:rsidRPr="00997F1C" w:rsidR="00997F1C" w:rsidTr="46A7E850" w14:paraId="05D1E00C" w14:textId="77777777">
        <w:trPr>
          <w:trHeight w:val="215"/>
        </w:trPr>
        <w:tc>
          <w:tcPr>
            <w:tcW w:w="6830" w:type="dxa"/>
            <w:tcBorders>
              <w:top w:val="nil"/>
              <w:left w:val="single" w:color="auto" w:sz="8" w:space="0"/>
              <w:bottom w:val="single" w:color="auto" w:sz="8" w:space="0"/>
              <w:right w:val="single" w:color="auto" w:sz="8" w:space="0"/>
            </w:tcBorders>
            <w:vAlign w:val="center"/>
            <w:hideMark/>
          </w:tcPr>
          <w:p w:rsidRPr="00997F1C" w:rsidR="003E5AEF" w:rsidP="003E5AEF" w:rsidRDefault="003E5AEF" w14:paraId="10B7B6A3"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Clean Energy and Energy Efficiency Programs Subtotal</w:t>
            </w:r>
          </w:p>
        </w:tc>
        <w:tc>
          <w:tcPr>
            <w:tcW w:w="2510" w:type="dxa"/>
            <w:tcBorders>
              <w:top w:val="nil"/>
              <w:left w:val="nil"/>
              <w:bottom w:val="single" w:color="auto" w:sz="8" w:space="0"/>
              <w:right w:val="single" w:color="auto" w:sz="8" w:space="0"/>
            </w:tcBorders>
            <w:vAlign w:val="center"/>
            <w:hideMark/>
          </w:tcPr>
          <w:p w:rsidRPr="00997F1C" w:rsidR="003E5AEF" w:rsidP="003E5AEF" w:rsidRDefault="00281E87" w14:paraId="72E63D7D" w14:textId="0B39E18D">
            <w:pPr>
              <w:spacing w:line="240" w:lineRule="auto"/>
              <w:ind w:firstLine="0"/>
              <w:jc w:val="right"/>
              <w:rPr>
                <w:rFonts w:eastAsia="Times New Roman" w:cs="Calibri"/>
                <w:b/>
                <w:bCs/>
                <w:color w:val="000000" w:themeColor="text1"/>
                <w:szCs w:val="26"/>
              </w:rPr>
            </w:pPr>
            <w:r w:rsidRPr="00997F1C">
              <w:rPr>
                <w:rFonts w:eastAsia="Times New Roman" w:cs="Calibri"/>
                <w:b/>
                <w:bCs/>
                <w:color w:val="000000" w:themeColor="text1"/>
                <w:szCs w:val="26"/>
              </w:rPr>
              <w:t>-</w:t>
            </w:r>
            <w:r w:rsidRPr="00997F1C" w:rsidR="003E5AEF">
              <w:rPr>
                <w:rFonts w:eastAsia="Times New Roman" w:cs="Calibri"/>
                <w:b/>
                <w:bCs/>
                <w:color w:val="000000" w:themeColor="text1"/>
                <w:szCs w:val="26"/>
              </w:rPr>
              <w:t>$34,232</w:t>
            </w:r>
          </w:p>
        </w:tc>
      </w:tr>
      <w:tr w:rsidRPr="00997F1C" w:rsidR="00997F1C" w:rsidTr="46A7E850" w14:paraId="4AA61214" w14:textId="77777777">
        <w:trPr>
          <w:trHeight w:val="60"/>
        </w:trPr>
        <w:tc>
          <w:tcPr>
            <w:tcW w:w="6830" w:type="dxa"/>
            <w:tcBorders>
              <w:top w:val="nil"/>
              <w:left w:val="single" w:color="auto" w:sz="8" w:space="0"/>
              <w:bottom w:val="nil"/>
              <w:right w:val="single" w:color="auto" w:sz="8" w:space="0"/>
            </w:tcBorders>
            <w:vAlign w:val="center"/>
            <w:hideMark/>
          </w:tcPr>
          <w:p w:rsidRPr="00997F1C" w:rsidR="003E5AEF" w:rsidP="003E5AEF" w:rsidRDefault="00A94C31" w14:paraId="5F8CD4BE" w14:textId="013404A6">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 xml:space="preserve">Auction Proceeds </w:t>
            </w:r>
            <w:r w:rsidRPr="00997F1C" w:rsidR="003E5AEF">
              <w:rPr>
                <w:rFonts w:eastAsia="Times New Roman" w:cs="Calibri"/>
                <w:b/>
                <w:bCs/>
                <w:color w:val="000000" w:themeColor="text1"/>
                <w:szCs w:val="26"/>
              </w:rPr>
              <w:t>Distributed for the Climate Credit</w:t>
            </w:r>
          </w:p>
        </w:tc>
        <w:tc>
          <w:tcPr>
            <w:tcW w:w="2510" w:type="dxa"/>
            <w:tcBorders>
              <w:top w:val="nil"/>
              <w:left w:val="nil"/>
              <w:bottom w:val="nil"/>
              <w:right w:val="single" w:color="auto" w:sz="8" w:space="0"/>
            </w:tcBorders>
            <w:vAlign w:val="center"/>
            <w:hideMark/>
          </w:tcPr>
          <w:p w:rsidRPr="00997F1C" w:rsidR="003E5AEF" w:rsidP="003E5AEF" w:rsidRDefault="003E5AEF" w14:paraId="38CA798E" w14:textId="77777777">
            <w:pPr>
              <w:spacing w:line="240" w:lineRule="auto"/>
              <w:ind w:firstLine="0"/>
              <w:rPr>
                <w:rFonts w:eastAsia="Times New Roman" w:cs="Calibri"/>
                <w:b/>
                <w:bCs/>
                <w:color w:val="000000" w:themeColor="text1"/>
                <w:szCs w:val="26"/>
              </w:rPr>
            </w:pPr>
          </w:p>
        </w:tc>
      </w:tr>
      <w:tr w:rsidRPr="00997F1C" w:rsidR="00997F1C" w:rsidTr="46A7E850" w14:paraId="657DA7F7" w14:textId="77777777">
        <w:trPr>
          <w:trHeight w:val="80"/>
        </w:trPr>
        <w:tc>
          <w:tcPr>
            <w:tcW w:w="6830" w:type="dxa"/>
            <w:tcBorders>
              <w:top w:val="nil"/>
              <w:left w:val="single" w:color="auto" w:sz="8" w:space="0"/>
              <w:bottom w:val="nil"/>
              <w:right w:val="single" w:color="auto" w:sz="8" w:space="0"/>
            </w:tcBorders>
            <w:vAlign w:val="center"/>
            <w:hideMark/>
          </w:tcPr>
          <w:p w:rsidRPr="00997F1C" w:rsidR="003E5AEF" w:rsidP="003E5AEF" w:rsidRDefault="003E5AEF" w14:paraId="60106CC5" w14:textId="77777777">
            <w:pPr>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EITE Customer Return</w:t>
            </w:r>
          </w:p>
        </w:tc>
        <w:tc>
          <w:tcPr>
            <w:tcW w:w="2510" w:type="dxa"/>
            <w:tcBorders>
              <w:top w:val="nil"/>
              <w:left w:val="nil"/>
              <w:bottom w:val="nil"/>
              <w:right w:val="single" w:color="auto" w:sz="8" w:space="0"/>
            </w:tcBorders>
            <w:vAlign w:val="center"/>
            <w:hideMark/>
          </w:tcPr>
          <w:p w:rsidRPr="00997F1C" w:rsidR="003E5AEF" w:rsidP="003E5AEF" w:rsidRDefault="00281E87" w14:paraId="7129A3CB" w14:textId="1A4931B1">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w:t>
            </w:r>
            <w:r w:rsidRPr="00997F1C" w:rsidR="003E5AEF">
              <w:rPr>
                <w:rFonts w:eastAsia="Times New Roman" w:cs="Calibri"/>
                <w:color w:val="000000" w:themeColor="text1"/>
                <w:szCs w:val="26"/>
              </w:rPr>
              <w:t>$</w:t>
            </w:r>
            <w:r w:rsidRPr="00997F1C" w:rsidR="00FF2AB8">
              <w:rPr>
                <w:rFonts w:eastAsia="Times New Roman" w:cs="Calibri"/>
                <w:color w:val="000000" w:themeColor="text1"/>
                <w:szCs w:val="26"/>
              </w:rPr>
              <w:t>51,257</w:t>
            </w:r>
          </w:p>
        </w:tc>
      </w:tr>
      <w:tr w:rsidRPr="00997F1C" w:rsidR="00997F1C" w:rsidTr="46A7E850" w14:paraId="64BE13B6" w14:textId="77777777">
        <w:trPr>
          <w:trHeight w:val="80"/>
        </w:trPr>
        <w:tc>
          <w:tcPr>
            <w:tcW w:w="6830" w:type="dxa"/>
            <w:tcBorders>
              <w:top w:val="nil"/>
              <w:left w:val="single" w:color="auto" w:sz="8" w:space="0"/>
              <w:bottom w:val="single" w:color="auto" w:sz="8" w:space="0"/>
              <w:right w:val="single" w:color="auto" w:sz="8" w:space="0"/>
            </w:tcBorders>
            <w:vAlign w:val="center"/>
            <w:hideMark/>
          </w:tcPr>
          <w:p w:rsidRPr="00997F1C" w:rsidR="003E5AEF" w:rsidP="003E5AEF" w:rsidRDefault="003E5AEF" w14:paraId="20A1AD70" w14:textId="77777777">
            <w:pPr>
              <w:spacing w:line="240" w:lineRule="auto"/>
              <w:ind w:left="360" w:firstLine="0"/>
              <w:rPr>
                <w:rFonts w:eastAsia="Times New Roman" w:cs="Calibri"/>
                <w:color w:val="000000" w:themeColor="text1"/>
                <w:szCs w:val="26"/>
              </w:rPr>
            </w:pPr>
            <w:r w:rsidRPr="00997F1C">
              <w:rPr>
                <w:rFonts w:eastAsia="Times New Roman" w:cs="Calibri"/>
                <w:color w:val="000000" w:themeColor="text1"/>
                <w:szCs w:val="26"/>
              </w:rPr>
              <w:t>California Climate Credit</w:t>
            </w:r>
          </w:p>
        </w:tc>
        <w:tc>
          <w:tcPr>
            <w:tcW w:w="2510" w:type="dxa"/>
            <w:tcBorders>
              <w:top w:val="nil"/>
              <w:left w:val="nil"/>
              <w:bottom w:val="single" w:color="auto" w:sz="8" w:space="0"/>
              <w:right w:val="single" w:color="auto" w:sz="8" w:space="0"/>
            </w:tcBorders>
            <w:vAlign w:val="center"/>
            <w:hideMark/>
          </w:tcPr>
          <w:p w:rsidRPr="00997F1C" w:rsidR="003E5AEF" w:rsidP="003E5AEF" w:rsidRDefault="003E5AEF" w14:paraId="75875B14" w14:textId="43A2FF63">
            <w:pPr>
              <w:spacing w:line="240" w:lineRule="auto"/>
              <w:ind w:firstLine="0"/>
              <w:jc w:val="right"/>
              <w:rPr>
                <w:rFonts w:eastAsia="Times New Roman" w:cs="Calibri"/>
                <w:color w:val="000000" w:themeColor="text1"/>
                <w:szCs w:val="26"/>
              </w:rPr>
            </w:pPr>
            <w:r w:rsidRPr="00997F1C">
              <w:rPr>
                <w:rFonts w:eastAsia="Times New Roman" w:cs="Calibri"/>
                <w:color w:val="000000" w:themeColor="text1"/>
                <w:szCs w:val="26"/>
              </w:rPr>
              <w:t>$</w:t>
            </w:r>
            <w:r w:rsidRPr="00997F1C" w:rsidR="00BA1EB8">
              <w:rPr>
                <w:rFonts w:eastAsia="Times New Roman" w:cs="Calibri"/>
                <w:color w:val="000000" w:themeColor="text1"/>
                <w:szCs w:val="26"/>
              </w:rPr>
              <w:t>424,019</w:t>
            </w:r>
          </w:p>
        </w:tc>
      </w:tr>
    </w:tbl>
    <w:p w:rsidRPr="00997F1C" w:rsidR="003E5AEF" w:rsidP="00D737A5" w:rsidRDefault="003E5AEF" w14:paraId="6B071A49" w14:textId="77777777">
      <w:pPr>
        <w:keepNext/>
        <w:keepLines/>
        <w:numPr>
          <w:ilvl w:val="1"/>
          <w:numId w:val="11"/>
        </w:numPr>
        <w:spacing w:before="120" w:after="120" w:line="240" w:lineRule="auto"/>
        <w:ind w:right="2160"/>
        <w:outlineLvl w:val="1"/>
        <w:rPr>
          <w:rFonts w:ascii="Arial" w:hAnsi="Arial" w:cs="Arial"/>
          <w:b/>
          <w:color w:val="000000" w:themeColor="text1"/>
          <w:szCs w:val="26"/>
        </w:rPr>
      </w:pPr>
      <w:bookmarkStart w:name="_Toc120876390" w:id="187"/>
      <w:bookmarkStart w:name="_Toc177628772" w:id="188"/>
      <w:bookmarkStart w:name="_Toc179212731" w:id="189"/>
      <w:bookmarkStart w:name="_Toc182306125" w:id="190"/>
      <w:bookmarkStart w:name="_Toc182841797" w:id="191"/>
      <w:bookmarkStart w:name="_Toc212561181" w:id="192"/>
      <w:bookmarkStart w:name="_Toc217384659" w:id="193"/>
      <w:r w:rsidRPr="00997F1C">
        <w:rPr>
          <w:rFonts w:ascii="Arial" w:hAnsi="Arial" w:cs="Arial"/>
          <w:b/>
          <w:color w:val="000000" w:themeColor="text1"/>
          <w:szCs w:val="26"/>
        </w:rPr>
        <w:lastRenderedPageBreak/>
        <w:t>GHG Costs</w:t>
      </w:r>
      <w:bookmarkEnd w:id="181"/>
      <w:bookmarkEnd w:id="182"/>
      <w:bookmarkEnd w:id="183"/>
      <w:bookmarkEnd w:id="187"/>
      <w:bookmarkEnd w:id="188"/>
      <w:bookmarkEnd w:id="189"/>
      <w:bookmarkEnd w:id="190"/>
      <w:bookmarkEnd w:id="191"/>
      <w:bookmarkEnd w:id="192"/>
      <w:bookmarkEnd w:id="193"/>
    </w:p>
    <w:p w:rsidRPr="00997F1C" w:rsidR="003E5AEF" w:rsidP="003E5AEF" w:rsidRDefault="003E5AEF" w14:paraId="0A885550" w14:textId="77777777">
      <w:pPr>
        <w:rPr>
          <w:color w:val="000000" w:themeColor="text1"/>
        </w:rPr>
      </w:pPr>
      <w:r w:rsidRPr="00997F1C">
        <w:rPr>
          <w:color w:val="000000" w:themeColor="text1"/>
        </w:rPr>
        <w:t>Under California’s Cap</w:t>
      </w:r>
      <w:r w:rsidRPr="00997F1C">
        <w:rPr>
          <w:color w:val="000000" w:themeColor="text1"/>
        </w:rPr>
        <w:noBreakHyphen/>
        <w:t>and</w:t>
      </w:r>
      <w:r w:rsidRPr="00997F1C">
        <w:rPr>
          <w:color w:val="000000" w:themeColor="text1"/>
        </w:rPr>
        <w:noBreakHyphen/>
        <w:t>Trade program, utilities directly and indirectly incur GHG emissions costs.  Direct costs include, generally, the costs incurred to purchase compliance instruments for plants run by the utility or the costs of providing physical or financial settlements specifically for GHG emissions from plants not owned or operated by the utility.  Indirect costs generally reflect GHG costs embedded in the price of power purchased on the market or through contracts that do not include GHG settlement terms.</w:t>
      </w:r>
    </w:p>
    <w:p w:rsidRPr="00997F1C" w:rsidR="003E5AEF" w:rsidP="003E5AEF" w:rsidRDefault="53E8B74B" w14:paraId="2B3D9C08" w14:textId="0FF8DE1D">
      <w:pPr>
        <w:rPr>
          <w:color w:val="000000" w:themeColor="text1"/>
        </w:rPr>
      </w:pPr>
      <w:r w:rsidRPr="00997F1C">
        <w:rPr>
          <w:color w:val="000000" w:themeColor="text1"/>
        </w:rPr>
        <w:t xml:space="preserve">PG&amp;E </w:t>
      </w:r>
      <w:r w:rsidRPr="00997F1C" w:rsidR="63894237">
        <w:rPr>
          <w:color w:val="000000" w:themeColor="text1"/>
        </w:rPr>
        <w:t xml:space="preserve">calculated </w:t>
      </w:r>
      <w:r w:rsidRPr="00997F1C">
        <w:rPr>
          <w:color w:val="000000" w:themeColor="text1"/>
        </w:rPr>
        <w:t>direct GHG costs by multiplying the 2026 forecast price of $30.58/metric ton (MT),</w:t>
      </w:r>
      <w:r w:rsidRPr="00997F1C" w:rsidR="003E5AEF">
        <w:rPr>
          <w:color w:val="000000" w:themeColor="text1"/>
          <w:vertAlign w:val="superscript"/>
        </w:rPr>
        <w:footnoteReference w:id="135"/>
      </w:r>
      <w:r w:rsidRPr="00997F1C">
        <w:rPr>
          <w:color w:val="000000" w:themeColor="text1"/>
        </w:rPr>
        <w:t xml:space="preserve"> which is the Intercontinental Exchange settlement price </w:t>
      </w:r>
      <w:r w:rsidRPr="00997F1C" w:rsidR="1AD3DBB0">
        <w:rPr>
          <w:color w:val="000000" w:themeColor="text1"/>
        </w:rPr>
        <w:t xml:space="preserve">for </w:t>
      </w:r>
      <w:r w:rsidRPr="00997F1C" w:rsidR="5D524A94">
        <w:rPr>
          <w:color w:val="000000" w:themeColor="text1"/>
        </w:rPr>
        <w:t xml:space="preserve">Vintage 2026 </w:t>
      </w:r>
      <w:r w:rsidRPr="00997F1C" w:rsidR="46737480">
        <w:rPr>
          <w:color w:val="000000" w:themeColor="text1"/>
        </w:rPr>
        <w:t>California Carbon Allowance</w:t>
      </w:r>
      <w:r w:rsidRPr="00997F1C" w:rsidR="1C075F2E">
        <w:rPr>
          <w:color w:val="000000" w:themeColor="text1"/>
        </w:rPr>
        <w:t xml:space="preserve">s </w:t>
      </w:r>
      <w:r w:rsidRPr="00997F1C">
        <w:rPr>
          <w:color w:val="000000" w:themeColor="text1"/>
        </w:rPr>
        <w:t xml:space="preserve">as of </w:t>
      </w:r>
      <w:r w:rsidRPr="00997F1C" w:rsidR="4CC1975F">
        <w:rPr>
          <w:color w:val="000000" w:themeColor="text1"/>
        </w:rPr>
        <w:t>August 27, 2025</w:t>
      </w:r>
      <w:r w:rsidRPr="00997F1C">
        <w:rPr>
          <w:color w:val="000000" w:themeColor="text1"/>
        </w:rPr>
        <w:t xml:space="preserve">, by the forecast </w:t>
      </w:r>
      <w:r w:rsidRPr="00997F1C" w:rsidR="56EB5B52">
        <w:rPr>
          <w:color w:val="000000" w:themeColor="text1"/>
        </w:rPr>
        <w:t>utility-owned generation</w:t>
      </w:r>
      <w:r w:rsidRPr="00997F1C">
        <w:rPr>
          <w:color w:val="000000" w:themeColor="text1"/>
        </w:rPr>
        <w:t xml:space="preserve"> GHG emissions volume</w:t>
      </w:r>
      <w:r w:rsidRPr="00997F1C" w:rsidR="0025D257">
        <w:rPr>
          <w:color w:val="000000" w:themeColor="text1"/>
        </w:rPr>
        <w:t xml:space="preserve"> and adding any </w:t>
      </w:r>
      <w:r w:rsidRPr="00997F1C" w:rsidR="51D1DC86">
        <w:rPr>
          <w:color w:val="000000" w:themeColor="text1"/>
        </w:rPr>
        <w:t xml:space="preserve">GHG costs specified in tolling agreement, </w:t>
      </w:r>
      <w:r w:rsidRPr="00997F1C" w:rsidR="47F277E0">
        <w:rPr>
          <w:color w:val="000000" w:themeColor="text1"/>
        </w:rPr>
        <w:t xml:space="preserve">qualifying facility (QF) contracts, </w:t>
      </w:r>
      <w:r w:rsidRPr="00997F1C" w:rsidR="6814624F">
        <w:rPr>
          <w:color w:val="000000" w:themeColor="text1"/>
        </w:rPr>
        <w:t>and emissions from energy imports</w:t>
      </w:r>
      <w:r w:rsidRPr="00997F1C">
        <w:rPr>
          <w:color w:val="000000" w:themeColor="text1"/>
        </w:rPr>
        <w:t>.</w:t>
      </w:r>
      <w:r w:rsidRPr="00997F1C" w:rsidR="003E5AEF">
        <w:rPr>
          <w:color w:val="000000" w:themeColor="text1"/>
          <w:vertAlign w:val="superscript"/>
        </w:rPr>
        <w:footnoteReference w:id="136"/>
      </w:r>
      <w:r w:rsidRPr="00997F1C">
        <w:rPr>
          <w:color w:val="000000" w:themeColor="text1"/>
        </w:rPr>
        <w:t xml:space="preserve">  </w:t>
      </w:r>
    </w:p>
    <w:p w:rsidRPr="00997F1C" w:rsidR="003E5AEF" w:rsidP="003E5AEF" w:rsidRDefault="003E5AEF" w14:paraId="75979AB2" w14:textId="77777777">
      <w:pPr>
        <w:rPr>
          <w:color w:val="000000" w:themeColor="text1"/>
        </w:rPr>
      </w:pPr>
      <w:r w:rsidRPr="00997F1C">
        <w:rPr>
          <w:color w:val="000000" w:themeColor="text1"/>
        </w:rPr>
        <w:t>No parties opposed or commented on PG&amp;E’s GHG costs.  Upon review, the Commission finds PG&amp;E’s 2026 forecast GHG costs reasonable and in compliance with applicable rules, orders and Commission decisions.</w:t>
      </w:r>
    </w:p>
    <w:p w:rsidRPr="00997F1C" w:rsidR="003E5AEF" w:rsidP="00D737A5" w:rsidRDefault="003E5AEF" w14:paraId="54169CEB" w14:textId="77777777">
      <w:pPr>
        <w:keepNext/>
        <w:keepLines/>
        <w:numPr>
          <w:ilvl w:val="1"/>
          <w:numId w:val="11"/>
        </w:numPr>
        <w:spacing w:after="120" w:line="240" w:lineRule="auto"/>
        <w:ind w:right="2160"/>
        <w:outlineLvl w:val="1"/>
        <w:rPr>
          <w:rFonts w:ascii="Arial" w:hAnsi="Arial" w:cs="Arial"/>
          <w:b/>
          <w:color w:val="000000" w:themeColor="text1"/>
          <w:szCs w:val="26"/>
        </w:rPr>
      </w:pPr>
      <w:bookmarkStart w:name="_Toc120876391" w:id="194"/>
      <w:bookmarkStart w:name="_Toc177628773" w:id="195"/>
      <w:bookmarkStart w:name="_Toc179212732" w:id="196"/>
      <w:bookmarkStart w:name="_Toc182306126" w:id="197"/>
      <w:bookmarkStart w:name="_Toc182841798" w:id="198"/>
      <w:bookmarkStart w:name="_Toc212561182" w:id="199"/>
      <w:bookmarkStart w:name="_Toc26797688" w:id="200"/>
      <w:bookmarkStart w:name="_Toc26969000" w:id="201"/>
      <w:bookmarkStart w:name="_Toc93064662" w:id="202"/>
      <w:bookmarkStart w:name="_Toc217384660" w:id="203"/>
      <w:bookmarkEnd w:id="184"/>
      <w:bookmarkEnd w:id="185"/>
      <w:bookmarkEnd w:id="186"/>
      <w:r w:rsidRPr="00997F1C">
        <w:rPr>
          <w:rFonts w:ascii="Arial" w:hAnsi="Arial" w:cs="Arial"/>
          <w:b/>
          <w:color w:val="000000" w:themeColor="text1"/>
          <w:szCs w:val="26"/>
        </w:rPr>
        <w:t>GHG Allowance Proceeds</w:t>
      </w:r>
      <w:bookmarkEnd w:id="194"/>
      <w:bookmarkEnd w:id="195"/>
      <w:bookmarkEnd w:id="196"/>
      <w:bookmarkEnd w:id="197"/>
      <w:bookmarkEnd w:id="198"/>
      <w:bookmarkEnd w:id="199"/>
      <w:bookmarkEnd w:id="203"/>
    </w:p>
    <w:p w:rsidRPr="00997F1C" w:rsidR="003E5AEF" w:rsidP="003E5AEF" w:rsidRDefault="53E8B74B" w14:paraId="028EBFC3" w14:textId="749754D2">
      <w:pPr>
        <w:rPr>
          <w:color w:val="000000" w:themeColor="text1"/>
        </w:rPr>
      </w:pPr>
      <w:r w:rsidRPr="00997F1C">
        <w:rPr>
          <w:color w:val="000000" w:themeColor="text1"/>
        </w:rPr>
        <w:t xml:space="preserve">GHG allowance proceeds come from the sale of GHG allowances allocated by the California </w:t>
      </w:r>
      <w:r w:rsidRPr="00997F1C" w:rsidR="004D7F6F">
        <w:rPr>
          <w:color w:val="000000" w:themeColor="text1"/>
        </w:rPr>
        <w:t>Air Resources Board</w:t>
      </w:r>
      <w:r w:rsidRPr="00997F1C" w:rsidR="002349B5">
        <w:rPr>
          <w:color w:val="000000" w:themeColor="text1"/>
        </w:rPr>
        <w:t xml:space="preserve"> </w:t>
      </w:r>
      <w:r w:rsidRPr="00997F1C" w:rsidR="00F86518">
        <w:rPr>
          <w:color w:val="000000" w:themeColor="text1"/>
        </w:rPr>
        <w:t xml:space="preserve">for the benefit of ratepayers, which PG&amp;E sells on behalf of ratepayers at quarterly GHG allowance auctions. </w:t>
      </w:r>
      <w:r w:rsidRPr="00997F1C" w:rsidR="00866E64">
        <w:rPr>
          <w:color w:val="000000" w:themeColor="text1"/>
        </w:rPr>
        <w:t xml:space="preserve">PG&amp;E forecasts its GHG allowance proceeds by multiplying a proxy GHG allowance </w:t>
      </w:r>
      <w:r w:rsidRPr="00997F1C">
        <w:rPr>
          <w:color w:val="000000" w:themeColor="text1"/>
        </w:rPr>
        <w:t xml:space="preserve">price of $30.58/MT </w:t>
      </w:r>
      <w:r w:rsidRPr="00997F1C" w:rsidR="6DD290D3">
        <w:rPr>
          <w:color w:val="000000" w:themeColor="text1"/>
        </w:rPr>
        <w:t>(the same price used to forecast GHG costs)</w:t>
      </w:r>
      <w:r w:rsidRPr="00997F1C">
        <w:rPr>
          <w:color w:val="000000" w:themeColor="text1"/>
        </w:rPr>
        <w:t xml:space="preserve"> by the total </w:t>
      </w:r>
      <w:r w:rsidRPr="00997F1C">
        <w:rPr>
          <w:color w:val="000000" w:themeColor="text1"/>
        </w:rPr>
        <w:lastRenderedPageBreak/>
        <w:t>volume of allowances CARB allocated to PG&amp;E (23,023,000 allowances) in 2026.</w:t>
      </w:r>
      <w:r w:rsidRPr="00997F1C" w:rsidR="003E5AEF">
        <w:rPr>
          <w:color w:val="000000" w:themeColor="text1"/>
          <w:vertAlign w:val="superscript"/>
        </w:rPr>
        <w:footnoteReference w:id="137"/>
      </w:r>
      <w:r w:rsidRPr="00997F1C" w:rsidR="002349B5">
        <w:rPr>
          <w:color w:val="000000" w:themeColor="text1"/>
        </w:rPr>
        <w:t xml:space="preserve">  </w:t>
      </w:r>
      <w:r w:rsidRPr="00997F1C">
        <w:rPr>
          <w:color w:val="000000" w:themeColor="text1"/>
        </w:rPr>
        <w:t>PG&amp;E’s total forecast GHG allowance proceeds in 2026 is $704,046,796 million.</w:t>
      </w:r>
      <w:r w:rsidRPr="00997F1C" w:rsidR="003E5AEF">
        <w:rPr>
          <w:color w:val="000000" w:themeColor="text1"/>
          <w:vertAlign w:val="superscript"/>
        </w:rPr>
        <w:footnoteReference w:id="138"/>
      </w:r>
      <w:r w:rsidRPr="00997F1C" w:rsidR="002349B5">
        <w:rPr>
          <w:color w:val="000000" w:themeColor="text1"/>
        </w:rPr>
        <w:t xml:space="preserve">  </w:t>
      </w:r>
      <w:r w:rsidRPr="00997F1C">
        <w:rPr>
          <w:color w:val="000000" w:themeColor="text1"/>
        </w:rPr>
        <w:t>PG&amp;E adjusted this forecast to reflect:  (1) a prior balance of $</w:t>
      </w:r>
      <w:r w:rsidRPr="00997F1C" w:rsidR="00661FD4">
        <w:rPr>
          <w:color w:val="000000" w:themeColor="text1"/>
        </w:rPr>
        <w:t>199.666</w:t>
      </w:r>
      <w:r w:rsidRPr="00997F1C" w:rsidR="00123098">
        <w:rPr>
          <w:color w:val="000000" w:themeColor="text1"/>
        </w:rPr>
        <w:t xml:space="preserve"> </w:t>
      </w:r>
      <w:r w:rsidRPr="00997F1C">
        <w:rPr>
          <w:color w:val="000000" w:themeColor="text1"/>
        </w:rPr>
        <w:t>million; and (2) $</w:t>
      </w:r>
      <w:r w:rsidRPr="00997F1C" w:rsidR="65FCE7BB">
        <w:rPr>
          <w:color w:val="000000" w:themeColor="text1"/>
        </w:rPr>
        <w:t>5.877</w:t>
      </w:r>
      <w:r w:rsidRPr="00997F1C">
        <w:rPr>
          <w:color w:val="000000" w:themeColor="text1"/>
        </w:rPr>
        <w:t xml:space="preserve"> million in revenue franchise fees and </w:t>
      </w:r>
      <w:proofErr w:type="spellStart"/>
      <w:r w:rsidRPr="00997F1C">
        <w:rPr>
          <w:color w:val="000000" w:themeColor="text1"/>
        </w:rPr>
        <w:t>uncollectibles</w:t>
      </w:r>
      <w:proofErr w:type="spellEnd"/>
      <w:r w:rsidRPr="00997F1C">
        <w:rPr>
          <w:color w:val="000000" w:themeColor="text1"/>
        </w:rPr>
        <w:t>, for a net 2026 GHG allowance proceeds forecast of $</w:t>
      </w:r>
      <w:r w:rsidRPr="00997F1C" w:rsidR="0364EC91">
        <w:rPr>
          <w:color w:val="000000" w:themeColor="text1"/>
        </w:rPr>
        <w:t xml:space="preserve">510.258 </w:t>
      </w:r>
      <w:r w:rsidRPr="00997F1C">
        <w:rPr>
          <w:color w:val="000000" w:themeColor="text1"/>
        </w:rPr>
        <w:t>million.</w:t>
      </w:r>
      <w:r w:rsidRPr="00997F1C" w:rsidR="003E5AEF">
        <w:rPr>
          <w:color w:val="000000" w:themeColor="text1"/>
          <w:vertAlign w:val="superscript"/>
        </w:rPr>
        <w:footnoteReference w:id="139"/>
      </w:r>
    </w:p>
    <w:p w:rsidRPr="00997F1C" w:rsidR="003E5AEF" w:rsidP="003E5AEF" w:rsidRDefault="003E5AEF" w14:paraId="395F4DE5" w14:textId="77777777">
      <w:pPr>
        <w:rPr>
          <w:color w:val="000000" w:themeColor="text1"/>
        </w:rPr>
      </w:pPr>
      <w:r w:rsidRPr="00997F1C">
        <w:rPr>
          <w:color w:val="000000" w:themeColor="text1"/>
        </w:rPr>
        <w:t>No parties opposed or commented on PG&amp;E’s GHG proceeds calculations. We reviewed PG&amp;E’s net 2026 forecast allowance proceeds amount and find it reasonable and in compliance with applicable rules, orders and Commission decisions.</w:t>
      </w:r>
    </w:p>
    <w:p w:rsidRPr="00997F1C" w:rsidR="003E5AEF" w:rsidP="00D737A5" w:rsidRDefault="003E5AEF" w14:paraId="183C0A8F" w14:textId="6BD1A201">
      <w:pPr>
        <w:keepNext/>
        <w:keepLines/>
        <w:numPr>
          <w:ilvl w:val="1"/>
          <w:numId w:val="11"/>
        </w:numPr>
        <w:spacing w:after="120" w:line="240" w:lineRule="auto"/>
        <w:ind w:right="2160"/>
        <w:outlineLvl w:val="1"/>
        <w:rPr>
          <w:rFonts w:ascii="Arial" w:hAnsi="Arial" w:cs="Arial"/>
          <w:b/>
          <w:color w:val="000000" w:themeColor="text1"/>
          <w:szCs w:val="26"/>
        </w:rPr>
      </w:pPr>
      <w:bookmarkStart w:name="_Toc120876392" w:id="204"/>
      <w:bookmarkStart w:name="_Toc177628774" w:id="205"/>
      <w:bookmarkStart w:name="_Toc179212733" w:id="206"/>
      <w:bookmarkStart w:name="_Toc182306127" w:id="207"/>
      <w:bookmarkStart w:name="_Toc182841799" w:id="208"/>
      <w:bookmarkStart w:name="_Toc212561183" w:id="209"/>
      <w:bookmarkStart w:name="_Toc217384661" w:id="210"/>
      <w:r w:rsidRPr="00997F1C">
        <w:rPr>
          <w:rFonts w:ascii="Arial" w:hAnsi="Arial" w:cs="Arial"/>
          <w:b/>
          <w:color w:val="000000" w:themeColor="text1"/>
          <w:szCs w:val="26"/>
        </w:rPr>
        <w:t xml:space="preserve">Administrative and Customer </w:t>
      </w:r>
      <w:r w:rsidRPr="00997F1C" w:rsidR="00A5195C">
        <w:rPr>
          <w:rFonts w:ascii="Arial" w:hAnsi="Arial" w:cs="Arial"/>
          <w:b/>
          <w:color w:val="000000" w:themeColor="text1"/>
          <w:szCs w:val="26"/>
        </w:rPr>
        <w:br/>
      </w:r>
      <w:r w:rsidRPr="00997F1C">
        <w:rPr>
          <w:rFonts w:ascii="Arial" w:hAnsi="Arial" w:cs="Arial"/>
          <w:b/>
          <w:color w:val="000000" w:themeColor="text1"/>
          <w:szCs w:val="26"/>
        </w:rPr>
        <w:t>Outreach Expenses</w:t>
      </w:r>
      <w:bookmarkEnd w:id="200"/>
      <w:bookmarkEnd w:id="201"/>
      <w:bookmarkEnd w:id="202"/>
      <w:bookmarkEnd w:id="204"/>
      <w:bookmarkEnd w:id="205"/>
      <w:bookmarkEnd w:id="206"/>
      <w:bookmarkEnd w:id="207"/>
      <w:bookmarkEnd w:id="208"/>
      <w:bookmarkEnd w:id="209"/>
      <w:bookmarkEnd w:id="210"/>
    </w:p>
    <w:p w:rsidRPr="00997F1C" w:rsidR="003E5AEF" w:rsidP="003E5AEF" w:rsidRDefault="003E5AEF" w14:paraId="526DDB8D" w14:textId="77777777">
      <w:pPr>
        <w:rPr>
          <w:color w:val="000000" w:themeColor="text1"/>
        </w:rPr>
      </w:pPr>
      <w:r w:rsidRPr="00997F1C">
        <w:rPr>
          <w:color w:val="000000" w:themeColor="text1"/>
        </w:rPr>
        <w:t>The recorded and forecast administrative and customer outreach expenses are the costs incurred by a utility for administrative and customer outreach expenditures that relate to the GHG allowance proceeds return program.</w:t>
      </w:r>
    </w:p>
    <w:p w:rsidRPr="00997F1C" w:rsidR="003E5AEF" w:rsidP="00D928F8" w:rsidRDefault="003E5AEF" w14:paraId="5B8C94A0" w14:textId="77777777">
      <w:pPr>
        <w:pStyle w:val="Heading3"/>
      </w:pPr>
      <w:bookmarkStart w:name="_Toc179212734" w:id="211"/>
      <w:bookmarkStart w:name="_Toc182306128" w:id="212"/>
      <w:bookmarkStart w:name="_Toc182841800" w:id="213"/>
      <w:bookmarkStart w:name="_Toc212561184" w:id="214"/>
      <w:bookmarkStart w:name="_Toc177628775" w:id="215"/>
      <w:bookmarkStart w:name="_Toc26797689" w:id="216"/>
      <w:bookmarkStart w:name="_Toc26969001" w:id="217"/>
      <w:bookmarkStart w:name="_Toc93064663" w:id="218"/>
      <w:bookmarkStart w:name="_Toc217384662" w:id="219"/>
      <w:r w:rsidRPr="00997F1C">
        <w:t>2024 Recorded Administrative and Customer Outreach Costs</w:t>
      </w:r>
      <w:bookmarkEnd w:id="211"/>
      <w:bookmarkEnd w:id="212"/>
      <w:bookmarkEnd w:id="213"/>
      <w:bookmarkEnd w:id="214"/>
      <w:bookmarkEnd w:id="219"/>
    </w:p>
    <w:p w:rsidRPr="00997F1C" w:rsidR="003E5AEF" w:rsidP="003E5AEF" w:rsidRDefault="53E8B74B" w14:paraId="3B2EA740" w14:textId="77777777">
      <w:pPr>
        <w:spacing w:after="120"/>
        <w:rPr>
          <w:color w:val="000000" w:themeColor="text1"/>
        </w:rPr>
      </w:pPr>
      <w:r w:rsidRPr="00997F1C">
        <w:rPr>
          <w:color w:val="000000" w:themeColor="text1"/>
        </w:rPr>
        <w:t>PG&amp;E’s 2024 recorded administrative and customer outreach costs were recorded at $708,000.</w:t>
      </w:r>
      <w:r w:rsidRPr="00997F1C" w:rsidR="003E5AEF">
        <w:rPr>
          <w:color w:val="000000" w:themeColor="text1"/>
          <w:vertAlign w:val="superscript"/>
        </w:rPr>
        <w:footnoteReference w:id="140"/>
      </w:r>
      <w:r w:rsidRPr="00997F1C">
        <w:rPr>
          <w:color w:val="000000" w:themeColor="text1"/>
          <w:vertAlign w:val="superscript"/>
        </w:rPr>
        <w:t xml:space="preserve"> </w:t>
      </w:r>
      <w:r w:rsidRPr="00997F1C">
        <w:rPr>
          <w:color w:val="000000" w:themeColor="text1"/>
        </w:rPr>
        <w:t xml:space="preserve"> No parties opposed or commented on PG&amp;E’s 2024 recorded administrative and customer outreach costs.  We find that PG&amp;E’s 2024 recorded administrative and customer outreach expense cost of $708,000 is </w:t>
      </w:r>
      <w:r w:rsidRPr="00997F1C">
        <w:rPr>
          <w:color w:val="000000" w:themeColor="text1"/>
        </w:rPr>
        <w:lastRenderedPageBreak/>
        <w:t>reasonable and in compliance with applicable rules, orders, and Commission decisions.</w:t>
      </w:r>
    </w:p>
    <w:p w:rsidRPr="00997F1C" w:rsidR="003E5AEF" w:rsidP="00D928F8" w:rsidRDefault="003E5AEF" w14:paraId="07D31606" w14:textId="04F9FCA8">
      <w:pPr>
        <w:pStyle w:val="Heading3"/>
      </w:pPr>
      <w:bookmarkStart w:name="_Toc179212735" w:id="220"/>
      <w:bookmarkStart w:name="_Toc182306129" w:id="221"/>
      <w:bookmarkStart w:name="_Toc182841801" w:id="222"/>
      <w:bookmarkStart w:name="_Toc212561185" w:id="223"/>
      <w:bookmarkStart w:name="_Toc217384663" w:id="224"/>
      <w:r w:rsidRPr="00997F1C">
        <w:t xml:space="preserve">2026 Forecast GHG Administrative </w:t>
      </w:r>
      <w:r w:rsidR="009F5B6F">
        <w:br/>
      </w:r>
      <w:r w:rsidRPr="00997F1C">
        <w:t>and Customer Outreach Costs</w:t>
      </w:r>
      <w:bookmarkEnd w:id="215"/>
      <w:bookmarkEnd w:id="220"/>
      <w:bookmarkEnd w:id="221"/>
      <w:bookmarkEnd w:id="222"/>
      <w:bookmarkEnd w:id="223"/>
      <w:bookmarkEnd w:id="224"/>
    </w:p>
    <w:p w:rsidRPr="00997F1C" w:rsidR="003E5AEF" w:rsidP="003E5AEF" w:rsidRDefault="53E8B74B" w14:paraId="48009A81" w14:textId="30C134AD">
      <w:pPr>
        <w:rPr>
          <w:color w:val="000000" w:themeColor="text1"/>
        </w:rPr>
      </w:pPr>
      <w:r w:rsidRPr="00997F1C">
        <w:rPr>
          <w:color w:val="000000" w:themeColor="text1"/>
        </w:rPr>
        <w:t>PG&amp;E’s 2026 forecast of administrative and customer outreach expenses is $</w:t>
      </w:r>
      <w:r w:rsidRPr="00997F1C" w:rsidR="3F2D984C">
        <w:rPr>
          <w:color w:val="000000" w:themeColor="text1"/>
        </w:rPr>
        <w:t>925</w:t>
      </w:r>
      <w:r w:rsidRPr="00997F1C">
        <w:rPr>
          <w:color w:val="000000" w:themeColor="text1"/>
        </w:rPr>
        <w:t xml:space="preserve">,000, consisting primarily of outreach efforts for the California Climate Credit and assistance for eligible </w:t>
      </w:r>
      <w:r w:rsidRPr="00997F1C" w:rsidR="1154C818">
        <w:rPr>
          <w:color w:val="000000" w:themeColor="text1"/>
        </w:rPr>
        <w:t>CA Industry Assistance/</w:t>
      </w:r>
      <w:r w:rsidRPr="00997F1C">
        <w:rPr>
          <w:color w:val="000000" w:themeColor="text1"/>
        </w:rPr>
        <w:t>EITE customers.</w:t>
      </w:r>
      <w:r w:rsidRPr="00997F1C" w:rsidR="003E5AEF">
        <w:rPr>
          <w:color w:val="000000" w:themeColor="text1"/>
          <w:vertAlign w:val="superscript"/>
        </w:rPr>
        <w:footnoteReference w:id="141"/>
      </w:r>
      <w:r w:rsidRPr="00997F1C">
        <w:rPr>
          <w:color w:val="000000" w:themeColor="text1"/>
        </w:rPr>
        <w:t xml:space="preserve">  </w:t>
      </w:r>
    </w:p>
    <w:p w:rsidRPr="00997F1C" w:rsidR="003E5AEF" w:rsidP="003E5AEF" w:rsidRDefault="003E5AEF" w14:paraId="5A3414CA" w14:textId="77777777">
      <w:pPr>
        <w:rPr>
          <w:color w:val="000000" w:themeColor="text1"/>
        </w:rPr>
      </w:pPr>
      <w:r w:rsidRPr="00997F1C">
        <w:rPr>
          <w:color w:val="000000" w:themeColor="text1"/>
        </w:rPr>
        <w:t>No parties opposed or commented on PG&amp;E’s 2026 forecast of administrative and customer outreach expenses.  Upon consideration, the Commission finds PG&amp;E’s 2026 forecast administrative and customer outreach expense costs reasonable and in compliance with applicable rules, orders, and Commission decisions.</w:t>
      </w:r>
    </w:p>
    <w:p w:rsidRPr="00997F1C" w:rsidR="003E5AEF" w:rsidP="00D737A5" w:rsidRDefault="003E5AEF" w14:paraId="1B0E5FA1" w14:textId="6440DEC5">
      <w:pPr>
        <w:keepNext/>
        <w:keepLines/>
        <w:numPr>
          <w:ilvl w:val="1"/>
          <w:numId w:val="11"/>
        </w:numPr>
        <w:spacing w:after="120" w:line="240" w:lineRule="auto"/>
        <w:ind w:right="2160"/>
        <w:outlineLvl w:val="1"/>
        <w:rPr>
          <w:rFonts w:ascii="Arial" w:hAnsi="Arial" w:cs="Arial"/>
          <w:b/>
          <w:color w:val="000000" w:themeColor="text1"/>
          <w:szCs w:val="26"/>
        </w:rPr>
      </w:pPr>
      <w:bookmarkStart w:name="_Toc120876393" w:id="225"/>
      <w:bookmarkStart w:name="_Toc177628776" w:id="226"/>
      <w:bookmarkStart w:name="_Toc179212736" w:id="227"/>
      <w:bookmarkStart w:name="_Toc182306130" w:id="228"/>
      <w:bookmarkStart w:name="_Toc182841802" w:id="229"/>
      <w:bookmarkStart w:name="_Toc212561186" w:id="230"/>
      <w:bookmarkStart w:name="_Toc217384664" w:id="231"/>
      <w:r w:rsidRPr="00997F1C">
        <w:rPr>
          <w:rFonts w:ascii="Arial" w:hAnsi="Arial" w:cs="Arial"/>
          <w:b/>
          <w:color w:val="000000" w:themeColor="text1"/>
          <w:szCs w:val="26"/>
        </w:rPr>
        <w:t xml:space="preserve">Clean Energy and Energy </w:t>
      </w:r>
      <w:r w:rsidRPr="00997F1C" w:rsidR="00A5195C">
        <w:rPr>
          <w:rFonts w:ascii="Arial" w:hAnsi="Arial" w:cs="Arial"/>
          <w:b/>
          <w:color w:val="000000" w:themeColor="text1"/>
          <w:szCs w:val="26"/>
        </w:rPr>
        <w:br/>
      </w:r>
      <w:r w:rsidRPr="00997F1C">
        <w:rPr>
          <w:rFonts w:ascii="Arial" w:hAnsi="Arial" w:cs="Arial"/>
          <w:b/>
          <w:color w:val="000000" w:themeColor="text1"/>
          <w:szCs w:val="26"/>
        </w:rPr>
        <w:t>Efficiency Projects</w:t>
      </w:r>
      <w:bookmarkEnd w:id="216"/>
      <w:bookmarkEnd w:id="217"/>
      <w:bookmarkEnd w:id="218"/>
      <w:bookmarkEnd w:id="225"/>
      <w:bookmarkEnd w:id="226"/>
      <w:bookmarkEnd w:id="227"/>
      <w:bookmarkEnd w:id="228"/>
      <w:bookmarkEnd w:id="229"/>
      <w:bookmarkEnd w:id="230"/>
      <w:bookmarkEnd w:id="231"/>
    </w:p>
    <w:p w:rsidRPr="00997F1C" w:rsidR="003E5AEF" w:rsidP="003E5AEF" w:rsidRDefault="008401DA" w14:paraId="11775997" w14:textId="675A4D0B">
      <w:pPr>
        <w:rPr>
          <w:color w:val="000000" w:themeColor="text1"/>
        </w:rPr>
      </w:pPr>
      <w:bookmarkStart w:name="_Toc93064664" w:id="232"/>
      <w:r w:rsidRPr="00997F1C">
        <w:rPr>
          <w:color w:val="000000" w:themeColor="text1"/>
        </w:rPr>
        <w:t xml:space="preserve">Pursuant to </w:t>
      </w:r>
      <w:r w:rsidRPr="00997F1C" w:rsidR="53E8B74B">
        <w:rPr>
          <w:color w:val="000000" w:themeColor="text1"/>
        </w:rPr>
        <w:t>Pub. Util. Code Section 748.5(c), the Commission may allocate up to 15 percent of the revenue received by an electric corporation from its sales of allocated GHG allowances to specific clean energy and energy efficiency projects that are not funded by another source and are already approved by the Commission.  PG&amp;E’s total request for clean energy and energy efficiency projects is $34.232 million.</w:t>
      </w:r>
      <w:r w:rsidRPr="00997F1C" w:rsidR="003E5AEF">
        <w:rPr>
          <w:color w:val="000000" w:themeColor="text1"/>
          <w:vertAlign w:val="superscript"/>
        </w:rPr>
        <w:footnoteReference w:id="142"/>
      </w:r>
      <w:r w:rsidRPr="00997F1C" w:rsidR="53E8B74B">
        <w:rPr>
          <w:color w:val="000000" w:themeColor="text1"/>
        </w:rPr>
        <w:t xml:space="preserve"> </w:t>
      </w:r>
      <w:bookmarkEnd w:id="232"/>
      <w:r w:rsidRPr="00997F1C" w:rsidR="53E8B74B">
        <w:rPr>
          <w:color w:val="000000" w:themeColor="text1"/>
        </w:rPr>
        <w:t xml:space="preserve"> PG&amp;E has four programs funded in whole or in part from the sales of GHG allowances:  (1) Solar on Multifamily Affordable Housing (SOMAH); (2) Disadvantaged Communities—Single-Family Solar </w:t>
      </w:r>
      <w:r w:rsidRPr="00997F1C" w:rsidR="53E8B74B">
        <w:rPr>
          <w:color w:val="000000" w:themeColor="text1"/>
        </w:rPr>
        <w:lastRenderedPageBreak/>
        <w:t>Homes (DAC-SASH); (3) Disadvantaged Communities Green Tariff (DAC-GT); and (4) Community Solar Green Tariff (CS-GT).</w:t>
      </w:r>
      <w:r w:rsidRPr="00997F1C" w:rsidR="003E5AEF">
        <w:rPr>
          <w:color w:val="000000" w:themeColor="text1"/>
          <w:vertAlign w:val="superscript"/>
        </w:rPr>
        <w:footnoteReference w:id="143"/>
      </w:r>
      <w:r w:rsidRPr="00997F1C" w:rsidR="53E8B74B">
        <w:rPr>
          <w:color w:val="000000" w:themeColor="text1"/>
        </w:rPr>
        <w:t xml:space="preserve">  </w:t>
      </w:r>
    </w:p>
    <w:p w:rsidRPr="00997F1C" w:rsidR="003E5AEF" w:rsidP="003E5AEF" w:rsidRDefault="53E8B74B" w14:paraId="2AB4AEE1" w14:textId="566913C4">
      <w:pPr>
        <w:rPr>
          <w:color w:val="000000" w:themeColor="text1"/>
        </w:rPr>
      </w:pPr>
      <w:r w:rsidRPr="00997F1C">
        <w:rPr>
          <w:color w:val="000000" w:themeColor="text1"/>
        </w:rPr>
        <w:t>D.24-05-065 allowed Program Administrators to discontinue the CS-GT program and transfer all remaining unprocured capacity to a Modified DAC-GT program.  Therefore, PG&amp;E closed its CS-GT program.</w:t>
      </w:r>
      <w:r w:rsidRPr="00997F1C" w:rsidR="003E5AEF">
        <w:rPr>
          <w:color w:val="000000" w:themeColor="text1"/>
          <w:vertAlign w:val="superscript"/>
        </w:rPr>
        <w:footnoteReference w:id="144"/>
      </w:r>
      <w:r w:rsidRPr="00997F1C">
        <w:rPr>
          <w:color w:val="000000" w:themeColor="text1"/>
        </w:rPr>
        <w:t xml:space="preserve">  PG&amp;E completed its closure of the CS-GT balancing account in 2025. This included transferring a total of $9 million, comprising: (1) $3.3 million of unspent PPP funding to the DAC-GT balancing account, and (2) $5.8 million of unspent GHG auction </w:t>
      </w:r>
      <w:r w:rsidRPr="00997F1C" w:rsidR="7583250C">
        <w:rPr>
          <w:color w:val="000000" w:themeColor="text1"/>
        </w:rPr>
        <w:t xml:space="preserve">proceeds </w:t>
      </w:r>
      <w:r w:rsidRPr="00997F1C">
        <w:rPr>
          <w:color w:val="000000" w:themeColor="text1"/>
        </w:rPr>
        <w:t xml:space="preserve">to the GHG </w:t>
      </w:r>
      <w:r w:rsidRPr="00997F1C" w:rsidR="7583250C">
        <w:rPr>
          <w:color w:val="000000" w:themeColor="text1"/>
        </w:rPr>
        <w:t xml:space="preserve">proceeds </w:t>
      </w:r>
      <w:r w:rsidRPr="00997F1C">
        <w:rPr>
          <w:color w:val="000000" w:themeColor="text1"/>
        </w:rPr>
        <w:t>balancing account.</w:t>
      </w:r>
      <w:r w:rsidRPr="00997F1C" w:rsidR="003E5AEF">
        <w:rPr>
          <w:color w:val="000000" w:themeColor="text1"/>
          <w:vertAlign w:val="superscript"/>
        </w:rPr>
        <w:footnoteReference w:id="145"/>
      </w:r>
    </w:p>
    <w:p w:rsidRPr="00997F1C" w:rsidR="003E5AEF" w:rsidP="00D737A5" w:rsidRDefault="003E5AEF" w14:paraId="70A5A9FA"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26797694" w:id="233"/>
      <w:bookmarkStart w:name="_Toc26969006" w:id="234"/>
      <w:bookmarkStart w:name="_Toc93064667" w:id="235"/>
      <w:bookmarkStart w:name="_Toc120876397" w:id="236"/>
      <w:bookmarkStart w:name="_Toc177628777" w:id="237"/>
      <w:bookmarkStart w:name="_Toc179212737" w:id="238"/>
      <w:bookmarkStart w:name="_Toc182306131" w:id="239"/>
      <w:bookmarkStart w:name="_Toc182841803" w:id="240"/>
      <w:bookmarkStart w:name="_Toc212561187" w:id="241"/>
      <w:bookmarkStart w:name="_Toc217384665" w:id="242"/>
      <w:r w:rsidRPr="00997F1C">
        <w:rPr>
          <w:rFonts w:ascii="Arial" w:hAnsi="Arial" w:cs="Arial"/>
          <w:b/>
          <w:color w:val="000000" w:themeColor="text1"/>
          <w:szCs w:val="26"/>
        </w:rPr>
        <w:t>EITE Emissions Customer Return</w:t>
      </w:r>
      <w:bookmarkEnd w:id="233"/>
      <w:bookmarkEnd w:id="234"/>
      <w:bookmarkEnd w:id="235"/>
      <w:bookmarkEnd w:id="236"/>
      <w:bookmarkEnd w:id="237"/>
      <w:bookmarkEnd w:id="238"/>
      <w:bookmarkEnd w:id="239"/>
      <w:bookmarkEnd w:id="240"/>
      <w:bookmarkEnd w:id="241"/>
      <w:bookmarkEnd w:id="242"/>
    </w:p>
    <w:p w:rsidRPr="00997F1C" w:rsidR="003E5AEF" w:rsidP="003E5AEF" w:rsidRDefault="53E8B74B" w14:paraId="1E76DD86" w14:textId="412FF644">
      <w:pPr>
        <w:rPr>
          <w:color w:val="000000" w:themeColor="text1"/>
        </w:rPr>
      </w:pPr>
      <w:bookmarkStart w:name="_Toc26797696" w:id="243"/>
      <w:bookmarkStart w:name="_Toc26969008" w:id="244"/>
      <w:bookmarkStart w:name="_Toc93064668" w:id="245"/>
      <w:r w:rsidRPr="00997F1C">
        <w:rPr>
          <w:color w:val="000000" w:themeColor="text1"/>
        </w:rPr>
        <w:t xml:space="preserve">A portion of the GHG allowance proceeds is returned to customers who qualify for </w:t>
      </w:r>
      <w:r w:rsidRPr="00997F1C" w:rsidR="7809A6B1">
        <w:rPr>
          <w:color w:val="000000" w:themeColor="text1"/>
        </w:rPr>
        <w:t>CA I</w:t>
      </w:r>
      <w:r w:rsidRPr="00997F1C">
        <w:rPr>
          <w:color w:val="000000" w:themeColor="text1"/>
        </w:rPr>
        <w:t xml:space="preserve">ndustry </w:t>
      </w:r>
      <w:r w:rsidRPr="00997F1C" w:rsidR="7809A6B1">
        <w:rPr>
          <w:color w:val="000000" w:themeColor="text1"/>
        </w:rPr>
        <w:t>A</w:t>
      </w:r>
      <w:r w:rsidRPr="00997F1C">
        <w:rPr>
          <w:color w:val="000000" w:themeColor="text1"/>
        </w:rPr>
        <w:t>ssistance.  The EITE customer return is facility-specific and made to qualifying customers once per year in April.  PG&amp;E’s 2026 forecast EITE customer return is $</w:t>
      </w:r>
      <w:r w:rsidRPr="00997F1C" w:rsidR="4B6DBF66">
        <w:rPr>
          <w:color w:val="000000" w:themeColor="text1"/>
        </w:rPr>
        <w:t>51.</w:t>
      </w:r>
      <w:r w:rsidRPr="00997F1C" w:rsidR="69EFA6D3">
        <w:rPr>
          <w:color w:val="000000" w:themeColor="text1"/>
        </w:rPr>
        <w:t>257 </w:t>
      </w:r>
      <w:r w:rsidRPr="00997F1C">
        <w:rPr>
          <w:color w:val="000000" w:themeColor="text1"/>
        </w:rPr>
        <w:t>million.</w:t>
      </w:r>
      <w:r w:rsidRPr="00997F1C" w:rsidR="003E5AEF">
        <w:rPr>
          <w:color w:val="000000" w:themeColor="text1"/>
          <w:vertAlign w:val="superscript"/>
        </w:rPr>
        <w:footnoteReference w:id="146"/>
      </w:r>
      <w:r w:rsidRPr="00997F1C">
        <w:rPr>
          <w:color w:val="000000" w:themeColor="text1"/>
        </w:rPr>
        <w:t xml:space="preserve"> </w:t>
      </w:r>
    </w:p>
    <w:p w:rsidRPr="00997F1C" w:rsidR="003E5AEF" w:rsidP="003E5AEF" w:rsidRDefault="003E5AEF" w14:paraId="511D2157" w14:textId="77777777">
      <w:pPr>
        <w:rPr>
          <w:color w:val="000000" w:themeColor="text1"/>
        </w:rPr>
      </w:pPr>
      <w:r w:rsidRPr="00997F1C">
        <w:rPr>
          <w:color w:val="000000" w:themeColor="text1"/>
        </w:rPr>
        <w:t xml:space="preserve">No parties opposed or commented on PG&amp;E’s 2026 forecast EITE customer return as proposed in the Fall Update.  Upon review, the Commission finds PG&amp;E’s </w:t>
      </w:r>
      <w:proofErr w:type="gramStart"/>
      <w:r w:rsidRPr="00997F1C">
        <w:rPr>
          <w:color w:val="000000" w:themeColor="text1"/>
        </w:rPr>
        <w:t>forecast</w:t>
      </w:r>
      <w:proofErr w:type="gramEnd"/>
      <w:r w:rsidRPr="00997F1C">
        <w:rPr>
          <w:color w:val="000000" w:themeColor="text1"/>
        </w:rPr>
        <w:t xml:space="preserve"> 2026 EITE customer return reasonable and in compliance with applicable rules, orders and Commission decisions.</w:t>
      </w:r>
    </w:p>
    <w:p w:rsidRPr="00997F1C" w:rsidR="003E5AEF" w:rsidP="00D737A5" w:rsidRDefault="003E5AEF" w14:paraId="6594E144"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120876398" w:id="246"/>
      <w:bookmarkStart w:name="_Toc177628778" w:id="247"/>
      <w:bookmarkStart w:name="_Toc179212738" w:id="248"/>
      <w:bookmarkStart w:name="_Toc182306132" w:id="249"/>
      <w:bookmarkStart w:name="_Toc182841804" w:id="250"/>
      <w:bookmarkStart w:name="_Toc212561188" w:id="251"/>
      <w:bookmarkStart w:name="_Toc217384666" w:id="252"/>
      <w:r w:rsidRPr="00997F1C">
        <w:rPr>
          <w:rFonts w:ascii="Arial" w:hAnsi="Arial" w:cs="Arial"/>
          <w:b/>
          <w:color w:val="000000" w:themeColor="text1"/>
          <w:szCs w:val="26"/>
        </w:rPr>
        <w:t>California Climate Credit</w:t>
      </w:r>
      <w:bookmarkEnd w:id="243"/>
      <w:bookmarkEnd w:id="244"/>
      <w:bookmarkEnd w:id="245"/>
      <w:bookmarkEnd w:id="246"/>
      <w:bookmarkEnd w:id="247"/>
      <w:bookmarkEnd w:id="248"/>
      <w:bookmarkEnd w:id="249"/>
      <w:bookmarkEnd w:id="250"/>
      <w:bookmarkEnd w:id="251"/>
      <w:bookmarkEnd w:id="252"/>
    </w:p>
    <w:p w:rsidRPr="00997F1C" w:rsidR="003E5AEF" w:rsidP="003E5AEF" w:rsidRDefault="53E8B74B" w14:paraId="1B92E5AA" w14:textId="77777777">
      <w:pPr>
        <w:rPr>
          <w:color w:val="000000" w:themeColor="text1"/>
        </w:rPr>
      </w:pPr>
      <w:bookmarkStart w:name="_Toc26797698" w:id="253"/>
      <w:bookmarkStart w:name="_Toc26969010" w:id="254"/>
      <w:bookmarkStart w:name="_Toc93064669" w:id="255"/>
      <w:r w:rsidRPr="00997F1C">
        <w:rPr>
          <w:color w:val="000000" w:themeColor="text1"/>
        </w:rPr>
        <w:t>The California Climate Credit is distributed to residential and small business accounts after all applicable GHG</w:t>
      </w:r>
      <w:r w:rsidRPr="00997F1C">
        <w:rPr>
          <w:color w:val="000000" w:themeColor="text1"/>
        </w:rPr>
        <w:noBreakHyphen/>
        <w:t xml:space="preserve">related expenses and other customer returns have been made.  It appears as </w:t>
      </w:r>
      <w:proofErr w:type="gramStart"/>
      <w:r w:rsidRPr="00997F1C">
        <w:rPr>
          <w:color w:val="000000" w:themeColor="text1"/>
        </w:rPr>
        <w:t>a credit</w:t>
      </w:r>
      <w:proofErr w:type="gramEnd"/>
      <w:r w:rsidRPr="00997F1C">
        <w:rPr>
          <w:color w:val="000000" w:themeColor="text1"/>
        </w:rPr>
        <w:t xml:space="preserve"> on all residential and eligible </w:t>
      </w:r>
      <w:r w:rsidRPr="00997F1C">
        <w:rPr>
          <w:color w:val="000000" w:themeColor="text1"/>
        </w:rPr>
        <w:lastRenderedPageBreak/>
        <w:t>small business</w:t>
      </w:r>
      <w:r w:rsidRPr="00997F1C" w:rsidR="003E5AEF">
        <w:rPr>
          <w:color w:val="000000" w:themeColor="text1"/>
          <w:vertAlign w:val="superscript"/>
        </w:rPr>
        <w:footnoteReference w:id="147"/>
      </w:r>
      <w:r w:rsidRPr="00997F1C">
        <w:rPr>
          <w:color w:val="000000" w:themeColor="text1"/>
        </w:rPr>
        <w:t xml:space="preserve"> customers’ bills twice a year in April and October.  The California Climate Credit is not related to the volume of electricity used by the applicable account; each residential or eligible small business account within PG&amp;E’s territory receives the same California Climate Credit.</w:t>
      </w:r>
    </w:p>
    <w:p w:rsidRPr="00997F1C" w:rsidR="003E5AEF" w:rsidP="003E5AEF" w:rsidRDefault="53E8B74B" w14:paraId="6D817D2D" w14:textId="1AAC2CD6">
      <w:pPr>
        <w:rPr>
          <w:color w:val="000000" w:themeColor="text1"/>
        </w:rPr>
      </w:pPr>
      <w:r w:rsidRPr="00997F1C">
        <w:rPr>
          <w:color w:val="000000" w:themeColor="text1"/>
        </w:rPr>
        <w:t>In 2025, the total recorded GHG allowance proceeds available for distribution were approximately $</w:t>
      </w:r>
      <w:r w:rsidRPr="00997F1C" w:rsidR="35B33DCE">
        <w:rPr>
          <w:color w:val="000000" w:themeColor="text1"/>
        </w:rPr>
        <w:t>199.666</w:t>
      </w:r>
      <w:r w:rsidRPr="00997F1C">
        <w:rPr>
          <w:color w:val="000000" w:themeColor="text1"/>
        </w:rPr>
        <w:t> million less than forecast for 202</w:t>
      </w:r>
      <w:r w:rsidRPr="00997F1C" w:rsidR="35B33DCE">
        <w:rPr>
          <w:color w:val="000000" w:themeColor="text1"/>
        </w:rPr>
        <w:t>5</w:t>
      </w:r>
      <w:r w:rsidRPr="00997F1C">
        <w:rPr>
          <w:color w:val="000000" w:themeColor="text1"/>
        </w:rPr>
        <w:t>.</w:t>
      </w:r>
      <w:r w:rsidRPr="00997F1C" w:rsidR="003E5AEF">
        <w:rPr>
          <w:color w:val="000000" w:themeColor="text1"/>
          <w:vertAlign w:val="superscript"/>
        </w:rPr>
        <w:footnoteReference w:id="148"/>
      </w:r>
      <w:r w:rsidRPr="00997F1C">
        <w:rPr>
          <w:color w:val="000000" w:themeColor="text1"/>
        </w:rPr>
        <w:t xml:space="preserve">  PG&amp;E proposed to return the 202</w:t>
      </w:r>
      <w:r w:rsidRPr="00997F1C" w:rsidR="35B33DCE">
        <w:rPr>
          <w:color w:val="000000" w:themeColor="text1"/>
        </w:rPr>
        <w:t>5</w:t>
      </w:r>
      <w:r w:rsidRPr="00997F1C">
        <w:rPr>
          <w:color w:val="000000" w:themeColor="text1"/>
        </w:rPr>
        <w:t xml:space="preserve"> balance through the total 202</w:t>
      </w:r>
      <w:r w:rsidRPr="00997F1C" w:rsidR="35B33DCE">
        <w:rPr>
          <w:color w:val="000000" w:themeColor="text1"/>
        </w:rPr>
        <w:t>6</w:t>
      </w:r>
      <w:r w:rsidRPr="00997F1C">
        <w:rPr>
          <w:color w:val="000000" w:themeColor="text1"/>
        </w:rPr>
        <w:t xml:space="preserve"> GHG allowance proceeds available for distribution through the California Climate Credit.</w:t>
      </w:r>
      <w:r w:rsidRPr="00997F1C" w:rsidR="0B5401F0">
        <w:rPr>
          <w:color w:val="000000" w:themeColor="text1"/>
          <w:vertAlign w:val="superscript"/>
        </w:rPr>
        <w:t xml:space="preserve"> </w:t>
      </w:r>
    </w:p>
    <w:p w:rsidRPr="00997F1C" w:rsidR="003E5AEF" w:rsidP="003E5AEF" w:rsidRDefault="53E8B74B" w14:paraId="1BAC200F" w14:textId="7486AC5B">
      <w:pPr>
        <w:rPr>
          <w:color w:val="000000" w:themeColor="text1"/>
        </w:rPr>
      </w:pPr>
      <w:r w:rsidRPr="00997F1C">
        <w:rPr>
          <w:color w:val="000000" w:themeColor="text1"/>
        </w:rPr>
        <w:t xml:space="preserve">PG&amp;E’s 2026 forecast of the total number of households and small businesses eligible for the California Climate Credit is </w:t>
      </w:r>
      <w:r w:rsidRPr="00997F1C" w:rsidR="42EE9CD1">
        <w:rPr>
          <w:color w:val="000000" w:themeColor="text1"/>
        </w:rPr>
        <w:t>5,860,251</w:t>
      </w:r>
      <w:r w:rsidRPr="00997F1C">
        <w:rPr>
          <w:color w:val="000000" w:themeColor="text1"/>
        </w:rPr>
        <w:t xml:space="preserve"> and the proposed total </w:t>
      </w:r>
      <w:r w:rsidRPr="00997F1C" w:rsidR="139AEE13">
        <w:rPr>
          <w:color w:val="000000" w:themeColor="text1"/>
        </w:rPr>
        <w:t xml:space="preserve">auction proceeds </w:t>
      </w:r>
      <w:r w:rsidRPr="00997F1C">
        <w:rPr>
          <w:color w:val="000000" w:themeColor="text1"/>
        </w:rPr>
        <w:t>available for the California Climate Credit is $</w:t>
      </w:r>
      <w:r w:rsidRPr="00997F1C" w:rsidR="3918F29F">
        <w:rPr>
          <w:color w:val="000000" w:themeColor="text1"/>
        </w:rPr>
        <w:t>424</w:t>
      </w:r>
      <w:r w:rsidRPr="00997F1C" w:rsidR="42EE9CD1">
        <w:rPr>
          <w:color w:val="000000" w:themeColor="text1"/>
        </w:rPr>
        <w:t>.</w:t>
      </w:r>
      <w:r w:rsidRPr="00997F1C" w:rsidR="3918F29F">
        <w:rPr>
          <w:color w:val="000000" w:themeColor="text1"/>
        </w:rPr>
        <w:t>019</w:t>
      </w:r>
      <w:r w:rsidRPr="00997F1C">
        <w:rPr>
          <w:color w:val="000000" w:themeColor="text1"/>
        </w:rPr>
        <w:t> million.</w:t>
      </w:r>
      <w:r w:rsidRPr="00997F1C" w:rsidR="003E5AEF">
        <w:rPr>
          <w:color w:val="000000" w:themeColor="text1"/>
          <w:vertAlign w:val="superscript"/>
        </w:rPr>
        <w:footnoteReference w:id="149"/>
      </w:r>
      <w:r w:rsidRPr="00997F1C">
        <w:rPr>
          <w:color w:val="000000" w:themeColor="text1"/>
        </w:rPr>
        <w:t xml:space="preserve">  PG&amp;E proposed a California Climate Credit of $</w:t>
      </w:r>
      <w:r w:rsidRPr="00997F1C" w:rsidR="41C70BCE">
        <w:rPr>
          <w:color w:val="000000" w:themeColor="text1"/>
        </w:rPr>
        <w:t>36.18</w:t>
      </w:r>
      <w:r w:rsidRPr="00997F1C">
        <w:rPr>
          <w:color w:val="000000" w:themeColor="text1"/>
        </w:rPr>
        <w:t>, to be distributed as a credit on residential and small business account customers’ bills in April and October of 2026.</w:t>
      </w:r>
      <w:r w:rsidRPr="00997F1C" w:rsidR="003E5AEF">
        <w:rPr>
          <w:color w:val="000000" w:themeColor="text1"/>
          <w:vertAlign w:val="superscript"/>
        </w:rPr>
        <w:footnoteReference w:id="150"/>
      </w:r>
      <w:r w:rsidRPr="00997F1C">
        <w:rPr>
          <w:color w:val="000000" w:themeColor="text1"/>
        </w:rPr>
        <w:t xml:space="preserve">  This credit value is </w:t>
      </w:r>
      <w:r w:rsidRPr="00997F1C" w:rsidR="6947157E">
        <w:rPr>
          <w:color w:val="000000" w:themeColor="text1"/>
        </w:rPr>
        <w:t xml:space="preserve">37.9 </w:t>
      </w:r>
      <w:r w:rsidRPr="00997F1C">
        <w:rPr>
          <w:color w:val="000000" w:themeColor="text1"/>
        </w:rPr>
        <w:t>percent lower than the California Climate Credit distributed in 2025.</w:t>
      </w:r>
    </w:p>
    <w:p w:rsidRPr="00997F1C" w:rsidR="003E5AEF" w:rsidP="003E5AEF" w:rsidRDefault="003E5AEF" w14:paraId="3556AAE7" w14:textId="6E0BF77A">
      <w:pPr>
        <w:rPr>
          <w:color w:val="000000" w:themeColor="text1"/>
        </w:rPr>
      </w:pPr>
      <w:r w:rsidRPr="00997F1C">
        <w:rPr>
          <w:color w:val="000000" w:themeColor="text1"/>
        </w:rPr>
        <w:t>No parties opposed or commented on PG&amp;E’s California Climate Credit in the Fall Update.  The residential and small business California Climate Credit decreases to $</w:t>
      </w:r>
      <w:r w:rsidRPr="00997F1C" w:rsidR="003E799D">
        <w:rPr>
          <w:color w:val="000000" w:themeColor="text1"/>
        </w:rPr>
        <w:t>36.18</w:t>
      </w:r>
      <w:r w:rsidRPr="00997F1C">
        <w:rPr>
          <w:color w:val="000000" w:themeColor="text1"/>
        </w:rPr>
        <w:t xml:space="preserve">. </w:t>
      </w:r>
    </w:p>
    <w:p w:rsidRPr="00997F1C" w:rsidR="003E5AEF" w:rsidP="003E5AEF" w:rsidRDefault="003E5AEF" w14:paraId="58E73662" w14:textId="77777777">
      <w:pPr>
        <w:rPr>
          <w:color w:val="000000" w:themeColor="text1"/>
        </w:rPr>
      </w:pPr>
      <w:r w:rsidRPr="00997F1C">
        <w:rPr>
          <w:color w:val="000000" w:themeColor="text1"/>
        </w:rPr>
        <w:t xml:space="preserve">The Commission finds PG&amp;E’s </w:t>
      </w:r>
      <w:proofErr w:type="gramStart"/>
      <w:r w:rsidRPr="00997F1C">
        <w:rPr>
          <w:color w:val="000000" w:themeColor="text1"/>
        </w:rPr>
        <w:t>forecast  2026</w:t>
      </w:r>
      <w:proofErr w:type="gramEnd"/>
      <w:r w:rsidRPr="00997F1C">
        <w:rPr>
          <w:color w:val="000000" w:themeColor="text1"/>
        </w:rPr>
        <w:t xml:space="preserve"> California Climate Credit reasonable and in compliance with applicable rules, orders and Commission decisions.</w:t>
      </w:r>
    </w:p>
    <w:p w:rsidRPr="00997F1C" w:rsidR="003E5AEF" w:rsidP="00D737A5" w:rsidRDefault="003E5AEF" w14:paraId="391E3EF8" w14:textId="77777777">
      <w:pPr>
        <w:keepNext/>
        <w:keepLines/>
        <w:numPr>
          <w:ilvl w:val="0"/>
          <w:numId w:val="9"/>
        </w:numPr>
        <w:spacing w:after="120" w:line="240" w:lineRule="auto"/>
        <w:ind w:right="2160"/>
        <w:outlineLvl w:val="0"/>
        <w:rPr>
          <w:rFonts w:ascii="Arial" w:hAnsi="Arial" w:eastAsiaTheme="majorEastAsia" w:cstheme="majorBidi"/>
          <w:b/>
          <w:color w:val="000000" w:themeColor="text1"/>
          <w:szCs w:val="32"/>
        </w:rPr>
      </w:pPr>
      <w:bookmarkStart w:name="_Toc177628779" w:id="256"/>
      <w:bookmarkStart w:name="_Toc179212739" w:id="257"/>
      <w:bookmarkStart w:name="_Toc182306134" w:id="258"/>
      <w:bookmarkStart w:name="_Toc182841805" w:id="259"/>
      <w:bookmarkStart w:name="_Toc212561189" w:id="260"/>
      <w:bookmarkStart w:name="_Toc217384667" w:id="261"/>
      <w:bookmarkEnd w:id="253"/>
      <w:bookmarkEnd w:id="254"/>
      <w:bookmarkEnd w:id="255"/>
      <w:r w:rsidRPr="00997F1C">
        <w:rPr>
          <w:rFonts w:ascii="Arial" w:hAnsi="Arial" w:eastAsiaTheme="majorEastAsia" w:cstheme="majorBidi"/>
          <w:b/>
          <w:color w:val="000000" w:themeColor="text1"/>
          <w:szCs w:val="32"/>
        </w:rPr>
        <w:lastRenderedPageBreak/>
        <w:t>Rate Design Proposal</w:t>
      </w:r>
      <w:bookmarkEnd w:id="256"/>
      <w:bookmarkEnd w:id="257"/>
      <w:bookmarkEnd w:id="258"/>
      <w:bookmarkEnd w:id="259"/>
      <w:bookmarkEnd w:id="260"/>
      <w:bookmarkEnd w:id="261"/>
    </w:p>
    <w:p w:rsidRPr="00997F1C" w:rsidR="003E5AEF" w:rsidP="00D737A5" w:rsidRDefault="003E5AEF" w14:paraId="5862831D"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177628780" w:id="262"/>
      <w:bookmarkStart w:name="_Toc179212740" w:id="263"/>
      <w:bookmarkStart w:name="_Toc182306135" w:id="264"/>
      <w:bookmarkStart w:name="_Toc182841806" w:id="265"/>
      <w:bookmarkStart w:name="_Toc212561190" w:id="266"/>
      <w:bookmarkStart w:name="_Toc217384668" w:id="267"/>
      <w:r w:rsidRPr="00997F1C">
        <w:rPr>
          <w:rFonts w:ascii="Arial" w:hAnsi="Arial" w:cs="Arial"/>
          <w:b/>
          <w:color w:val="000000" w:themeColor="text1"/>
          <w:szCs w:val="26"/>
        </w:rPr>
        <w:t>Background</w:t>
      </w:r>
      <w:bookmarkEnd w:id="262"/>
      <w:bookmarkEnd w:id="263"/>
      <w:bookmarkEnd w:id="264"/>
      <w:bookmarkEnd w:id="265"/>
      <w:bookmarkEnd w:id="266"/>
      <w:bookmarkEnd w:id="267"/>
    </w:p>
    <w:p w:rsidRPr="00997F1C" w:rsidR="003E5AEF" w:rsidP="003E5AEF" w:rsidRDefault="53E8B74B" w14:paraId="564CD344" w14:textId="27AF26AD">
      <w:pPr>
        <w:rPr>
          <w:color w:val="000000" w:themeColor="text1"/>
        </w:rPr>
      </w:pPr>
      <w:r w:rsidRPr="00997F1C">
        <w:rPr>
          <w:color w:val="000000" w:themeColor="text1"/>
        </w:rPr>
        <w:t xml:space="preserve">PG&amp;E’s proposed rates would recover the revenue requirements for:  </w:t>
      </w:r>
      <w:r w:rsidRPr="00997F1C" w:rsidR="00A5195C">
        <w:rPr>
          <w:color w:val="000000" w:themeColor="text1"/>
        </w:rPr>
        <w:br/>
      </w:r>
      <w:r w:rsidRPr="00997F1C">
        <w:rPr>
          <w:color w:val="000000" w:themeColor="text1"/>
        </w:rPr>
        <w:t xml:space="preserve">(1) PCIA, (2) ERRA - Main, (3) Ongoing CTC, (4) CAM and Central Procurement Entity costs, (5) TMNBC, (6) </w:t>
      </w:r>
      <w:proofErr w:type="spellStart"/>
      <w:r w:rsidRPr="00997F1C">
        <w:rPr>
          <w:color w:val="000000" w:themeColor="text1"/>
        </w:rPr>
        <w:t>BioMAT</w:t>
      </w:r>
      <w:proofErr w:type="spellEnd"/>
      <w:r w:rsidRPr="00997F1C">
        <w:rPr>
          <w:color w:val="000000" w:themeColor="text1"/>
        </w:rPr>
        <w:t xml:space="preserve"> non-</w:t>
      </w:r>
      <w:proofErr w:type="spellStart"/>
      <w:r w:rsidRPr="00997F1C">
        <w:rPr>
          <w:color w:val="000000" w:themeColor="text1"/>
        </w:rPr>
        <w:t>bypassable</w:t>
      </w:r>
      <w:proofErr w:type="spellEnd"/>
      <w:r w:rsidRPr="00997F1C">
        <w:rPr>
          <w:color w:val="000000" w:themeColor="text1"/>
        </w:rPr>
        <w:t xml:space="preserve"> charge, and (7) VAMO.</w:t>
      </w:r>
      <w:r w:rsidRPr="00997F1C" w:rsidR="003E5AEF">
        <w:rPr>
          <w:color w:val="000000" w:themeColor="text1"/>
          <w:vertAlign w:val="superscript"/>
        </w:rPr>
        <w:footnoteReference w:id="151"/>
      </w:r>
      <w:r w:rsidRPr="00997F1C">
        <w:rPr>
          <w:color w:val="000000" w:themeColor="text1"/>
        </w:rPr>
        <w:t xml:space="preserve"> </w:t>
      </w:r>
    </w:p>
    <w:p w:rsidRPr="00997F1C" w:rsidR="003E5AEF" w:rsidP="003E5AEF" w:rsidRDefault="53E8B74B" w14:paraId="5C51A879" w14:textId="056B7F09">
      <w:pPr>
        <w:rPr>
          <w:color w:val="000000" w:themeColor="text1"/>
        </w:rPr>
      </w:pPr>
      <w:r w:rsidRPr="00997F1C">
        <w:rPr>
          <w:color w:val="000000" w:themeColor="text1"/>
        </w:rPr>
        <w:t xml:space="preserve">To recover these revenue requirements, PG&amp;E requested to change:  </w:t>
      </w:r>
      <w:r w:rsidRPr="00997F1C" w:rsidR="00A5195C">
        <w:rPr>
          <w:color w:val="000000" w:themeColor="text1"/>
        </w:rPr>
        <w:br/>
      </w:r>
      <w:r w:rsidRPr="00997F1C">
        <w:rPr>
          <w:color w:val="000000" w:themeColor="text1"/>
        </w:rPr>
        <w:t xml:space="preserve">(1) vintage PCIA rates, (2) generation rates, (3) ongoing CTC rates, (4) NSGC rates, (5) TMNBC rates, (6) </w:t>
      </w:r>
      <w:proofErr w:type="spellStart"/>
      <w:r w:rsidRPr="00997F1C">
        <w:rPr>
          <w:color w:val="000000" w:themeColor="text1"/>
        </w:rPr>
        <w:t>BioMAT</w:t>
      </w:r>
      <w:proofErr w:type="spellEnd"/>
      <w:r w:rsidRPr="00997F1C">
        <w:rPr>
          <w:color w:val="000000" w:themeColor="text1"/>
        </w:rPr>
        <w:t xml:space="preserve"> rates, and (7) PPCP rates with these rate changes going into effect on January 1, 2026.</w:t>
      </w:r>
      <w:r w:rsidRPr="00997F1C" w:rsidR="003E5AEF">
        <w:rPr>
          <w:color w:val="000000" w:themeColor="text1"/>
          <w:vertAlign w:val="superscript"/>
        </w:rPr>
        <w:footnoteReference w:id="152"/>
      </w:r>
    </w:p>
    <w:p w:rsidRPr="00997F1C" w:rsidR="003E5AEF" w:rsidP="003E5AEF" w:rsidRDefault="53E8B74B" w14:paraId="43B922D1" w14:textId="2B70AF01">
      <w:pPr>
        <w:rPr>
          <w:color w:val="000000" w:themeColor="text1"/>
        </w:rPr>
      </w:pPr>
      <w:r w:rsidRPr="00997F1C">
        <w:rPr>
          <w:color w:val="000000" w:themeColor="text1"/>
        </w:rPr>
        <w:t xml:space="preserve">PG&amp;E calculated illustrative rates by applying the incremental revenue requirements requested in the instant application on top of present rates effective March 1, 2025.  For the Application, PG&amp;E used the revenue allocation and rate design methodology used to design the rates effective March 1, </w:t>
      </w:r>
      <w:proofErr w:type="gramStart"/>
      <w:r w:rsidRPr="00997F1C">
        <w:rPr>
          <w:color w:val="000000" w:themeColor="text1"/>
        </w:rPr>
        <w:t>2025</w:t>
      </w:r>
      <w:proofErr w:type="gramEnd"/>
      <w:r w:rsidRPr="00997F1C">
        <w:rPr>
          <w:color w:val="000000" w:themeColor="text1"/>
        </w:rPr>
        <w:t xml:space="preserve"> as adopted in D.21</w:t>
      </w:r>
      <w:r w:rsidRPr="00997F1C">
        <w:rPr>
          <w:color w:val="000000" w:themeColor="text1"/>
        </w:rPr>
        <w:noBreakHyphen/>
        <w:t>11</w:t>
      </w:r>
      <w:r w:rsidRPr="00997F1C">
        <w:rPr>
          <w:color w:val="000000" w:themeColor="text1"/>
        </w:rPr>
        <w:noBreakHyphen/>
        <w:t>016.</w:t>
      </w:r>
      <w:r w:rsidRPr="00997F1C" w:rsidR="003E5AEF">
        <w:rPr>
          <w:color w:val="000000" w:themeColor="text1"/>
          <w:vertAlign w:val="superscript"/>
        </w:rPr>
        <w:footnoteReference w:id="153"/>
      </w:r>
    </w:p>
    <w:p w:rsidRPr="00997F1C" w:rsidR="003E5AEF" w:rsidP="003E5AEF" w:rsidRDefault="53E8B74B" w14:paraId="3079853E" w14:textId="7079BD69">
      <w:pPr>
        <w:rPr>
          <w:color w:val="000000" w:themeColor="text1"/>
        </w:rPr>
      </w:pPr>
      <w:r w:rsidRPr="00997F1C">
        <w:rPr>
          <w:color w:val="000000" w:themeColor="text1"/>
        </w:rPr>
        <w:t xml:space="preserve">Using this methodology and proposed revenue requirements, the system average bundled rate would decrease by about 4.0 percent, or 11.4 percent, to a total rate of 31.2 cents per kWh when compared to the system average bundled rate of 35.2 cents per kWh effective at the time of the Fall Update.  The system average rate for DA and CCA customers, whose average rates exclude commodity charges </w:t>
      </w:r>
      <w:r w:rsidRPr="00997F1C" w:rsidR="00917E7A">
        <w:rPr>
          <w:color w:val="000000" w:themeColor="text1"/>
        </w:rPr>
        <w:t>from</w:t>
      </w:r>
      <w:r w:rsidRPr="00997F1C">
        <w:rPr>
          <w:color w:val="000000" w:themeColor="text1"/>
        </w:rPr>
        <w:t xml:space="preserve"> third-party service providers, would increase by approximately 2.7 </w:t>
      </w:r>
      <w:r w:rsidRPr="00997F1C" w:rsidR="00123098">
        <w:rPr>
          <w:color w:val="000000" w:themeColor="text1"/>
        </w:rPr>
        <w:t xml:space="preserve">cents </w:t>
      </w:r>
      <w:r w:rsidRPr="00997F1C">
        <w:rPr>
          <w:color w:val="000000" w:themeColor="text1"/>
        </w:rPr>
        <w:t xml:space="preserve">per kWh, or 13.8 percent, to a total rate of 22.4 cents per </w:t>
      </w:r>
      <w:r w:rsidRPr="00997F1C">
        <w:rPr>
          <w:color w:val="000000" w:themeColor="text1"/>
        </w:rPr>
        <w:lastRenderedPageBreak/>
        <w:t>kWh, when compared to the system average rate for DA and CCA customers of 19.7 cents per kWh effective at the time of the Fall Update.</w:t>
      </w:r>
      <w:r w:rsidRPr="00997F1C" w:rsidR="003E5AEF">
        <w:rPr>
          <w:color w:val="000000" w:themeColor="text1"/>
          <w:vertAlign w:val="superscript"/>
        </w:rPr>
        <w:footnoteReference w:id="154"/>
      </w:r>
    </w:p>
    <w:p w:rsidRPr="00997F1C" w:rsidR="003E5AEF" w:rsidP="00D737A5" w:rsidRDefault="003E5AEF" w14:paraId="40F962C8" w14:textId="77777777">
      <w:pPr>
        <w:keepNext/>
        <w:keepLines/>
        <w:numPr>
          <w:ilvl w:val="1"/>
          <w:numId w:val="9"/>
        </w:numPr>
        <w:spacing w:after="120" w:line="240" w:lineRule="auto"/>
        <w:ind w:right="2160"/>
        <w:outlineLvl w:val="1"/>
        <w:rPr>
          <w:rFonts w:ascii="Arial" w:hAnsi="Arial" w:cs="Arial"/>
          <w:b/>
          <w:color w:val="000000" w:themeColor="text1"/>
          <w:szCs w:val="26"/>
        </w:rPr>
      </w:pPr>
      <w:bookmarkStart w:name="_Toc179212741" w:id="268"/>
      <w:bookmarkStart w:name="_Toc182306136" w:id="269"/>
      <w:bookmarkStart w:name="_Toc182841807" w:id="270"/>
      <w:bookmarkStart w:name="_Toc212561191" w:id="271"/>
      <w:bookmarkStart w:name="_Toc217384669" w:id="272"/>
      <w:r w:rsidRPr="00997F1C">
        <w:rPr>
          <w:rFonts w:ascii="Arial" w:hAnsi="Arial" w:cs="Arial"/>
          <w:b/>
          <w:color w:val="000000" w:themeColor="text1"/>
          <w:szCs w:val="26"/>
        </w:rPr>
        <w:t>Revenue Allocation and Rate Design</w:t>
      </w:r>
      <w:bookmarkEnd w:id="268"/>
      <w:bookmarkEnd w:id="269"/>
      <w:bookmarkEnd w:id="270"/>
      <w:bookmarkEnd w:id="271"/>
      <w:bookmarkEnd w:id="272"/>
    </w:p>
    <w:p w:rsidRPr="00997F1C" w:rsidR="003E5AEF" w:rsidP="003E5AEF" w:rsidRDefault="003E5AEF" w14:paraId="3A4F6288" w14:textId="4C9977CA">
      <w:pPr>
        <w:rPr>
          <w:color w:val="000000" w:themeColor="text1"/>
        </w:rPr>
      </w:pPr>
      <w:r w:rsidRPr="00997F1C">
        <w:rPr>
          <w:color w:val="000000" w:themeColor="text1"/>
        </w:rPr>
        <w:t>We have reviewed PG&amp;E’s proposed revenue allocation and rate design and find it to be reasonable.</w:t>
      </w:r>
      <w:r w:rsidRPr="00997F1C" w:rsidR="00917E7A">
        <w:rPr>
          <w:color w:val="000000" w:themeColor="text1"/>
        </w:rPr>
        <w:t xml:space="preserve"> </w:t>
      </w:r>
    </w:p>
    <w:p w:rsidRPr="00997F1C" w:rsidR="003E5AEF" w:rsidP="00D737A5" w:rsidRDefault="003E5AEF" w14:paraId="1283C703" w14:textId="77777777">
      <w:pPr>
        <w:keepNext/>
        <w:keepLines/>
        <w:numPr>
          <w:ilvl w:val="2"/>
          <w:numId w:val="9"/>
        </w:numPr>
        <w:spacing w:after="120" w:line="240" w:lineRule="auto"/>
        <w:ind w:right="2160"/>
        <w:outlineLvl w:val="2"/>
        <w:rPr>
          <w:rFonts w:ascii="Arial" w:hAnsi="Arial" w:eastAsiaTheme="majorEastAsia" w:cstheme="majorBidi"/>
          <w:b/>
          <w:color w:val="000000" w:themeColor="text1"/>
          <w:szCs w:val="24"/>
        </w:rPr>
      </w:pPr>
      <w:bookmarkStart w:name="_Toc179212742" w:id="273"/>
      <w:bookmarkStart w:name="_Toc182306137" w:id="274"/>
      <w:bookmarkStart w:name="_Toc182841808" w:id="275"/>
      <w:bookmarkStart w:name="_Toc212561192" w:id="276"/>
      <w:bookmarkStart w:name="_Toc217384670" w:id="277"/>
      <w:r w:rsidRPr="00997F1C">
        <w:rPr>
          <w:rFonts w:ascii="Arial" w:hAnsi="Arial" w:eastAsiaTheme="majorEastAsia" w:cstheme="majorBidi"/>
          <w:b/>
          <w:color w:val="000000" w:themeColor="text1"/>
          <w:szCs w:val="24"/>
        </w:rPr>
        <w:t>Vintage PCIA Rates</w:t>
      </w:r>
      <w:bookmarkEnd w:id="273"/>
      <w:bookmarkEnd w:id="274"/>
      <w:bookmarkEnd w:id="275"/>
      <w:bookmarkEnd w:id="276"/>
      <w:bookmarkEnd w:id="277"/>
    </w:p>
    <w:p w:rsidRPr="00997F1C" w:rsidR="003E5AEF" w:rsidP="003E5AEF" w:rsidRDefault="53E8B74B" w14:paraId="64767C21" w14:textId="77777777">
      <w:pPr>
        <w:rPr>
          <w:color w:val="000000" w:themeColor="text1"/>
        </w:rPr>
      </w:pPr>
      <w:r w:rsidRPr="00997F1C">
        <w:rPr>
          <w:color w:val="000000" w:themeColor="text1"/>
        </w:rPr>
        <w:t xml:space="preserve">The Commission adopted the calculation methodology to determine the vintage PCIA revenue requirements in D.08-09-012 and modified the calculation in D.11-12-018, D.18-10-019, and D.21-05-030.  To develop the PCIA rate for each vintage year and customer class, PG&amp;E used the same proportional ratio of </w:t>
      </w:r>
      <w:proofErr w:type="gramStart"/>
      <w:r w:rsidRPr="00997F1C">
        <w:rPr>
          <w:color w:val="000000" w:themeColor="text1"/>
        </w:rPr>
        <w:t>the rate</w:t>
      </w:r>
      <w:proofErr w:type="gramEnd"/>
      <w:r w:rsidRPr="00997F1C">
        <w:rPr>
          <w:color w:val="000000" w:themeColor="text1"/>
        </w:rPr>
        <w:t xml:space="preserve"> class average generation rate to the total system average generation rate.  PG&amp;E then multiplied the proportional ratio by the total system average PCIA rate, by vintage year, to calculate the PCIA rate by vintage year and by rate class.  PG&amp;E calculated proportional generation ratios using the 2026 generation rates presented in the instant application, which are designed using the 2026 forecast bundled sales by customer class.</w:t>
      </w:r>
      <w:r w:rsidRPr="00997F1C" w:rsidR="003E5AEF">
        <w:rPr>
          <w:color w:val="000000" w:themeColor="text1"/>
          <w:vertAlign w:val="superscript"/>
        </w:rPr>
        <w:footnoteReference w:id="155"/>
      </w:r>
      <w:r w:rsidRPr="00997F1C">
        <w:rPr>
          <w:color w:val="000000" w:themeColor="text1"/>
        </w:rPr>
        <w:t xml:space="preserve">  All PCIA rates include CDWR franchise fees.</w:t>
      </w:r>
      <w:r w:rsidRPr="00997F1C" w:rsidR="003E5AEF">
        <w:rPr>
          <w:color w:val="000000" w:themeColor="text1"/>
          <w:vertAlign w:val="superscript"/>
        </w:rPr>
        <w:footnoteReference w:id="156"/>
      </w:r>
      <w:r w:rsidRPr="00997F1C">
        <w:rPr>
          <w:color w:val="000000" w:themeColor="text1"/>
        </w:rPr>
        <w:t xml:space="preserve"> </w:t>
      </w:r>
    </w:p>
    <w:p w:rsidRPr="00997F1C" w:rsidR="003E5AEF" w:rsidP="003E5AEF" w:rsidRDefault="53E8B74B" w14:paraId="3084E71D" w14:textId="7DCDDBE2">
      <w:pPr>
        <w:rPr>
          <w:color w:val="000000" w:themeColor="text1"/>
        </w:rPr>
      </w:pPr>
      <w:r w:rsidRPr="00997F1C">
        <w:rPr>
          <w:color w:val="000000" w:themeColor="text1"/>
        </w:rPr>
        <w:t>In D.22-01-023, the Commission adopted a process to transfer the year-end ERRA balance to the most-recent vintage subaccount of PABA each year.</w:t>
      </w:r>
      <w:r w:rsidRPr="00997F1C" w:rsidR="003E5AEF">
        <w:rPr>
          <w:color w:val="000000" w:themeColor="text1"/>
          <w:vertAlign w:val="superscript"/>
        </w:rPr>
        <w:footnoteReference w:id="157"/>
      </w:r>
      <w:r w:rsidRPr="00997F1C">
        <w:rPr>
          <w:color w:val="000000" w:themeColor="text1"/>
        </w:rPr>
        <w:t xml:space="preserve">  To comply with this decision, PG&amp;E proposed in the Fall Update to transfer the forecast 2025 year-end ERRA-Main balance to the 2025 vintage subaccount in </w:t>
      </w:r>
      <w:r w:rsidRPr="00997F1C">
        <w:rPr>
          <w:color w:val="000000" w:themeColor="text1"/>
        </w:rPr>
        <w:lastRenderedPageBreak/>
        <w:t>PABA.</w:t>
      </w:r>
      <w:r w:rsidRPr="00997F1C" w:rsidR="003E5AEF">
        <w:rPr>
          <w:color w:val="000000" w:themeColor="text1"/>
          <w:vertAlign w:val="superscript"/>
        </w:rPr>
        <w:footnoteReference w:id="158"/>
      </w:r>
      <w:r w:rsidRPr="00997F1C">
        <w:rPr>
          <w:color w:val="000000" w:themeColor="text1"/>
        </w:rPr>
        <w:t xml:space="preserve">  Amortizing this balance in the 2025 vintage subaccount in PABA allows the balance to be applied to both bundled customers and PCIA-eligible departed load customers that departed on or after July 1, 2025.</w:t>
      </w:r>
      <w:r w:rsidRPr="00997F1C" w:rsidR="003E5AEF">
        <w:rPr>
          <w:color w:val="000000" w:themeColor="text1"/>
          <w:vertAlign w:val="superscript"/>
        </w:rPr>
        <w:footnoteReference w:id="159"/>
      </w:r>
      <w:r w:rsidRPr="00997F1C">
        <w:rPr>
          <w:color w:val="000000" w:themeColor="text1"/>
        </w:rPr>
        <w:t xml:space="preserve">  As of the Fall Update, PG&amp;E forecasted an overcollection of $1.853 billion in ERRA-Main at the end of 2025.</w:t>
      </w:r>
      <w:r w:rsidRPr="00997F1C" w:rsidR="003E5AEF">
        <w:rPr>
          <w:color w:val="000000" w:themeColor="text1"/>
          <w:vertAlign w:val="superscript"/>
        </w:rPr>
        <w:footnoteReference w:id="160"/>
      </w:r>
      <w:r w:rsidRPr="00997F1C">
        <w:rPr>
          <w:color w:val="000000" w:themeColor="text1"/>
        </w:rPr>
        <w:t xml:space="preserve">  </w:t>
      </w:r>
      <w:r w:rsidRPr="00997F1C" w:rsidR="0159EBCD">
        <w:rPr>
          <w:color w:val="000000" w:themeColor="text1"/>
        </w:rPr>
        <w:t>PG&amp;E updated this balance in the Fall Update Errata to $700 million.</w:t>
      </w:r>
    </w:p>
    <w:p w:rsidRPr="00997F1C" w:rsidR="003E5AEF" w:rsidP="003E5AEF" w:rsidRDefault="53E8B74B" w14:paraId="75A3174D" w14:textId="07F53AFD">
      <w:pPr>
        <w:rPr>
          <w:color w:val="000000" w:themeColor="text1"/>
        </w:rPr>
      </w:pPr>
      <w:r w:rsidRPr="00997F1C">
        <w:rPr>
          <w:color w:val="000000" w:themeColor="text1"/>
        </w:rPr>
        <w:t>Table 5 shows illustrative PCIA rates for all vintages and customer classes.</w:t>
      </w:r>
      <w:r w:rsidRPr="00997F1C" w:rsidR="003E5AEF">
        <w:rPr>
          <w:color w:val="000000" w:themeColor="text1"/>
          <w:vertAlign w:val="superscript"/>
        </w:rPr>
        <w:footnoteReference w:id="161"/>
      </w:r>
      <w:r w:rsidRPr="00997F1C">
        <w:rPr>
          <w:color w:val="000000" w:themeColor="text1"/>
        </w:rPr>
        <w:t xml:space="preserve">  For vintages prior to 2024, PCIA rates increase by a range of 0.5 cents per kWh to 2.4 cents per kWh, compared to 2024 PCIA rates implemented </w:t>
      </w:r>
      <w:r w:rsidRPr="00997F1C" w:rsidR="00A5195C">
        <w:rPr>
          <w:color w:val="000000" w:themeColor="text1"/>
        </w:rPr>
        <w:br/>
      </w:r>
      <w:r w:rsidRPr="00997F1C">
        <w:rPr>
          <w:color w:val="000000" w:themeColor="text1"/>
        </w:rPr>
        <w:t>March 1, 2024.</w:t>
      </w:r>
    </w:p>
    <w:p w:rsidRPr="00997F1C" w:rsidR="003E5AEF" w:rsidP="003E5AEF" w:rsidRDefault="003E5AEF" w14:paraId="0CC1E807" w14:textId="77777777">
      <w:pPr>
        <w:spacing w:after="160" w:line="259" w:lineRule="auto"/>
        <w:ind w:firstLine="0"/>
        <w:rPr>
          <w:color w:val="000000" w:themeColor="text1"/>
        </w:rPr>
        <w:sectPr w:rsidRPr="00997F1C" w:rsidR="003E5AEF" w:rsidSect="00EE27AE">
          <w:headerReference w:type="default" r:id="rId14"/>
          <w:footerReference w:type="default" r:id="rId15"/>
          <w:headerReference w:type="first" r:id="rId16"/>
          <w:footerReference w:type="first" r:id="rId17"/>
          <w:pgSz w:w="12240" w:h="15840"/>
          <w:pgMar w:top="1728" w:right="1440" w:bottom="1440" w:left="1440" w:header="720" w:footer="720" w:gutter="0"/>
          <w:pgNumType w:start="2"/>
          <w:cols w:space="720"/>
          <w:titlePg/>
          <w:docGrid w:linePitch="360"/>
        </w:sectPr>
      </w:pPr>
    </w:p>
    <w:p w:rsidRPr="00997F1C" w:rsidR="003E5AEF" w:rsidP="003E5AEF" w:rsidRDefault="003E5AEF" w14:paraId="05EEFC2F" w14:textId="77777777">
      <w:pPr>
        <w:spacing w:after="160" w:line="259" w:lineRule="auto"/>
        <w:ind w:firstLine="0"/>
        <w:rPr>
          <w:color w:val="000000" w:themeColor="text1"/>
        </w:rPr>
      </w:pPr>
    </w:p>
    <w:p w:rsidRPr="00997F1C" w:rsidR="003E5AEF" w:rsidP="003E5AEF" w:rsidRDefault="53E8B74B" w14:paraId="3C4D4DEC" w14:textId="4518C4C3">
      <w:pPr>
        <w:keepNext/>
        <w:spacing w:after="200" w:line="240" w:lineRule="auto"/>
        <w:ind w:firstLine="0"/>
        <w:jc w:val="center"/>
        <w:rPr>
          <w:b/>
          <w:bCs/>
          <w:color w:val="000000" w:themeColor="text1"/>
          <w:szCs w:val="26"/>
        </w:rPr>
      </w:pPr>
      <w:r w:rsidRPr="00997F1C">
        <w:rPr>
          <w:b/>
          <w:bCs/>
          <w:color w:val="000000" w:themeColor="text1"/>
        </w:rPr>
        <w:t xml:space="preserve">Table </w:t>
      </w:r>
      <w:r w:rsidRPr="00997F1C" w:rsidR="003E5AEF">
        <w:rPr>
          <w:b/>
          <w:bCs/>
          <w:color w:val="000000" w:themeColor="text1"/>
        </w:rPr>
        <w:fldChar w:fldCharType="begin"/>
      </w:r>
      <w:r w:rsidRPr="00997F1C" w:rsidR="003E5AEF">
        <w:rPr>
          <w:b/>
          <w:bCs/>
          <w:color w:val="000000" w:themeColor="text1"/>
        </w:rPr>
        <w:instrText xml:space="preserve"> SEQ Table \* ARABIC </w:instrText>
      </w:r>
      <w:r w:rsidRPr="00997F1C" w:rsidR="003E5AEF">
        <w:rPr>
          <w:b/>
          <w:bCs/>
          <w:color w:val="000000" w:themeColor="text1"/>
        </w:rPr>
        <w:fldChar w:fldCharType="separate"/>
      </w:r>
      <w:r w:rsidR="00A93519">
        <w:rPr>
          <w:b/>
          <w:bCs/>
          <w:noProof/>
          <w:color w:val="000000" w:themeColor="text1"/>
        </w:rPr>
        <w:t>6</w:t>
      </w:r>
      <w:r w:rsidRPr="00997F1C" w:rsidR="003E5AEF">
        <w:rPr>
          <w:b/>
          <w:bCs/>
          <w:color w:val="000000" w:themeColor="text1"/>
        </w:rPr>
        <w:fldChar w:fldCharType="end"/>
      </w:r>
      <w:r w:rsidRPr="00997F1C">
        <w:rPr>
          <w:b/>
          <w:bCs/>
          <w:color w:val="000000" w:themeColor="text1"/>
        </w:rPr>
        <w:t>: Proposed Power Charge Indifference Adjustment Rates by Class and Vintage ($/kWh)</w:t>
      </w:r>
      <w:r w:rsidRPr="00997F1C" w:rsidR="003E5AEF">
        <w:rPr>
          <w:b/>
          <w:bCs/>
          <w:color w:val="000000" w:themeColor="text1"/>
          <w:vertAlign w:val="superscript"/>
        </w:rPr>
        <w:footnoteReference w:id="162"/>
      </w:r>
    </w:p>
    <w:tbl>
      <w:tblPr>
        <w:tblW w:w="14092" w:type="dxa"/>
        <w:jc w:val="center"/>
        <w:tblLayout w:type="fixed"/>
        <w:tblCellMar>
          <w:left w:w="14" w:type="dxa"/>
          <w:right w:w="29" w:type="dxa"/>
        </w:tblCellMar>
        <w:tblLook w:val="04A0" w:firstRow="1" w:lastRow="0" w:firstColumn="1" w:lastColumn="0" w:noHBand="0" w:noVBand="1"/>
      </w:tblPr>
      <w:tblGrid>
        <w:gridCol w:w="1345"/>
        <w:gridCol w:w="708"/>
        <w:gridCol w:w="708"/>
        <w:gridCol w:w="708"/>
        <w:gridCol w:w="708"/>
        <w:gridCol w:w="708"/>
        <w:gridCol w:w="709"/>
        <w:gridCol w:w="708"/>
        <w:gridCol w:w="708"/>
        <w:gridCol w:w="708"/>
        <w:gridCol w:w="708"/>
        <w:gridCol w:w="708"/>
        <w:gridCol w:w="709"/>
        <w:gridCol w:w="708"/>
        <w:gridCol w:w="708"/>
        <w:gridCol w:w="708"/>
        <w:gridCol w:w="708"/>
        <w:gridCol w:w="708"/>
        <w:gridCol w:w="709"/>
      </w:tblGrid>
      <w:tr w:rsidRPr="00997F1C" w:rsidR="004215F8" w14:paraId="04B1E97C" w14:textId="77777777">
        <w:trPr>
          <w:trHeight w:val="447"/>
          <w:tblHeader/>
          <w:jc w:val="center"/>
        </w:trPr>
        <w:tc>
          <w:tcPr>
            <w:tcW w:w="1345" w:type="dxa"/>
            <w:tcBorders>
              <w:top w:val="single" w:color="auto" w:sz="4" w:space="0"/>
              <w:left w:val="single" w:color="auto" w:sz="4" w:space="0"/>
              <w:bottom w:val="single" w:color="auto" w:sz="4" w:space="0"/>
              <w:right w:val="single" w:color="auto" w:sz="4" w:space="0"/>
            </w:tcBorders>
            <w:noWrap/>
            <w:vAlign w:val="center"/>
            <w:hideMark/>
          </w:tcPr>
          <w:p w:rsidRPr="00997F1C" w:rsidR="006434C4" w:rsidRDefault="006434C4" w14:paraId="3AA81D18"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Vintage</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5E70FFC1"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2009</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30106761"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2010</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005ACD08"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2011</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367868C0"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2012</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4457541C"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2013</w:t>
            </w:r>
          </w:p>
        </w:tc>
        <w:tc>
          <w:tcPr>
            <w:tcW w:w="709"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65428D89"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2014</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453CB908"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2015</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45932FD6"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2016</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3A9F0CF8"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2017</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02C152F9"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2018</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4D98DBDE"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2019</w:t>
            </w:r>
          </w:p>
        </w:tc>
        <w:tc>
          <w:tcPr>
            <w:tcW w:w="709"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7C37C371"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2020</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0251B732"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2021</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13EDB76F"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2022</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21A2CEA2"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2023</w:t>
            </w:r>
          </w:p>
        </w:tc>
        <w:tc>
          <w:tcPr>
            <w:tcW w:w="708" w:type="dxa"/>
            <w:tcBorders>
              <w:top w:val="single" w:color="auto" w:sz="4" w:space="0"/>
              <w:left w:val="nil"/>
              <w:bottom w:val="single" w:color="auto" w:sz="4" w:space="0"/>
              <w:right w:val="single" w:color="auto" w:sz="4" w:space="0"/>
            </w:tcBorders>
            <w:noWrap/>
            <w:vAlign w:val="center"/>
            <w:hideMark/>
          </w:tcPr>
          <w:p w:rsidRPr="00997F1C" w:rsidR="006434C4" w:rsidRDefault="006434C4" w14:paraId="7DDDD4E5"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2024</w:t>
            </w:r>
          </w:p>
        </w:tc>
        <w:tc>
          <w:tcPr>
            <w:tcW w:w="708" w:type="dxa"/>
            <w:tcBorders>
              <w:top w:val="single" w:color="auto" w:sz="4" w:space="0"/>
              <w:bottom w:val="single" w:color="auto" w:sz="4" w:space="0"/>
              <w:right w:val="single" w:color="auto" w:sz="4" w:space="0"/>
            </w:tcBorders>
            <w:vAlign w:val="center"/>
          </w:tcPr>
          <w:p w:rsidRPr="00997F1C" w:rsidR="006434C4" w:rsidRDefault="006434C4" w14:paraId="423D504C"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2025</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RDefault="006434C4" w14:paraId="453E5E3B" w14:textId="77777777">
            <w:pPr>
              <w:keepNext/>
              <w:spacing w:line="240" w:lineRule="auto"/>
              <w:ind w:firstLine="0"/>
              <w:jc w:val="center"/>
              <w:rPr>
                <w:rFonts w:eastAsia="Times New Roman" w:cs="Calibri"/>
                <w:b/>
                <w:bCs/>
                <w:color w:val="000000" w:themeColor="text1"/>
                <w:sz w:val="18"/>
                <w:szCs w:val="18"/>
              </w:rPr>
            </w:pPr>
            <w:r w:rsidRPr="00997F1C">
              <w:rPr>
                <w:rFonts w:eastAsia="Times New Roman" w:cs="Calibri"/>
                <w:b/>
                <w:bCs/>
                <w:color w:val="000000" w:themeColor="text1"/>
                <w:sz w:val="18"/>
                <w:szCs w:val="18"/>
              </w:rPr>
              <w:t>2026</w:t>
            </w:r>
          </w:p>
        </w:tc>
      </w:tr>
      <w:tr w:rsidRPr="00997F1C" w:rsidR="004215F8" w:rsidTr="00EA63C7" w14:paraId="1C71C658"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3856EAAD"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Residential</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975C44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5F7413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98EA79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0C00AF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270BD82"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3A22E4A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7AB2FB0"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D51734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8C0BD7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5325BE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7FD3BB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0.0361</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48E879D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9968339"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0.0557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E34E6F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0.0558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E8C7F19"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0.0573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EF4A9D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0.0544</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4B255D93" w14:textId="77777777">
            <w:pPr>
              <w:spacing w:line="240" w:lineRule="auto"/>
              <w:ind w:firstLine="0"/>
              <w:jc w:val="right"/>
              <w:rPr>
                <w:color w:val="000000" w:themeColor="text1"/>
                <w:sz w:val="16"/>
                <w:szCs w:val="16"/>
              </w:rPr>
            </w:pPr>
            <w:r w:rsidRPr="00997F1C">
              <w:rPr>
                <w:color w:val="000000" w:themeColor="text1"/>
                <w:sz w:val="16"/>
                <w:szCs w:val="16"/>
              </w:rPr>
              <w:t>-0.0151</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7383A585" w14:textId="77777777">
            <w:pPr>
              <w:spacing w:line="240" w:lineRule="auto"/>
              <w:ind w:firstLine="0"/>
              <w:jc w:val="right"/>
              <w:rPr>
                <w:color w:val="000000" w:themeColor="text1"/>
                <w:sz w:val="16"/>
                <w:szCs w:val="16"/>
              </w:rPr>
            </w:pPr>
            <w:r w:rsidRPr="00997F1C">
              <w:rPr>
                <w:color w:val="000000" w:themeColor="text1"/>
                <w:sz w:val="16"/>
                <w:szCs w:val="16"/>
              </w:rPr>
              <w:t>-0.0151</w:t>
            </w:r>
          </w:p>
        </w:tc>
      </w:tr>
      <w:tr w:rsidRPr="00997F1C" w:rsidR="004215F8" w:rsidTr="00EA63C7" w14:paraId="5566FED7"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53D2EE84"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Small Light &amp; Power</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E1521E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BC2A6F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58BF18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4BC95F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1D0FB3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0.0341</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5943584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79F9FE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1C6F6A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8F231C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E6D4EF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27BADE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0.0351</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3DCC468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0BA4BF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0.0542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600E89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0.0543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BE6F87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0.0557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6D6B562"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0.053</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25F96DBC" w14:textId="77777777">
            <w:pPr>
              <w:spacing w:line="240" w:lineRule="auto"/>
              <w:ind w:firstLine="0"/>
              <w:jc w:val="right"/>
              <w:rPr>
                <w:color w:val="000000" w:themeColor="text1"/>
                <w:sz w:val="16"/>
                <w:szCs w:val="16"/>
              </w:rPr>
            </w:pPr>
            <w:r w:rsidRPr="00997F1C">
              <w:rPr>
                <w:color w:val="000000" w:themeColor="text1"/>
                <w:sz w:val="16"/>
                <w:szCs w:val="16"/>
              </w:rPr>
              <w:t>-0.0147</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6CF385F5" w14:textId="77777777">
            <w:pPr>
              <w:spacing w:line="240" w:lineRule="auto"/>
              <w:ind w:firstLine="0"/>
              <w:jc w:val="right"/>
              <w:rPr>
                <w:color w:val="000000" w:themeColor="text1"/>
                <w:sz w:val="16"/>
                <w:szCs w:val="16"/>
              </w:rPr>
            </w:pPr>
            <w:r w:rsidRPr="00997F1C">
              <w:rPr>
                <w:color w:val="000000" w:themeColor="text1"/>
                <w:sz w:val="16"/>
                <w:szCs w:val="16"/>
              </w:rPr>
              <w:t>-0.0147</w:t>
            </w:r>
          </w:p>
        </w:tc>
      </w:tr>
      <w:tr w:rsidRPr="00997F1C" w:rsidR="004215F8" w:rsidTr="00EA63C7" w14:paraId="0E24FDA5"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6B4B5B3D"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Medium Light &amp; Power</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4F82AE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0.0293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F92773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0F48BF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0AB5170"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75FF81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0.0359</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77BCC83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058F11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F25F1C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DB8FA6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C6BAB4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9964C1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0.037</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25F1AF8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3E8799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0.0572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88E10C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0.0572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D26FB4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0.0587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B82FA8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0.0558</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5AD30E06" w14:textId="77777777">
            <w:pPr>
              <w:spacing w:line="240" w:lineRule="auto"/>
              <w:ind w:firstLine="0"/>
              <w:jc w:val="right"/>
              <w:rPr>
                <w:color w:val="000000" w:themeColor="text1"/>
                <w:sz w:val="16"/>
                <w:szCs w:val="16"/>
              </w:rPr>
            </w:pPr>
            <w:r w:rsidRPr="00997F1C">
              <w:rPr>
                <w:color w:val="000000" w:themeColor="text1"/>
                <w:sz w:val="16"/>
                <w:szCs w:val="16"/>
              </w:rPr>
              <w:t>-0.0155</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6DCDE05B" w14:textId="77777777">
            <w:pPr>
              <w:spacing w:line="240" w:lineRule="auto"/>
              <w:ind w:firstLine="0"/>
              <w:jc w:val="right"/>
              <w:rPr>
                <w:color w:val="000000" w:themeColor="text1"/>
                <w:sz w:val="16"/>
                <w:szCs w:val="16"/>
              </w:rPr>
            </w:pPr>
            <w:r w:rsidRPr="00997F1C">
              <w:rPr>
                <w:color w:val="000000" w:themeColor="text1"/>
                <w:sz w:val="16"/>
                <w:szCs w:val="16"/>
              </w:rPr>
              <w:t>-0.0155</w:t>
            </w:r>
          </w:p>
        </w:tc>
      </w:tr>
      <w:tr w:rsidRPr="00997F1C" w:rsidR="004215F8" w:rsidTr="00EA63C7" w14:paraId="159D4DE8"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3C235CB6"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E19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3A88DA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45024B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19CD4B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899940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6D17E4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0.0341</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4DE6558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86C709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3291CF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B47FE3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3F0C52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6C8009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0.0351</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01CCA7FC"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3552852"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0.0542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4F886F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0.0543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D5F876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0.0557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4DA5F0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0.053</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787D2706" w14:textId="77777777">
            <w:pPr>
              <w:spacing w:line="240" w:lineRule="auto"/>
              <w:ind w:firstLine="0"/>
              <w:jc w:val="right"/>
              <w:rPr>
                <w:color w:val="000000" w:themeColor="text1"/>
                <w:sz w:val="16"/>
                <w:szCs w:val="16"/>
              </w:rPr>
            </w:pPr>
            <w:r w:rsidRPr="00997F1C">
              <w:rPr>
                <w:color w:val="000000" w:themeColor="text1"/>
                <w:sz w:val="16"/>
                <w:szCs w:val="16"/>
              </w:rPr>
              <w:t>-0.0147</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744EFF19" w14:textId="77777777">
            <w:pPr>
              <w:spacing w:line="240" w:lineRule="auto"/>
              <w:ind w:firstLine="0"/>
              <w:jc w:val="right"/>
              <w:rPr>
                <w:color w:val="000000" w:themeColor="text1"/>
                <w:sz w:val="16"/>
                <w:szCs w:val="16"/>
              </w:rPr>
            </w:pPr>
            <w:r w:rsidRPr="00997F1C">
              <w:rPr>
                <w:color w:val="000000" w:themeColor="text1"/>
                <w:sz w:val="16"/>
                <w:szCs w:val="16"/>
              </w:rPr>
              <w:t>-0.0147</w:t>
            </w:r>
          </w:p>
        </w:tc>
      </w:tr>
      <w:tr w:rsidRPr="00997F1C" w:rsidR="004215F8" w:rsidTr="00EA63C7" w14:paraId="5A29AF9E"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4EC27F71"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Streetlights</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69FFAC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0.0233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26561C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0.0261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664672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4D54F6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6540A4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0.0286</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411AC97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BAFB040"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E094EC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621209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FEBD59C"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56EA792"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0.0295</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311F8D7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281F63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0.0455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ECEEDAC"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0.0456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380D5F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0.0468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09C857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0.0445</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1FBA3826" w14:textId="77777777">
            <w:pPr>
              <w:spacing w:line="240" w:lineRule="auto"/>
              <w:ind w:firstLine="0"/>
              <w:jc w:val="right"/>
              <w:rPr>
                <w:color w:val="000000" w:themeColor="text1"/>
                <w:sz w:val="16"/>
                <w:szCs w:val="16"/>
              </w:rPr>
            </w:pPr>
            <w:r w:rsidRPr="00997F1C">
              <w:rPr>
                <w:color w:val="000000" w:themeColor="text1"/>
                <w:sz w:val="16"/>
                <w:szCs w:val="16"/>
              </w:rPr>
              <w:t>-0.0124</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4608C992" w14:textId="77777777">
            <w:pPr>
              <w:spacing w:line="240" w:lineRule="auto"/>
              <w:ind w:firstLine="0"/>
              <w:jc w:val="right"/>
              <w:rPr>
                <w:color w:val="000000" w:themeColor="text1"/>
                <w:sz w:val="16"/>
                <w:szCs w:val="16"/>
              </w:rPr>
            </w:pPr>
            <w:r w:rsidRPr="00997F1C">
              <w:rPr>
                <w:color w:val="000000" w:themeColor="text1"/>
                <w:sz w:val="16"/>
                <w:szCs w:val="16"/>
              </w:rPr>
              <w:t>-0.0124</w:t>
            </w:r>
          </w:p>
        </w:tc>
      </w:tr>
      <w:tr w:rsidRPr="00997F1C" w:rsidR="004215F8" w:rsidTr="00EA63C7" w14:paraId="4ED8C956"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0C43287A"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Standby</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7748F4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0.0196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DA8C6F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0.0219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EE6ED5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0.0228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C2B1D9C"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0.0239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D1BB3C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0.024</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7ACCA56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7F2E8B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CD59AA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99AD60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0.0239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411B0D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0.0235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5B93FC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0.0248</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2ED1A1AC"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0.0241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B34032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0.0382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56A97F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0.0383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5547E3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0.0393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57A4F7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0.0374</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004708C2" w14:textId="77777777">
            <w:pPr>
              <w:spacing w:line="240" w:lineRule="auto"/>
              <w:ind w:firstLine="0"/>
              <w:jc w:val="right"/>
              <w:rPr>
                <w:color w:val="000000" w:themeColor="text1"/>
                <w:sz w:val="16"/>
                <w:szCs w:val="16"/>
              </w:rPr>
            </w:pPr>
            <w:r w:rsidRPr="00997F1C">
              <w:rPr>
                <w:color w:val="000000" w:themeColor="text1"/>
                <w:sz w:val="16"/>
                <w:szCs w:val="16"/>
              </w:rPr>
              <w:t>-0.0104</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4027B85E" w14:textId="77777777">
            <w:pPr>
              <w:spacing w:line="240" w:lineRule="auto"/>
              <w:ind w:firstLine="0"/>
              <w:jc w:val="right"/>
              <w:rPr>
                <w:color w:val="000000" w:themeColor="text1"/>
                <w:sz w:val="16"/>
                <w:szCs w:val="16"/>
              </w:rPr>
            </w:pPr>
            <w:r w:rsidRPr="00997F1C">
              <w:rPr>
                <w:color w:val="000000" w:themeColor="text1"/>
                <w:sz w:val="16"/>
                <w:szCs w:val="16"/>
              </w:rPr>
              <w:t>-0.0104</w:t>
            </w:r>
          </w:p>
        </w:tc>
      </w:tr>
      <w:tr w:rsidRPr="00997F1C" w:rsidR="004215F8" w:rsidTr="00EA63C7" w14:paraId="66AEB92A"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6DB0D2A3"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Agriculture</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38DB4B9"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0.0264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E5ADA4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0.0295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E748AB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7F98B4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B6120F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0.0324</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583AC5C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1C31F1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58D8CF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2662CC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4D1E0C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2AA365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0.0333</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26F3C34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098726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0.0515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369EF4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0.0515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20D350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0.0529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FB9581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0.0503</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44763E4E" w14:textId="77777777">
            <w:pPr>
              <w:spacing w:line="240" w:lineRule="auto"/>
              <w:ind w:firstLine="0"/>
              <w:jc w:val="right"/>
              <w:rPr>
                <w:color w:val="000000" w:themeColor="text1"/>
                <w:sz w:val="16"/>
                <w:szCs w:val="16"/>
              </w:rPr>
            </w:pPr>
            <w:r w:rsidRPr="00997F1C">
              <w:rPr>
                <w:color w:val="000000" w:themeColor="text1"/>
                <w:sz w:val="16"/>
                <w:szCs w:val="16"/>
              </w:rPr>
              <w:t>-0.014</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07411426" w14:textId="77777777">
            <w:pPr>
              <w:spacing w:line="240" w:lineRule="auto"/>
              <w:ind w:firstLine="0"/>
              <w:jc w:val="right"/>
              <w:rPr>
                <w:color w:val="000000" w:themeColor="text1"/>
                <w:sz w:val="16"/>
                <w:szCs w:val="16"/>
              </w:rPr>
            </w:pPr>
            <w:r w:rsidRPr="00997F1C">
              <w:rPr>
                <w:color w:val="000000" w:themeColor="text1"/>
                <w:sz w:val="16"/>
                <w:szCs w:val="16"/>
              </w:rPr>
              <w:t>-0.014</w:t>
            </w:r>
          </w:p>
        </w:tc>
      </w:tr>
      <w:tr w:rsidRPr="00997F1C" w:rsidR="004215F8" w:rsidTr="00EA63C7" w14:paraId="27B3AF62"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58026569"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B20/E20 T</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EF94F39"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0.0246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D6134F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53AD4B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CFEF4E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C0610E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0.0302</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6FC2E60C"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30057C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F34BCE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54069B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324BCB2"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0.0296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367AE0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0.0311</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3B8B8F8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40DA06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9CF8D5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0.0481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A6F5C6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0.0494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D382AD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0.0469</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4ED14583" w14:textId="77777777">
            <w:pPr>
              <w:spacing w:line="240" w:lineRule="auto"/>
              <w:ind w:firstLine="0"/>
              <w:jc w:val="right"/>
              <w:rPr>
                <w:color w:val="000000" w:themeColor="text1"/>
                <w:sz w:val="16"/>
                <w:szCs w:val="16"/>
              </w:rPr>
            </w:pPr>
            <w:r w:rsidRPr="00997F1C">
              <w:rPr>
                <w:color w:val="000000" w:themeColor="text1"/>
                <w:sz w:val="16"/>
                <w:szCs w:val="16"/>
              </w:rPr>
              <w:t>-0.013</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4D649BA4" w14:textId="77777777">
            <w:pPr>
              <w:spacing w:line="240" w:lineRule="auto"/>
              <w:ind w:firstLine="0"/>
              <w:jc w:val="right"/>
              <w:rPr>
                <w:color w:val="000000" w:themeColor="text1"/>
                <w:sz w:val="16"/>
                <w:szCs w:val="16"/>
              </w:rPr>
            </w:pPr>
            <w:r w:rsidRPr="00997F1C">
              <w:rPr>
                <w:color w:val="000000" w:themeColor="text1"/>
                <w:sz w:val="16"/>
                <w:szCs w:val="16"/>
              </w:rPr>
              <w:t>-0.013</w:t>
            </w:r>
          </w:p>
        </w:tc>
      </w:tr>
      <w:tr w:rsidRPr="00997F1C" w:rsidR="004215F8" w:rsidTr="00EA63C7" w14:paraId="47BAC36B"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335BFD0C"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 xml:space="preserve">B20/E20 P </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B0782E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0.0251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A35FE69"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46DCD00"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0.0292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35E3E1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1809799"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0.0308</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6D44BEF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15F09A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601681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F0304D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1DD59C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3CB52E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0.0317</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2A38800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49435A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4DC235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C446CE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0.0503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81227B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0.0478</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3B8A7CDC" w14:textId="77777777">
            <w:pPr>
              <w:spacing w:line="240" w:lineRule="auto"/>
              <w:ind w:firstLine="0"/>
              <w:jc w:val="right"/>
              <w:rPr>
                <w:color w:val="000000" w:themeColor="text1"/>
                <w:sz w:val="16"/>
                <w:szCs w:val="16"/>
              </w:rPr>
            </w:pPr>
            <w:r w:rsidRPr="00997F1C">
              <w:rPr>
                <w:color w:val="000000" w:themeColor="text1"/>
                <w:sz w:val="16"/>
                <w:szCs w:val="16"/>
              </w:rPr>
              <w:t>-0.0133</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4AE4D48B" w14:textId="77777777">
            <w:pPr>
              <w:spacing w:line="240" w:lineRule="auto"/>
              <w:ind w:firstLine="0"/>
              <w:jc w:val="right"/>
              <w:rPr>
                <w:color w:val="000000" w:themeColor="text1"/>
                <w:sz w:val="16"/>
                <w:szCs w:val="16"/>
              </w:rPr>
            </w:pPr>
            <w:r w:rsidRPr="00997F1C">
              <w:rPr>
                <w:color w:val="000000" w:themeColor="text1"/>
                <w:sz w:val="16"/>
                <w:szCs w:val="16"/>
              </w:rPr>
              <w:t>-0.0133</w:t>
            </w:r>
          </w:p>
        </w:tc>
      </w:tr>
      <w:tr w:rsidRPr="00997F1C" w:rsidR="004215F8" w:rsidTr="00EA63C7" w14:paraId="3C3403BB"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62E7C16D"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B20/E20 S</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FF45F7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0.0259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CFF558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A80510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7B1CD4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B1D75D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0.0318</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243F5AE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D90266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E1E951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649578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6AF081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3D7445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0.0328</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74655E1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FD8C50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0.0506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A0B3119"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0.0507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A6775A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E19853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0.0495</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3419AC36" w14:textId="77777777">
            <w:pPr>
              <w:spacing w:line="240" w:lineRule="auto"/>
              <w:ind w:firstLine="0"/>
              <w:jc w:val="right"/>
              <w:rPr>
                <w:color w:val="000000" w:themeColor="text1"/>
                <w:sz w:val="16"/>
                <w:szCs w:val="16"/>
              </w:rPr>
            </w:pPr>
            <w:r w:rsidRPr="00997F1C">
              <w:rPr>
                <w:color w:val="000000" w:themeColor="text1"/>
                <w:sz w:val="16"/>
                <w:szCs w:val="16"/>
              </w:rPr>
              <w:t>-0.0138</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57F063DD" w14:textId="77777777">
            <w:pPr>
              <w:spacing w:line="240" w:lineRule="auto"/>
              <w:ind w:firstLine="0"/>
              <w:jc w:val="right"/>
              <w:rPr>
                <w:color w:val="000000" w:themeColor="text1"/>
                <w:sz w:val="16"/>
                <w:szCs w:val="16"/>
              </w:rPr>
            </w:pPr>
            <w:r w:rsidRPr="00997F1C">
              <w:rPr>
                <w:color w:val="000000" w:themeColor="text1"/>
                <w:sz w:val="16"/>
                <w:szCs w:val="16"/>
              </w:rPr>
              <w:t>-0.0138</w:t>
            </w:r>
          </w:p>
        </w:tc>
      </w:tr>
      <w:tr w:rsidRPr="00997F1C" w:rsidR="004215F8" w:rsidTr="00EA63C7" w14:paraId="6B01340D"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327FECBC"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BEV1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0A9ACE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0.0226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85C0EF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0.0253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EB7C25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0.0263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AA894C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06036B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0.0278</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2620BD1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102D952"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0.0277</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55800F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C291BC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01C8A39"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1EF851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0.0286</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1CD2DCF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0.0278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074B0D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0.0442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7B2487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0.0442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D937EF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0.0454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E7B5D6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0.0431</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0DBAA8FC" w14:textId="77777777">
            <w:pPr>
              <w:spacing w:line="240" w:lineRule="auto"/>
              <w:ind w:firstLine="0"/>
              <w:jc w:val="right"/>
              <w:rPr>
                <w:color w:val="000000" w:themeColor="text1"/>
                <w:sz w:val="16"/>
                <w:szCs w:val="16"/>
              </w:rPr>
            </w:pPr>
            <w:r w:rsidRPr="00997F1C">
              <w:rPr>
                <w:color w:val="000000" w:themeColor="text1"/>
                <w:sz w:val="16"/>
                <w:szCs w:val="16"/>
              </w:rPr>
              <w:t>-0.012</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4CF19580" w14:textId="77777777">
            <w:pPr>
              <w:spacing w:line="240" w:lineRule="auto"/>
              <w:ind w:firstLine="0"/>
              <w:jc w:val="right"/>
              <w:rPr>
                <w:color w:val="000000" w:themeColor="text1"/>
                <w:sz w:val="16"/>
                <w:szCs w:val="16"/>
              </w:rPr>
            </w:pPr>
            <w:r w:rsidRPr="00997F1C">
              <w:rPr>
                <w:color w:val="000000" w:themeColor="text1"/>
                <w:sz w:val="16"/>
                <w:szCs w:val="16"/>
              </w:rPr>
              <w:t>-0.012</w:t>
            </w:r>
          </w:p>
        </w:tc>
      </w:tr>
      <w:tr w:rsidRPr="00997F1C" w:rsidR="004215F8" w:rsidTr="00EA63C7" w14:paraId="2EC1CE75" w14:textId="77777777">
        <w:trPr>
          <w:trHeight w:val="447"/>
          <w:jc w:val="center"/>
        </w:trPr>
        <w:tc>
          <w:tcPr>
            <w:tcW w:w="1345" w:type="dxa"/>
            <w:tcBorders>
              <w:top w:val="nil"/>
              <w:left w:val="single" w:color="auto" w:sz="4" w:space="0"/>
              <w:bottom w:val="single" w:color="auto" w:sz="4" w:space="0"/>
              <w:right w:val="single" w:color="auto" w:sz="4" w:space="0"/>
            </w:tcBorders>
            <w:noWrap/>
            <w:vAlign w:val="center"/>
            <w:hideMark/>
          </w:tcPr>
          <w:p w:rsidRPr="00997F1C" w:rsidR="006434C4" w:rsidRDefault="006434C4" w14:paraId="2836CDC9"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BEV2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981639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0.0261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3D7AF2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0.0292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467C76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0.0304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C58CE5E"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5F1EF3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0.0321</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4D72458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3E2294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6557AF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85AC267"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CE0A22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0.0314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0B905D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5520C20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64C0224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9EF77F3"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2D978AC"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0.0524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5BF73EB1"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0.0498</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372CEED5" w14:textId="77777777">
            <w:pPr>
              <w:spacing w:line="240" w:lineRule="auto"/>
              <w:ind w:firstLine="0"/>
              <w:jc w:val="right"/>
              <w:rPr>
                <w:color w:val="000000" w:themeColor="text1"/>
                <w:sz w:val="16"/>
                <w:szCs w:val="16"/>
              </w:rPr>
            </w:pPr>
            <w:r w:rsidRPr="00997F1C">
              <w:rPr>
                <w:color w:val="000000" w:themeColor="text1"/>
                <w:sz w:val="16"/>
                <w:szCs w:val="16"/>
              </w:rPr>
              <w:t>-0.0138</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51D335BF" w14:textId="77777777">
            <w:pPr>
              <w:spacing w:line="240" w:lineRule="auto"/>
              <w:ind w:firstLine="0"/>
              <w:jc w:val="right"/>
              <w:rPr>
                <w:color w:val="000000" w:themeColor="text1"/>
                <w:sz w:val="16"/>
                <w:szCs w:val="16"/>
              </w:rPr>
            </w:pPr>
            <w:r w:rsidRPr="00997F1C">
              <w:rPr>
                <w:color w:val="000000" w:themeColor="text1"/>
                <w:sz w:val="16"/>
                <w:szCs w:val="16"/>
              </w:rPr>
              <w:t>-0.0138</w:t>
            </w:r>
          </w:p>
        </w:tc>
      </w:tr>
      <w:tr w:rsidRPr="00997F1C" w:rsidR="006434C4" w:rsidTr="00EA63C7" w14:paraId="17FF1CAF" w14:textId="77777777">
        <w:trPr>
          <w:trHeight w:val="448"/>
          <w:jc w:val="center"/>
        </w:trPr>
        <w:tc>
          <w:tcPr>
            <w:tcW w:w="1345" w:type="dxa"/>
            <w:tcBorders>
              <w:top w:val="nil"/>
              <w:left w:val="single" w:color="auto" w:sz="4" w:space="0"/>
              <w:bottom w:val="single" w:color="auto" w:sz="4" w:space="0"/>
              <w:right w:val="single" w:color="auto" w:sz="4" w:space="0"/>
            </w:tcBorders>
            <w:vAlign w:val="center"/>
            <w:hideMark/>
          </w:tcPr>
          <w:p w:rsidRPr="00997F1C" w:rsidR="006434C4" w:rsidRDefault="006434C4" w14:paraId="5C1A31D3" w14:textId="77777777">
            <w:pPr>
              <w:spacing w:line="240" w:lineRule="auto"/>
              <w:ind w:firstLine="0"/>
              <w:rPr>
                <w:rFonts w:eastAsia="Times New Roman" w:cs="Calibri"/>
                <w:color w:val="000000" w:themeColor="text1"/>
                <w:sz w:val="16"/>
                <w:szCs w:val="16"/>
              </w:rPr>
            </w:pPr>
            <w:r w:rsidRPr="00997F1C">
              <w:rPr>
                <w:rFonts w:eastAsia="Times New Roman" w:cs="Calibri"/>
                <w:color w:val="000000" w:themeColor="text1"/>
                <w:sz w:val="16"/>
                <w:szCs w:val="16"/>
              </w:rPr>
              <w:t xml:space="preserve">System Average </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3F644E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0.0261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9BDC57B"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0.029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04DD3D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0.0322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14C4452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0.0331</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89ED565"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0.0341</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106D5BC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0.0345</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E67DF0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01E4E12D"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0.0343</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49F1A98"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0.0336</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26CC093F"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0.0338</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C8B8010"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w:t>
            </w:r>
          </w:p>
        </w:tc>
        <w:tc>
          <w:tcPr>
            <w:tcW w:w="709" w:type="dxa"/>
            <w:tcBorders>
              <w:top w:val="nil"/>
              <w:left w:val="nil"/>
              <w:bottom w:val="single" w:color="auto" w:sz="4" w:space="0"/>
              <w:right w:val="single" w:color="auto" w:sz="4" w:space="0"/>
            </w:tcBorders>
            <w:noWrap/>
            <w:vAlign w:val="center"/>
            <w:hideMark/>
          </w:tcPr>
          <w:p w:rsidRPr="00997F1C" w:rsidR="006434C4" w:rsidP="00EA63C7" w:rsidRDefault="006434C4" w14:paraId="0EBCDF4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0.0342</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ECE44D6"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0.0539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4A33BFBA"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0.0534</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3E4F1152"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0.0539</w:t>
            </w:r>
          </w:p>
        </w:tc>
        <w:tc>
          <w:tcPr>
            <w:tcW w:w="708" w:type="dxa"/>
            <w:tcBorders>
              <w:top w:val="nil"/>
              <w:left w:val="nil"/>
              <w:bottom w:val="single" w:color="auto" w:sz="4" w:space="0"/>
              <w:right w:val="single" w:color="auto" w:sz="4" w:space="0"/>
            </w:tcBorders>
            <w:noWrap/>
            <w:vAlign w:val="center"/>
            <w:hideMark/>
          </w:tcPr>
          <w:p w:rsidRPr="00997F1C" w:rsidR="006434C4" w:rsidP="00EA63C7" w:rsidRDefault="006434C4" w14:paraId="7A584CF4" w14:textId="77777777">
            <w:pPr>
              <w:spacing w:line="240" w:lineRule="auto"/>
              <w:ind w:firstLine="0"/>
              <w:jc w:val="right"/>
              <w:rPr>
                <w:rFonts w:eastAsia="Times New Roman" w:cs="Calibri"/>
                <w:color w:val="000000" w:themeColor="text1"/>
                <w:sz w:val="16"/>
                <w:szCs w:val="16"/>
              </w:rPr>
            </w:pPr>
            <w:r w:rsidRPr="00997F1C">
              <w:rPr>
                <w:color w:val="000000" w:themeColor="text1"/>
                <w:sz w:val="16"/>
                <w:szCs w:val="16"/>
              </w:rPr>
              <w:t>0.0506</w:t>
            </w:r>
          </w:p>
        </w:tc>
        <w:tc>
          <w:tcPr>
            <w:tcW w:w="708" w:type="dxa"/>
            <w:tcBorders>
              <w:top w:val="single" w:color="auto" w:sz="4" w:space="0"/>
              <w:bottom w:val="single" w:color="auto" w:sz="4" w:space="0"/>
              <w:right w:val="single" w:color="auto" w:sz="4" w:space="0"/>
            </w:tcBorders>
            <w:vAlign w:val="center"/>
          </w:tcPr>
          <w:p w:rsidRPr="00997F1C" w:rsidR="006434C4" w:rsidP="00EA63C7" w:rsidRDefault="006434C4" w14:paraId="288D2880" w14:textId="77777777">
            <w:pPr>
              <w:spacing w:line="240" w:lineRule="auto"/>
              <w:ind w:firstLine="0"/>
              <w:jc w:val="right"/>
              <w:rPr>
                <w:color w:val="000000" w:themeColor="text1"/>
                <w:sz w:val="16"/>
                <w:szCs w:val="16"/>
              </w:rPr>
            </w:pPr>
            <w:r w:rsidRPr="00997F1C">
              <w:rPr>
                <w:color w:val="000000" w:themeColor="text1"/>
                <w:sz w:val="16"/>
                <w:szCs w:val="16"/>
              </w:rPr>
              <w:t>-0.0148</w:t>
            </w:r>
          </w:p>
        </w:tc>
        <w:tc>
          <w:tcPr>
            <w:tcW w:w="709" w:type="dxa"/>
            <w:tcBorders>
              <w:top w:val="single" w:color="auto" w:sz="4" w:space="0"/>
              <w:left w:val="single" w:color="auto" w:sz="4" w:space="0"/>
              <w:bottom w:val="single" w:color="auto" w:sz="4" w:space="0"/>
              <w:right w:val="single" w:color="auto" w:sz="4" w:space="0"/>
            </w:tcBorders>
            <w:vAlign w:val="center"/>
          </w:tcPr>
          <w:p w:rsidRPr="00997F1C" w:rsidR="006434C4" w:rsidP="00EA63C7" w:rsidRDefault="006434C4" w14:paraId="4A5773B7" w14:textId="77777777">
            <w:pPr>
              <w:spacing w:line="240" w:lineRule="auto"/>
              <w:ind w:firstLine="0"/>
              <w:jc w:val="right"/>
              <w:rPr>
                <w:color w:val="000000" w:themeColor="text1"/>
                <w:sz w:val="16"/>
                <w:szCs w:val="16"/>
              </w:rPr>
            </w:pPr>
            <w:r w:rsidRPr="00997F1C">
              <w:rPr>
                <w:color w:val="000000" w:themeColor="text1"/>
                <w:sz w:val="16"/>
                <w:szCs w:val="16"/>
              </w:rPr>
              <w:t>-0.0148</w:t>
            </w:r>
          </w:p>
        </w:tc>
      </w:tr>
    </w:tbl>
    <w:p w:rsidRPr="00997F1C" w:rsidR="000F791E" w:rsidP="003E5AEF" w:rsidRDefault="000F791E" w14:paraId="51A49B67" w14:textId="77777777">
      <w:pPr>
        <w:ind w:firstLine="0"/>
        <w:rPr>
          <w:color w:val="000000" w:themeColor="text1"/>
        </w:rPr>
      </w:pPr>
    </w:p>
    <w:p w:rsidRPr="00997F1C" w:rsidR="003E5AEF" w:rsidP="003E5AEF" w:rsidRDefault="003E5AEF" w14:paraId="0120B809" w14:textId="77777777">
      <w:pPr>
        <w:ind w:firstLine="0"/>
        <w:rPr>
          <w:color w:val="000000" w:themeColor="text1"/>
        </w:rPr>
        <w:sectPr w:rsidRPr="00997F1C" w:rsidR="003E5AEF" w:rsidSect="003E5AEF">
          <w:pgSz w:w="15840" w:h="12240" w:orient="landscape"/>
          <w:pgMar w:top="1440" w:right="1728" w:bottom="1440" w:left="1440" w:header="720" w:footer="720" w:gutter="0"/>
          <w:cols w:space="720"/>
          <w:docGrid w:linePitch="360"/>
        </w:sectPr>
      </w:pPr>
    </w:p>
    <w:p w:rsidRPr="00997F1C" w:rsidR="003E5AEF" w:rsidP="003E5AEF" w:rsidRDefault="53E8B74B" w14:paraId="5F40D934" w14:textId="0A404900">
      <w:pPr>
        <w:rPr>
          <w:color w:val="000000" w:themeColor="text1"/>
        </w:rPr>
      </w:pPr>
      <w:r w:rsidRPr="00997F1C">
        <w:rPr>
          <w:color w:val="000000" w:themeColor="text1"/>
        </w:rPr>
        <w:lastRenderedPageBreak/>
        <w:t xml:space="preserve">Table </w:t>
      </w:r>
      <w:r w:rsidRPr="00997F1C" w:rsidR="7F6C5618">
        <w:rPr>
          <w:color w:val="000000" w:themeColor="text1"/>
        </w:rPr>
        <w:t>7</w:t>
      </w:r>
      <w:r w:rsidRPr="00997F1C" w:rsidR="003E5AEF">
        <w:rPr>
          <w:color w:val="000000" w:themeColor="text1"/>
          <w:vertAlign w:val="superscript"/>
        </w:rPr>
        <w:footnoteReference w:id="163"/>
      </w:r>
      <w:r w:rsidRPr="00997F1C">
        <w:rPr>
          <w:color w:val="000000" w:themeColor="text1"/>
        </w:rPr>
        <w:t xml:space="preserve"> summarizes the PCIA revenues allocated to bundled, DA, and CCA customers based on the PCIA rates presented in Table </w:t>
      </w:r>
      <w:r w:rsidRPr="00997F1C" w:rsidR="7F6C5618">
        <w:rPr>
          <w:color w:val="000000" w:themeColor="text1"/>
        </w:rPr>
        <w:t>6</w:t>
      </w:r>
      <w:r w:rsidRPr="00997F1C">
        <w:rPr>
          <w:color w:val="000000" w:themeColor="text1"/>
        </w:rPr>
        <w:t>.  We have reviewed these rates and find them to be reasonable.</w:t>
      </w:r>
    </w:p>
    <w:p w:rsidRPr="00997F1C" w:rsidR="003E5AEF" w:rsidP="003E5AEF" w:rsidRDefault="003E5AEF" w14:paraId="55D998FA" w14:textId="410085E8">
      <w:pPr>
        <w:keepNext/>
        <w:keepLines/>
        <w:spacing w:after="200" w:line="240" w:lineRule="auto"/>
        <w:ind w:firstLine="0"/>
        <w:jc w:val="center"/>
        <w:rPr>
          <w:b/>
          <w:bCs/>
          <w:color w:val="000000" w:themeColor="text1"/>
          <w:szCs w:val="26"/>
        </w:rPr>
      </w:pPr>
      <w:r w:rsidRPr="00997F1C">
        <w:rPr>
          <w:b/>
          <w:bCs/>
          <w:color w:val="000000" w:themeColor="text1"/>
          <w:szCs w:val="26"/>
        </w:rPr>
        <w:t xml:space="preserve">Table </w:t>
      </w:r>
      <w:r w:rsidRPr="00997F1C">
        <w:rPr>
          <w:b/>
          <w:bCs/>
          <w:color w:val="000000" w:themeColor="text1"/>
          <w:szCs w:val="26"/>
        </w:rPr>
        <w:fldChar w:fldCharType="begin"/>
      </w:r>
      <w:r w:rsidRPr="00997F1C">
        <w:rPr>
          <w:b/>
          <w:bCs/>
          <w:color w:val="000000" w:themeColor="text1"/>
          <w:szCs w:val="26"/>
        </w:rPr>
        <w:instrText xml:space="preserve"> SEQ Table \* ARABIC </w:instrText>
      </w:r>
      <w:r w:rsidRPr="00997F1C">
        <w:rPr>
          <w:b/>
          <w:bCs/>
          <w:color w:val="000000" w:themeColor="text1"/>
          <w:szCs w:val="26"/>
        </w:rPr>
        <w:fldChar w:fldCharType="separate"/>
      </w:r>
      <w:r w:rsidR="00A93519">
        <w:rPr>
          <w:b/>
          <w:bCs/>
          <w:noProof/>
          <w:color w:val="000000" w:themeColor="text1"/>
          <w:szCs w:val="26"/>
        </w:rPr>
        <w:t>7</w:t>
      </w:r>
      <w:r w:rsidRPr="00997F1C">
        <w:rPr>
          <w:b/>
          <w:bCs/>
          <w:noProof/>
          <w:color w:val="000000" w:themeColor="text1"/>
          <w:szCs w:val="26"/>
        </w:rPr>
        <w:fldChar w:fldCharType="end"/>
      </w:r>
      <w:r w:rsidRPr="00997F1C">
        <w:rPr>
          <w:b/>
          <w:bCs/>
          <w:color w:val="000000" w:themeColor="text1"/>
          <w:szCs w:val="26"/>
        </w:rPr>
        <w:t>: Forecast PCIA Revenues from Proposed PCIA Rates (Thousands)</w:t>
      </w:r>
    </w:p>
    <w:tbl>
      <w:tblPr>
        <w:tblStyle w:val="TableGrid"/>
        <w:tblW w:w="0" w:type="auto"/>
        <w:jc w:val="center"/>
        <w:tblLook w:val="04A0" w:firstRow="1" w:lastRow="0" w:firstColumn="1" w:lastColumn="0" w:noHBand="0" w:noVBand="1"/>
      </w:tblPr>
      <w:tblGrid>
        <w:gridCol w:w="2785"/>
        <w:gridCol w:w="1710"/>
      </w:tblGrid>
      <w:tr w:rsidRPr="00997F1C" w:rsidR="004215F8" w14:paraId="4B0BA214" w14:textId="77777777">
        <w:trPr>
          <w:jc w:val="center"/>
        </w:trPr>
        <w:tc>
          <w:tcPr>
            <w:tcW w:w="2785" w:type="dxa"/>
          </w:tcPr>
          <w:p w:rsidRPr="00997F1C" w:rsidR="003E5AEF" w:rsidP="003E5AEF" w:rsidRDefault="003E5AEF" w14:paraId="17CE8225" w14:textId="77777777">
            <w:pPr>
              <w:keepNext/>
              <w:keepLines/>
              <w:spacing w:line="240" w:lineRule="auto"/>
              <w:ind w:firstLine="0"/>
              <w:rPr>
                <w:color w:val="000000" w:themeColor="text1"/>
              </w:rPr>
            </w:pPr>
            <w:r w:rsidRPr="00997F1C">
              <w:rPr>
                <w:color w:val="000000" w:themeColor="text1"/>
              </w:rPr>
              <w:t xml:space="preserve">Bundled Customers </w:t>
            </w:r>
          </w:p>
        </w:tc>
        <w:tc>
          <w:tcPr>
            <w:tcW w:w="1710" w:type="dxa"/>
          </w:tcPr>
          <w:p w:rsidRPr="00997F1C" w:rsidR="003E5AEF" w:rsidP="003E5AEF" w:rsidRDefault="00AE520E" w14:paraId="68637851" w14:textId="5F3D370D">
            <w:pPr>
              <w:keepNext/>
              <w:keepLines/>
              <w:spacing w:line="240" w:lineRule="auto"/>
              <w:ind w:firstLine="0"/>
              <w:jc w:val="right"/>
              <w:rPr>
                <w:color w:val="000000" w:themeColor="text1"/>
              </w:rPr>
            </w:pPr>
            <w:r w:rsidRPr="00997F1C">
              <w:rPr>
                <w:color w:val="000000" w:themeColor="text1"/>
              </w:rPr>
              <w:t>$(362,845)</w:t>
            </w:r>
          </w:p>
        </w:tc>
      </w:tr>
      <w:tr w:rsidRPr="00997F1C" w:rsidR="004215F8" w14:paraId="4509D89A" w14:textId="77777777">
        <w:trPr>
          <w:jc w:val="center"/>
        </w:trPr>
        <w:tc>
          <w:tcPr>
            <w:tcW w:w="2785" w:type="dxa"/>
          </w:tcPr>
          <w:p w:rsidRPr="00997F1C" w:rsidR="003E5AEF" w:rsidP="003E5AEF" w:rsidRDefault="003E5AEF" w14:paraId="1855AD43" w14:textId="77777777">
            <w:pPr>
              <w:keepNext/>
              <w:keepLines/>
              <w:spacing w:line="240" w:lineRule="auto"/>
              <w:ind w:firstLine="0"/>
              <w:rPr>
                <w:color w:val="000000" w:themeColor="text1"/>
              </w:rPr>
            </w:pPr>
            <w:r w:rsidRPr="00997F1C">
              <w:rPr>
                <w:color w:val="000000" w:themeColor="text1"/>
              </w:rPr>
              <w:t xml:space="preserve">DA/CCA Customers </w:t>
            </w:r>
          </w:p>
        </w:tc>
        <w:tc>
          <w:tcPr>
            <w:tcW w:w="1710" w:type="dxa"/>
          </w:tcPr>
          <w:p w:rsidRPr="00997F1C" w:rsidR="003E5AEF" w:rsidP="003E5AEF" w:rsidRDefault="00AE520E" w14:paraId="29E4AE92" w14:textId="4A75D473">
            <w:pPr>
              <w:keepNext/>
              <w:keepLines/>
              <w:spacing w:line="240" w:lineRule="auto"/>
              <w:ind w:firstLine="0"/>
              <w:jc w:val="right"/>
              <w:rPr>
                <w:color w:val="000000" w:themeColor="text1"/>
              </w:rPr>
            </w:pPr>
            <w:r w:rsidRPr="00997F1C">
              <w:rPr>
                <w:color w:val="000000" w:themeColor="text1"/>
              </w:rPr>
              <w:t>1,461,901</w:t>
            </w:r>
          </w:p>
        </w:tc>
      </w:tr>
      <w:tr w:rsidRPr="00997F1C" w:rsidR="004215F8" w14:paraId="5C6C364C" w14:textId="77777777">
        <w:trPr>
          <w:jc w:val="center"/>
        </w:trPr>
        <w:tc>
          <w:tcPr>
            <w:tcW w:w="2785" w:type="dxa"/>
          </w:tcPr>
          <w:p w:rsidRPr="00997F1C" w:rsidR="003E5AEF" w:rsidP="003E5AEF" w:rsidRDefault="003E5AEF" w14:paraId="25C76350" w14:textId="77777777">
            <w:pPr>
              <w:keepLines/>
              <w:spacing w:line="240" w:lineRule="auto"/>
              <w:ind w:firstLine="0"/>
              <w:rPr>
                <w:color w:val="000000" w:themeColor="text1"/>
              </w:rPr>
            </w:pPr>
            <w:r w:rsidRPr="00997F1C">
              <w:rPr>
                <w:color w:val="000000" w:themeColor="text1"/>
              </w:rPr>
              <w:t xml:space="preserve">Total Revenues </w:t>
            </w:r>
          </w:p>
        </w:tc>
        <w:tc>
          <w:tcPr>
            <w:tcW w:w="1710" w:type="dxa"/>
          </w:tcPr>
          <w:p w:rsidRPr="00997F1C" w:rsidR="003E5AEF" w:rsidP="003E5AEF" w:rsidRDefault="00AE520E" w14:paraId="6D39C5F5" w14:textId="25641ABE">
            <w:pPr>
              <w:keepLines/>
              <w:spacing w:line="240" w:lineRule="auto"/>
              <w:ind w:firstLine="0"/>
              <w:jc w:val="right"/>
              <w:rPr>
                <w:color w:val="000000" w:themeColor="text1"/>
              </w:rPr>
            </w:pPr>
            <w:r w:rsidRPr="00997F1C">
              <w:rPr>
                <w:color w:val="000000" w:themeColor="text1"/>
              </w:rPr>
              <w:t>$1,099,056</w:t>
            </w:r>
          </w:p>
        </w:tc>
      </w:tr>
    </w:tbl>
    <w:p w:rsidRPr="00997F1C" w:rsidR="003E5AEF" w:rsidP="00D928F8" w:rsidRDefault="003E5AEF" w14:paraId="3E6BE9D6" w14:textId="77777777">
      <w:pPr>
        <w:pStyle w:val="Heading3"/>
        <w:spacing w:before="120"/>
        <w:ind w:left="2290"/>
      </w:pPr>
      <w:bookmarkStart w:name="_Toc179212743" w:id="278"/>
      <w:bookmarkStart w:name="_Toc182306138" w:id="279"/>
      <w:bookmarkStart w:name="_Toc182841809" w:id="280"/>
      <w:bookmarkStart w:name="_Toc212561193" w:id="281"/>
      <w:bookmarkStart w:name="_Toc217384671" w:id="282"/>
      <w:r w:rsidRPr="00997F1C">
        <w:t>Generation</w:t>
      </w:r>
      <w:bookmarkEnd w:id="278"/>
      <w:bookmarkEnd w:id="279"/>
      <w:bookmarkEnd w:id="280"/>
      <w:bookmarkEnd w:id="281"/>
      <w:bookmarkEnd w:id="282"/>
    </w:p>
    <w:p w:rsidRPr="00997F1C" w:rsidR="003E5AEF" w:rsidP="003E5AEF" w:rsidRDefault="003E5AEF" w14:paraId="4CF6839E" w14:textId="77777777">
      <w:pPr>
        <w:rPr>
          <w:color w:val="000000" w:themeColor="text1"/>
        </w:rPr>
      </w:pPr>
      <w:r w:rsidRPr="00997F1C">
        <w:rPr>
          <w:color w:val="000000" w:themeColor="text1"/>
        </w:rPr>
        <w:t>The generation revenue requirement used for rates is shown in Table 1.  PG&amp;E used the methodology, adopted in D.21-11-016, that allocates incremental generation revenue using an equal percentage of functional revenues.  First, PG&amp;E adjusted bundled customers’ current generation revenue, using current rates and the sales forecast for the 2026 test year, by subtracting non-allocated revenue to create an “adjusted present rate revenue.”  Next, PG&amp;E compared the adjusted present rate revenue to the total generation revenue requirement to determine the incremental generation revenue necessary to collect the generation revenue requirement.  Then PG&amp;E allocated incremental generation revenue on an equal percentage basis, such that each customer class and schedule receives the same percentage change based on its share of the adjusted present rate revenue.  The proposed generation revenue for generation rate design is the sum of the adjusted present rate revenue, non-allocated revenue, and the incremental revenue.</w:t>
      </w:r>
    </w:p>
    <w:p w:rsidRPr="00997F1C" w:rsidR="003E5AEF" w:rsidP="003E5AEF" w:rsidRDefault="003E5AEF" w14:paraId="28242C2D" w14:textId="77777777">
      <w:pPr>
        <w:rPr>
          <w:color w:val="000000" w:themeColor="text1"/>
        </w:rPr>
      </w:pPr>
      <w:r w:rsidRPr="00997F1C">
        <w:rPr>
          <w:color w:val="000000" w:themeColor="text1"/>
        </w:rPr>
        <w:t xml:space="preserve">PG&amp;E proposed to implement the change in generation revenue for each schedule in rates as an equal percentage change to each bundled service generation demand charge component for that rate schedule.  That is, the </w:t>
      </w:r>
      <w:r w:rsidRPr="00997F1C">
        <w:rPr>
          <w:color w:val="000000" w:themeColor="text1"/>
        </w:rPr>
        <w:lastRenderedPageBreak/>
        <w:t>percentage change to each generation demand charge component on a specific rate schedule would be equal to the percentage change in the schedule-level generation demand charge-related revenue.  The change in generation energy charge-related revenue for each schedule would be implemented in rates either as</w:t>
      </w:r>
      <w:proofErr w:type="gramStart"/>
      <w:r w:rsidRPr="00997F1C">
        <w:rPr>
          <w:color w:val="000000" w:themeColor="text1"/>
        </w:rPr>
        <w:t>:  (</w:t>
      </w:r>
      <w:proofErr w:type="gramEnd"/>
      <w:r w:rsidRPr="00997F1C">
        <w:rPr>
          <w:color w:val="000000" w:themeColor="text1"/>
        </w:rPr>
        <w:t>1) an equal-cent per kWh change to each bundled service generation energy charge component for that rate schedule, or (2) as an equal-percentage change to the generation energy rate.</w:t>
      </w:r>
    </w:p>
    <w:p w:rsidRPr="00997F1C" w:rsidR="003E5AEF" w:rsidP="003E5AEF" w:rsidRDefault="53E8B74B" w14:paraId="0EBF83C8" w14:textId="4158844A">
      <w:pPr>
        <w:rPr>
          <w:color w:val="000000" w:themeColor="text1"/>
        </w:rPr>
      </w:pPr>
      <w:r w:rsidRPr="00997F1C">
        <w:rPr>
          <w:color w:val="000000" w:themeColor="text1"/>
        </w:rPr>
        <w:t xml:space="preserve">Table </w:t>
      </w:r>
      <w:r w:rsidRPr="00997F1C" w:rsidR="409A4B1E">
        <w:rPr>
          <w:color w:val="000000" w:themeColor="text1"/>
        </w:rPr>
        <w:t xml:space="preserve">8 </w:t>
      </w:r>
      <w:r w:rsidRPr="00997F1C">
        <w:rPr>
          <w:color w:val="000000" w:themeColor="text1"/>
        </w:rPr>
        <w:t>presents the proposed total average generation rates for bundled customers.</w:t>
      </w:r>
      <w:r w:rsidRPr="00997F1C" w:rsidR="003E5AEF">
        <w:rPr>
          <w:color w:val="000000" w:themeColor="text1"/>
          <w:vertAlign w:val="superscript"/>
        </w:rPr>
        <w:footnoteReference w:id="164"/>
      </w:r>
      <w:r w:rsidRPr="00997F1C">
        <w:rPr>
          <w:color w:val="000000" w:themeColor="text1"/>
        </w:rPr>
        <w:t xml:space="preserve">  Bundled generation rates do not include bundled PCIA rates, which are shown separately in PG&amp;E’s rate schedule tariffs.</w:t>
      </w:r>
      <w:r w:rsidRPr="00997F1C" w:rsidR="003E5AEF">
        <w:rPr>
          <w:color w:val="000000" w:themeColor="text1"/>
          <w:vertAlign w:val="superscript"/>
        </w:rPr>
        <w:footnoteReference w:id="165"/>
      </w:r>
    </w:p>
    <w:p w:rsidRPr="00997F1C" w:rsidR="003E5AEF" w:rsidP="003E5AEF" w:rsidRDefault="003E5AEF" w14:paraId="642F436E" w14:textId="3FAB1FF6">
      <w:pPr>
        <w:keepNext/>
        <w:keepLines/>
        <w:spacing w:after="200" w:line="240" w:lineRule="auto"/>
        <w:ind w:firstLine="0"/>
        <w:jc w:val="center"/>
        <w:rPr>
          <w:b/>
          <w:bCs/>
          <w:color w:val="000000" w:themeColor="text1"/>
          <w:szCs w:val="26"/>
        </w:rPr>
      </w:pPr>
      <w:r w:rsidRPr="00997F1C">
        <w:rPr>
          <w:b/>
          <w:bCs/>
          <w:color w:val="000000" w:themeColor="text1"/>
          <w:szCs w:val="26"/>
        </w:rPr>
        <w:t xml:space="preserve">Table </w:t>
      </w:r>
      <w:r w:rsidRPr="00997F1C">
        <w:rPr>
          <w:b/>
          <w:bCs/>
          <w:color w:val="000000" w:themeColor="text1"/>
          <w:szCs w:val="26"/>
        </w:rPr>
        <w:fldChar w:fldCharType="begin"/>
      </w:r>
      <w:r w:rsidRPr="00997F1C">
        <w:rPr>
          <w:b/>
          <w:bCs/>
          <w:color w:val="000000" w:themeColor="text1"/>
          <w:szCs w:val="26"/>
        </w:rPr>
        <w:instrText xml:space="preserve"> SEQ Table \* ARABIC </w:instrText>
      </w:r>
      <w:r w:rsidRPr="00997F1C">
        <w:rPr>
          <w:b/>
          <w:bCs/>
          <w:color w:val="000000" w:themeColor="text1"/>
          <w:szCs w:val="26"/>
        </w:rPr>
        <w:fldChar w:fldCharType="separate"/>
      </w:r>
      <w:r w:rsidR="00A93519">
        <w:rPr>
          <w:b/>
          <w:bCs/>
          <w:noProof/>
          <w:color w:val="000000" w:themeColor="text1"/>
          <w:szCs w:val="26"/>
        </w:rPr>
        <w:t>8</w:t>
      </w:r>
      <w:r w:rsidRPr="00997F1C">
        <w:rPr>
          <w:b/>
          <w:bCs/>
          <w:noProof/>
          <w:color w:val="000000" w:themeColor="text1"/>
          <w:szCs w:val="26"/>
        </w:rPr>
        <w:fldChar w:fldCharType="end"/>
      </w:r>
      <w:r w:rsidRPr="00997F1C">
        <w:rPr>
          <w:b/>
          <w:bCs/>
          <w:color w:val="000000" w:themeColor="text1"/>
          <w:szCs w:val="26"/>
        </w:rPr>
        <w:t>: Proposed 2026 Average Total Generation Rates for</w:t>
      </w:r>
      <w:r w:rsidRPr="00997F1C">
        <w:rPr>
          <w:b/>
          <w:bCs/>
          <w:color w:val="000000" w:themeColor="text1"/>
          <w:szCs w:val="26"/>
        </w:rPr>
        <w:br/>
        <w:t>Bundled Customers ($/kWh)</w:t>
      </w:r>
    </w:p>
    <w:tbl>
      <w:tblPr>
        <w:tblStyle w:val="TableGrid"/>
        <w:tblW w:w="0" w:type="auto"/>
        <w:jc w:val="center"/>
        <w:tblLook w:val="04A0" w:firstRow="1" w:lastRow="0" w:firstColumn="1" w:lastColumn="0" w:noHBand="0" w:noVBand="1"/>
      </w:tblPr>
      <w:tblGrid>
        <w:gridCol w:w="3145"/>
        <w:gridCol w:w="1710"/>
      </w:tblGrid>
      <w:tr w:rsidRPr="00997F1C" w:rsidR="004215F8" w14:paraId="31C35C14" w14:textId="77777777">
        <w:trPr>
          <w:jc w:val="center"/>
        </w:trPr>
        <w:tc>
          <w:tcPr>
            <w:tcW w:w="3145" w:type="dxa"/>
          </w:tcPr>
          <w:p w:rsidRPr="00997F1C" w:rsidR="003E5AEF" w:rsidP="003E5AEF" w:rsidRDefault="003E5AEF" w14:paraId="043AC083" w14:textId="77777777">
            <w:pPr>
              <w:keepNext/>
              <w:keepLines/>
              <w:spacing w:line="240" w:lineRule="auto"/>
              <w:ind w:firstLine="0"/>
              <w:rPr>
                <w:color w:val="000000" w:themeColor="text1"/>
              </w:rPr>
            </w:pPr>
            <w:r w:rsidRPr="00997F1C">
              <w:rPr>
                <w:color w:val="000000" w:themeColor="text1"/>
              </w:rPr>
              <w:t xml:space="preserve">Residential </w:t>
            </w:r>
          </w:p>
        </w:tc>
        <w:tc>
          <w:tcPr>
            <w:tcW w:w="1710" w:type="dxa"/>
          </w:tcPr>
          <w:p w:rsidRPr="00997F1C" w:rsidR="003E5AEF" w:rsidP="003E5AEF" w:rsidRDefault="003E5AEF" w14:paraId="5CF80421" w14:textId="77777777">
            <w:pPr>
              <w:keepNext/>
              <w:keepLines/>
              <w:spacing w:line="240" w:lineRule="auto"/>
              <w:ind w:firstLine="0"/>
              <w:jc w:val="right"/>
              <w:rPr>
                <w:color w:val="000000" w:themeColor="text1"/>
              </w:rPr>
            </w:pPr>
            <w:r w:rsidRPr="00997F1C">
              <w:rPr>
                <w:color w:val="000000" w:themeColor="text1"/>
              </w:rPr>
              <w:t>$0.12349</w:t>
            </w:r>
          </w:p>
        </w:tc>
      </w:tr>
      <w:tr w:rsidRPr="00997F1C" w:rsidR="004215F8" w14:paraId="3FF9372F" w14:textId="77777777">
        <w:trPr>
          <w:jc w:val="center"/>
        </w:trPr>
        <w:tc>
          <w:tcPr>
            <w:tcW w:w="3145" w:type="dxa"/>
          </w:tcPr>
          <w:p w:rsidRPr="00997F1C" w:rsidR="003E5AEF" w:rsidP="003E5AEF" w:rsidRDefault="003E5AEF" w14:paraId="2EB028EF" w14:textId="77777777">
            <w:pPr>
              <w:keepNext/>
              <w:keepLines/>
              <w:spacing w:line="240" w:lineRule="auto"/>
              <w:ind w:firstLine="0"/>
              <w:rPr>
                <w:color w:val="000000" w:themeColor="text1"/>
              </w:rPr>
            </w:pPr>
            <w:r w:rsidRPr="00997F1C">
              <w:rPr>
                <w:color w:val="000000" w:themeColor="text1"/>
              </w:rPr>
              <w:t xml:space="preserve">Small Commercial </w:t>
            </w:r>
          </w:p>
        </w:tc>
        <w:tc>
          <w:tcPr>
            <w:tcW w:w="1710" w:type="dxa"/>
          </w:tcPr>
          <w:p w:rsidRPr="00997F1C" w:rsidR="003E5AEF" w:rsidP="003E5AEF" w:rsidRDefault="003E5AEF" w14:paraId="371F1F1C" w14:textId="77777777">
            <w:pPr>
              <w:keepLines/>
              <w:spacing w:line="240" w:lineRule="auto"/>
              <w:ind w:firstLine="0"/>
              <w:jc w:val="right"/>
              <w:rPr>
                <w:color w:val="000000" w:themeColor="text1"/>
              </w:rPr>
            </w:pPr>
            <w:r w:rsidRPr="00997F1C">
              <w:rPr>
                <w:color w:val="000000" w:themeColor="text1"/>
              </w:rPr>
              <w:t>$0.12015</w:t>
            </w:r>
          </w:p>
        </w:tc>
      </w:tr>
      <w:tr w:rsidRPr="00997F1C" w:rsidR="004215F8" w14:paraId="06737E2F" w14:textId="77777777">
        <w:trPr>
          <w:jc w:val="center"/>
        </w:trPr>
        <w:tc>
          <w:tcPr>
            <w:tcW w:w="3145" w:type="dxa"/>
          </w:tcPr>
          <w:p w:rsidRPr="00997F1C" w:rsidR="003E5AEF" w:rsidP="003E5AEF" w:rsidRDefault="003E5AEF" w14:paraId="56C6E0E3" w14:textId="77777777">
            <w:pPr>
              <w:keepNext/>
              <w:keepLines/>
              <w:spacing w:line="240" w:lineRule="auto"/>
              <w:ind w:firstLine="0"/>
              <w:rPr>
                <w:color w:val="000000" w:themeColor="text1"/>
              </w:rPr>
            </w:pPr>
            <w:r w:rsidRPr="00997F1C">
              <w:rPr>
                <w:color w:val="000000" w:themeColor="text1"/>
              </w:rPr>
              <w:t xml:space="preserve">Medium Commercial </w:t>
            </w:r>
          </w:p>
        </w:tc>
        <w:tc>
          <w:tcPr>
            <w:tcW w:w="1710" w:type="dxa"/>
          </w:tcPr>
          <w:p w:rsidRPr="00997F1C" w:rsidR="003E5AEF" w:rsidP="003E5AEF" w:rsidRDefault="003E5AEF" w14:paraId="26AE4400" w14:textId="77777777">
            <w:pPr>
              <w:keepNext/>
              <w:keepLines/>
              <w:spacing w:line="240" w:lineRule="auto"/>
              <w:ind w:firstLine="0"/>
              <w:jc w:val="right"/>
              <w:rPr>
                <w:color w:val="000000" w:themeColor="text1"/>
              </w:rPr>
            </w:pPr>
            <w:r w:rsidRPr="00997F1C">
              <w:rPr>
                <w:color w:val="000000" w:themeColor="text1"/>
              </w:rPr>
              <w:t>$0.12663</w:t>
            </w:r>
          </w:p>
        </w:tc>
      </w:tr>
      <w:tr w:rsidRPr="00997F1C" w:rsidR="004215F8" w14:paraId="08267E6D" w14:textId="77777777">
        <w:trPr>
          <w:jc w:val="center"/>
        </w:trPr>
        <w:tc>
          <w:tcPr>
            <w:tcW w:w="3145" w:type="dxa"/>
          </w:tcPr>
          <w:p w:rsidRPr="00997F1C" w:rsidR="003E5AEF" w:rsidP="003E5AEF" w:rsidRDefault="003E5AEF" w14:paraId="17BC7DCF" w14:textId="77777777">
            <w:pPr>
              <w:keepNext/>
              <w:keepLines/>
              <w:spacing w:line="240" w:lineRule="auto"/>
              <w:ind w:firstLine="0"/>
              <w:rPr>
                <w:color w:val="000000" w:themeColor="text1"/>
              </w:rPr>
            </w:pPr>
            <w:r w:rsidRPr="00997F1C">
              <w:rPr>
                <w:color w:val="000000" w:themeColor="text1"/>
              </w:rPr>
              <w:t xml:space="preserve">Large Commercial </w:t>
            </w:r>
          </w:p>
        </w:tc>
        <w:tc>
          <w:tcPr>
            <w:tcW w:w="1710" w:type="dxa"/>
          </w:tcPr>
          <w:p w:rsidRPr="00997F1C" w:rsidR="003E5AEF" w:rsidP="003E5AEF" w:rsidRDefault="003E5AEF" w14:paraId="35333289" w14:textId="77777777">
            <w:pPr>
              <w:keepLines/>
              <w:spacing w:line="240" w:lineRule="auto"/>
              <w:ind w:firstLine="0"/>
              <w:jc w:val="right"/>
              <w:rPr>
                <w:color w:val="000000" w:themeColor="text1"/>
              </w:rPr>
            </w:pPr>
            <w:r w:rsidRPr="00997F1C">
              <w:rPr>
                <w:color w:val="000000" w:themeColor="text1"/>
              </w:rPr>
              <w:t>$0.12011</w:t>
            </w:r>
          </w:p>
        </w:tc>
      </w:tr>
      <w:tr w:rsidRPr="00997F1C" w:rsidR="004215F8" w14:paraId="391CB1F6" w14:textId="77777777">
        <w:trPr>
          <w:jc w:val="center"/>
        </w:trPr>
        <w:tc>
          <w:tcPr>
            <w:tcW w:w="3145" w:type="dxa"/>
          </w:tcPr>
          <w:p w:rsidRPr="00997F1C" w:rsidR="003E5AEF" w:rsidP="003E5AEF" w:rsidRDefault="003E5AEF" w14:paraId="47CCC81B" w14:textId="77777777">
            <w:pPr>
              <w:keepNext/>
              <w:keepLines/>
              <w:spacing w:line="240" w:lineRule="auto"/>
              <w:ind w:firstLine="0"/>
              <w:rPr>
                <w:color w:val="000000" w:themeColor="text1"/>
              </w:rPr>
            </w:pPr>
            <w:r w:rsidRPr="00997F1C">
              <w:rPr>
                <w:color w:val="000000" w:themeColor="text1"/>
              </w:rPr>
              <w:t xml:space="preserve">Streetlights </w:t>
            </w:r>
          </w:p>
        </w:tc>
        <w:tc>
          <w:tcPr>
            <w:tcW w:w="1710" w:type="dxa"/>
          </w:tcPr>
          <w:p w:rsidRPr="00997F1C" w:rsidR="003E5AEF" w:rsidP="003E5AEF" w:rsidRDefault="003E5AEF" w14:paraId="1625899B" w14:textId="77777777">
            <w:pPr>
              <w:keepNext/>
              <w:keepLines/>
              <w:spacing w:line="240" w:lineRule="auto"/>
              <w:ind w:firstLine="0"/>
              <w:jc w:val="right"/>
              <w:rPr>
                <w:color w:val="000000" w:themeColor="text1"/>
              </w:rPr>
            </w:pPr>
            <w:r w:rsidRPr="00997F1C">
              <w:rPr>
                <w:color w:val="000000" w:themeColor="text1"/>
              </w:rPr>
              <w:t>$0.10085</w:t>
            </w:r>
          </w:p>
        </w:tc>
      </w:tr>
      <w:tr w:rsidRPr="00997F1C" w:rsidR="004215F8" w14:paraId="02CD4F4D" w14:textId="77777777">
        <w:trPr>
          <w:jc w:val="center"/>
        </w:trPr>
        <w:tc>
          <w:tcPr>
            <w:tcW w:w="3145" w:type="dxa"/>
          </w:tcPr>
          <w:p w:rsidRPr="00997F1C" w:rsidR="003E5AEF" w:rsidP="003E5AEF" w:rsidRDefault="003E5AEF" w14:paraId="1CE3FC1E" w14:textId="77777777">
            <w:pPr>
              <w:keepNext/>
              <w:keepLines/>
              <w:spacing w:line="240" w:lineRule="auto"/>
              <w:ind w:firstLine="0"/>
              <w:rPr>
                <w:color w:val="000000" w:themeColor="text1"/>
              </w:rPr>
            </w:pPr>
            <w:r w:rsidRPr="00997F1C">
              <w:rPr>
                <w:color w:val="000000" w:themeColor="text1"/>
              </w:rPr>
              <w:t xml:space="preserve">Standby </w:t>
            </w:r>
          </w:p>
        </w:tc>
        <w:tc>
          <w:tcPr>
            <w:tcW w:w="1710" w:type="dxa"/>
          </w:tcPr>
          <w:p w:rsidRPr="00997F1C" w:rsidR="003E5AEF" w:rsidP="003E5AEF" w:rsidRDefault="003E5AEF" w14:paraId="714BC4E4" w14:textId="77777777">
            <w:pPr>
              <w:keepNext/>
              <w:keepLines/>
              <w:spacing w:line="240" w:lineRule="auto"/>
              <w:ind w:firstLine="0"/>
              <w:jc w:val="right"/>
              <w:rPr>
                <w:color w:val="000000" w:themeColor="text1"/>
              </w:rPr>
            </w:pPr>
            <w:r w:rsidRPr="00997F1C">
              <w:rPr>
                <w:color w:val="000000" w:themeColor="text1"/>
              </w:rPr>
              <w:t>$0.08469</w:t>
            </w:r>
          </w:p>
        </w:tc>
      </w:tr>
      <w:tr w:rsidRPr="00997F1C" w:rsidR="004215F8" w14:paraId="43B30D12" w14:textId="77777777">
        <w:trPr>
          <w:jc w:val="center"/>
        </w:trPr>
        <w:tc>
          <w:tcPr>
            <w:tcW w:w="3145" w:type="dxa"/>
          </w:tcPr>
          <w:p w:rsidRPr="00997F1C" w:rsidR="003E5AEF" w:rsidP="003E5AEF" w:rsidRDefault="003E5AEF" w14:paraId="1967E2D0" w14:textId="77777777">
            <w:pPr>
              <w:keepNext/>
              <w:keepLines/>
              <w:spacing w:line="240" w:lineRule="auto"/>
              <w:ind w:firstLine="0"/>
              <w:rPr>
                <w:color w:val="000000" w:themeColor="text1"/>
              </w:rPr>
            </w:pPr>
            <w:r w:rsidRPr="00997F1C">
              <w:rPr>
                <w:color w:val="000000" w:themeColor="text1"/>
              </w:rPr>
              <w:t xml:space="preserve">Agriculture </w:t>
            </w:r>
          </w:p>
        </w:tc>
        <w:tc>
          <w:tcPr>
            <w:tcW w:w="1710" w:type="dxa"/>
          </w:tcPr>
          <w:p w:rsidRPr="00997F1C" w:rsidR="003E5AEF" w:rsidP="003E5AEF" w:rsidRDefault="003E5AEF" w14:paraId="417514FD" w14:textId="77777777">
            <w:pPr>
              <w:keepNext/>
              <w:keepLines/>
              <w:spacing w:line="240" w:lineRule="auto"/>
              <w:ind w:firstLine="0"/>
              <w:jc w:val="right"/>
              <w:rPr>
                <w:color w:val="000000" w:themeColor="text1"/>
              </w:rPr>
            </w:pPr>
            <w:r w:rsidRPr="00997F1C">
              <w:rPr>
                <w:color w:val="000000" w:themeColor="text1"/>
              </w:rPr>
              <w:t>$0.11403</w:t>
            </w:r>
          </w:p>
        </w:tc>
      </w:tr>
      <w:tr w:rsidRPr="00997F1C" w:rsidR="004215F8" w14:paraId="5424A0BF" w14:textId="77777777">
        <w:trPr>
          <w:jc w:val="center"/>
        </w:trPr>
        <w:tc>
          <w:tcPr>
            <w:tcW w:w="3145" w:type="dxa"/>
          </w:tcPr>
          <w:p w:rsidRPr="00997F1C" w:rsidR="003E5AEF" w:rsidP="003E5AEF" w:rsidRDefault="003E5AEF" w14:paraId="4709393D" w14:textId="77777777">
            <w:pPr>
              <w:keepNext/>
              <w:keepLines/>
              <w:spacing w:line="240" w:lineRule="auto"/>
              <w:ind w:firstLine="0"/>
              <w:rPr>
                <w:color w:val="000000" w:themeColor="text1"/>
              </w:rPr>
            </w:pPr>
            <w:r w:rsidRPr="00997F1C">
              <w:rPr>
                <w:color w:val="000000" w:themeColor="text1"/>
              </w:rPr>
              <w:t xml:space="preserve">B20/E20 T </w:t>
            </w:r>
          </w:p>
        </w:tc>
        <w:tc>
          <w:tcPr>
            <w:tcW w:w="1710" w:type="dxa"/>
          </w:tcPr>
          <w:p w:rsidRPr="00997F1C" w:rsidR="003E5AEF" w:rsidP="003E5AEF" w:rsidRDefault="003E5AEF" w14:paraId="47E5C0DC" w14:textId="77777777">
            <w:pPr>
              <w:keepNext/>
              <w:keepLines/>
              <w:spacing w:line="240" w:lineRule="auto"/>
              <w:ind w:firstLine="0"/>
              <w:jc w:val="right"/>
              <w:rPr>
                <w:color w:val="000000" w:themeColor="text1"/>
              </w:rPr>
            </w:pPr>
            <w:r w:rsidRPr="00997F1C">
              <w:rPr>
                <w:color w:val="000000" w:themeColor="text1"/>
              </w:rPr>
              <w:t>$0.10641</w:t>
            </w:r>
          </w:p>
        </w:tc>
      </w:tr>
      <w:tr w:rsidRPr="00997F1C" w:rsidR="004215F8" w14:paraId="681C14F6" w14:textId="77777777">
        <w:trPr>
          <w:jc w:val="center"/>
        </w:trPr>
        <w:tc>
          <w:tcPr>
            <w:tcW w:w="3145" w:type="dxa"/>
          </w:tcPr>
          <w:p w:rsidRPr="00997F1C" w:rsidR="003E5AEF" w:rsidP="003E5AEF" w:rsidRDefault="003E5AEF" w14:paraId="1C379DA6" w14:textId="77777777">
            <w:pPr>
              <w:keepNext/>
              <w:keepLines/>
              <w:spacing w:line="240" w:lineRule="auto"/>
              <w:ind w:firstLine="0"/>
              <w:rPr>
                <w:color w:val="000000" w:themeColor="text1"/>
              </w:rPr>
            </w:pPr>
            <w:r w:rsidRPr="00997F1C">
              <w:rPr>
                <w:color w:val="000000" w:themeColor="text1"/>
              </w:rPr>
              <w:t xml:space="preserve">B20/E20 P </w:t>
            </w:r>
          </w:p>
        </w:tc>
        <w:tc>
          <w:tcPr>
            <w:tcW w:w="1710" w:type="dxa"/>
          </w:tcPr>
          <w:p w:rsidRPr="00997F1C" w:rsidR="003E5AEF" w:rsidP="003E5AEF" w:rsidRDefault="003E5AEF" w14:paraId="1CA7B01D" w14:textId="77777777">
            <w:pPr>
              <w:keepNext/>
              <w:keepLines/>
              <w:spacing w:line="240" w:lineRule="auto"/>
              <w:ind w:firstLine="0"/>
              <w:jc w:val="right"/>
              <w:rPr>
                <w:color w:val="000000" w:themeColor="text1"/>
              </w:rPr>
            </w:pPr>
            <w:r w:rsidRPr="00997F1C">
              <w:rPr>
                <w:color w:val="000000" w:themeColor="text1"/>
              </w:rPr>
              <w:t>$0.10849</w:t>
            </w:r>
          </w:p>
        </w:tc>
      </w:tr>
      <w:tr w:rsidRPr="00997F1C" w:rsidR="004215F8" w14:paraId="6058D32E" w14:textId="77777777">
        <w:trPr>
          <w:jc w:val="center"/>
        </w:trPr>
        <w:tc>
          <w:tcPr>
            <w:tcW w:w="3145" w:type="dxa"/>
          </w:tcPr>
          <w:p w:rsidRPr="00997F1C" w:rsidR="003E5AEF" w:rsidP="003E5AEF" w:rsidRDefault="003E5AEF" w14:paraId="185D05B3" w14:textId="77777777">
            <w:pPr>
              <w:keepNext/>
              <w:keepLines/>
              <w:spacing w:line="240" w:lineRule="auto"/>
              <w:ind w:firstLine="0"/>
              <w:rPr>
                <w:color w:val="000000" w:themeColor="text1"/>
              </w:rPr>
            </w:pPr>
            <w:r w:rsidRPr="00997F1C">
              <w:rPr>
                <w:color w:val="000000" w:themeColor="text1"/>
              </w:rPr>
              <w:t xml:space="preserve">B20/E20 S </w:t>
            </w:r>
          </w:p>
        </w:tc>
        <w:tc>
          <w:tcPr>
            <w:tcW w:w="1710" w:type="dxa"/>
          </w:tcPr>
          <w:p w:rsidRPr="00997F1C" w:rsidR="003E5AEF" w:rsidP="003E5AEF" w:rsidRDefault="003E5AEF" w14:paraId="43B05FD2" w14:textId="77777777">
            <w:pPr>
              <w:keepNext/>
              <w:keepLines/>
              <w:spacing w:line="240" w:lineRule="auto"/>
              <w:ind w:firstLine="0"/>
              <w:jc w:val="right"/>
              <w:rPr>
                <w:color w:val="000000" w:themeColor="text1"/>
              </w:rPr>
            </w:pPr>
            <w:r w:rsidRPr="00997F1C">
              <w:rPr>
                <w:color w:val="000000" w:themeColor="text1"/>
              </w:rPr>
              <w:t>$0.11217</w:t>
            </w:r>
          </w:p>
        </w:tc>
      </w:tr>
      <w:tr w:rsidRPr="00997F1C" w:rsidR="004215F8" w14:paraId="7EDE07F8" w14:textId="77777777">
        <w:trPr>
          <w:jc w:val="center"/>
        </w:trPr>
        <w:tc>
          <w:tcPr>
            <w:tcW w:w="3145" w:type="dxa"/>
          </w:tcPr>
          <w:p w:rsidRPr="00997F1C" w:rsidR="00F313CA" w:rsidP="00F313CA" w:rsidRDefault="00F313CA" w14:paraId="4AAA6806" w14:textId="77777777">
            <w:pPr>
              <w:keepNext/>
              <w:keepLines/>
              <w:spacing w:line="240" w:lineRule="auto"/>
              <w:ind w:firstLine="0"/>
              <w:rPr>
                <w:color w:val="000000" w:themeColor="text1"/>
              </w:rPr>
            </w:pPr>
            <w:r w:rsidRPr="00997F1C">
              <w:rPr>
                <w:color w:val="000000" w:themeColor="text1"/>
              </w:rPr>
              <w:t xml:space="preserve">BEV1 </w:t>
            </w:r>
          </w:p>
        </w:tc>
        <w:tc>
          <w:tcPr>
            <w:tcW w:w="1710" w:type="dxa"/>
          </w:tcPr>
          <w:p w:rsidRPr="00997F1C" w:rsidR="00F313CA" w:rsidP="00F313CA" w:rsidRDefault="00F313CA" w14:paraId="06657FA1" w14:textId="7BD7DEB9">
            <w:pPr>
              <w:keepNext/>
              <w:keepLines/>
              <w:spacing w:line="240" w:lineRule="auto"/>
              <w:ind w:firstLine="0"/>
              <w:jc w:val="right"/>
              <w:rPr>
                <w:color w:val="000000" w:themeColor="text1"/>
              </w:rPr>
            </w:pPr>
            <w:r w:rsidRPr="00997F1C">
              <w:rPr>
                <w:color w:val="000000" w:themeColor="text1"/>
              </w:rPr>
              <w:t xml:space="preserve">$0.09785 </w:t>
            </w:r>
          </w:p>
        </w:tc>
      </w:tr>
      <w:tr w:rsidRPr="00997F1C" w:rsidR="004215F8" w14:paraId="47B70453" w14:textId="77777777">
        <w:trPr>
          <w:jc w:val="center"/>
        </w:trPr>
        <w:tc>
          <w:tcPr>
            <w:tcW w:w="3145" w:type="dxa"/>
          </w:tcPr>
          <w:p w:rsidRPr="00997F1C" w:rsidR="00F313CA" w:rsidP="00F313CA" w:rsidRDefault="00F313CA" w14:paraId="26E4B60C" w14:textId="77777777">
            <w:pPr>
              <w:keepLines/>
              <w:spacing w:line="240" w:lineRule="auto"/>
              <w:ind w:firstLine="0"/>
              <w:rPr>
                <w:color w:val="000000" w:themeColor="text1"/>
              </w:rPr>
            </w:pPr>
            <w:r w:rsidRPr="00997F1C">
              <w:rPr>
                <w:color w:val="000000" w:themeColor="text1"/>
              </w:rPr>
              <w:t xml:space="preserve">BEV2 </w:t>
            </w:r>
          </w:p>
        </w:tc>
        <w:tc>
          <w:tcPr>
            <w:tcW w:w="1710" w:type="dxa"/>
          </w:tcPr>
          <w:p w:rsidRPr="00997F1C" w:rsidR="00F313CA" w:rsidP="00F313CA" w:rsidRDefault="00F313CA" w14:paraId="2F28B510" w14:textId="2388693A">
            <w:pPr>
              <w:keepLines/>
              <w:spacing w:line="240" w:lineRule="auto"/>
              <w:ind w:firstLine="0"/>
              <w:jc w:val="right"/>
              <w:rPr>
                <w:color w:val="000000" w:themeColor="text1"/>
              </w:rPr>
            </w:pPr>
            <w:r w:rsidRPr="00997F1C">
              <w:rPr>
                <w:color w:val="000000" w:themeColor="text1"/>
              </w:rPr>
              <w:t xml:space="preserve">$0.11296 </w:t>
            </w:r>
          </w:p>
        </w:tc>
      </w:tr>
    </w:tbl>
    <w:p w:rsidRPr="00997F1C" w:rsidR="003E5AEF" w:rsidP="00D928F8" w:rsidRDefault="003E5AEF" w14:paraId="532DB201" w14:textId="77777777">
      <w:pPr>
        <w:pStyle w:val="Heading3"/>
        <w:spacing w:before="120"/>
        <w:ind w:left="2290"/>
      </w:pPr>
      <w:bookmarkStart w:name="_Toc179212744" w:id="283"/>
      <w:bookmarkStart w:name="_Toc182306139" w:id="284"/>
      <w:bookmarkStart w:name="_Toc182841810" w:id="285"/>
      <w:bookmarkStart w:name="_Toc212561194" w:id="286"/>
      <w:bookmarkStart w:name="_Toc217384672" w:id="287"/>
      <w:r w:rsidRPr="00997F1C">
        <w:t>Ongoing CTC</w:t>
      </w:r>
      <w:bookmarkEnd w:id="283"/>
      <w:bookmarkEnd w:id="284"/>
      <w:bookmarkEnd w:id="285"/>
      <w:bookmarkEnd w:id="286"/>
      <w:bookmarkEnd w:id="287"/>
    </w:p>
    <w:p w:rsidRPr="00997F1C" w:rsidR="003E5AEF" w:rsidP="003E5AEF" w:rsidRDefault="53E8B74B" w14:paraId="1B129FA4" w14:textId="77777777">
      <w:pPr>
        <w:rPr>
          <w:color w:val="000000" w:themeColor="text1"/>
        </w:rPr>
      </w:pPr>
      <w:r w:rsidRPr="00997F1C">
        <w:rPr>
          <w:color w:val="000000" w:themeColor="text1"/>
        </w:rPr>
        <w:t xml:space="preserve">PG&amp;E stated that, pursuant to D.18-10-019, Ongoing CTC revenue requirements are allocated to each customer class using the same generation </w:t>
      </w:r>
      <w:r w:rsidRPr="00997F1C">
        <w:rPr>
          <w:color w:val="000000" w:themeColor="text1"/>
        </w:rPr>
        <w:lastRenderedPageBreak/>
        <w:t>allocation methodology used to design bundled generation rates.</w:t>
      </w:r>
      <w:r w:rsidRPr="00997F1C" w:rsidR="003E5AEF">
        <w:rPr>
          <w:color w:val="000000" w:themeColor="text1"/>
          <w:vertAlign w:val="superscript"/>
        </w:rPr>
        <w:footnoteReference w:id="166"/>
      </w:r>
      <w:r w:rsidRPr="00997F1C">
        <w:rPr>
          <w:color w:val="000000" w:themeColor="text1"/>
        </w:rPr>
        <w:t xml:space="preserve">  Eligible departed load customers pay the same class-differentiated ongoing CTC rates as bundled, DA, and CCA customers.  PG&amp;E calculated rates by dividing the allocated revenue for the class by the corresponding 2025 forecast sales.  Table 9 shows PG&amp;E’s proposed Ongoing CTC rates for bundled, DA, CCA, and eligible departed load customers.</w:t>
      </w:r>
      <w:r w:rsidRPr="00997F1C" w:rsidR="003E5AEF">
        <w:rPr>
          <w:color w:val="000000" w:themeColor="text1"/>
          <w:vertAlign w:val="superscript"/>
        </w:rPr>
        <w:footnoteReference w:id="167"/>
      </w:r>
    </w:p>
    <w:p w:rsidRPr="00997F1C" w:rsidR="003E5AEF" w:rsidP="003E5AEF" w:rsidRDefault="003E5AEF" w14:paraId="348310CC" w14:textId="0A6AF8DF">
      <w:pPr>
        <w:keepNext/>
        <w:keepLines/>
        <w:spacing w:after="200" w:line="240" w:lineRule="auto"/>
        <w:ind w:firstLine="0"/>
        <w:jc w:val="center"/>
        <w:rPr>
          <w:b/>
          <w:bCs/>
          <w:color w:val="000000" w:themeColor="text1"/>
          <w:szCs w:val="26"/>
        </w:rPr>
      </w:pPr>
      <w:r w:rsidRPr="00997F1C">
        <w:rPr>
          <w:b/>
          <w:bCs/>
          <w:color w:val="000000" w:themeColor="text1"/>
          <w:szCs w:val="26"/>
        </w:rPr>
        <w:t xml:space="preserve">Table </w:t>
      </w:r>
      <w:r w:rsidRPr="00997F1C">
        <w:rPr>
          <w:b/>
          <w:bCs/>
          <w:color w:val="000000" w:themeColor="text1"/>
          <w:szCs w:val="26"/>
        </w:rPr>
        <w:fldChar w:fldCharType="begin"/>
      </w:r>
      <w:r w:rsidRPr="00997F1C">
        <w:rPr>
          <w:b/>
          <w:bCs/>
          <w:color w:val="000000" w:themeColor="text1"/>
          <w:szCs w:val="26"/>
        </w:rPr>
        <w:instrText xml:space="preserve"> SEQ Table \* ARABIC </w:instrText>
      </w:r>
      <w:r w:rsidRPr="00997F1C">
        <w:rPr>
          <w:b/>
          <w:bCs/>
          <w:color w:val="000000" w:themeColor="text1"/>
          <w:szCs w:val="26"/>
        </w:rPr>
        <w:fldChar w:fldCharType="separate"/>
      </w:r>
      <w:r w:rsidR="00A93519">
        <w:rPr>
          <w:b/>
          <w:bCs/>
          <w:noProof/>
          <w:color w:val="000000" w:themeColor="text1"/>
          <w:szCs w:val="26"/>
        </w:rPr>
        <w:t>9</w:t>
      </w:r>
      <w:r w:rsidRPr="00997F1C">
        <w:rPr>
          <w:b/>
          <w:bCs/>
          <w:noProof/>
          <w:color w:val="000000" w:themeColor="text1"/>
          <w:szCs w:val="26"/>
        </w:rPr>
        <w:fldChar w:fldCharType="end"/>
      </w:r>
      <w:r w:rsidRPr="00997F1C">
        <w:rPr>
          <w:b/>
          <w:bCs/>
          <w:color w:val="000000" w:themeColor="text1"/>
          <w:szCs w:val="26"/>
        </w:rPr>
        <w:t>: Proposed 2026 Ongoing Competition Transition</w:t>
      </w:r>
      <w:r w:rsidRPr="00997F1C">
        <w:rPr>
          <w:b/>
          <w:bCs/>
          <w:color w:val="000000" w:themeColor="text1"/>
          <w:szCs w:val="26"/>
        </w:rPr>
        <w:br/>
        <w:t>Charge Rates ($/kWh)</w:t>
      </w:r>
    </w:p>
    <w:tbl>
      <w:tblPr>
        <w:tblStyle w:val="TableGrid"/>
        <w:tblW w:w="0" w:type="auto"/>
        <w:jc w:val="center"/>
        <w:tblLook w:val="04A0" w:firstRow="1" w:lastRow="0" w:firstColumn="1" w:lastColumn="0" w:noHBand="0" w:noVBand="1"/>
      </w:tblPr>
      <w:tblGrid>
        <w:gridCol w:w="3145"/>
        <w:gridCol w:w="1440"/>
      </w:tblGrid>
      <w:tr w:rsidRPr="00997F1C" w:rsidR="004215F8" w14:paraId="56F5901F" w14:textId="77777777">
        <w:trPr>
          <w:jc w:val="center"/>
        </w:trPr>
        <w:tc>
          <w:tcPr>
            <w:tcW w:w="3145" w:type="dxa"/>
          </w:tcPr>
          <w:p w:rsidRPr="00997F1C" w:rsidR="003E5AEF" w:rsidP="003E5AEF" w:rsidRDefault="003E5AEF" w14:paraId="2328411F" w14:textId="77777777">
            <w:pPr>
              <w:keepNext/>
              <w:keepLines/>
              <w:spacing w:line="240" w:lineRule="auto"/>
              <w:ind w:firstLine="0"/>
              <w:rPr>
                <w:color w:val="000000" w:themeColor="text1"/>
              </w:rPr>
            </w:pPr>
            <w:r w:rsidRPr="00997F1C">
              <w:rPr>
                <w:color w:val="000000" w:themeColor="text1"/>
              </w:rPr>
              <w:t xml:space="preserve">Residential </w:t>
            </w:r>
          </w:p>
        </w:tc>
        <w:tc>
          <w:tcPr>
            <w:tcW w:w="1440" w:type="dxa"/>
          </w:tcPr>
          <w:p w:rsidRPr="00997F1C" w:rsidR="003E5AEF" w:rsidP="003E5AEF" w:rsidRDefault="003E5AEF" w14:paraId="5A570206" w14:textId="77777777">
            <w:pPr>
              <w:keepNext/>
              <w:keepLines/>
              <w:spacing w:line="240" w:lineRule="auto"/>
              <w:ind w:firstLine="0"/>
              <w:jc w:val="right"/>
              <w:rPr>
                <w:color w:val="000000" w:themeColor="text1"/>
              </w:rPr>
            </w:pPr>
            <w:r w:rsidRPr="00997F1C">
              <w:rPr>
                <w:color w:val="000000" w:themeColor="text1"/>
              </w:rPr>
              <w:t>$0.00046</w:t>
            </w:r>
          </w:p>
        </w:tc>
      </w:tr>
      <w:tr w:rsidRPr="00997F1C" w:rsidR="004215F8" w14:paraId="6B5BF183" w14:textId="77777777">
        <w:trPr>
          <w:jc w:val="center"/>
        </w:trPr>
        <w:tc>
          <w:tcPr>
            <w:tcW w:w="3145" w:type="dxa"/>
          </w:tcPr>
          <w:p w:rsidRPr="00997F1C" w:rsidR="003E5AEF" w:rsidP="003E5AEF" w:rsidRDefault="003E5AEF" w14:paraId="25A6DD57" w14:textId="77777777">
            <w:pPr>
              <w:keepNext/>
              <w:keepLines/>
              <w:spacing w:line="240" w:lineRule="auto"/>
              <w:ind w:firstLine="0"/>
              <w:rPr>
                <w:color w:val="000000" w:themeColor="text1"/>
              </w:rPr>
            </w:pPr>
            <w:r w:rsidRPr="00997F1C">
              <w:rPr>
                <w:color w:val="000000" w:themeColor="text1"/>
              </w:rPr>
              <w:t xml:space="preserve">Small Commercial </w:t>
            </w:r>
          </w:p>
        </w:tc>
        <w:tc>
          <w:tcPr>
            <w:tcW w:w="1440" w:type="dxa"/>
          </w:tcPr>
          <w:p w:rsidRPr="00997F1C" w:rsidR="003E5AEF" w:rsidP="003E5AEF" w:rsidRDefault="003E5AEF" w14:paraId="0D86118C" w14:textId="77777777">
            <w:pPr>
              <w:keepNext/>
              <w:keepLines/>
              <w:spacing w:line="240" w:lineRule="auto"/>
              <w:ind w:firstLine="0"/>
              <w:jc w:val="right"/>
              <w:rPr>
                <w:color w:val="000000" w:themeColor="text1"/>
              </w:rPr>
            </w:pPr>
            <w:r w:rsidRPr="00997F1C">
              <w:rPr>
                <w:color w:val="000000" w:themeColor="text1"/>
              </w:rPr>
              <w:t>$0.00045</w:t>
            </w:r>
          </w:p>
        </w:tc>
      </w:tr>
      <w:tr w:rsidRPr="00997F1C" w:rsidR="004215F8" w14:paraId="5278300A" w14:textId="77777777">
        <w:trPr>
          <w:jc w:val="center"/>
        </w:trPr>
        <w:tc>
          <w:tcPr>
            <w:tcW w:w="3145" w:type="dxa"/>
          </w:tcPr>
          <w:p w:rsidRPr="00997F1C" w:rsidR="003E5AEF" w:rsidP="003E5AEF" w:rsidRDefault="003E5AEF" w14:paraId="414D1DA2" w14:textId="77777777">
            <w:pPr>
              <w:keepNext/>
              <w:keepLines/>
              <w:spacing w:line="240" w:lineRule="auto"/>
              <w:ind w:firstLine="0"/>
              <w:rPr>
                <w:color w:val="000000" w:themeColor="text1"/>
              </w:rPr>
            </w:pPr>
            <w:r w:rsidRPr="00997F1C">
              <w:rPr>
                <w:color w:val="000000" w:themeColor="text1"/>
              </w:rPr>
              <w:t xml:space="preserve">Medium Commercial </w:t>
            </w:r>
          </w:p>
        </w:tc>
        <w:tc>
          <w:tcPr>
            <w:tcW w:w="1440" w:type="dxa"/>
          </w:tcPr>
          <w:p w:rsidRPr="00997F1C" w:rsidR="003E5AEF" w:rsidP="003E5AEF" w:rsidRDefault="003E5AEF" w14:paraId="4676B12F" w14:textId="77777777">
            <w:pPr>
              <w:keepLines/>
              <w:spacing w:line="240" w:lineRule="auto"/>
              <w:ind w:firstLine="0"/>
              <w:jc w:val="right"/>
              <w:rPr>
                <w:color w:val="000000" w:themeColor="text1"/>
              </w:rPr>
            </w:pPr>
            <w:r w:rsidRPr="00997F1C">
              <w:rPr>
                <w:color w:val="000000" w:themeColor="text1"/>
              </w:rPr>
              <w:t>$0.00047</w:t>
            </w:r>
          </w:p>
        </w:tc>
      </w:tr>
      <w:tr w:rsidRPr="00997F1C" w:rsidR="004215F8" w14:paraId="22EF301A" w14:textId="77777777">
        <w:trPr>
          <w:jc w:val="center"/>
        </w:trPr>
        <w:tc>
          <w:tcPr>
            <w:tcW w:w="3145" w:type="dxa"/>
          </w:tcPr>
          <w:p w:rsidRPr="00997F1C" w:rsidR="003E5AEF" w:rsidP="003E5AEF" w:rsidRDefault="003E5AEF" w14:paraId="67D7D2E9" w14:textId="77777777">
            <w:pPr>
              <w:keepNext/>
              <w:keepLines/>
              <w:spacing w:line="240" w:lineRule="auto"/>
              <w:ind w:firstLine="0"/>
              <w:rPr>
                <w:color w:val="000000" w:themeColor="text1"/>
              </w:rPr>
            </w:pPr>
            <w:r w:rsidRPr="00997F1C">
              <w:rPr>
                <w:color w:val="000000" w:themeColor="text1"/>
              </w:rPr>
              <w:t xml:space="preserve">Large Commercial </w:t>
            </w:r>
          </w:p>
        </w:tc>
        <w:tc>
          <w:tcPr>
            <w:tcW w:w="1440" w:type="dxa"/>
          </w:tcPr>
          <w:p w:rsidRPr="00997F1C" w:rsidR="003E5AEF" w:rsidP="003E5AEF" w:rsidRDefault="003E5AEF" w14:paraId="5DC32855" w14:textId="77777777">
            <w:pPr>
              <w:keepNext/>
              <w:keepLines/>
              <w:spacing w:line="240" w:lineRule="auto"/>
              <w:ind w:firstLine="0"/>
              <w:jc w:val="right"/>
              <w:rPr>
                <w:color w:val="000000" w:themeColor="text1"/>
              </w:rPr>
            </w:pPr>
            <w:r w:rsidRPr="00997F1C">
              <w:rPr>
                <w:color w:val="000000" w:themeColor="text1"/>
              </w:rPr>
              <w:t>$0.00045</w:t>
            </w:r>
          </w:p>
        </w:tc>
      </w:tr>
      <w:tr w:rsidRPr="00997F1C" w:rsidR="004215F8" w14:paraId="43A9443C" w14:textId="77777777">
        <w:trPr>
          <w:jc w:val="center"/>
        </w:trPr>
        <w:tc>
          <w:tcPr>
            <w:tcW w:w="3145" w:type="dxa"/>
          </w:tcPr>
          <w:p w:rsidRPr="00997F1C" w:rsidR="003E5AEF" w:rsidP="003E5AEF" w:rsidRDefault="003E5AEF" w14:paraId="4D152C83" w14:textId="77777777">
            <w:pPr>
              <w:keepNext/>
              <w:keepLines/>
              <w:spacing w:line="240" w:lineRule="auto"/>
              <w:ind w:firstLine="0"/>
              <w:rPr>
                <w:color w:val="000000" w:themeColor="text1"/>
              </w:rPr>
            </w:pPr>
            <w:r w:rsidRPr="00997F1C">
              <w:rPr>
                <w:color w:val="000000" w:themeColor="text1"/>
              </w:rPr>
              <w:t xml:space="preserve">Streetlights </w:t>
            </w:r>
          </w:p>
        </w:tc>
        <w:tc>
          <w:tcPr>
            <w:tcW w:w="1440" w:type="dxa"/>
          </w:tcPr>
          <w:p w:rsidRPr="00997F1C" w:rsidR="003E5AEF" w:rsidP="003E5AEF" w:rsidRDefault="003E5AEF" w14:paraId="405979FA" w14:textId="77777777">
            <w:pPr>
              <w:keepNext/>
              <w:keepLines/>
              <w:spacing w:line="240" w:lineRule="auto"/>
              <w:ind w:firstLine="0"/>
              <w:jc w:val="right"/>
              <w:rPr>
                <w:color w:val="000000" w:themeColor="text1"/>
              </w:rPr>
            </w:pPr>
            <w:r w:rsidRPr="00997F1C">
              <w:rPr>
                <w:color w:val="000000" w:themeColor="text1"/>
              </w:rPr>
              <w:t>$0.00038</w:t>
            </w:r>
          </w:p>
        </w:tc>
      </w:tr>
      <w:tr w:rsidRPr="00997F1C" w:rsidR="004215F8" w14:paraId="7E88AC0B" w14:textId="77777777">
        <w:trPr>
          <w:jc w:val="center"/>
        </w:trPr>
        <w:tc>
          <w:tcPr>
            <w:tcW w:w="3145" w:type="dxa"/>
          </w:tcPr>
          <w:p w:rsidRPr="00997F1C" w:rsidR="003E5AEF" w:rsidP="003E5AEF" w:rsidRDefault="003E5AEF" w14:paraId="4FAB9886" w14:textId="77777777">
            <w:pPr>
              <w:keepNext/>
              <w:keepLines/>
              <w:spacing w:line="240" w:lineRule="auto"/>
              <w:ind w:firstLine="0"/>
              <w:rPr>
                <w:color w:val="000000" w:themeColor="text1"/>
              </w:rPr>
            </w:pPr>
            <w:r w:rsidRPr="00997F1C">
              <w:rPr>
                <w:color w:val="000000" w:themeColor="text1"/>
              </w:rPr>
              <w:t xml:space="preserve">Standby </w:t>
            </w:r>
          </w:p>
        </w:tc>
        <w:tc>
          <w:tcPr>
            <w:tcW w:w="1440" w:type="dxa"/>
          </w:tcPr>
          <w:p w:rsidRPr="00997F1C" w:rsidR="003E5AEF" w:rsidP="003E5AEF" w:rsidRDefault="003E5AEF" w14:paraId="050727A6" w14:textId="77777777">
            <w:pPr>
              <w:keepNext/>
              <w:keepLines/>
              <w:spacing w:line="240" w:lineRule="auto"/>
              <w:ind w:firstLine="0"/>
              <w:jc w:val="right"/>
              <w:rPr>
                <w:color w:val="000000" w:themeColor="text1"/>
              </w:rPr>
            </w:pPr>
            <w:r w:rsidRPr="00997F1C">
              <w:rPr>
                <w:color w:val="000000" w:themeColor="text1"/>
              </w:rPr>
              <w:t>$0.00032</w:t>
            </w:r>
          </w:p>
        </w:tc>
      </w:tr>
      <w:tr w:rsidRPr="00997F1C" w:rsidR="004215F8" w14:paraId="0A36E2D2" w14:textId="77777777">
        <w:trPr>
          <w:jc w:val="center"/>
        </w:trPr>
        <w:tc>
          <w:tcPr>
            <w:tcW w:w="3145" w:type="dxa"/>
          </w:tcPr>
          <w:p w:rsidRPr="00997F1C" w:rsidR="003E5AEF" w:rsidP="003E5AEF" w:rsidRDefault="003E5AEF" w14:paraId="5C3D30A8" w14:textId="77777777">
            <w:pPr>
              <w:keepNext/>
              <w:keepLines/>
              <w:spacing w:line="240" w:lineRule="auto"/>
              <w:ind w:firstLine="0"/>
              <w:rPr>
                <w:color w:val="000000" w:themeColor="text1"/>
              </w:rPr>
            </w:pPr>
            <w:r w:rsidRPr="00997F1C">
              <w:rPr>
                <w:color w:val="000000" w:themeColor="text1"/>
              </w:rPr>
              <w:t xml:space="preserve">Agriculture </w:t>
            </w:r>
          </w:p>
        </w:tc>
        <w:tc>
          <w:tcPr>
            <w:tcW w:w="1440" w:type="dxa"/>
          </w:tcPr>
          <w:p w:rsidRPr="00997F1C" w:rsidR="003E5AEF" w:rsidP="003E5AEF" w:rsidRDefault="003E5AEF" w14:paraId="3280973E" w14:textId="77777777">
            <w:pPr>
              <w:keepNext/>
              <w:keepLines/>
              <w:spacing w:line="240" w:lineRule="auto"/>
              <w:ind w:firstLine="0"/>
              <w:jc w:val="right"/>
              <w:rPr>
                <w:color w:val="000000" w:themeColor="text1"/>
              </w:rPr>
            </w:pPr>
            <w:r w:rsidRPr="00997F1C">
              <w:rPr>
                <w:color w:val="000000" w:themeColor="text1"/>
              </w:rPr>
              <w:t>$0.00043</w:t>
            </w:r>
          </w:p>
        </w:tc>
      </w:tr>
      <w:tr w:rsidRPr="00997F1C" w:rsidR="004215F8" w14:paraId="6DD48329" w14:textId="77777777">
        <w:trPr>
          <w:jc w:val="center"/>
        </w:trPr>
        <w:tc>
          <w:tcPr>
            <w:tcW w:w="3145" w:type="dxa"/>
          </w:tcPr>
          <w:p w:rsidRPr="00997F1C" w:rsidR="003E5AEF" w:rsidP="003E5AEF" w:rsidRDefault="003E5AEF" w14:paraId="76A835BA" w14:textId="77777777">
            <w:pPr>
              <w:keepNext/>
              <w:keepLines/>
              <w:spacing w:line="240" w:lineRule="auto"/>
              <w:ind w:firstLine="0"/>
              <w:rPr>
                <w:color w:val="000000" w:themeColor="text1"/>
              </w:rPr>
            </w:pPr>
            <w:r w:rsidRPr="00997F1C">
              <w:rPr>
                <w:color w:val="000000" w:themeColor="text1"/>
              </w:rPr>
              <w:t xml:space="preserve">B20/E20 T </w:t>
            </w:r>
          </w:p>
        </w:tc>
        <w:tc>
          <w:tcPr>
            <w:tcW w:w="1440" w:type="dxa"/>
          </w:tcPr>
          <w:p w:rsidRPr="00997F1C" w:rsidR="003E5AEF" w:rsidP="003E5AEF" w:rsidRDefault="003E5AEF" w14:paraId="2E221D8D" w14:textId="77777777">
            <w:pPr>
              <w:keepNext/>
              <w:keepLines/>
              <w:spacing w:line="240" w:lineRule="auto"/>
              <w:ind w:firstLine="0"/>
              <w:jc w:val="right"/>
              <w:rPr>
                <w:color w:val="000000" w:themeColor="text1"/>
              </w:rPr>
            </w:pPr>
            <w:r w:rsidRPr="00997F1C">
              <w:rPr>
                <w:color w:val="000000" w:themeColor="text1"/>
              </w:rPr>
              <w:t>$0.00040</w:t>
            </w:r>
          </w:p>
        </w:tc>
      </w:tr>
      <w:tr w:rsidRPr="00997F1C" w:rsidR="004215F8" w14:paraId="74224D38" w14:textId="77777777">
        <w:trPr>
          <w:jc w:val="center"/>
        </w:trPr>
        <w:tc>
          <w:tcPr>
            <w:tcW w:w="3145" w:type="dxa"/>
          </w:tcPr>
          <w:p w:rsidRPr="00997F1C" w:rsidR="003E5AEF" w:rsidP="003E5AEF" w:rsidRDefault="003E5AEF" w14:paraId="0CB8AD0A" w14:textId="77777777">
            <w:pPr>
              <w:keepNext/>
              <w:keepLines/>
              <w:spacing w:line="240" w:lineRule="auto"/>
              <w:ind w:firstLine="0"/>
              <w:rPr>
                <w:color w:val="000000" w:themeColor="text1"/>
              </w:rPr>
            </w:pPr>
            <w:r w:rsidRPr="00997F1C">
              <w:rPr>
                <w:color w:val="000000" w:themeColor="text1"/>
              </w:rPr>
              <w:t xml:space="preserve">B20/E20 P </w:t>
            </w:r>
          </w:p>
        </w:tc>
        <w:tc>
          <w:tcPr>
            <w:tcW w:w="1440" w:type="dxa"/>
          </w:tcPr>
          <w:p w:rsidRPr="00997F1C" w:rsidR="003E5AEF" w:rsidP="003E5AEF" w:rsidRDefault="003E5AEF" w14:paraId="23D316E6" w14:textId="77777777">
            <w:pPr>
              <w:keepNext/>
              <w:keepLines/>
              <w:spacing w:line="240" w:lineRule="auto"/>
              <w:ind w:firstLine="0"/>
              <w:jc w:val="right"/>
              <w:rPr>
                <w:color w:val="000000" w:themeColor="text1"/>
              </w:rPr>
            </w:pPr>
            <w:r w:rsidRPr="00997F1C">
              <w:rPr>
                <w:color w:val="000000" w:themeColor="text1"/>
              </w:rPr>
              <w:t>$0.00041</w:t>
            </w:r>
          </w:p>
        </w:tc>
      </w:tr>
      <w:tr w:rsidRPr="00997F1C" w:rsidR="004215F8" w14:paraId="357C7A90" w14:textId="77777777">
        <w:trPr>
          <w:jc w:val="center"/>
        </w:trPr>
        <w:tc>
          <w:tcPr>
            <w:tcW w:w="3145" w:type="dxa"/>
          </w:tcPr>
          <w:p w:rsidRPr="00997F1C" w:rsidR="003E5AEF" w:rsidP="003E5AEF" w:rsidRDefault="003E5AEF" w14:paraId="62F94B1D" w14:textId="77777777">
            <w:pPr>
              <w:keepNext/>
              <w:keepLines/>
              <w:spacing w:line="240" w:lineRule="auto"/>
              <w:ind w:firstLine="0"/>
              <w:rPr>
                <w:color w:val="000000" w:themeColor="text1"/>
              </w:rPr>
            </w:pPr>
            <w:r w:rsidRPr="00997F1C">
              <w:rPr>
                <w:color w:val="000000" w:themeColor="text1"/>
              </w:rPr>
              <w:t xml:space="preserve">B20/E20 S </w:t>
            </w:r>
          </w:p>
        </w:tc>
        <w:tc>
          <w:tcPr>
            <w:tcW w:w="1440" w:type="dxa"/>
          </w:tcPr>
          <w:p w:rsidRPr="00997F1C" w:rsidR="003E5AEF" w:rsidP="003E5AEF" w:rsidRDefault="003E5AEF" w14:paraId="10C3756C" w14:textId="77777777">
            <w:pPr>
              <w:keepNext/>
              <w:keepLines/>
              <w:spacing w:line="240" w:lineRule="auto"/>
              <w:ind w:firstLine="0"/>
              <w:jc w:val="right"/>
              <w:rPr>
                <w:color w:val="000000" w:themeColor="text1"/>
              </w:rPr>
            </w:pPr>
            <w:r w:rsidRPr="00997F1C">
              <w:rPr>
                <w:color w:val="000000" w:themeColor="text1"/>
              </w:rPr>
              <w:t>$0.00042</w:t>
            </w:r>
          </w:p>
        </w:tc>
      </w:tr>
      <w:tr w:rsidRPr="00997F1C" w:rsidR="004215F8" w14:paraId="346EEC00" w14:textId="77777777">
        <w:trPr>
          <w:jc w:val="center"/>
        </w:trPr>
        <w:tc>
          <w:tcPr>
            <w:tcW w:w="3145" w:type="dxa"/>
          </w:tcPr>
          <w:p w:rsidRPr="00997F1C" w:rsidR="003E5AEF" w:rsidP="003E5AEF" w:rsidRDefault="003E5AEF" w14:paraId="0376C759" w14:textId="77777777">
            <w:pPr>
              <w:keepNext/>
              <w:keepLines/>
              <w:spacing w:line="240" w:lineRule="auto"/>
              <w:ind w:firstLine="0"/>
              <w:rPr>
                <w:color w:val="000000" w:themeColor="text1"/>
              </w:rPr>
            </w:pPr>
            <w:r w:rsidRPr="00997F1C">
              <w:rPr>
                <w:color w:val="000000" w:themeColor="text1"/>
              </w:rPr>
              <w:t xml:space="preserve">BEV1 </w:t>
            </w:r>
          </w:p>
        </w:tc>
        <w:tc>
          <w:tcPr>
            <w:tcW w:w="1440" w:type="dxa"/>
          </w:tcPr>
          <w:p w:rsidRPr="00997F1C" w:rsidR="003E5AEF" w:rsidP="003E5AEF" w:rsidRDefault="003E5AEF" w14:paraId="7ECA5D6C" w14:textId="77777777">
            <w:pPr>
              <w:keepNext/>
              <w:keepLines/>
              <w:spacing w:line="240" w:lineRule="auto"/>
              <w:ind w:firstLine="0"/>
              <w:jc w:val="right"/>
              <w:rPr>
                <w:color w:val="000000" w:themeColor="text1"/>
              </w:rPr>
            </w:pPr>
            <w:r w:rsidRPr="00997F1C">
              <w:rPr>
                <w:color w:val="000000" w:themeColor="text1"/>
              </w:rPr>
              <w:t>$0.00045</w:t>
            </w:r>
          </w:p>
        </w:tc>
      </w:tr>
      <w:tr w:rsidRPr="00997F1C" w:rsidR="004215F8" w14:paraId="5D89FE05" w14:textId="77777777">
        <w:trPr>
          <w:jc w:val="center"/>
        </w:trPr>
        <w:tc>
          <w:tcPr>
            <w:tcW w:w="3145" w:type="dxa"/>
          </w:tcPr>
          <w:p w:rsidRPr="00997F1C" w:rsidR="003E5AEF" w:rsidP="003E5AEF" w:rsidRDefault="003E5AEF" w14:paraId="1E6087E8" w14:textId="77777777">
            <w:pPr>
              <w:keepLines/>
              <w:spacing w:line="240" w:lineRule="auto"/>
              <w:ind w:firstLine="0"/>
              <w:rPr>
                <w:color w:val="000000" w:themeColor="text1"/>
              </w:rPr>
            </w:pPr>
            <w:r w:rsidRPr="00997F1C">
              <w:rPr>
                <w:color w:val="000000" w:themeColor="text1"/>
              </w:rPr>
              <w:t xml:space="preserve">BEV2 </w:t>
            </w:r>
          </w:p>
        </w:tc>
        <w:tc>
          <w:tcPr>
            <w:tcW w:w="1440" w:type="dxa"/>
          </w:tcPr>
          <w:p w:rsidRPr="00997F1C" w:rsidR="003E5AEF" w:rsidP="003E5AEF" w:rsidRDefault="003E5AEF" w14:paraId="784A82D4" w14:textId="77777777">
            <w:pPr>
              <w:keepLines/>
              <w:spacing w:line="240" w:lineRule="auto"/>
              <w:ind w:firstLine="0"/>
              <w:jc w:val="right"/>
              <w:rPr>
                <w:color w:val="000000" w:themeColor="text1"/>
              </w:rPr>
            </w:pPr>
            <w:r w:rsidRPr="00997F1C">
              <w:rPr>
                <w:color w:val="000000" w:themeColor="text1"/>
              </w:rPr>
              <w:t>$0.00045</w:t>
            </w:r>
          </w:p>
        </w:tc>
      </w:tr>
    </w:tbl>
    <w:p w:rsidRPr="00997F1C" w:rsidR="003E5AEF" w:rsidP="00D928F8" w:rsidRDefault="003E5AEF" w14:paraId="11E2DB2A" w14:textId="77777777">
      <w:pPr>
        <w:pStyle w:val="Heading3"/>
        <w:spacing w:before="120"/>
        <w:ind w:left="2290"/>
      </w:pPr>
      <w:bookmarkStart w:name="_Toc179212745" w:id="288"/>
      <w:bookmarkStart w:name="_Toc182306140" w:id="289"/>
      <w:bookmarkStart w:name="_Toc182841811" w:id="290"/>
      <w:bookmarkStart w:name="_Toc212561195" w:id="291"/>
      <w:bookmarkStart w:name="_Toc217384673" w:id="292"/>
      <w:r w:rsidRPr="00997F1C">
        <w:t>New System Generation Charge</w:t>
      </w:r>
      <w:bookmarkEnd w:id="288"/>
      <w:bookmarkEnd w:id="289"/>
      <w:bookmarkEnd w:id="290"/>
      <w:bookmarkEnd w:id="291"/>
      <w:bookmarkEnd w:id="292"/>
    </w:p>
    <w:p w:rsidRPr="00997F1C" w:rsidR="003E5AEF" w:rsidP="003E5AEF" w:rsidRDefault="53E8B74B" w14:paraId="46FE8976" w14:textId="77777777">
      <w:pPr>
        <w:rPr>
          <w:color w:val="000000" w:themeColor="text1"/>
        </w:rPr>
      </w:pPr>
      <w:r w:rsidRPr="00997F1C">
        <w:rPr>
          <w:color w:val="000000" w:themeColor="text1"/>
        </w:rPr>
        <w:t>The NSGC is a non-</w:t>
      </w:r>
      <w:proofErr w:type="spellStart"/>
      <w:r w:rsidRPr="00997F1C">
        <w:rPr>
          <w:color w:val="000000" w:themeColor="text1"/>
        </w:rPr>
        <w:t>bypassable</w:t>
      </w:r>
      <w:proofErr w:type="spellEnd"/>
      <w:r w:rsidRPr="00997F1C">
        <w:rPr>
          <w:color w:val="000000" w:themeColor="text1"/>
        </w:rPr>
        <w:t xml:space="preserve"> charge to recover the net capacity costs of Combined Heat and Power contracts.</w:t>
      </w:r>
      <w:r w:rsidRPr="00997F1C" w:rsidR="003E5AEF">
        <w:rPr>
          <w:color w:val="000000" w:themeColor="text1"/>
          <w:vertAlign w:val="superscript"/>
        </w:rPr>
        <w:footnoteReference w:id="168"/>
      </w:r>
      <w:r w:rsidRPr="00997F1C">
        <w:rPr>
          <w:color w:val="000000" w:themeColor="text1"/>
        </w:rPr>
        <w:t xml:space="preserve">  NSGC rates are based on the 12-month </w:t>
      </w:r>
      <w:proofErr w:type="gramStart"/>
      <w:r w:rsidRPr="00997F1C">
        <w:rPr>
          <w:color w:val="000000" w:themeColor="text1"/>
        </w:rPr>
        <w:t>coincident</w:t>
      </w:r>
      <w:proofErr w:type="gramEnd"/>
      <w:r w:rsidRPr="00997F1C">
        <w:rPr>
          <w:color w:val="000000" w:themeColor="text1"/>
        </w:rPr>
        <w:t xml:space="preserve"> peak methodology.</w:t>
      </w:r>
      <w:r w:rsidRPr="00997F1C" w:rsidR="003E5AEF">
        <w:rPr>
          <w:color w:val="000000" w:themeColor="text1"/>
          <w:vertAlign w:val="superscript"/>
        </w:rPr>
        <w:footnoteReference w:id="169"/>
      </w:r>
      <w:r w:rsidRPr="00997F1C">
        <w:rPr>
          <w:color w:val="000000" w:themeColor="text1"/>
        </w:rPr>
        <w:t xml:space="preserve">  To determine the rates, PG&amp;E allocated the proposed revenue requirement to each customer class using each customer </w:t>
      </w:r>
      <w:r w:rsidRPr="00997F1C">
        <w:rPr>
          <w:color w:val="000000" w:themeColor="text1"/>
        </w:rPr>
        <w:lastRenderedPageBreak/>
        <w:t xml:space="preserve">class’s contribution to 12-month </w:t>
      </w:r>
      <w:proofErr w:type="gramStart"/>
      <w:r w:rsidRPr="00997F1C">
        <w:rPr>
          <w:color w:val="000000" w:themeColor="text1"/>
        </w:rPr>
        <w:t>coincident</w:t>
      </w:r>
      <w:proofErr w:type="gramEnd"/>
      <w:r w:rsidRPr="00997F1C">
        <w:rPr>
          <w:color w:val="000000" w:themeColor="text1"/>
        </w:rPr>
        <w:t xml:space="preserve"> peak load. Proposed rates are based on 2023 recorded data. </w:t>
      </w:r>
    </w:p>
    <w:p w:rsidRPr="00997F1C" w:rsidR="003E5AEF" w:rsidP="003E5AEF" w:rsidRDefault="53E8B74B" w14:paraId="2DEC5E57" w14:textId="628544BE">
      <w:pPr>
        <w:rPr>
          <w:color w:val="000000" w:themeColor="text1"/>
        </w:rPr>
      </w:pPr>
      <w:r w:rsidRPr="00997F1C">
        <w:rPr>
          <w:color w:val="000000" w:themeColor="text1"/>
        </w:rPr>
        <w:t xml:space="preserve">Rates for each customer class are calculated by dividing the allocated revenue by each customer class’s forecast usage.  Proposed NSGC rates are shown in Table </w:t>
      </w:r>
      <w:r w:rsidRPr="00997F1C" w:rsidR="0055661A">
        <w:rPr>
          <w:color w:val="000000" w:themeColor="text1"/>
        </w:rPr>
        <w:t>10</w:t>
      </w:r>
      <w:r w:rsidRPr="00997F1C">
        <w:rPr>
          <w:color w:val="000000" w:themeColor="text1"/>
        </w:rPr>
        <w:t>.</w:t>
      </w:r>
      <w:r w:rsidRPr="00997F1C" w:rsidR="003E5AEF">
        <w:rPr>
          <w:color w:val="000000" w:themeColor="text1"/>
          <w:vertAlign w:val="superscript"/>
        </w:rPr>
        <w:footnoteReference w:id="170"/>
      </w:r>
    </w:p>
    <w:p w:rsidRPr="00997F1C" w:rsidR="003E5AEF" w:rsidP="003E5AEF" w:rsidRDefault="003E5AEF" w14:paraId="5FEC0DB7" w14:textId="71807CE8">
      <w:pPr>
        <w:keepNext/>
        <w:keepLines/>
        <w:spacing w:after="200" w:line="240" w:lineRule="auto"/>
        <w:ind w:firstLine="0"/>
        <w:jc w:val="center"/>
        <w:rPr>
          <w:b/>
          <w:bCs/>
          <w:color w:val="000000" w:themeColor="text1"/>
          <w:szCs w:val="26"/>
        </w:rPr>
      </w:pPr>
      <w:r w:rsidRPr="00997F1C">
        <w:rPr>
          <w:b/>
          <w:bCs/>
          <w:color w:val="000000" w:themeColor="text1"/>
          <w:szCs w:val="26"/>
        </w:rPr>
        <w:t xml:space="preserve">Table </w:t>
      </w:r>
      <w:r w:rsidRPr="00997F1C">
        <w:rPr>
          <w:b/>
          <w:bCs/>
          <w:color w:val="000000" w:themeColor="text1"/>
          <w:szCs w:val="26"/>
        </w:rPr>
        <w:fldChar w:fldCharType="begin"/>
      </w:r>
      <w:r w:rsidRPr="00997F1C">
        <w:rPr>
          <w:b/>
          <w:bCs/>
          <w:color w:val="000000" w:themeColor="text1"/>
          <w:szCs w:val="26"/>
        </w:rPr>
        <w:instrText xml:space="preserve"> SEQ Table \* ARABIC </w:instrText>
      </w:r>
      <w:r w:rsidRPr="00997F1C">
        <w:rPr>
          <w:b/>
          <w:bCs/>
          <w:color w:val="000000" w:themeColor="text1"/>
          <w:szCs w:val="26"/>
        </w:rPr>
        <w:fldChar w:fldCharType="separate"/>
      </w:r>
      <w:r w:rsidR="00A93519">
        <w:rPr>
          <w:b/>
          <w:bCs/>
          <w:noProof/>
          <w:color w:val="000000" w:themeColor="text1"/>
          <w:szCs w:val="26"/>
        </w:rPr>
        <w:t>10</w:t>
      </w:r>
      <w:r w:rsidRPr="00997F1C">
        <w:rPr>
          <w:b/>
          <w:bCs/>
          <w:noProof/>
          <w:color w:val="000000" w:themeColor="text1"/>
          <w:szCs w:val="26"/>
        </w:rPr>
        <w:fldChar w:fldCharType="end"/>
      </w:r>
      <w:r w:rsidRPr="00997F1C">
        <w:rPr>
          <w:b/>
          <w:bCs/>
          <w:color w:val="000000" w:themeColor="text1"/>
          <w:szCs w:val="26"/>
        </w:rPr>
        <w:t>: Proposed 2026 New System Generation Charge Rates ($/kWh)</w:t>
      </w:r>
    </w:p>
    <w:tbl>
      <w:tblPr>
        <w:tblStyle w:val="TableGrid"/>
        <w:tblW w:w="0" w:type="auto"/>
        <w:jc w:val="center"/>
        <w:tblLook w:val="04A0" w:firstRow="1" w:lastRow="0" w:firstColumn="1" w:lastColumn="0" w:noHBand="0" w:noVBand="1"/>
      </w:tblPr>
      <w:tblGrid>
        <w:gridCol w:w="2875"/>
        <w:gridCol w:w="1620"/>
      </w:tblGrid>
      <w:tr w:rsidRPr="00997F1C" w:rsidR="004215F8" w14:paraId="7A1E5688" w14:textId="77777777">
        <w:trPr>
          <w:jc w:val="center"/>
        </w:trPr>
        <w:tc>
          <w:tcPr>
            <w:tcW w:w="2875" w:type="dxa"/>
          </w:tcPr>
          <w:p w:rsidRPr="00997F1C" w:rsidR="003E5AEF" w:rsidP="003E5AEF" w:rsidRDefault="003E5AEF" w14:paraId="7DD704B6" w14:textId="77777777">
            <w:pPr>
              <w:keepNext/>
              <w:keepLines/>
              <w:spacing w:line="240" w:lineRule="auto"/>
              <w:ind w:firstLine="0"/>
              <w:rPr>
                <w:color w:val="000000" w:themeColor="text1"/>
              </w:rPr>
            </w:pPr>
            <w:r w:rsidRPr="00997F1C">
              <w:rPr>
                <w:color w:val="000000" w:themeColor="text1"/>
              </w:rPr>
              <w:t xml:space="preserve">Residential </w:t>
            </w:r>
          </w:p>
        </w:tc>
        <w:tc>
          <w:tcPr>
            <w:tcW w:w="1620" w:type="dxa"/>
          </w:tcPr>
          <w:p w:rsidRPr="00997F1C" w:rsidR="003E5AEF" w:rsidP="003E5AEF" w:rsidRDefault="003E5AEF" w14:paraId="3CDCB526" w14:textId="77777777">
            <w:pPr>
              <w:keepNext/>
              <w:keepLines/>
              <w:spacing w:line="240" w:lineRule="auto"/>
              <w:ind w:firstLine="0"/>
              <w:jc w:val="right"/>
              <w:rPr>
                <w:color w:val="000000" w:themeColor="text1"/>
              </w:rPr>
            </w:pPr>
            <w:r w:rsidRPr="00997F1C">
              <w:rPr>
                <w:color w:val="000000" w:themeColor="text1"/>
              </w:rPr>
              <w:t>$0.00685</w:t>
            </w:r>
          </w:p>
        </w:tc>
      </w:tr>
      <w:tr w:rsidRPr="00997F1C" w:rsidR="004215F8" w14:paraId="0003BD69" w14:textId="77777777">
        <w:trPr>
          <w:jc w:val="center"/>
        </w:trPr>
        <w:tc>
          <w:tcPr>
            <w:tcW w:w="2875" w:type="dxa"/>
          </w:tcPr>
          <w:p w:rsidRPr="00997F1C" w:rsidR="003E5AEF" w:rsidP="003E5AEF" w:rsidRDefault="003E5AEF" w14:paraId="78EA968A" w14:textId="77777777">
            <w:pPr>
              <w:keepNext/>
              <w:keepLines/>
              <w:spacing w:line="240" w:lineRule="auto"/>
              <w:ind w:firstLine="0"/>
              <w:rPr>
                <w:color w:val="000000" w:themeColor="text1"/>
              </w:rPr>
            </w:pPr>
            <w:r w:rsidRPr="00997F1C">
              <w:rPr>
                <w:color w:val="000000" w:themeColor="text1"/>
              </w:rPr>
              <w:t xml:space="preserve">Small Commercial </w:t>
            </w:r>
          </w:p>
        </w:tc>
        <w:tc>
          <w:tcPr>
            <w:tcW w:w="1620" w:type="dxa"/>
          </w:tcPr>
          <w:p w:rsidRPr="00997F1C" w:rsidR="003E5AEF" w:rsidP="003E5AEF" w:rsidRDefault="003E5AEF" w14:paraId="5A9E2524" w14:textId="77777777">
            <w:pPr>
              <w:keepNext/>
              <w:keepLines/>
              <w:spacing w:line="240" w:lineRule="auto"/>
              <w:ind w:firstLine="0"/>
              <w:jc w:val="right"/>
              <w:rPr>
                <w:color w:val="000000" w:themeColor="text1"/>
              </w:rPr>
            </w:pPr>
            <w:r w:rsidRPr="00997F1C">
              <w:rPr>
                <w:color w:val="000000" w:themeColor="text1"/>
              </w:rPr>
              <w:t>$0.00449</w:t>
            </w:r>
          </w:p>
        </w:tc>
      </w:tr>
      <w:tr w:rsidRPr="00997F1C" w:rsidR="004215F8" w14:paraId="0C08B584" w14:textId="77777777">
        <w:trPr>
          <w:jc w:val="center"/>
        </w:trPr>
        <w:tc>
          <w:tcPr>
            <w:tcW w:w="2875" w:type="dxa"/>
          </w:tcPr>
          <w:p w:rsidRPr="00997F1C" w:rsidR="003E5AEF" w:rsidP="003E5AEF" w:rsidRDefault="003E5AEF" w14:paraId="2A8604C4" w14:textId="77777777">
            <w:pPr>
              <w:keepNext/>
              <w:keepLines/>
              <w:spacing w:line="240" w:lineRule="auto"/>
              <w:ind w:firstLine="0"/>
              <w:rPr>
                <w:color w:val="000000" w:themeColor="text1"/>
              </w:rPr>
            </w:pPr>
            <w:r w:rsidRPr="00997F1C">
              <w:rPr>
                <w:color w:val="000000" w:themeColor="text1"/>
              </w:rPr>
              <w:t xml:space="preserve">Medium Commercial </w:t>
            </w:r>
          </w:p>
        </w:tc>
        <w:tc>
          <w:tcPr>
            <w:tcW w:w="1620" w:type="dxa"/>
          </w:tcPr>
          <w:p w:rsidRPr="00997F1C" w:rsidR="003E5AEF" w:rsidP="003E5AEF" w:rsidRDefault="003E5AEF" w14:paraId="72719FB4" w14:textId="77777777">
            <w:pPr>
              <w:keepNext/>
              <w:keepLines/>
              <w:spacing w:line="240" w:lineRule="auto"/>
              <w:ind w:firstLine="0"/>
              <w:jc w:val="right"/>
              <w:rPr>
                <w:color w:val="000000" w:themeColor="text1"/>
              </w:rPr>
            </w:pPr>
            <w:r w:rsidRPr="00997F1C">
              <w:rPr>
                <w:color w:val="000000" w:themeColor="text1"/>
              </w:rPr>
              <w:t>$0.00399</w:t>
            </w:r>
          </w:p>
        </w:tc>
      </w:tr>
      <w:tr w:rsidRPr="00997F1C" w:rsidR="004215F8" w14:paraId="24B5AE3F" w14:textId="77777777">
        <w:trPr>
          <w:jc w:val="center"/>
        </w:trPr>
        <w:tc>
          <w:tcPr>
            <w:tcW w:w="2875" w:type="dxa"/>
          </w:tcPr>
          <w:p w:rsidRPr="00997F1C" w:rsidR="003E5AEF" w:rsidP="003E5AEF" w:rsidRDefault="003E5AEF" w14:paraId="45284139" w14:textId="77777777">
            <w:pPr>
              <w:keepNext/>
              <w:keepLines/>
              <w:spacing w:line="240" w:lineRule="auto"/>
              <w:ind w:firstLine="0"/>
              <w:rPr>
                <w:color w:val="000000" w:themeColor="text1"/>
              </w:rPr>
            </w:pPr>
            <w:r w:rsidRPr="00997F1C">
              <w:rPr>
                <w:color w:val="000000" w:themeColor="text1"/>
              </w:rPr>
              <w:t xml:space="preserve">Large Commercial </w:t>
            </w:r>
          </w:p>
        </w:tc>
        <w:tc>
          <w:tcPr>
            <w:tcW w:w="1620" w:type="dxa"/>
          </w:tcPr>
          <w:p w:rsidRPr="00997F1C" w:rsidR="003E5AEF" w:rsidP="003E5AEF" w:rsidRDefault="003E5AEF" w14:paraId="345B115B" w14:textId="77777777">
            <w:pPr>
              <w:keepNext/>
              <w:keepLines/>
              <w:spacing w:line="240" w:lineRule="auto"/>
              <w:ind w:firstLine="0"/>
              <w:jc w:val="right"/>
              <w:rPr>
                <w:color w:val="000000" w:themeColor="text1"/>
              </w:rPr>
            </w:pPr>
            <w:r w:rsidRPr="00997F1C">
              <w:rPr>
                <w:color w:val="000000" w:themeColor="text1"/>
              </w:rPr>
              <w:t>$0.00399</w:t>
            </w:r>
          </w:p>
        </w:tc>
      </w:tr>
      <w:tr w:rsidRPr="00997F1C" w:rsidR="004215F8" w14:paraId="0A5168DB" w14:textId="77777777">
        <w:trPr>
          <w:jc w:val="center"/>
        </w:trPr>
        <w:tc>
          <w:tcPr>
            <w:tcW w:w="2875" w:type="dxa"/>
          </w:tcPr>
          <w:p w:rsidRPr="00997F1C" w:rsidR="003E5AEF" w:rsidP="003E5AEF" w:rsidRDefault="003E5AEF" w14:paraId="68EA66B9" w14:textId="77777777">
            <w:pPr>
              <w:keepNext/>
              <w:keepLines/>
              <w:spacing w:line="240" w:lineRule="auto"/>
              <w:ind w:firstLine="0"/>
              <w:rPr>
                <w:color w:val="000000" w:themeColor="text1"/>
              </w:rPr>
            </w:pPr>
            <w:r w:rsidRPr="00997F1C">
              <w:rPr>
                <w:color w:val="000000" w:themeColor="text1"/>
              </w:rPr>
              <w:t xml:space="preserve">Streetlights </w:t>
            </w:r>
          </w:p>
        </w:tc>
        <w:tc>
          <w:tcPr>
            <w:tcW w:w="1620" w:type="dxa"/>
          </w:tcPr>
          <w:p w:rsidRPr="00997F1C" w:rsidR="003E5AEF" w:rsidP="003E5AEF" w:rsidRDefault="003E5AEF" w14:paraId="0373BE1F" w14:textId="77777777">
            <w:pPr>
              <w:keepNext/>
              <w:keepLines/>
              <w:spacing w:line="240" w:lineRule="auto"/>
              <w:ind w:firstLine="0"/>
              <w:jc w:val="right"/>
              <w:rPr>
                <w:color w:val="000000" w:themeColor="text1"/>
              </w:rPr>
            </w:pPr>
            <w:r w:rsidRPr="00997F1C">
              <w:rPr>
                <w:color w:val="000000" w:themeColor="text1"/>
              </w:rPr>
              <w:t>$0.00391</w:t>
            </w:r>
          </w:p>
        </w:tc>
      </w:tr>
      <w:tr w:rsidRPr="00997F1C" w:rsidR="004215F8" w14:paraId="4ACD08AA" w14:textId="77777777">
        <w:trPr>
          <w:jc w:val="center"/>
        </w:trPr>
        <w:tc>
          <w:tcPr>
            <w:tcW w:w="2875" w:type="dxa"/>
          </w:tcPr>
          <w:p w:rsidRPr="00997F1C" w:rsidR="003E5AEF" w:rsidP="003E5AEF" w:rsidRDefault="003E5AEF" w14:paraId="703058DF" w14:textId="77777777">
            <w:pPr>
              <w:keepNext/>
              <w:keepLines/>
              <w:spacing w:line="240" w:lineRule="auto"/>
              <w:ind w:firstLine="0"/>
              <w:rPr>
                <w:color w:val="000000" w:themeColor="text1"/>
              </w:rPr>
            </w:pPr>
            <w:r w:rsidRPr="00997F1C">
              <w:rPr>
                <w:color w:val="000000" w:themeColor="text1"/>
              </w:rPr>
              <w:t xml:space="preserve">Standby </w:t>
            </w:r>
          </w:p>
        </w:tc>
        <w:tc>
          <w:tcPr>
            <w:tcW w:w="1620" w:type="dxa"/>
          </w:tcPr>
          <w:p w:rsidRPr="00997F1C" w:rsidR="003E5AEF" w:rsidP="003E5AEF" w:rsidRDefault="003E5AEF" w14:paraId="09CE4F83" w14:textId="77777777">
            <w:pPr>
              <w:keepNext/>
              <w:keepLines/>
              <w:spacing w:line="240" w:lineRule="auto"/>
              <w:ind w:firstLine="0"/>
              <w:jc w:val="right"/>
              <w:rPr>
                <w:color w:val="000000" w:themeColor="text1"/>
              </w:rPr>
            </w:pPr>
            <w:r w:rsidRPr="00997F1C">
              <w:rPr>
                <w:color w:val="000000" w:themeColor="text1"/>
              </w:rPr>
              <w:t>$0.00413</w:t>
            </w:r>
          </w:p>
        </w:tc>
      </w:tr>
      <w:tr w:rsidRPr="00997F1C" w:rsidR="004215F8" w14:paraId="06E12D8F" w14:textId="77777777">
        <w:trPr>
          <w:jc w:val="center"/>
        </w:trPr>
        <w:tc>
          <w:tcPr>
            <w:tcW w:w="2875" w:type="dxa"/>
          </w:tcPr>
          <w:p w:rsidRPr="00997F1C" w:rsidR="003E5AEF" w:rsidP="003E5AEF" w:rsidRDefault="003E5AEF" w14:paraId="36D244D0" w14:textId="77777777">
            <w:pPr>
              <w:keepNext/>
              <w:keepLines/>
              <w:spacing w:line="240" w:lineRule="auto"/>
              <w:ind w:firstLine="0"/>
              <w:rPr>
                <w:color w:val="000000" w:themeColor="text1"/>
              </w:rPr>
            </w:pPr>
            <w:r w:rsidRPr="00997F1C">
              <w:rPr>
                <w:color w:val="000000" w:themeColor="text1"/>
              </w:rPr>
              <w:t xml:space="preserve">Agriculture </w:t>
            </w:r>
          </w:p>
        </w:tc>
        <w:tc>
          <w:tcPr>
            <w:tcW w:w="1620" w:type="dxa"/>
          </w:tcPr>
          <w:p w:rsidRPr="00997F1C" w:rsidR="003E5AEF" w:rsidP="003E5AEF" w:rsidRDefault="003E5AEF" w14:paraId="3BA6BE59" w14:textId="77777777">
            <w:pPr>
              <w:keepNext/>
              <w:keepLines/>
              <w:spacing w:line="240" w:lineRule="auto"/>
              <w:ind w:firstLine="0"/>
              <w:jc w:val="right"/>
              <w:rPr>
                <w:color w:val="000000" w:themeColor="text1"/>
              </w:rPr>
            </w:pPr>
            <w:r w:rsidRPr="00997F1C">
              <w:rPr>
                <w:color w:val="000000" w:themeColor="text1"/>
              </w:rPr>
              <w:t>$0.00433</w:t>
            </w:r>
          </w:p>
        </w:tc>
      </w:tr>
      <w:tr w:rsidRPr="00997F1C" w:rsidR="004215F8" w14:paraId="25E1A325" w14:textId="77777777">
        <w:trPr>
          <w:jc w:val="center"/>
        </w:trPr>
        <w:tc>
          <w:tcPr>
            <w:tcW w:w="2875" w:type="dxa"/>
          </w:tcPr>
          <w:p w:rsidRPr="00997F1C" w:rsidR="003E5AEF" w:rsidP="003E5AEF" w:rsidRDefault="003E5AEF" w14:paraId="079D7688" w14:textId="77777777">
            <w:pPr>
              <w:keepNext/>
              <w:keepLines/>
              <w:spacing w:line="240" w:lineRule="auto"/>
              <w:ind w:firstLine="0"/>
              <w:rPr>
                <w:color w:val="000000" w:themeColor="text1"/>
              </w:rPr>
            </w:pPr>
            <w:r w:rsidRPr="00997F1C">
              <w:rPr>
                <w:color w:val="000000" w:themeColor="text1"/>
              </w:rPr>
              <w:t xml:space="preserve">B20/E20 T </w:t>
            </w:r>
          </w:p>
        </w:tc>
        <w:tc>
          <w:tcPr>
            <w:tcW w:w="1620" w:type="dxa"/>
          </w:tcPr>
          <w:p w:rsidRPr="00997F1C" w:rsidR="003E5AEF" w:rsidP="003E5AEF" w:rsidRDefault="003E5AEF" w14:paraId="3ED8FFFF" w14:textId="77777777">
            <w:pPr>
              <w:keepNext/>
              <w:keepLines/>
              <w:spacing w:line="240" w:lineRule="auto"/>
              <w:ind w:firstLine="0"/>
              <w:jc w:val="right"/>
              <w:rPr>
                <w:color w:val="000000" w:themeColor="text1"/>
              </w:rPr>
            </w:pPr>
            <w:r w:rsidRPr="00997F1C">
              <w:rPr>
                <w:color w:val="000000" w:themeColor="text1"/>
              </w:rPr>
              <w:t>$0.00341</w:t>
            </w:r>
          </w:p>
        </w:tc>
      </w:tr>
      <w:tr w:rsidRPr="00997F1C" w:rsidR="004215F8" w14:paraId="3E5EC0C8" w14:textId="77777777">
        <w:trPr>
          <w:jc w:val="center"/>
        </w:trPr>
        <w:tc>
          <w:tcPr>
            <w:tcW w:w="2875" w:type="dxa"/>
          </w:tcPr>
          <w:p w:rsidRPr="00997F1C" w:rsidR="003E5AEF" w:rsidP="003E5AEF" w:rsidRDefault="003E5AEF" w14:paraId="5C3C7D2F" w14:textId="77777777">
            <w:pPr>
              <w:keepNext/>
              <w:keepLines/>
              <w:spacing w:line="240" w:lineRule="auto"/>
              <w:ind w:firstLine="0"/>
              <w:rPr>
                <w:color w:val="000000" w:themeColor="text1"/>
              </w:rPr>
            </w:pPr>
            <w:r w:rsidRPr="00997F1C">
              <w:rPr>
                <w:color w:val="000000" w:themeColor="text1"/>
              </w:rPr>
              <w:t xml:space="preserve">B20/E20 P </w:t>
            </w:r>
          </w:p>
        </w:tc>
        <w:tc>
          <w:tcPr>
            <w:tcW w:w="1620" w:type="dxa"/>
          </w:tcPr>
          <w:p w:rsidRPr="00997F1C" w:rsidR="003E5AEF" w:rsidP="003E5AEF" w:rsidRDefault="003E5AEF" w14:paraId="179B5D80" w14:textId="77777777">
            <w:pPr>
              <w:keepNext/>
              <w:keepLines/>
              <w:spacing w:line="240" w:lineRule="auto"/>
              <w:ind w:firstLine="0"/>
              <w:jc w:val="right"/>
              <w:rPr>
                <w:color w:val="000000" w:themeColor="text1"/>
              </w:rPr>
            </w:pPr>
            <w:r w:rsidRPr="00997F1C">
              <w:rPr>
                <w:color w:val="000000" w:themeColor="text1"/>
              </w:rPr>
              <w:t>$0.00341</w:t>
            </w:r>
          </w:p>
        </w:tc>
      </w:tr>
      <w:tr w:rsidRPr="00997F1C" w:rsidR="004215F8" w14:paraId="67670D7C" w14:textId="77777777">
        <w:trPr>
          <w:jc w:val="center"/>
        </w:trPr>
        <w:tc>
          <w:tcPr>
            <w:tcW w:w="2875" w:type="dxa"/>
          </w:tcPr>
          <w:p w:rsidRPr="00997F1C" w:rsidR="003E5AEF" w:rsidP="003E5AEF" w:rsidRDefault="003E5AEF" w14:paraId="541684DC" w14:textId="77777777">
            <w:pPr>
              <w:keepNext/>
              <w:keepLines/>
              <w:spacing w:line="240" w:lineRule="auto"/>
              <w:ind w:firstLine="0"/>
              <w:rPr>
                <w:color w:val="000000" w:themeColor="text1"/>
              </w:rPr>
            </w:pPr>
            <w:r w:rsidRPr="00997F1C">
              <w:rPr>
                <w:color w:val="000000" w:themeColor="text1"/>
              </w:rPr>
              <w:t xml:space="preserve">B20/E20 S </w:t>
            </w:r>
          </w:p>
        </w:tc>
        <w:tc>
          <w:tcPr>
            <w:tcW w:w="1620" w:type="dxa"/>
          </w:tcPr>
          <w:p w:rsidRPr="00997F1C" w:rsidR="003E5AEF" w:rsidP="003E5AEF" w:rsidRDefault="003E5AEF" w14:paraId="7EF3BB58" w14:textId="77777777">
            <w:pPr>
              <w:keepNext/>
              <w:keepLines/>
              <w:spacing w:line="240" w:lineRule="auto"/>
              <w:ind w:firstLine="0"/>
              <w:jc w:val="right"/>
              <w:rPr>
                <w:color w:val="000000" w:themeColor="text1"/>
              </w:rPr>
            </w:pPr>
            <w:r w:rsidRPr="00997F1C">
              <w:rPr>
                <w:color w:val="000000" w:themeColor="text1"/>
              </w:rPr>
              <w:t>$0.00341</w:t>
            </w:r>
          </w:p>
        </w:tc>
      </w:tr>
      <w:tr w:rsidRPr="00997F1C" w:rsidR="004215F8" w14:paraId="10BBB1A6" w14:textId="77777777">
        <w:trPr>
          <w:jc w:val="center"/>
        </w:trPr>
        <w:tc>
          <w:tcPr>
            <w:tcW w:w="2875" w:type="dxa"/>
          </w:tcPr>
          <w:p w:rsidRPr="00997F1C" w:rsidR="003E5AEF" w:rsidP="003E5AEF" w:rsidRDefault="003E5AEF" w14:paraId="777D4B40" w14:textId="77777777">
            <w:pPr>
              <w:keepNext/>
              <w:keepLines/>
              <w:spacing w:line="240" w:lineRule="auto"/>
              <w:ind w:firstLine="0"/>
              <w:rPr>
                <w:color w:val="000000" w:themeColor="text1"/>
              </w:rPr>
            </w:pPr>
            <w:r w:rsidRPr="00997F1C">
              <w:rPr>
                <w:color w:val="000000" w:themeColor="text1"/>
              </w:rPr>
              <w:t xml:space="preserve">BEV1 </w:t>
            </w:r>
          </w:p>
        </w:tc>
        <w:tc>
          <w:tcPr>
            <w:tcW w:w="1620" w:type="dxa"/>
          </w:tcPr>
          <w:p w:rsidRPr="00997F1C" w:rsidR="003E5AEF" w:rsidP="003E5AEF" w:rsidRDefault="003E5AEF" w14:paraId="1CBCC419" w14:textId="77777777">
            <w:pPr>
              <w:keepNext/>
              <w:keepLines/>
              <w:spacing w:line="240" w:lineRule="auto"/>
              <w:ind w:firstLine="0"/>
              <w:jc w:val="right"/>
              <w:rPr>
                <w:color w:val="000000" w:themeColor="text1"/>
              </w:rPr>
            </w:pPr>
            <w:r w:rsidRPr="00997F1C">
              <w:rPr>
                <w:color w:val="000000" w:themeColor="text1"/>
              </w:rPr>
              <w:t>$0.00449</w:t>
            </w:r>
          </w:p>
        </w:tc>
      </w:tr>
      <w:tr w:rsidRPr="00997F1C" w:rsidR="004215F8" w14:paraId="27F29268" w14:textId="77777777">
        <w:trPr>
          <w:jc w:val="center"/>
        </w:trPr>
        <w:tc>
          <w:tcPr>
            <w:tcW w:w="2875" w:type="dxa"/>
          </w:tcPr>
          <w:p w:rsidRPr="00997F1C" w:rsidR="003E5AEF" w:rsidP="003E5AEF" w:rsidRDefault="003E5AEF" w14:paraId="0B9AFA7C" w14:textId="77777777">
            <w:pPr>
              <w:keepLines/>
              <w:spacing w:line="240" w:lineRule="auto"/>
              <w:ind w:firstLine="0"/>
              <w:rPr>
                <w:color w:val="000000" w:themeColor="text1"/>
              </w:rPr>
            </w:pPr>
            <w:r w:rsidRPr="00997F1C">
              <w:rPr>
                <w:color w:val="000000" w:themeColor="text1"/>
              </w:rPr>
              <w:t xml:space="preserve">BEV2 </w:t>
            </w:r>
          </w:p>
        </w:tc>
        <w:tc>
          <w:tcPr>
            <w:tcW w:w="1620" w:type="dxa"/>
          </w:tcPr>
          <w:p w:rsidRPr="00997F1C" w:rsidR="003E5AEF" w:rsidP="003E5AEF" w:rsidRDefault="003E5AEF" w14:paraId="53881DF8" w14:textId="77777777">
            <w:pPr>
              <w:keepLines/>
              <w:spacing w:line="240" w:lineRule="auto"/>
              <w:ind w:firstLine="0"/>
              <w:jc w:val="right"/>
              <w:rPr>
                <w:color w:val="000000" w:themeColor="text1"/>
              </w:rPr>
            </w:pPr>
            <w:r w:rsidRPr="00997F1C">
              <w:rPr>
                <w:color w:val="000000" w:themeColor="text1"/>
              </w:rPr>
              <w:t>$0.00399</w:t>
            </w:r>
          </w:p>
        </w:tc>
      </w:tr>
    </w:tbl>
    <w:p w:rsidRPr="00997F1C" w:rsidR="003E5AEF" w:rsidP="009F5B6F" w:rsidRDefault="003E5AEF" w14:paraId="1FE7550F" w14:textId="77777777">
      <w:pPr>
        <w:pStyle w:val="Heading3"/>
        <w:spacing w:before="120"/>
        <w:ind w:left="2290"/>
      </w:pPr>
      <w:bookmarkStart w:name="_Toc179212746" w:id="293"/>
      <w:bookmarkStart w:name="_Toc182306141" w:id="294"/>
      <w:bookmarkStart w:name="_Toc182841812" w:id="295"/>
      <w:bookmarkStart w:name="_Toc212561196" w:id="296"/>
      <w:bookmarkStart w:name="_Toc217384674" w:id="297"/>
      <w:r w:rsidRPr="00997F1C">
        <w:t>Tree Mortality Non-</w:t>
      </w:r>
      <w:proofErr w:type="spellStart"/>
      <w:r w:rsidRPr="00997F1C">
        <w:t>Bypassable</w:t>
      </w:r>
      <w:proofErr w:type="spellEnd"/>
      <w:r w:rsidRPr="00997F1C">
        <w:t xml:space="preserve"> Charge</w:t>
      </w:r>
      <w:bookmarkEnd w:id="293"/>
      <w:bookmarkEnd w:id="294"/>
      <w:bookmarkEnd w:id="295"/>
      <w:bookmarkEnd w:id="296"/>
      <w:bookmarkEnd w:id="297"/>
    </w:p>
    <w:p w:rsidRPr="00997F1C" w:rsidR="003E5AEF" w:rsidP="003E5AEF" w:rsidRDefault="53E8B74B" w14:paraId="08B6D98C" w14:textId="2DAB0A29">
      <w:pPr>
        <w:rPr>
          <w:color w:val="000000" w:themeColor="text1"/>
        </w:rPr>
      </w:pPr>
      <w:r w:rsidRPr="00997F1C">
        <w:rPr>
          <w:color w:val="000000" w:themeColor="text1"/>
        </w:rPr>
        <w:t xml:space="preserve">To determine TMNBC rates, PG&amp;E first allocated the TMNBC revenue requirement determined in Table 1 to each customer class using the same 12-month </w:t>
      </w:r>
      <w:proofErr w:type="gramStart"/>
      <w:r w:rsidRPr="00997F1C">
        <w:rPr>
          <w:color w:val="000000" w:themeColor="text1"/>
        </w:rPr>
        <w:t>coincident</w:t>
      </w:r>
      <w:proofErr w:type="gramEnd"/>
      <w:r w:rsidRPr="00997F1C">
        <w:rPr>
          <w:color w:val="000000" w:themeColor="text1"/>
        </w:rPr>
        <w:t xml:space="preserve"> peak allocation factors used to design NSGC rates.  PG&amp;E then calculated rates for each customer class by dividing the allocated revenue by each customer class’s forecast usage.  TMNBC rates are embedded in total public purpose program rates for billing.  Proposed TMNBC rates are shown in </w:t>
      </w:r>
      <w:r w:rsidRPr="00997F1C" w:rsidR="00A5195C">
        <w:rPr>
          <w:color w:val="000000" w:themeColor="text1"/>
        </w:rPr>
        <w:br/>
      </w:r>
      <w:r w:rsidRPr="00997F1C">
        <w:rPr>
          <w:color w:val="000000" w:themeColor="text1"/>
        </w:rPr>
        <w:t xml:space="preserve">Table </w:t>
      </w:r>
      <w:r w:rsidRPr="00997F1C" w:rsidR="0055661A">
        <w:rPr>
          <w:color w:val="000000" w:themeColor="text1"/>
        </w:rPr>
        <w:t>11</w:t>
      </w:r>
      <w:r w:rsidRPr="00997F1C">
        <w:rPr>
          <w:color w:val="000000" w:themeColor="text1"/>
        </w:rPr>
        <w:t>.</w:t>
      </w:r>
      <w:r w:rsidRPr="00997F1C" w:rsidR="003E5AEF">
        <w:rPr>
          <w:color w:val="000000" w:themeColor="text1"/>
          <w:vertAlign w:val="superscript"/>
        </w:rPr>
        <w:footnoteReference w:id="171"/>
      </w:r>
    </w:p>
    <w:p w:rsidRPr="00997F1C" w:rsidR="003E5AEF" w:rsidP="003E5AEF" w:rsidRDefault="003E5AEF" w14:paraId="69C49311" w14:textId="6E24BB86">
      <w:pPr>
        <w:keepNext/>
        <w:keepLines/>
        <w:spacing w:after="200" w:line="240" w:lineRule="auto"/>
        <w:ind w:firstLine="0"/>
        <w:jc w:val="center"/>
        <w:rPr>
          <w:b/>
          <w:bCs/>
          <w:color w:val="000000" w:themeColor="text1"/>
          <w:szCs w:val="26"/>
        </w:rPr>
      </w:pPr>
      <w:r w:rsidRPr="00997F1C">
        <w:rPr>
          <w:b/>
          <w:bCs/>
          <w:color w:val="000000" w:themeColor="text1"/>
          <w:szCs w:val="26"/>
        </w:rPr>
        <w:lastRenderedPageBreak/>
        <w:t xml:space="preserve">Table </w:t>
      </w:r>
      <w:r w:rsidRPr="00997F1C">
        <w:rPr>
          <w:b/>
          <w:bCs/>
          <w:color w:val="000000" w:themeColor="text1"/>
          <w:szCs w:val="26"/>
        </w:rPr>
        <w:fldChar w:fldCharType="begin"/>
      </w:r>
      <w:r w:rsidRPr="00997F1C">
        <w:rPr>
          <w:b/>
          <w:bCs/>
          <w:color w:val="000000" w:themeColor="text1"/>
          <w:szCs w:val="26"/>
        </w:rPr>
        <w:instrText xml:space="preserve"> SEQ Table \* ARABIC </w:instrText>
      </w:r>
      <w:r w:rsidRPr="00997F1C">
        <w:rPr>
          <w:b/>
          <w:bCs/>
          <w:color w:val="000000" w:themeColor="text1"/>
          <w:szCs w:val="26"/>
        </w:rPr>
        <w:fldChar w:fldCharType="separate"/>
      </w:r>
      <w:r w:rsidR="00A93519">
        <w:rPr>
          <w:b/>
          <w:bCs/>
          <w:noProof/>
          <w:color w:val="000000" w:themeColor="text1"/>
          <w:szCs w:val="26"/>
        </w:rPr>
        <w:t>11</w:t>
      </w:r>
      <w:r w:rsidRPr="00997F1C">
        <w:rPr>
          <w:b/>
          <w:bCs/>
          <w:noProof/>
          <w:color w:val="000000" w:themeColor="text1"/>
          <w:szCs w:val="26"/>
        </w:rPr>
        <w:fldChar w:fldCharType="end"/>
      </w:r>
      <w:r w:rsidRPr="00997F1C">
        <w:rPr>
          <w:b/>
          <w:bCs/>
          <w:color w:val="000000" w:themeColor="text1"/>
          <w:szCs w:val="26"/>
        </w:rPr>
        <w:t xml:space="preserve">: Proposed 2026 Tree Mortality Non </w:t>
      </w:r>
      <w:proofErr w:type="spellStart"/>
      <w:r w:rsidRPr="00997F1C">
        <w:rPr>
          <w:b/>
          <w:bCs/>
          <w:color w:val="000000" w:themeColor="text1"/>
          <w:szCs w:val="26"/>
        </w:rPr>
        <w:t>Bypassable</w:t>
      </w:r>
      <w:proofErr w:type="spellEnd"/>
      <w:r w:rsidRPr="00997F1C">
        <w:rPr>
          <w:b/>
          <w:bCs/>
          <w:color w:val="000000" w:themeColor="text1"/>
          <w:szCs w:val="26"/>
        </w:rPr>
        <w:br/>
        <w:t>Charge Rates ($/kWh)</w:t>
      </w:r>
    </w:p>
    <w:tbl>
      <w:tblPr>
        <w:tblStyle w:val="TableGrid"/>
        <w:tblW w:w="0" w:type="auto"/>
        <w:jc w:val="center"/>
        <w:tblLook w:val="04A0" w:firstRow="1" w:lastRow="0" w:firstColumn="1" w:lastColumn="0" w:noHBand="0" w:noVBand="1"/>
      </w:tblPr>
      <w:tblGrid>
        <w:gridCol w:w="2875"/>
        <w:gridCol w:w="1620"/>
      </w:tblGrid>
      <w:tr w:rsidRPr="00997F1C" w:rsidR="004215F8" w14:paraId="6A1AC6DC" w14:textId="77777777">
        <w:trPr>
          <w:jc w:val="center"/>
        </w:trPr>
        <w:tc>
          <w:tcPr>
            <w:tcW w:w="2875" w:type="dxa"/>
          </w:tcPr>
          <w:p w:rsidRPr="00997F1C" w:rsidR="003E5AEF" w:rsidP="003E5AEF" w:rsidRDefault="003E5AEF" w14:paraId="354AF0C2" w14:textId="77777777">
            <w:pPr>
              <w:keepNext/>
              <w:keepLines/>
              <w:spacing w:line="240" w:lineRule="auto"/>
              <w:ind w:firstLine="0"/>
              <w:rPr>
                <w:color w:val="000000" w:themeColor="text1"/>
              </w:rPr>
            </w:pPr>
            <w:r w:rsidRPr="00997F1C">
              <w:rPr>
                <w:color w:val="000000" w:themeColor="text1"/>
              </w:rPr>
              <w:t xml:space="preserve">Residential </w:t>
            </w:r>
          </w:p>
        </w:tc>
        <w:tc>
          <w:tcPr>
            <w:tcW w:w="1620" w:type="dxa"/>
          </w:tcPr>
          <w:p w:rsidRPr="00997F1C" w:rsidR="003E5AEF" w:rsidP="003E5AEF" w:rsidRDefault="003E5AEF" w14:paraId="17030670" w14:textId="77777777">
            <w:pPr>
              <w:keepNext/>
              <w:keepLines/>
              <w:spacing w:line="240" w:lineRule="auto"/>
              <w:ind w:firstLine="0"/>
              <w:jc w:val="right"/>
              <w:rPr>
                <w:color w:val="000000" w:themeColor="text1"/>
              </w:rPr>
            </w:pPr>
            <w:r w:rsidRPr="00997F1C">
              <w:rPr>
                <w:color w:val="000000" w:themeColor="text1"/>
              </w:rPr>
              <w:t>$0.00076</w:t>
            </w:r>
          </w:p>
        </w:tc>
      </w:tr>
      <w:tr w:rsidRPr="00997F1C" w:rsidR="004215F8" w14:paraId="656D5C14" w14:textId="77777777">
        <w:trPr>
          <w:jc w:val="center"/>
        </w:trPr>
        <w:tc>
          <w:tcPr>
            <w:tcW w:w="2875" w:type="dxa"/>
          </w:tcPr>
          <w:p w:rsidRPr="00997F1C" w:rsidR="003E5AEF" w:rsidP="003E5AEF" w:rsidRDefault="003E5AEF" w14:paraId="204BCD66" w14:textId="77777777">
            <w:pPr>
              <w:keepNext/>
              <w:keepLines/>
              <w:spacing w:line="240" w:lineRule="auto"/>
              <w:ind w:firstLine="0"/>
              <w:rPr>
                <w:color w:val="000000" w:themeColor="text1"/>
              </w:rPr>
            </w:pPr>
            <w:r w:rsidRPr="00997F1C">
              <w:rPr>
                <w:color w:val="000000" w:themeColor="text1"/>
              </w:rPr>
              <w:t xml:space="preserve">Small Commercial </w:t>
            </w:r>
          </w:p>
        </w:tc>
        <w:tc>
          <w:tcPr>
            <w:tcW w:w="1620" w:type="dxa"/>
          </w:tcPr>
          <w:p w:rsidRPr="00997F1C" w:rsidR="003E5AEF" w:rsidP="003E5AEF" w:rsidRDefault="003E5AEF" w14:paraId="171395FA" w14:textId="77777777">
            <w:pPr>
              <w:keepNext/>
              <w:keepLines/>
              <w:spacing w:line="240" w:lineRule="auto"/>
              <w:ind w:firstLine="0"/>
              <w:jc w:val="right"/>
              <w:rPr>
                <w:color w:val="000000" w:themeColor="text1"/>
              </w:rPr>
            </w:pPr>
            <w:r w:rsidRPr="00997F1C">
              <w:rPr>
                <w:color w:val="000000" w:themeColor="text1"/>
              </w:rPr>
              <w:t>$0.00050</w:t>
            </w:r>
          </w:p>
        </w:tc>
      </w:tr>
      <w:tr w:rsidRPr="00997F1C" w:rsidR="004215F8" w14:paraId="368D4181" w14:textId="77777777">
        <w:trPr>
          <w:jc w:val="center"/>
        </w:trPr>
        <w:tc>
          <w:tcPr>
            <w:tcW w:w="2875" w:type="dxa"/>
          </w:tcPr>
          <w:p w:rsidRPr="00997F1C" w:rsidR="003E5AEF" w:rsidP="003E5AEF" w:rsidRDefault="003E5AEF" w14:paraId="2F725750" w14:textId="77777777">
            <w:pPr>
              <w:keepNext/>
              <w:keepLines/>
              <w:spacing w:line="240" w:lineRule="auto"/>
              <w:ind w:firstLine="0"/>
              <w:rPr>
                <w:color w:val="000000" w:themeColor="text1"/>
              </w:rPr>
            </w:pPr>
            <w:r w:rsidRPr="00997F1C">
              <w:rPr>
                <w:color w:val="000000" w:themeColor="text1"/>
              </w:rPr>
              <w:t xml:space="preserve">Medium Commercial </w:t>
            </w:r>
          </w:p>
        </w:tc>
        <w:tc>
          <w:tcPr>
            <w:tcW w:w="1620" w:type="dxa"/>
          </w:tcPr>
          <w:p w:rsidRPr="00997F1C" w:rsidR="003E5AEF" w:rsidP="003E5AEF" w:rsidRDefault="003E5AEF" w14:paraId="508C6F0E" w14:textId="77777777">
            <w:pPr>
              <w:keepNext/>
              <w:keepLines/>
              <w:spacing w:line="240" w:lineRule="auto"/>
              <w:ind w:firstLine="0"/>
              <w:jc w:val="right"/>
              <w:rPr>
                <w:color w:val="000000" w:themeColor="text1"/>
              </w:rPr>
            </w:pPr>
            <w:r w:rsidRPr="00997F1C">
              <w:rPr>
                <w:color w:val="000000" w:themeColor="text1"/>
              </w:rPr>
              <w:t>$0.00044</w:t>
            </w:r>
          </w:p>
        </w:tc>
      </w:tr>
      <w:tr w:rsidRPr="00997F1C" w:rsidR="004215F8" w14:paraId="41514544" w14:textId="77777777">
        <w:trPr>
          <w:jc w:val="center"/>
        </w:trPr>
        <w:tc>
          <w:tcPr>
            <w:tcW w:w="2875" w:type="dxa"/>
          </w:tcPr>
          <w:p w:rsidRPr="00997F1C" w:rsidR="003E5AEF" w:rsidP="003E5AEF" w:rsidRDefault="003E5AEF" w14:paraId="6416CE66" w14:textId="77777777">
            <w:pPr>
              <w:keepNext/>
              <w:keepLines/>
              <w:spacing w:line="240" w:lineRule="auto"/>
              <w:ind w:firstLine="0"/>
              <w:rPr>
                <w:color w:val="000000" w:themeColor="text1"/>
              </w:rPr>
            </w:pPr>
            <w:r w:rsidRPr="00997F1C">
              <w:rPr>
                <w:color w:val="000000" w:themeColor="text1"/>
              </w:rPr>
              <w:t xml:space="preserve">Large Commercial </w:t>
            </w:r>
          </w:p>
        </w:tc>
        <w:tc>
          <w:tcPr>
            <w:tcW w:w="1620" w:type="dxa"/>
          </w:tcPr>
          <w:p w:rsidRPr="00997F1C" w:rsidR="003E5AEF" w:rsidP="003E5AEF" w:rsidRDefault="003E5AEF" w14:paraId="59F90568" w14:textId="77777777">
            <w:pPr>
              <w:keepNext/>
              <w:keepLines/>
              <w:spacing w:line="240" w:lineRule="auto"/>
              <w:ind w:firstLine="0"/>
              <w:jc w:val="right"/>
              <w:rPr>
                <w:color w:val="000000" w:themeColor="text1"/>
              </w:rPr>
            </w:pPr>
            <w:r w:rsidRPr="00997F1C">
              <w:rPr>
                <w:color w:val="000000" w:themeColor="text1"/>
              </w:rPr>
              <w:t>$0.00044</w:t>
            </w:r>
          </w:p>
        </w:tc>
      </w:tr>
      <w:tr w:rsidRPr="00997F1C" w:rsidR="004215F8" w14:paraId="1AC82348" w14:textId="77777777">
        <w:trPr>
          <w:jc w:val="center"/>
        </w:trPr>
        <w:tc>
          <w:tcPr>
            <w:tcW w:w="2875" w:type="dxa"/>
          </w:tcPr>
          <w:p w:rsidRPr="00997F1C" w:rsidR="003E5AEF" w:rsidP="003E5AEF" w:rsidRDefault="003E5AEF" w14:paraId="65DB1D6A" w14:textId="77777777">
            <w:pPr>
              <w:keepNext/>
              <w:keepLines/>
              <w:spacing w:line="240" w:lineRule="auto"/>
              <w:ind w:firstLine="0"/>
              <w:rPr>
                <w:color w:val="000000" w:themeColor="text1"/>
              </w:rPr>
            </w:pPr>
            <w:r w:rsidRPr="00997F1C">
              <w:rPr>
                <w:color w:val="000000" w:themeColor="text1"/>
              </w:rPr>
              <w:t xml:space="preserve">Streetlights </w:t>
            </w:r>
          </w:p>
        </w:tc>
        <w:tc>
          <w:tcPr>
            <w:tcW w:w="1620" w:type="dxa"/>
          </w:tcPr>
          <w:p w:rsidRPr="00997F1C" w:rsidR="003E5AEF" w:rsidP="003E5AEF" w:rsidRDefault="003E5AEF" w14:paraId="220451F0" w14:textId="77777777">
            <w:pPr>
              <w:keepNext/>
              <w:keepLines/>
              <w:spacing w:line="240" w:lineRule="auto"/>
              <w:ind w:firstLine="0"/>
              <w:jc w:val="right"/>
              <w:rPr>
                <w:color w:val="000000" w:themeColor="text1"/>
              </w:rPr>
            </w:pPr>
            <w:r w:rsidRPr="00997F1C">
              <w:rPr>
                <w:color w:val="000000" w:themeColor="text1"/>
              </w:rPr>
              <w:t>$0.00043</w:t>
            </w:r>
          </w:p>
        </w:tc>
      </w:tr>
      <w:tr w:rsidRPr="00997F1C" w:rsidR="004215F8" w14:paraId="26E5115A" w14:textId="77777777">
        <w:trPr>
          <w:jc w:val="center"/>
        </w:trPr>
        <w:tc>
          <w:tcPr>
            <w:tcW w:w="2875" w:type="dxa"/>
          </w:tcPr>
          <w:p w:rsidRPr="00997F1C" w:rsidR="003E5AEF" w:rsidP="003E5AEF" w:rsidRDefault="003E5AEF" w14:paraId="0AFE3263" w14:textId="77777777">
            <w:pPr>
              <w:keepNext/>
              <w:keepLines/>
              <w:spacing w:line="240" w:lineRule="auto"/>
              <w:ind w:firstLine="0"/>
              <w:rPr>
                <w:color w:val="000000" w:themeColor="text1"/>
              </w:rPr>
            </w:pPr>
            <w:r w:rsidRPr="00997F1C">
              <w:rPr>
                <w:color w:val="000000" w:themeColor="text1"/>
              </w:rPr>
              <w:t xml:space="preserve">Standby </w:t>
            </w:r>
          </w:p>
        </w:tc>
        <w:tc>
          <w:tcPr>
            <w:tcW w:w="1620" w:type="dxa"/>
          </w:tcPr>
          <w:p w:rsidRPr="00997F1C" w:rsidR="003E5AEF" w:rsidP="003E5AEF" w:rsidRDefault="003E5AEF" w14:paraId="54DFC067" w14:textId="77777777">
            <w:pPr>
              <w:keepNext/>
              <w:keepLines/>
              <w:spacing w:line="240" w:lineRule="auto"/>
              <w:ind w:firstLine="0"/>
              <w:jc w:val="right"/>
              <w:rPr>
                <w:color w:val="000000" w:themeColor="text1"/>
              </w:rPr>
            </w:pPr>
            <w:r w:rsidRPr="00997F1C">
              <w:rPr>
                <w:color w:val="000000" w:themeColor="text1"/>
              </w:rPr>
              <w:t>$0.00046</w:t>
            </w:r>
          </w:p>
        </w:tc>
      </w:tr>
      <w:tr w:rsidRPr="00997F1C" w:rsidR="004215F8" w14:paraId="2579CFCA" w14:textId="77777777">
        <w:trPr>
          <w:jc w:val="center"/>
        </w:trPr>
        <w:tc>
          <w:tcPr>
            <w:tcW w:w="2875" w:type="dxa"/>
          </w:tcPr>
          <w:p w:rsidRPr="00997F1C" w:rsidR="003E5AEF" w:rsidP="003E5AEF" w:rsidRDefault="003E5AEF" w14:paraId="3CD76CAF" w14:textId="77777777">
            <w:pPr>
              <w:keepNext/>
              <w:keepLines/>
              <w:spacing w:line="240" w:lineRule="auto"/>
              <w:ind w:firstLine="0"/>
              <w:rPr>
                <w:color w:val="000000" w:themeColor="text1"/>
              </w:rPr>
            </w:pPr>
            <w:r w:rsidRPr="00997F1C">
              <w:rPr>
                <w:color w:val="000000" w:themeColor="text1"/>
              </w:rPr>
              <w:t xml:space="preserve">Agriculture </w:t>
            </w:r>
          </w:p>
        </w:tc>
        <w:tc>
          <w:tcPr>
            <w:tcW w:w="1620" w:type="dxa"/>
          </w:tcPr>
          <w:p w:rsidRPr="00997F1C" w:rsidR="003E5AEF" w:rsidP="003E5AEF" w:rsidRDefault="003E5AEF" w14:paraId="2F7137E3" w14:textId="77777777">
            <w:pPr>
              <w:keepNext/>
              <w:keepLines/>
              <w:spacing w:line="240" w:lineRule="auto"/>
              <w:ind w:firstLine="0"/>
              <w:jc w:val="right"/>
              <w:rPr>
                <w:color w:val="000000" w:themeColor="text1"/>
              </w:rPr>
            </w:pPr>
            <w:r w:rsidRPr="00997F1C">
              <w:rPr>
                <w:color w:val="000000" w:themeColor="text1"/>
              </w:rPr>
              <w:t>$0.00048</w:t>
            </w:r>
          </w:p>
        </w:tc>
      </w:tr>
      <w:tr w:rsidRPr="00997F1C" w:rsidR="004215F8" w14:paraId="63C1A05F" w14:textId="77777777">
        <w:trPr>
          <w:jc w:val="center"/>
        </w:trPr>
        <w:tc>
          <w:tcPr>
            <w:tcW w:w="2875" w:type="dxa"/>
          </w:tcPr>
          <w:p w:rsidRPr="00997F1C" w:rsidR="003E5AEF" w:rsidP="003E5AEF" w:rsidRDefault="003E5AEF" w14:paraId="4D25476F" w14:textId="77777777">
            <w:pPr>
              <w:keepNext/>
              <w:keepLines/>
              <w:spacing w:line="240" w:lineRule="auto"/>
              <w:ind w:firstLine="0"/>
              <w:rPr>
                <w:color w:val="000000" w:themeColor="text1"/>
              </w:rPr>
            </w:pPr>
            <w:r w:rsidRPr="00997F1C">
              <w:rPr>
                <w:color w:val="000000" w:themeColor="text1"/>
              </w:rPr>
              <w:t xml:space="preserve">B20/E20 T </w:t>
            </w:r>
          </w:p>
        </w:tc>
        <w:tc>
          <w:tcPr>
            <w:tcW w:w="1620" w:type="dxa"/>
          </w:tcPr>
          <w:p w:rsidRPr="00997F1C" w:rsidR="003E5AEF" w:rsidP="003E5AEF" w:rsidRDefault="003E5AEF" w14:paraId="2A323901" w14:textId="77777777">
            <w:pPr>
              <w:keepNext/>
              <w:keepLines/>
              <w:spacing w:line="240" w:lineRule="auto"/>
              <w:ind w:firstLine="0"/>
              <w:jc w:val="right"/>
              <w:rPr>
                <w:color w:val="000000" w:themeColor="text1"/>
              </w:rPr>
            </w:pPr>
            <w:r w:rsidRPr="00997F1C">
              <w:rPr>
                <w:color w:val="000000" w:themeColor="text1"/>
              </w:rPr>
              <w:t>$0.00034</w:t>
            </w:r>
          </w:p>
        </w:tc>
      </w:tr>
      <w:tr w:rsidRPr="00997F1C" w:rsidR="004215F8" w14:paraId="53834D3F" w14:textId="77777777">
        <w:trPr>
          <w:jc w:val="center"/>
        </w:trPr>
        <w:tc>
          <w:tcPr>
            <w:tcW w:w="2875" w:type="dxa"/>
          </w:tcPr>
          <w:p w:rsidRPr="00997F1C" w:rsidR="003E5AEF" w:rsidP="003E5AEF" w:rsidRDefault="003E5AEF" w14:paraId="16324185" w14:textId="77777777">
            <w:pPr>
              <w:keepNext/>
              <w:keepLines/>
              <w:spacing w:line="240" w:lineRule="auto"/>
              <w:ind w:firstLine="0"/>
              <w:rPr>
                <w:color w:val="000000" w:themeColor="text1"/>
              </w:rPr>
            </w:pPr>
            <w:r w:rsidRPr="00997F1C">
              <w:rPr>
                <w:color w:val="000000" w:themeColor="text1"/>
              </w:rPr>
              <w:t xml:space="preserve">B20/E20 P </w:t>
            </w:r>
          </w:p>
        </w:tc>
        <w:tc>
          <w:tcPr>
            <w:tcW w:w="1620" w:type="dxa"/>
          </w:tcPr>
          <w:p w:rsidRPr="00997F1C" w:rsidR="003E5AEF" w:rsidP="003E5AEF" w:rsidRDefault="003E5AEF" w14:paraId="2108391A" w14:textId="77777777">
            <w:pPr>
              <w:keepNext/>
              <w:keepLines/>
              <w:spacing w:line="240" w:lineRule="auto"/>
              <w:ind w:firstLine="0"/>
              <w:jc w:val="right"/>
              <w:rPr>
                <w:color w:val="000000" w:themeColor="text1"/>
              </w:rPr>
            </w:pPr>
            <w:r w:rsidRPr="00997F1C">
              <w:rPr>
                <w:color w:val="000000" w:themeColor="text1"/>
              </w:rPr>
              <w:t>$0.00034</w:t>
            </w:r>
          </w:p>
        </w:tc>
      </w:tr>
      <w:tr w:rsidRPr="00997F1C" w:rsidR="004215F8" w14:paraId="38734F63" w14:textId="77777777">
        <w:trPr>
          <w:jc w:val="center"/>
        </w:trPr>
        <w:tc>
          <w:tcPr>
            <w:tcW w:w="2875" w:type="dxa"/>
          </w:tcPr>
          <w:p w:rsidRPr="00997F1C" w:rsidR="003E5AEF" w:rsidP="003E5AEF" w:rsidRDefault="003E5AEF" w14:paraId="6F374991" w14:textId="77777777">
            <w:pPr>
              <w:keepNext/>
              <w:keepLines/>
              <w:spacing w:line="240" w:lineRule="auto"/>
              <w:ind w:firstLine="0"/>
              <w:rPr>
                <w:color w:val="000000" w:themeColor="text1"/>
              </w:rPr>
            </w:pPr>
            <w:r w:rsidRPr="00997F1C">
              <w:rPr>
                <w:color w:val="000000" w:themeColor="text1"/>
              </w:rPr>
              <w:t xml:space="preserve">B20/E20 S </w:t>
            </w:r>
          </w:p>
        </w:tc>
        <w:tc>
          <w:tcPr>
            <w:tcW w:w="1620" w:type="dxa"/>
          </w:tcPr>
          <w:p w:rsidRPr="00997F1C" w:rsidR="003E5AEF" w:rsidP="003E5AEF" w:rsidRDefault="003E5AEF" w14:paraId="370E3E28" w14:textId="77777777">
            <w:pPr>
              <w:keepNext/>
              <w:keepLines/>
              <w:spacing w:line="240" w:lineRule="auto"/>
              <w:ind w:firstLine="0"/>
              <w:jc w:val="right"/>
              <w:rPr>
                <w:color w:val="000000" w:themeColor="text1"/>
              </w:rPr>
            </w:pPr>
            <w:r w:rsidRPr="00997F1C">
              <w:rPr>
                <w:color w:val="000000" w:themeColor="text1"/>
              </w:rPr>
              <w:t>$0.00034</w:t>
            </w:r>
          </w:p>
        </w:tc>
      </w:tr>
      <w:tr w:rsidRPr="00997F1C" w:rsidR="004215F8" w14:paraId="3AD6A2E7" w14:textId="77777777">
        <w:trPr>
          <w:jc w:val="center"/>
        </w:trPr>
        <w:tc>
          <w:tcPr>
            <w:tcW w:w="2875" w:type="dxa"/>
          </w:tcPr>
          <w:p w:rsidRPr="00997F1C" w:rsidR="003E5AEF" w:rsidP="003E5AEF" w:rsidRDefault="003E5AEF" w14:paraId="3AB94E0D" w14:textId="77777777">
            <w:pPr>
              <w:keepNext/>
              <w:keepLines/>
              <w:spacing w:line="240" w:lineRule="auto"/>
              <w:ind w:firstLine="0"/>
              <w:rPr>
                <w:color w:val="000000" w:themeColor="text1"/>
              </w:rPr>
            </w:pPr>
            <w:r w:rsidRPr="00997F1C">
              <w:rPr>
                <w:color w:val="000000" w:themeColor="text1"/>
              </w:rPr>
              <w:t xml:space="preserve">BEV1 </w:t>
            </w:r>
          </w:p>
        </w:tc>
        <w:tc>
          <w:tcPr>
            <w:tcW w:w="1620" w:type="dxa"/>
          </w:tcPr>
          <w:p w:rsidRPr="00997F1C" w:rsidR="003E5AEF" w:rsidP="003E5AEF" w:rsidRDefault="003E5AEF" w14:paraId="71F40E54" w14:textId="77777777">
            <w:pPr>
              <w:keepNext/>
              <w:keepLines/>
              <w:spacing w:line="240" w:lineRule="auto"/>
              <w:ind w:firstLine="0"/>
              <w:jc w:val="right"/>
              <w:rPr>
                <w:color w:val="000000" w:themeColor="text1"/>
              </w:rPr>
            </w:pPr>
            <w:r w:rsidRPr="00997F1C">
              <w:rPr>
                <w:color w:val="000000" w:themeColor="text1"/>
              </w:rPr>
              <w:t>$0.00050</w:t>
            </w:r>
          </w:p>
        </w:tc>
      </w:tr>
      <w:tr w:rsidRPr="00997F1C" w:rsidR="004215F8" w14:paraId="7EE950A1" w14:textId="77777777">
        <w:trPr>
          <w:jc w:val="center"/>
        </w:trPr>
        <w:tc>
          <w:tcPr>
            <w:tcW w:w="2875" w:type="dxa"/>
          </w:tcPr>
          <w:p w:rsidRPr="00997F1C" w:rsidR="003E5AEF" w:rsidP="003E5AEF" w:rsidRDefault="003E5AEF" w14:paraId="57345175" w14:textId="77777777">
            <w:pPr>
              <w:keepLines/>
              <w:spacing w:line="240" w:lineRule="auto"/>
              <w:ind w:firstLine="0"/>
              <w:rPr>
                <w:color w:val="000000" w:themeColor="text1"/>
              </w:rPr>
            </w:pPr>
            <w:r w:rsidRPr="00997F1C">
              <w:rPr>
                <w:color w:val="000000" w:themeColor="text1"/>
              </w:rPr>
              <w:t xml:space="preserve">BEV2 </w:t>
            </w:r>
          </w:p>
        </w:tc>
        <w:tc>
          <w:tcPr>
            <w:tcW w:w="1620" w:type="dxa"/>
          </w:tcPr>
          <w:p w:rsidRPr="00997F1C" w:rsidR="003E5AEF" w:rsidP="003E5AEF" w:rsidRDefault="003E5AEF" w14:paraId="0D25D1AB" w14:textId="77777777">
            <w:pPr>
              <w:keepLines/>
              <w:spacing w:line="240" w:lineRule="auto"/>
              <w:ind w:firstLine="0"/>
              <w:jc w:val="right"/>
              <w:rPr>
                <w:color w:val="000000" w:themeColor="text1"/>
              </w:rPr>
            </w:pPr>
            <w:r w:rsidRPr="00997F1C">
              <w:rPr>
                <w:color w:val="000000" w:themeColor="text1"/>
              </w:rPr>
              <w:t>$0.00044</w:t>
            </w:r>
          </w:p>
        </w:tc>
      </w:tr>
    </w:tbl>
    <w:p w:rsidRPr="00997F1C" w:rsidR="003E5AEF" w:rsidP="00D928F8" w:rsidRDefault="003E5AEF" w14:paraId="57C72394" w14:textId="77777777">
      <w:pPr>
        <w:pStyle w:val="Heading3"/>
        <w:spacing w:before="120"/>
        <w:ind w:left="2290"/>
      </w:pPr>
      <w:bookmarkStart w:name="_Toc179212747" w:id="298"/>
      <w:bookmarkStart w:name="_Toc182306142" w:id="299"/>
      <w:bookmarkStart w:name="_Toc182841813" w:id="300"/>
      <w:bookmarkStart w:name="_Toc212561197" w:id="301"/>
      <w:bookmarkStart w:name="_Toc217384675" w:id="302"/>
      <w:proofErr w:type="spellStart"/>
      <w:r w:rsidRPr="00997F1C">
        <w:t>BioMAT</w:t>
      </w:r>
      <w:proofErr w:type="spellEnd"/>
      <w:r w:rsidRPr="00997F1C">
        <w:t xml:space="preserve"> Non-</w:t>
      </w:r>
      <w:proofErr w:type="spellStart"/>
      <w:r w:rsidRPr="00997F1C">
        <w:t>bypassable</w:t>
      </w:r>
      <w:proofErr w:type="spellEnd"/>
      <w:r w:rsidRPr="00997F1C">
        <w:t xml:space="preserve"> Charge</w:t>
      </w:r>
      <w:bookmarkEnd w:id="298"/>
      <w:bookmarkEnd w:id="299"/>
      <w:bookmarkEnd w:id="300"/>
      <w:bookmarkEnd w:id="301"/>
      <w:bookmarkEnd w:id="302"/>
    </w:p>
    <w:p w:rsidRPr="00997F1C" w:rsidR="003E5AEF" w:rsidP="003E5AEF" w:rsidRDefault="53E8B74B" w14:paraId="0DACBE9C" w14:textId="15B19845">
      <w:pPr>
        <w:rPr>
          <w:color w:val="000000" w:themeColor="text1"/>
        </w:rPr>
      </w:pPr>
      <w:r w:rsidRPr="00997F1C">
        <w:rPr>
          <w:color w:val="000000" w:themeColor="text1"/>
        </w:rPr>
        <w:t xml:space="preserve">To determine </w:t>
      </w:r>
      <w:proofErr w:type="spellStart"/>
      <w:r w:rsidRPr="00997F1C">
        <w:rPr>
          <w:color w:val="000000" w:themeColor="text1"/>
        </w:rPr>
        <w:t>BioMAT</w:t>
      </w:r>
      <w:proofErr w:type="spellEnd"/>
      <w:r w:rsidRPr="00997F1C">
        <w:rPr>
          <w:color w:val="000000" w:themeColor="text1"/>
        </w:rPr>
        <w:t xml:space="preserve"> non-</w:t>
      </w:r>
      <w:proofErr w:type="spellStart"/>
      <w:r w:rsidRPr="00997F1C">
        <w:rPr>
          <w:color w:val="000000" w:themeColor="text1"/>
        </w:rPr>
        <w:t>bypassable</w:t>
      </w:r>
      <w:proofErr w:type="spellEnd"/>
      <w:r w:rsidRPr="00997F1C">
        <w:rPr>
          <w:color w:val="000000" w:themeColor="text1"/>
        </w:rPr>
        <w:t xml:space="preserve"> charge rates, PG&amp;E first allocated the </w:t>
      </w:r>
      <w:proofErr w:type="spellStart"/>
      <w:r w:rsidRPr="00997F1C">
        <w:rPr>
          <w:color w:val="000000" w:themeColor="text1"/>
        </w:rPr>
        <w:t>BioMAT</w:t>
      </w:r>
      <w:proofErr w:type="spellEnd"/>
      <w:r w:rsidRPr="00997F1C">
        <w:rPr>
          <w:color w:val="000000" w:themeColor="text1"/>
        </w:rPr>
        <w:t xml:space="preserve"> non-</w:t>
      </w:r>
      <w:proofErr w:type="spellStart"/>
      <w:r w:rsidRPr="00997F1C">
        <w:rPr>
          <w:color w:val="000000" w:themeColor="text1"/>
        </w:rPr>
        <w:t>bypassable</w:t>
      </w:r>
      <w:proofErr w:type="spellEnd"/>
      <w:r w:rsidRPr="00997F1C">
        <w:rPr>
          <w:color w:val="000000" w:themeColor="text1"/>
        </w:rPr>
        <w:t xml:space="preserve"> charge revenue requirement to each customer class using the same 12-month coincident peak allocation factors used to design NSGC rates.  Then PG&amp;E set rates for each customer class by dividing the allocated revenue by each customer class forecast usage.  Like </w:t>
      </w:r>
      <w:proofErr w:type="gramStart"/>
      <w:r w:rsidRPr="00997F1C">
        <w:rPr>
          <w:color w:val="000000" w:themeColor="text1"/>
        </w:rPr>
        <w:t>the TMNBC</w:t>
      </w:r>
      <w:proofErr w:type="gramEnd"/>
      <w:r w:rsidRPr="00997F1C">
        <w:rPr>
          <w:color w:val="000000" w:themeColor="text1"/>
        </w:rPr>
        <w:t xml:space="preserve">, </w:t>
      </w:r>
      <w:proofErr w:type="spellStart"/>
      <w:r w:rsidRPr="00997F1C">
        <w:rPr>
          <w:color w:val="000000" w:themeColor="text1"/>
        </w:rPr>
        <w:t>BioMAT</w:t>
      </w:r>
      <w:proofErr w:type="spellEnd"/>
      <w:r w:rsidRPr="00997F1C">
        <w:rPr>
          <w:color w:val="000000" w:themeColor="text1"/>
        </w:rPr>
        <w:t xml:space="preserve"> non-</w:t>
      </w:r>
      <w:proofErr w:type="spellStart"/>
      <w:r w:rsidRPr="00997F1C">
        <w:rPr>
          <w:color w:val="000000" w:themeColor="text1"/>
        </w:rPr>
        <w:t>bypassable</w:t>
      </w:r>
      <w:proofErr w:type="spellEnd"/>
      <w:r w:rsidRPr="00997F1C">
        <w:rPr>
          <w:color w:val="000000" w:themeColor="text1"/>
        </w:rPr>
        <w:t xml:space="preserve"> charge rates are embedded in total public purpose program rates for billing.  Proposed </w:t>
      </w:r>
      <w:proofErr w:type="spellStart"/>
      <w:r w:rsidRPr="00997F1C">
        <w:rPr>
          <w:color w:val="000000" w:themeColor="text1"/>
        </w:rPr>
        <w:t>BioMAT</w:t>
      </w:r>
      <w:proofErr w:type="spellEnd"/>
      <w:r w:rsidRPr="00997F1C">
        <w:rPr>
          <w:color w:val="000000" w:themeColor="text1"/>
        </w:rPr>
        <w:t xml:space="preserve"> non-</w:t>
      </w:r>
      <w:proofErr w:type="spellStart"/>
      <w:r w:rsidRPr="00997F1C">
        <w:rPr>
          <w:color w:val="000000" w:themeColor="text1"/>
        </w:rPr>
        <w:t>bypassable</w:t>
      </w:r>
      <w:proofErr w:type="spellEnd"/>
      <w:r w:rsidRPr="00997F1C">
        <w:rPr>
          <w:color w:val="000000" w:themeColor="text1"/>
        </w:rPr>
        <w:t xml:space="preserve"> charge rates are shown in Table </w:t>
      </w:r>
      <w:r w:rsidRPr="00997F1C" w:rsidR="0055661A">
        <w:rPr>
          <w:color w:val="000000" w:themeColor="text1"/>
        </w:rPr>
        <w:t>12</w:t>
      </w:r>
      <w:r w:rsidRPr="00997F1C">
        <w:rPr>
          <w:color w:val="000000" w:themeColor="text1"/>
        </w:rPr>
        <w:t>.</w:t>
      </w:r>
      <w:r w:rsidRPr="00997F1C" w:rsidR="003E5AEF">
        <w:rPr>
          <w:color w:val="000000" w:themeColor="text1"/>
          <w:vertAlign w:val="superscript"/>
        </w:rPr>
        <w:footnoteReference w:id="172"/>
      </w:r>
    </w:p>
    <w:p w:rsidRPr="00997F1C" w:rsidR="003E5AEF" w:rsidP="003E5AEF" w:rsidRDefault="003E5AEF" w14:paraId="371911FB" w14:textId="33007498">
      <w:pPr>
        <w:keepNext/>
        <w:keepLines/>
        <w:spacing w:after="200" w:line="240" w:lineRule="auto"/>
        <w:ind w:firstLine="0"/>
        <w:jc w:val="center"/>
        <w:rPr>
          <w:b/>
          <w:bCs/>
          <w:color w:val="000000" w:themeColor="text1"/>
          <w:szCs w:val="26"/>
        </w:rPr>
      </w:pPr>
      <w:r w:rsidRPr="00997F1C">
        <w:rPr>
          <w:b/>
          <w:bCs/>
          <w:color w:val="000000" w:themeColor="text1"/>
          <w:szCs w:val="26"/>
        </w:rPr>
        <w:lastRenderedPageBreak/>
        <w:t xml:space="preserve">Table </w:t>
      </w:r>
      <w:r w:rsidRPr="00997F1C">
        <w:rPr>
          <w:b/>
          <w:bCs/>
          <w:color w:val="000000" w:themeColor="text1"/>
          <w:szCs w:val="26"/>
        </w:rPr>
        <w:fldChar w:fldCharType="begin"/>
      </w:r>
      <w:r w:rsidRPr="00997F1C">
        <w:rPr>
          <w:b/>
          <w:bCs/>
          <w:color w:val="000000" w:themeColor="text1"/>
          <w:szCs w:val="26"/>
        </w:rPr>
        <w:instrText xml:space="preserve"> SEQ Table \* ARABIC </w:instrText>
      </w:r>
      <w:r w:rsidRPr="00997F1C">
        <w:rPr>
          <w:b/>
          <w:bCs/>
          <w:color w:val="000000" w:themeColor="text1"/>
          <w:szCs w:val="26"/>
        </w:rPr>
        <w:fldChar w:fldCharType="separate"/>
      </w:r>
      <w:r w:rsidR="00A93519">
        <w:rPr>
          <w:b/>
          <w:bCs/>
          <w:noProof/>
          <w:color w:val="000000" w:themeColor="text1"/>
          <w:szCs w:val="26"/>
        </w:rPr>
        <w:t>12</w:t>
      </w:r>
      <w:r w:rsidRPr="00997F1C">
        <w:rPr>
          <w:b/>
          <w:bCs/>
          <w:noProof/>
          <w:color w:val="000000" w:themeColor="text1"/>
          <w:szCs w:val="26"/>
        </w:rPr>
        <w:fldChar w:fldCharType="end"/>
      </w:r>
      <w:r w:rsidRPr="00997F1C">
        <w:rPr>
          <w:b/>
          <w:bCs/>
          <w:color w:val="000000" w:themeColor="text1"/>
          <w:szCs w:val="26"/>
        </w:rPr>
        <w:t xml:space="preserve">: Proposed 2026 </w:t>
      </w:r>
      <w:proofErr w:type="spellStart"/>
      <w:r w:rsidRPr="00997F1C">
        <w:rPr>
          <w:b/>
          <w:bCs/>
          <w:color w:val="000000" w:themeColor="text1"/>
          <w:szCs w:val="26"/>
        </w:rPr>
        <w:t>BioMAT</w:t>
      </w:r>
      <w:proofErr w:type="spellEnd"/>
      <w:r w:rsidRPr="00997F1C">
        <w:rPr>
          <w:b/>
          <w:bCs/>
          <w:color w:val="000000" w:themeColor="text1"/>
          <w:szCs w:val="26"/>
        </w:rPr>
        <w:t xml:space="preserve"> Rates ($/kWh)</w:t>
      </w:r>
    </w:p>
    <w:tbl>
      <w:tblPr>
        <w:tblStyle w:val="TableGrid"/>
        <w:tblW w:w="0" w:type="auto"/>
        <w:jc w:val="center"/>
        <w:tblLook w:val="04A0" w:firstRow="1" w:lastRow="0" w:firstColumn="1" w:lastColumn="0" w:noHBand="0" w:noVBand="1"/>
      </w:tblPr>
      <w:tblGrid>
        <w:gridCol w:w="2875"/>
        <w:gridCol w:w="1620"/>
      </w:tblGrid>
      <w:tr w:rsidRPr="00997F1C" w:rsidR="004215F8" w14:paraId="73EC483D" w14:textId="77777777">
        <w:trPr>
          <w:jc w:val="center"/>
        </w:trPr>
        <w:tc>
          <w:tcPr>
            <w:tcW w:w="2875" w:type="dxa"/>
          </w:tcPr>
          <w:p w:rsidRPr="00997F1C" w:rsidR="003E5AEF" w:rsidP="003E5AEF" w:rsidRDefault="003E5AEF" w14:paraId="57D3A392" w14:textId="77777777">
            <w:pPr>
              <w:keepNext/>
              <w:keepLines/>
              <w:spacing w:line="240" w:lineRule="auto"/>
              <w:ind w:firstLine="0"/>
              <w:rPr>
                <w:color w:val="000000" w:themeColor="text1"/>
              </w:rPr>
            </w:pPr>
            <w:r w:rsidRPr="00997F1C">
              <w:rPr>
                <w:color w:val="000000" w:themeColor="text1"/>
              </w:rPr>
              <w:t xml:space="preserve">Residential </w:t>
            </w:r>
          </w:p>
        </w:tc>
        <w:tc>
          <w:tcPr>
            <w:tcW w:w="1620" w:type="dxa"/>
          </w:tcPr>
          <w:p w:rsidRPr="00997F1C" w:rsidR="003E5AEF" w:rsidP="003E5AEF" w:rsidRDefault="003E5AEF" w14:paraId="6D370CA0" w14:textId="77777777">
            <w:pPr>
              <w:keepNext/>
              <w:keepLines/>
              <w:spacing w:line="240" w:lineRule="auto"/>
              <w:ind w:firstLine="0"/>
              <w:jc w:val="right"/>
              <w:rPr>
                <w:color w:val="000000" w:themeColor="text1"/>
              </w:rPr>
            </w:pPr>
            <w:r w:rsidRPr="00997F1C">
              <w:rPr>
                <w:color w:val="000000" w:themeColor="text1"/>
              </w:rPr>
              <w:t>$0.00025</w:t>
            </w:r>
          </w:p>
        </w:tc>
      </w:tr>
      <w:tr w:rsidRPr="00997F1C" w:rsidR="004215F8" w14:paraId="56B6EEE2" w14:textId="77777777">
        <w:trPr>
          <w:jc w:val="center"/>
        </w:trPr>
        <w:tc>
          <w:tcPr>
            <w:tcW w:w="2875" w:type="dxa"/>
          </w:tcPr>
          <w:p w:rsidRPr="00997F1C" w:rsidR="003E5AEF" w:rsidP="003E5AEF" w:rsidRDefault="003E5AEF" w14:paraId="4A9C3E93" w14:textId="77777777">
            <w:pPr>
              <w:keepNext/>
              <w:keepLines/>
              <w:spacing w:line="240" w:lineRule="auto"/>
              <w:ind w:firstLine="0"/>
              <w:rPr>
                <w:color w:val="000000" w:themeColor="text1"/>
              </w:rPr>
            </w:pPr>
            <w:r w:rsidRPr="00997F1C">
              <w:rPr>
                <w:color w:val="000000" w:themeColor="text1"/>
              </w:rPr>
              <w:t xml:space="preserve">Small Commercial </w:t>
            </w:r>
          </w:p>
        </w:tc>
        <w:tc>
          <w:tcPr>
            <w:tcW w:w="1620" w:type="dxa"/>
          </w:tcPr>
          <w:p w:rsidRPr="00997F1C" w:rsidR="003E5AEF" w:rsidP="003E5AEF" w:rsidRDefault="003E5AEF" w14:paraId="67197553" w14:textId="77777777">
            <w:pPr>
              <w:keepNext/>
              <w:keepLines/>
              <w:spacing w:line="240" w:lineRule="auto"/>
              <w:ind w:firstLine="0"/>
              <w:jc w:val="right"/>
              <w:rPr>
                <w:color w:val="000000" w:themeColor="text1"/>
              </w:rPr>
            </w:pPr>
            <w:r w:rsidRPr="00997F1C">
              <w:rPr>
                <w:color w:val="000000" w:themeColor="text1"/>
              </w:rPr>
              <w:t>$0.00017</w:t>
            </w:r>
          </w:p>
        </w:tc>
      </w:tr>
      <w:tr w:rsidRPr="00997F1C" w:rsidR="004215F8" w14:paraId="3979B3B0" w14:textId="77777777">
        <w:trPr>
          <w:jc w:val="center"/>
        </w:trPr>
        <w:tc>
          <w:tcPr>
            <w:tcW w:w="2875" w:type="dxa"/>
          </w:tcPr>
          <w:p w:rsidRPr="00997F1C" w:rsidR="003E5AEF" w:rsidP="003E5AEF" w:rsidRDefault="003E5AEF" w14:paraId="42F72600" w14:textId="77777777">
            <w:pPr>
              <w:keepNext/>
              <w:keepLines/>
              <w:spacing w:line="240" w:lineRule="auto"/>
              <w:ind w:firstLine="0"/>
              <w:rPr>
                <w:color w:val="000000" w:themeColor="text1"/>
              </w:rPr>
            </w:pPr>
            <w:r w:rsidRPr="00997F1C">
              <w:rPr>
                <w:color w:val="000000" w:themeColor="text1"/>
              </w:rPr>
              <w:t xml:space="preserve">Medium Commercial </w:t>
            </w:r>
          </w:p>
        </w:tc>
        <w:tc>
          <w:tcPr>
            <w:tcW w:w="1620" w:type="dxa"/>
          </w:tcPr>
          <w:p w:rsidRPr="00997F1C" w:rsidR="003E5AEF" w:rsidP="003E5AEF" w:rsidRDefault="003E5AEF" w14:paraId="1E7995EF" w14:textId="77777777">
            <w:pPr>
              <w:keepNext/>
              <w:keepLines/>
              <w:spacing w:line="240" w:lineRule="auto"/>
              <w:ind w:firstLine="0"/>
              <w:jc w:val="right"/>
              <w:rPr>
                <w:color w:val="000000" w:themeColor="text1"/>
              </w:rPr>
            </w:pPr>
            <w:r w:rsidRPr="00997F1C">
              <w:rPr>
                <w:color w:val="000000" w:themeColor="text1"/>
              </w:rPr>
              <w:t>$0.00015</w:t>
            </w:r>
          </w:p>
        </w:tc>
      </w:tr>
      <w:tr w:rsidRPr="00997F1C" w:rsidR="004215F8" w14:paraId="5264C509" w14:textId="77777777">
        <w:trPr>
          <w:jc w:val="center"/>
        </w:trPr>
        <w:tc>
          <w:tcPr>
            <w:tcW w:w="2875" w:type="dxa"/>
          </w:tcPr>
          <w:p w:rsidRPr="00997F1C" w:rsidR="003E5AEF" w:rsidP="003E5AEF" w:rsidRDefault="003E5AEF" w14:paraId="0CEF33D1" w14:textId="77777777">
            <w:pPr>
              <w:keepNext/>
              <w:keepLines/>
              <w:spacing w:line="240" w:lineRule="auto"/>
              <w:ind w:firstLine="0"/>
              <w:rPr>
                <w:color w:val="000000" w:themeColor="text1"/>
              </w:rPr>
            </w:pPr>
            <w:r w:rsidRPr="00997F1C">
              <w:rPr>
                <w:color w:val="000000" w:themeColor="text1"/>
              </w:rPr>
              <w:t xml:space="preserve">Large Commercial </w:t>
            </w:r>
          </w:p>
        </w:tc>
        <w:tc>
          <w:tcPr>
            <w:tcW w:w="1620" w:type="dxa"/>
          </w:tcPr>
          <w:p w:rsidRPr="00997F1C" w:rsidR="003E5AEF" w:rsidP="003E5AEF" w:rsidRDefault="003E5AEF" w14:paraId="4FA39A56" w14:textId="77777777">
            <w:pPr>
              <w:keepNext/>
              <w:keepLines/>
              <w:spacing w:line="240" w:lineRule="auto"/>
              <w:ind w:firstLine="0"/>
              <w:jc w:val="right"/>
              <w:rPr>
                <w:color w:val="000000" w:themeColor="text1"/>
              </w:rPr>
            </w:pPr>
            <w:r w:rsidRPr="00997F1C">
              <w:rPr>
                <w:color w:val="000000" w:themeColor="text1"/>
              </w:rPr>
              <w:t>$0.00015</w:t>
            </w:r>
          </w:p>
        </w:tc>
      </w:tr>
      <w:tr w:rsidRPr="00997F1C" w:rsidR="004215F8" w14:paraId="2B93DA93" w14:textId="77777777">
        <w:trPr>
          <w:jc w:val="center"/>
        </w:trPr>
        <w:tc>
          <w:tcPr>
            <w:tcW w:w="2875" w:type="dxa"/>
          </w:tcPr>
          <w:p w:rsidRPr="00997F1C" w:rsidR="003E5AEF" w:rsidP="003E5AEF" w:rsidRDefault="003E5AEF" w14:paraId="7EE7C468" w14:textId="77777777">
            <w:pPr>
              <w:keepNext/>
              <w:keepLines/>
              <w:spacing w:line="240" w:lineRule="auto"/>
              <w:ind w:firstLine="0"/>
              <w:rPr>
                <w:color w:val="000000" w:themeColor="text1"/>
              </w:rPr>
            </w:pPr>
            <w:r w:rsidRPr="00997F1C">
              <w:rPr>
                <w:color w:val="000000" w:themeColor="text1"/>
              </w:rPr>
              <w:t xml:space="preserve">Streetlights </w:t>
            </w:r>
          </w:p>
        </w:tc>
        <w:tc>
          <w:tcPr>
            <w:tcW w:w="1620" w:type="dxa"/>
          </w:tcPr>
          <w:p w:rsidRPr="00997F1C" w:rsidR="003E5AEF" w:rsidP="003E5AEF" w:rsidRDefault="003E5AEF" w14:paraId="1C66B754" w14:textId="77777777">
            <w:pPr>
              <w:keepNext/>
              <w:keepLines/>
              <w:spacing w:line="240" w:lineRule="auto"/>
              <w:ind w:firstLine="0"/>
              <w:jc w:val="right"/>
              <w:rPr>
                <w:color w:val="000000" w:themeColor="text1"/>
              </w:rPr>
            </w:pPr>
            <w:r w:rsidRPr="00997F1C">
              <w:rPr>
                <w:color w:val="000000" w:themeColor="text1"/>
              </w:rPr>
              <w:t>$0.00014</w:t>
            </w:r>
          </w:p>
        </w:tc>
      </w:tr>
      <w:tr w:rsidRPr="00997F1C" w:rsidR="004215F8" w14:paraId="1D2ABEF6" w14:textId="77777777">
        <w:trPr>
          <w:jc w:val="center"/>
        </w:trPr>
        <w:tc>
          <w:tcPr>
            <w:tcW w:w="2875" w:type="dxa"/>
          </w:tcPr>
          <w:p w:rsidRPr="00997F1C" w:rsidR="003E5AEF" w:rsidP="003E5AEF" w:rsidRDefault="003E5AEF" w14:paraId="6234F0B3" w14:textId="77777777">
            <w:pPr>
              <w:keepNext/>
              <w:keepLines/>
              <w:spacing w:line="240" w:lineRule="auto"/>
              <w:ind w:firstLine="0"/>
              <w:rPr>
                <w:color w:val="000000" w:themeColor="text1"/>
              </w:rPr>
            </w:pPr>
            <w:r w:rsidRPr="00997F1C">
              <w:rPr>
                <w:color w:val="000000" w:themeColor="text1"/>
              </w:rPr>
              <w:t xml:space="preserve">Standby </w:t>
            </w:r>
          </w:p>
        </w:tc>
        <w:tc>
          <w:tcPr>
            <w:tcW w:w="1620" w:type="dxa"/>
          </w:tcPr>
          <w:p w:rsidRPr="00997F1C" w:rsidR="003E5AEF" w:rsidP="003E5AEF" w:rsidRDefault="003E5AEF" w14:paraId="2402DED1" w14:textId="77777777">
            <w:pPr>
              <w:keepNext/>
              <w:keepLines/>
              <w:spacing w:line="240" w:lineRule="auto"/>
              <w:ind w:firstLine="0"/>
              <w:jc w:val="right"/>
              <w:rPr>
                <w:color w:val="000000" w:themeColor="text1"/>
              </w:rPr>
            </w:pPr>
            <w:r w:rsidRPr="00997F1C">
              <w:rPr>
                <w:color w:val="000000" w:themeColor="text1"/>
              </w:rPr>
              <w:t>$0.00015</w:t>
            </w:r>
          </w:p>
        </w:tc>
      </w:tr>
      <w:tr w:rsidRPr="00997F1C" w:rsidR="004215F8" w14:paraId="349DD189" w14:textId="77777777">
        <w:trPr>
          <w:jc w:val="center"/>
        </w:trPr>
        <w:tc>
          <w:tcPr>
            <w:tcW w:w="2875" w:type="dxa"/>
          </w:tcPr>
          <w:p w:rsidRPr="00997F1C" w:rsidR="003E5AEF" w:rsidP="003E5AEF" w:rsidRDefault="003E5AEF" w14:paraId="0BEC9E57" w14:textId="77777777">
            <w:pPr>
              <w:keepNext/>
              <w:keepLines/>
              <w:spacing w:line="240" w:lineRule="auto"/>
              <w:ind w:firstLine="0"/>
              <w:rPr>
                <w:color w:val="000000" w:themeColor="text1"/>
              </w:rPr>
            </w:pPr>
            <w:r w:rsidRPr="00997F1C">
              <w:rPr>
                <w:color w:val="000000" w:themeColor="text1"/>
              </w:rPr>
              <w:t xml:space="preserve">Agriculture </w:t>
            </w:r>
          </w:p>
        </w:tc>
        <w:tc>
          <w:tcPr>
            <w:tcW w:w="1620" w:type="dxa"/>
          </w:tcPr>
          <w:p w:rsidRPr="00997F1C" w:rsidR="003E5AEF" w:rsidP="003E5AEF" w:rsidRDefault="003E5AEF" w14:paraId="0F832136" w14:textId="77777777">
            <w:pPr>
              <w:keepNext/>
              <w:keepLines/>
              <w:spacing w:line="240" w:lineRule="auto"/>
              <w:ind w:firstLine="0"/>
              <w:jc w:val="right"/>
              <w:rPr>
                <w:color w:val="000000" w:themeColor="text1"/>
              </w:rPr>
            </w:pPr>
            <w:r w:rsidRPr="00997F1C">
              <w:rPr>
                <w:color w:val="000000" w:themeColor="text1"/>
              </w:rPr>
              <w:t>$0.00016</w:t>
            </w:r>
          </w:p>
        </w:tc>
      </w:tr>
      <w:tr w:rsidRPr="00997F1C" w:rsidR="004215F8" w14:paraId="4CEC5D9E" w14:textId="77777777">
        <w:trPr>
          <w:jc w:val="center"/>
        </w:trPr>
        <w:tc>
          <w:tcPr>
            <w:tcW w:w="2875" w:type="dxa"/>
          </w:tcPr>
          <w:p w:rsidRPr="00997F1C" w:rsidR="003E5AEF" w:rsidP="003E5AEF" w:rsidRDefault="003E5AEF" w14:paraId="257C4219" w14:textId="77777777">
            <w:pPr>
              <w:keepNext/>
              <w:keepLines/>
              <w:spacing w:line="240" w:lineRule="auto"/>
              <w:ind w:firstLine="0"/>
              <w:rPr>
                <w:color w:val="000000" w:themeColor="text1"/>
              </w:rPr>
            </w:pPr>
            <w:r w:rsidRPr="00997F1C">
              <w:rPr>
                <w:color w:val="000000" w:themeColor="text1"/>
              </w:rPr>
              <w:t xml:space="preserve">B20/E20 T </w:t>
            </w:r>
          </w:p>
        </w:tc>
        <w:tc>
          <w:tcPr>
            <w:tcW w:w="1620" w:type="dxa"/>
          </w:tcPr>
          <w:p w:rsidRPr="00997F1C" w:rsidR="003E5AEF" w:rsidP="003E5AEF" w:rsidRDefault="003E5AEF" w14:paraId="2B007DF1" w14:textId="77777777">
            <w:pPr>
              <w:keepNext/>
              <w:keepLines/>
              <w:spacing w:line="240" w:lineRule="auto"/>
              <w:ind w:firstLine="0"/>
              <w:jc w:val="right"/>
              <w:rPr>
                <w:color w:val="000000" w:themeColor="text1"/>
              </w:rPr>
            </w:pPr>
            <w:r w:rsidRPr="00997F1C">
              <w:rPr>
                <w:color w:val="000000" w:themeColor="text1"/>
              </w:rPr>
              <w:t>$0.00011</w:t>
            </w:r>
          </w:p>
        </w:tc>
      </w:tr>
      <w:tr w:rsidRPr="00997F1C" w:rsidR="004215F8" w14:paraId="2A7DA60D" w14:textId="77777777">
        <w:trPr>
          <w:jc w:val="center"/>
        </w:trPr>
        <w:tc>
          <w:tcPr>
            <w:tcW w:w="2875" w:type="dxa"/>
          </w:tcPr>
          <w:p w:rsidRPr="00997F1C" w:rsidR="003E5AEF" w:rsidP="003E5AEF" w:rsidRDefault="003E5AEF" w14:paraId="22D052CA" w14:textId="77777777">
            <w:pPr>
              <w:keepNext/>
              <w:keepLines/>
              <w:spacing w:line="240" w:lineRule="auto"/>
              <w:ind w:firstLine="0"/>
              <w:rPr>
                <w:color w:val="000000" w:themeColor="text1"/>
              </w:rPr>
            </w:pPr>
            <w:r w:rsidRPr="00997F1C">
              <w:rPr>
                <w:color w:val="000000" w:themeColor="text1"/>
              </w:rPr>
              <w:t xml:space="preserve">B20/E20 P </w:t>
            </w:r>
          </w:p>
        </w:tc>
        <w:tc>
          <w:tcPr>
            <w:tcW w:w="1620" w:type="dxa"/>
          </w:tcPr>
          <w:p w:rsidRPr="00997F1C" w:rsidR="003E5AEF" w:rsidP="003E5AEF" w:rsidRDefault="003E5AEF" w14:paraId="2D04C170" w14:textId="77777777">
            <w:pPr>
              <w:keepNext/>
              <w:keepLines/>
              <w:spacing w:line="240" w:lineRule="auto"/>
              <w:ind w:firstLine="0"/>
              <w:jc w:val="right"/>
              <w:rPr>
                <w:color w:val="000000" w:themeColor="text1"/>
              </w:rPr>
            </w:pPr>
            <w:r w:rsidRPr="00997F1C">
              <w:rPr>
                <w:color w:val="000000" w:themeColor="text1"/>
              </w:rPr>
              <w:t>$0.00011</w:t>
            </w:r>
          </w:p>
        </w:tc>
      </w:tr>
      <w:tr w:rsidRPr="00997F1C" w:rsidR="004215F8" w14:paraId="372DEC4C" w14:textId="77777777">
        <w:trPr>
          <w:jc w:val="center"/>
        </w:trPr>
        <w:tc>
          <w:tcPr>
            <w:tcW w:w="2875" w:type="dxa"/>
          </w:tcPr>
          <w:p w:rsidRPr="00997F1C" w:rsidR="003E5AEF" w:rsidP="003E5AEF" w:rsidRDefault="003E5AEF" w14:paraId="31581BB0" w14:textId="77777777">
            <w:pPr>
              <w:keepNext/>
              <w:keepLines/>
              <w:spacing w:line="240" w:lineRule="auto"/>
              <w:ind w:firstLine="0"/>
              <w:rPr>
                <w:color w:val="000000" w:themeColor="text1"/>
              </w:rPr>
            </w:pPr>
            <w:r w:rsidRPr="00997F1C">
              <w:rPr>
                <w:color w:val="000000" w:themeColor="text1"/>
              </w:rPr>
              <w:t xml:space="preserve">B20/E20 S </w:t>
            </w:r>
          </w:p>
        </w:tc>
        <w:tc>
          <w:tcPr>
            <w:tcW w:w="1620" w:type="dxa"/>
          </w:tcPr>
          <w:p w:rsidRPr="00997F1C" w:rsidR="003E5AEF" w:rsidP="003E5AEF" w:rsidRDefault="003E5AEF" w14:paraId="1C2AF60C" w14:textId="77777777">
            <w:pPr>
              <w:keepNext/>
              <w:keepLines/>
              <w:spacing w:line="240" w:lineRule="auto"/>
              <w:ind w:firstLine="0"/>
              <w:jc w:val="right"/>
              <w:rPr>
                <w:color w:val="000000" w:themeColor="text1"/>
              </w:rPr>
            </w:pPr>
            <w:r w:rsidRPr="00997F1C">
              <w:rPr>
                <w:color w:val="000000" w:themeColor="text1"/>
              </w:rPr>
              <w:t>$0.00011</w:t>
            </w:r>
          </w:p>
        </w:tc>
      </w:tr>
      <w:tr w:rsidRPr="00997F1C" w:rsidR="004215F8" w14:paraId="1B4C3811" w14:textId="77777777">
        <w:trPr>
          <w:jc w:val="center"/>
        </w:trPr>
        <w:tc>
          <w:tcPr>
            <w:tcW w:w="2875" w:type="dxa"/>
          </w:tcPr>
          <w:p w:rsidRPr="00997F1C" w:rsidR="003E5AEF" w:rsidP="003E5AEF" w:rsidRDefault="003E5AEF" w14:paraId="77CEF373" w14:textId="77777777">
            <w:pPr>
              <w:keepNext/>
              <w:keepLines/>
              <w:spacing w:line="240" w:lineRule="auto"/>
              <w:ind w:firstLine="0"/>
              <w:rPr>
                <w:color w:val="000000" w:themeColor="text1"/>
              </w:rPr>
            </w:pPr>
            <w:r w:rsidRPr="00997F1C">
              <w:rPr>
                <w:color w:val="000000" w:themeColor="text1"/>
              </w:rPr>
              <w:t xml:space="preserve">BEV1 </w:t>
            </w:r>
          </w:p>
        </w:tc>
        <w:tc>
          <w:tcPr>
            <w:tcW w:w="1620" w:type="dxa"/>
          </w:tcPr>
          <w:p w:rsidRPr="00997F1C" w:rsidR="003E5AEF" w:rsidP="003E5AEF" w:rsidRDefault="003E5AEF" w14:paraId="595E8CCB" w14:textId="77777777">
            <w:pPr>
              <w:keepNext/>
              <w:keepLines/>
              <w:spacing w:line="240" w:lineRule="auto"/>
              <w:ind w:firstLine="0"/>
              <w:jc w:val="right"/>
              <w:rPr>
                <w:color w:val="000000" w:themeColor="text1"/>
              </w:rPr>
            </w:pPr>
            <w:r w:rsidRPr="00997F1C">
              <w:rPr>
                <w:color w:val="000000" w:themeColor="text1"/>
              </w:rPr>
              <w:t>$0.00017</w:t>
            </w:r>
          </w:p>
        </w:tc>
      </w:tr>
      <w:tr w:rsidRPr="00997F1C" w:rsidR="004215F8" w14:paraId="6CF7105B" w14:textId="77777777">
        <w:trPr>
          <w:jc w:val="center"/>
        </w:trPr>
        <w:tc>
          <w:tcPr>
            <w:tcW w:w="2875" w:type="dxa"/>
          </w:tcPr>
          <w:p w:rsidRPr="00997F1C" w:rsidR="003E5AEF" w:rsidP="003E5AEF" w:rsidRDefault="003E5AEF" w14:paraId="560FA25E" w14:textId="77777777">
            <w:pPr>
              <w:keepLines/>
              <w:spacing w:line="240" w:lineRule="auto"/>
              <w:ind w:firstLine="0"/>
              <w:rPr>
                <w:color w:val="000000" w:themeColor="text1"/>
              </w:rPr>
            </w:pPr>
            <w:r w:rsidRPr="00997F1C">
              <w:rPr>
                <w:color w:val="000000" w:themeColor="text1"/>
              </w:rPr>
              <w:t xml:space="preserve">BEV2 </w:t>
            </w:r>
          </w:p>
        </w:tc>
        <w:tc>
          <w:tcPr>
            <w:tcW w:w="1620" w:type="dxa"/>
          </w:tcPr>
          <w:p w:rsidRPr="00997F1C" w:rsidR="003E5AEF" w:rsidP="003E5AEF" w:rsidRDefault="003E5AEF" w14:paraId="30D4C0D9" w14:textId="77777777">
            <w:pPr>
              <w:keepLines/>
              <w:spacing w:line="240" w:lineRule="auto"/>
              <w:ind w:firstLine="0"/>
              <w:jc w:val="right"/>
              <w:rPr>
                <w:color w:val="000000" w:themeColor="text1"/>
              </w:rPr>
            </w:pPr>
            <w:r w:rsidRPr="00997F1C">
              <w:rPr>
                <w:color w:val="000000" w:themeColor="text1"/>
              </w:rPr>
              <w:t>$0.00015</w:t>
            </w:r>
          </w:p>
        </w:tc>
      </w:tr>
    </w:tbl>
    <w:p w:rsidRPr="00997F1C" w:rsidR="003E5AEF" w:rsidP="00D928F8" w:rsidRDefault="003E5AEF" w14:paraId="5D3B76DB" w14:textId="77777777">
      <w:pPr>
        <w:pStyle w:val="Heading3"/>
        <w:spacing w:before="120"/>
        <w:ind w:left="2290"/>
      </w:pPr>
      <w:bookmarkStart w:name="_Toc179212748" w:id="303"/>
      <w:bookmarkStart w:name="_Toc182306143" w:id="304"/>
      <w:bookmarkStart w:name="_Toc182841814" w:id="305"/>
      <w:bookmarkStart w:name="_Toc212561198" w:id="306"/>
      <w:bookmarkStart w:name="_Toc217384676" w:id="307"/>
      <w:r w:rsidRPr="00997F1C">
        <w:t>PPCP Rates</w:t>
      </w:r>
      <w:bookmarkEnd w:id="303"/>
      <w:bookmarkEnd w:id="304"/>
      <w:bookmarkEnd w:id="305"/>
      <w:bookmarkEnd w:id="306"/>
      <w:bookmarkEnd w:id="307"/>
    </w:p>
    <w:p w:rsidRPr="00997F1C" w:rsidR="003E5AEF" w:rsidP="003E5AEF" w:rsidRDefault="53E8B74B" w14:paraId="4D4B9CE1" w14:textId="77777777">
      <w:pPr>
        <w:rPr>
          <w:color w:val="000000" w:themeColor="text1"/>
        </w:rPr>
      </w:pPr>
      <w:r w:rsidRPr="00997F1C">
        <w:rPr>
          <w:color w:val="000000" w:themeColor="text1"/>
        </w:rPr>
        <w:t>In D.22-02-002, the Commission authorized the establishment of the PPCP subaccount in the Public Policy Charge Balancing Account (PPCBA) and authorized PG&amp;E to transfer certain public-policy procurement costs from its PABA non-vintaged subaccount to this subaccount for recovery from all customers through public purpose program rates.</w:t>
      </w:r>
      <w:r w:rsidRPr="00997F1C" w:rsidR="003E5AEF">
        <w:rPr>
          <w:color w:val="000000" w:themeColor="text1"/>
          <w:vertAlign w:val="superscript"/>
        </w:rPr>
        <w:footnoteReference w:id="173"/>
      </w:r>
    </w:p>
    <w:p w:rsidRPr="00997F1C" w:rsidR="003E5AEF" w:rsidP="003E5AEF" w:rsidRDefault="53E8B74B" w14:paraId="68CE3E1A" w14:textId="592B4C95">
      <w:pPr>
        <w:rPr>
          <w:color w:val="000000" w:themeColor="text1"/>
        </w:rPr>
      </w:pPr>
      <w:r w:rsidRPr="00997F1C">
        <w:rPr>
          <w:color w:val="000000" w:themeColor="text1"/>
        </w:rPr>
        <w:t xml:space="preserve">PG&amp;E allocated the total PPCP revenue requirement of $2.7 million using the equal percent of total revenue allocation method, consistent with the allocation methodology that applies to all other subaccounts included in the PPCBA.  PPCP rates are embedded in total public purpose program rates for billing.  Proposed PPCP rates are shown in Table </w:t>
      </w:r>
      <w:r w:rsidRPr="00997F1C" w:rsidR="0055661A">
        <w:rPr>
          <w:color w:val="000000" w:themeColor="text1"/>
        </w:rPr>
        <w:t>13</w:t>
      </w:r>
      <w:r w:rsidRPr="00997F1C">
        <w:rPr>
          <w:color w:val="000000" w:themeColor="text1"/>
        </w:rPr>
        <w:t>.</w:t>
      </w:r>
      <w:r w:rsidRPr="00997F1C" w:rsidR="003E5AEF">
        <w:rPr>
          <w:color w:val="000000" w:themeColor="text1"/>
          <w:vertAlign w:val="superscript"/>
        </w:rPr>
        <w:footnoteReference w:id="174"/>
      </w:r>
    </w:p>
    <w:p w:rsidRPr="00997F1C" w:rsidR="003E5AEF" w:rsidP="003E5AEF" w:rsidRDefault="003E5AEF" w14:paraId="4B314788" w14:textId="0742B6F1">
      <w:pPr>
        <w:keepNext/>
        <w:spacing w:after="200" w:line="240" w:lineRule="auto"/>
        <w:ind w:firstLine="0"/>
        <w:jc w:val="center"/>
        <w:rPr>
          <w:b/>
          <w:bCs/>
          <w:color w:val="000000" w:themeColor="text1"/>
          <w:szCs w:val="26"/>
        </w:rPr>
      </w:pPr>
      <w:r w:rsidRPr="00997F1C">
        <w:rPr>
          <w:b/>
          <w:bCs/>
          <w:color w:val="000000" w:themeColor="text1"/>
          <w:szCs w:val="26"/>
        </w:rPr>
        <w:lastRenderedPageBreak/>
        <w:t xml:space="preserve">Table </w:t>
      </w:r>
      <w:r w:rsidRPr="00997F1C">
        <w:rPr>
          <w:b/>
          <w:bCs/>
          <w:color w:val="000000" w:themeColor="text1"/>
          <w:szCs w:val="26"/>
        </w:rPr>
        <w:fldChar w:fldCharType="begin"/>
      </w:r>
      <w:r w:rsidRPr="00997F1C">
        <w:rPr>
          <w:b/>
          <w:bCs/>
          <w:color w:val="000000" w:themeColor="text1"/>
          <w:szCs w:val="26"/>
        </w:rPr>
        <w:instrText xml:space="preserve"> SEQ Table \* ARABIC </w:instrText>
      </w:r>
      <w:r w:rsidRPr="00997F1C">
        <w:rPr>
          <w:b/>
          <w:bCs/>
          <w:color w:val="000000" w:themeColor="text1"/>
          <w:szCs w:val="26"/>
        </w:rPr>
        <w:fldChar w:fldCharType="separate"/>
      </w:r>
      <w:r w:rsidR="00A93519">
        <w:rPr>
          <w:b/>
          <w:bCs/>
          <w:noProof/>
          <w:color w:val="000000" w:themeColor="text1"/>
          <w:szCs w:val="26"/>
        </w:rPr>
        <w:t>13</w:t>
      </w:r>
      <w:r w:rsidRPr="00997F1C">
        <w:rPr>
          <w:b/>
          <w:bCs/>
          <w:noProof/>
          <w:color w:val="000000" w:themeColor="text1"/>
          <w:szCs w:val="26"/>
        </w:rPr>
        <w:fldChar w:fldCharType="end"/>
      </w:r>
      <w:r w:rsidRPr="00997F1C">
        <w:rPr>
          <w:b/>
          <w:bCs/>
          <w:color w:val="000000" w:themeColor="text1"/>
          <w:szCs w:val="26"/>
        </w:rPr>
        <w:t>: Proposed 2026 Public Policy Charge Procurement Rates ($/kWh)</w:t>
      </w:r>
    </w:p>
    <w:tbl>
      <w:tblPr>
        <w:tblStyle w:val="TableGrid"/>
        <w:tblW w:w="0" w:type="auto"/>
        <w:jc w:val="center"/>
        <w:tblLook w:val="04A0" w:firstRow="1" w:lastRow="0" w:firstColumn="1" w:lastColumn="0" w:noHBand="0" w:noVBand="1"/>
      </w:tblPr>
      <w:tblGrid>
        <w:gridCol w:w="2875"/>
        <w:gridCol w:w="1620"/>
      </w:tblGrid>
      <w:tr w:rsidRPr="00997F1C" w:rsidR="004215F8" w14:paraId="3661041C" w14:textId="77777777">
        <w:trPr>
          <w:jc w:val="center"/>
        </w:trPr>
        <w:tc>
          <w:tcPr>
            <w:tcW w:w="2875" w:type="dxa"/>
          </w:tcPr>
          <w:p w:rsidRPr="00997F1C" w:rsidR="003E5AEF" w:rsidP="003E5AEF" w:rsidRDefault="003E5AEF" w14:paraId="3C920F50" w14:textId="77777777">
            <w:pPr>
              <w:keepNext/>
              <w:keepLines/>
              <w:spacing w:line="240" w:lineRule="auto"/>
              <w:ind w:firstLine="0"/>
              <w:rPr>
                <w:color w:val="000000" w:themeColor="text1"/>
              </w:rPr>
            </w:pPr>
            <w:r w:rsidRPr="00997F1C">
              <w:rPr>
                <w:color w:val="000000" w:themeColor="text1"/>
              </w:rPr>
              <w:t xml:space="preserve">Residential </w:t>
            </w:r>
          </w:p>
        </w:tc>
        <w:tc>
          <w:tcPr>
            <w:tcW w:w="1620" w:type="dxa"/>
          </w:tcPr>
          <w:p w:rsidRPr="00997F1C" w:rsidR="003E5AEF" w:rsidP="003E5AEF" w:rsidRDefault="003E5AEF" w14:paraId="4A6240E9" w14:textId="77777777">
            <w:pPr>
              <w:keepNext/>
              <w:keepLines/>
              <w:spacing w:line="240" w:lineRule="auto"/>
              <w:ind w:firstLine="0"/>
              <w:jc w:val="right"/>
              <w:rPr>
                <w:color w:val="000000" w:themeColor="text1"/>
              </w:rPr>
            </w:pPr>
            <w:r w:rsidRPr="00997F1C">
              <w:rPr>
                <w:color w:val="000000" w:themeColor="text1"/>
              </w:rPr>
              <w:t>$(0.00002)</w:t>
            </w:r>
          </w:p>
        </w:tc>
      </w:tr>
      <w:tr w:rsidRPr="00997F1C" w:rsidR="004215F8" w14:paraId="2349A103" w14:textId="77777777">
        <w:trPr>
          <w:jc w:val="center"/>
        </w:trPr>
        <w:tc>
          <w:tcPr>
            <w:tcW w:w="2875" w:type="dxa"/>
          </w:tcPr>
          <w:p w:rsidRPr="00997F1C" w:rsidR="003E5AEF" w:rsidP="003E5AEF" w:rsidRDefault="003E5AEF" w14:paraId="42E77B5E" w14:textId="77777777">
            <w:pPr>
              <w:keepNext/>
              <w:keepLines/>
              <w:spacing w:line="240" w:lineRule="auto"/>
              <w:ind w:firstLine="0"/>
              <w:rPr>
                <w:color w:val="000000" w:themeColor="text1"/>
              </w:rPr>
            </w:pPr>
            <w:r w:rsidRPr="00997F1C">
              <w:rPr>
                <w:color w:val="000000" w:themeColor="text1"/>
              </w:rPr>
              <w:t xml:space="preserve">Small Commercial </w:t>
            </w:r>
          </w:p>
        </w:tc>
        <w:tc>
          <w:tcPr>
            <w:tcW w:w="1620" w:type="dxa"/>
          </w:tcPr>
          <w:p w:rsidRPr="00997F1C" w:rsidR="003E5AEF" w:rsidP="003E5AEF" w:rsidRDefault="003E5AEF" w14:paraId="45748CC8" w14:textId="77777777">
            <w:pPr>
              <w:keepNext/>
              <w:keepLines/>
              <w:spacing w:line="240" w:lineRule="auto"/>
              <w:ind w:firstLine="0"/>
              <w:jc w:val="right"/>
              <w:rPr>
                <w:color w:val="000000" w:themeColor="text1"/>
              </w:rPr>
            </w:pPr>
            <w:r w:rsidRPr="00997F1C">
              <w:rPr>
                <w:color w:val="000000" w:themeColor="text1"/>
              </w:rPr>
              <w:t>$(0.00003)</w:t>
            </w:r>
          </w:p>
        </w:tc>
      </w:tr>
      <w:tr w:rsidRPr="00997F1C" w:rsidR="004215F8" w14:paraId="0BF57796" w14:textId="77777777">
        <w:trPr>
          <w:jc w:val="center"/>
        </w:trPr>
        <w:tc>
          <w:tcPr>
            <w:tcW w:w="2875" w:type="dxa"/>
          </w:tcPr>
          <w:p w:rsidRPr="00997F1C" w:rsidR="003E5AEF" w:rsidP="003E5AEF" w:rsidRDefault="003E5AEF" w14:paraId="5AB2A716" w14:textId="77777777">
            <w:pPr>
              <w:keepNext/>
              <w:keepLines/>
              <w:spacing w:line="240" w:lineRule="auto"/>
              <w:ind w:firstLine="0"/>
              <w:rPr>
                <w:color w:val="000000" w:themeColor="text1"/>
              </w:rPr>
            </w:pPr>
            <w:r w:rsidRPr="00997F1C">
              <w:rPr>
                <w:color w:val="000000" w:themeColor="text1"/>
              </w:rPr>
              <w:t xml:space="preserve">Medium Commercial </w:t>
            </w:r>
          </w:p>
        </w:tc>
        <w:tc>
          <w:tcPr>
            <w:tcW w:w="1620" w:type="dxa"/>
          </w:tcPr>
          <w:p w:rsidRPr="00997F1C" w:rsidR="003E5AEF" w:rsidP="003E5AEF" w:rsidRDefault="003E5AEF" w14:paraId="12C0DD46" w14:textId="77777777">
            <w:pPr>
              <w:keepNext/>
              <w:keepLines/>
              <w:spacing w:line="240" w:lineRule="auto"/>
              <w:ind w:firstLine="0"/>
              <w:jc w:val="right"/>
              <w:rPr>
                <w:color w:val="000000" w:themeColor="text1"/>
              </w:rPr>
            </w:pPr>
            <w:r w:rsidRPr="00997F1C">
              <w:rPr>
                <w:color w:val="000000" w:themeColor="text1"/>
              </w:rPr>
              <w:t>$(0.00002)</w:t>
            </w:r>
          </w:p>
        </w:tc>
      </w:tr>
      <w:tr w:rsidRPr="00997F1C" w:rsidR="004215F8" w14:paraId="4D3026D8" w14:textId="77777777">
        <w:trPr>
          <w:jc w:val="center"/>
        </w:trPr>
        <w:tc>
          <w:tcPr>
            <w:tcW w:w="2875" w:type="dxa"/>
          </w:tcPr>
          <w:p w:rsidRPr="00997F1C" w:rsidR="003E5AEF" w:rsidP="003E5AEF" w:rsidRDefault="003E5AEF" w14:paraId="62F96EF6" w14:textId="77777777">
            <w:pPr>
              <w:keepNext/>
              <w:keepLines/>
              <w:spacing w:line="240" w:lineRule="auto"/>
              <w:ind w:firstLine="0"/>
              <w:rPr>
                <w:color w:val="000000" w:themeColor="text1"/>
              </w:rPr>
            </w:pPr>
            <w:r w:rsidRPr="00997F1C">
              <w:rPr>
                <w:color w:val="000000" w:themeColor="text1"/>
              </w:rPr>
              <w:t xml:space="preserve">Large Commercial </w:t>
            </w:r>
          </w:p>
        </w:tc>
        <w:tc>
          <w:tcPr>
            <w:tcW w:w="1620" w:type="dxa"/>
          </w:tcPr>
          <w:p w:rsidRPr="00997F1C" w:rsidR="003E5AEF" w:rsidP="003E5AEF" w:rsidRDefault="003E5AEF" w14:paraId="1622B96C" w14:textId="77777777">
            <w:pPr>
              <w:keepNext/>
              <w:keepLines/>
              <w:spacing w:line="240" w:lineRule="auto"/>
              <w:ind w:firstLine="0"/>
              <w:jc w:val="right"/>
              <w:rPr>
                <w:color w:val="000000" w:themeColor="text1"/>
              </w:rPr>
            </w:pPr>
            <w:r w:rsidRPr="00997F1C">
              <w:rPr>
                <w:color w:val="000000" w:themeColor="text1"/>
              </w:rPr>
              <w:t>$(0.00002)</w:t>
            </w:r>
          </w:p>
        </w:tc>
      </w:tr>
      <w:tr w:rsidRPr="00997F1C" w:rsidR="004215F8" w14:paraId="17DD2B1E" w14:textId="77777777">
        <w:trPr>
          <w:jc w:val="center"/>
        </w:trPr>
        <w:tc>
          <w:tcPr>
            <w:tcW w:w="2875" w:type="dxa"/>
          </w:tcPr>
          <w:p w:rsidRPr="00997F1C" w:rsidR="003E5AEF" w:rsidP="003E5AEF" w:rsidRDefault="003E5AEF" w14:paraId="4B4F18AA" w14:textId="77777777">
            <w:pPr>
              <w:keepNext/>
              <w:keepLines/>
              <w:spacing w:line="240" w:lineRule="auto"/>
              <w:ind w:firstLine="0"/>
              <w:rPr>
                <w:color w:val="000000" w:themeColor="text1"/>
              </w:rPr>
            </w:pPr>
            <w:r w:rsidRPr="00997F1C">
              <w:rPr>
                <w:color w:val="000000" w:themeColor="text1"/>
              </w:rPr>
              <w:t xml:space="preserve">Streetlights </w:t>
            </w:r>
          </w:p>
        </w:tc>
        <w:tc>
          <w:tcPr>
            <w:tcW w:w="1620" w:type="dxa"/>
          </w:tcPr>
          <w:p w:rsidRPr="00997F1C" w:rsidR="003E5AEF" w:rsidP="003E5AEF" w:rsidRDefault="003E5AEF" w14:paraId="347216B0" w14:textId="77777777">
            <w:pPr>
              <w:keepNext/>
              <w:keepLines/>
              <w:spacing w:line="240" w:lineRule="auto"/>
              <w:ind w:firstLine="0"/>
              <w:jc w:val="right"/>
              <w:rPr>
                <w:color w:val="000000" w:themeColor="text1"/>
              </w:rPr>
            </w:pPr>
            <w:r w:rsidRPr="00997F1C">
              <w:rPr>
                <w:color w:val="000000" w:themeColor="text1"/>
              </w:rPr>
              <w:t>$(0.00003)</w:t>
            </w:r>
          </w:p>
        </w:tc>
      </w:tr>
      <w:tr w:rsidRPr="00997F1C" w:rsidR="004215F8" w14:paraId="40B6D838" w14:textId="77777777">
        <w:trPr>
          <w:jc w:val="center"/>
        </w:trPr>
        <w:tc>
          <w:tcPr>
            <w:tcW w:w="2875" w:type="dxa"/>
          </w:tcPr>
          <w:p w:rsidRPr="00997F1C" w:rsidR="003E5AEF" w:rsidP="003E5AEF" w:rsidRDefault="003E5AEF" w14:paraId="1ACBD4D3" w14:textId="77777777">
            <w:pPr>
              <w:keepNext/>
              <w:keepLines/>
              <w:spacing w:line="240" w:lineRule="auto"/>
              <w:ind w:firstLine="0"/>
              <w:rPr>
                <w:color w:val="000000" w:themeColor="text1"/>
              </w:rPr>
            </w:pPr>
            <w:r w:rsidRPr="00997F1C">
              <w:rPr>
                <w:color w:val="000000" w:themeColor="text1"/>
              </w:rPr>
              <w:t xml:space="preserve">Standby </w:t>
            </w:r>
          </w:p>
        </w:tc>
        <w:tc>
          <w:tcPr>
            <w:tcW w:w="1620" w:type="dxa"/>
          </w:tcPr>
          <w:p w:rsidRPr="00997F1C" w:rsidR="003E5AEF" w:rsidP="003E5AEF" w:rsidRDefault="003E5AEF" w14:paraId="18B05B9A" w14:textId="77777777">
            <w:pPr>
              <w:keepNext/>
              <w:keepLines/>
              <w:spacing w:line="240" w:lineRule="auto"/>
              <w:ind w:firstLine="0"/>
              <w:jc w:val="right"/>
              <w:rPr>
                <w:color w:val="000000" w:themeColor="text1"/>
              </w:rPr>
            </w:pPr>
            <w:r w:rsidRPr="00997F1C">
              <w:rPr>
                <w:color w:val="000000" w:themeColor="text1"/>
              </w:rPr>
              <w:t>$(0.00001)</w:t>
            </w:r>
          </w:p>
        </w:tc>
      </w:tr>
      <w:tr w:rsidRPr="00997F1C" w:rsidR="004215F8" w14:paraId="0B6F5094" w14:textId="77777777">
        <w:trPr>
          <w:jc w:val="center"/>
        </w:trPr>
        <w:tc>
          <w:tcPr>
            <w:tcW w:w="2875" w:type="dxa"/>
          </w:tcPr>
          <w:p w:rsidRPr="00997F1C" w:rsidR="003E5AEF" w:rsidP="003E5AEF" w:rsidRDefault="003E5AEF" w14:paraId="4191BBCD" w14:textId="77777777">
            <w:pPr>
              <w:keepNext/>
              <w:keepLines/>
              <w:spacing w:line="240" w:lineRule="auto"/>
              <w:ind w:firstLine="0"/>
              <w:rPr>
                <w:color w:val="000000" w:themeColor="text1"/>
              </w:rPr>
            </w:pPr>
            <w:r w:rsidRPr="00997F1C">
              <w:rPr>
                <w:color w:val="000000" w:themeColor="text1"/>
              </w:rPr>
              <w:t xml:space="preserve">Agriculture </w:t>
            </w:r>
          </w:p>
        </w:tc>
        <w:tc>
          <w:tcPr>
            <w:tcW w:w="1620" w:type="dxa"/>
          </w:tcPr>
          <w:p w:rsidRPr="00997F1C" w:rsidR="003E5AEF" w:rsidP="003E5AEF" w:rsidRDefault="003E5AEF" w14:paraId="0EDE910D" w14:textId="77777777">
            <w:pPr>
              <w:keepNext/>
              <w:keepLines/>
              <w:spacing w:line="240" w:lineRule="auto"/>
              <w:ind w:firstLine="0"/>
              <w:jc w:val="right"/>
              <w:rPr>
                <w:color w:val="000000" w:themeColor="text1"/>
              </w:rPr>
            </w:pPr>
            <w:r w:rsidRPr="00997F1C">
              <w:rPr>
                <w:color w:val="000000" w:themeColor="text1"/>
              </w:rPr>
              <w:t>$(0.00003)</w:t>
            </w:r>
          </w:p>
        </w:tc>
      </w:tr>
      <w:tr w:rsidRPr="00997F1C" w:rsidR="004215F8" w14:paraId="0BF3BC81" w14:textId="77777777">
        <w:trPr>
          <w:jc w:val="center"/>
        </w:trPr>
        <w:tc>
          <w:tcPr>
            <w:tcW w:w="2875" w:type="dxa"/>
          </w:tcPr>
          <w:p w:rsidRPr="00997F1C" w:rsidR="003E5AEF" w:rsidP="003E5AEF" w:rsidRDefault="003E5AEF" w14:paraId="487301BA" w14:textId="77777777">
            <w:pPr>
              <w:keepNext/>
              <w:keepLines/>
              <w:spacing w:line="240" w:lineRule="auto"/>
              <w:ind w:firstLine="0"/>
              <w:rPr>
                <w:color w:val="000000" w:themeColor="text1"/>
              </w:rPr>
            </w:pPr>
            <w:r w:rsidRPr="00997F1C">
              <w:rPr>
                <w:color w:val="000000" w:themeColor="text1"/>
              </w:rPr>
              <w:t xml:space="preserve">B20/E20 T </w:t>
            </w:r>
          </w:p>
        </w:tc>
        <w:tc>
          <w:tcPr>
            <w:tcW w:w="1620" w:type="dxa"/>
          </w:tcPr>
          <w:p w:rsidRPr="00997F1C" w:rsidR="003E5AEF" w:rsidP="003E5AEF" w:rsidRDefault="003E5AEF" w14:paraId="7F160CBD" w14:textId="77777777">
            <w:pPr>
              <w:keepNext/>
              <w:keepLines/>
              <w:spacing w:line="240" w:lineRule="auto"/>
              <w:ind w:firstLine="0"/>
              <w:jc w:val="right"/>
              <w:rPr>
                <w:color w:val="000000" w:themeColor="text1"/>
              </w:rPr>
            </w:pPr>
            <w:r w:rsidRPr="00997F1C">
              <w:rPr>
                <w:color w:val="000000" w:themeColor="text1"/>
              </w:rPr>
              <w:t>$(0.00001)</w:t>
            </w:r>
          </w:p>
        </w:tc>
      </w:tr>
      <w:tr w:rsidRPr="00997F1C" w:rsidR="004215F8" w14:paraId="353ABCB6" w14:textId="77777777">
        <w:trPr>
          <w:jc w:val="center"/>
        </w:trPr>
        <w:tc>
          <w:tcPr>
            <w:tcW w:w="2875" w:type="dxa"/>
          </w:tcPr>
          <w:p w:rsidRPr="00997F1C" w:rsidR="003E5AEF" w:rsidP="003E5AEF" w:rsidRDefault="003E5AEF" w14:paraId="20934E7F" w14:textId="77777777">
            <w:pPr>
              <w:keepNext/>
              <w:keepLines/>
              <w:spacing w:line="240" w:lineRule="auto"/>
              <w:ind w:firstLine="0"/>
              <w:rPr>
                <w:color w:val="000000" w:themeColor="text1"/>
              </w:rPr>
            </w:pPr>
            <w:r w:rsidRPr="00997F1C">
              <w:rPr>
                <w:color w:val="000000" w:themeColor="text1"/>
              </w:rPr>
              <w:t xml:space="preserve">B20/E20 P </w:t>
            </w:r>
          </w:p>
        </w:tc>
        <w:tc>
          <w:tcPr>
            <w:tcW w:w="1620" w:type="dxa"/>
          </w:tcPr>
          <w:p w:rsidRPr="00997F1C" w:rsidR="003E5AEF" w:rsidP="003E5AEF" w:rsidRDefault="003E5AEF" w14:paraId="4E37295D" w14:textId="77777777">
            <w:pPr>
              <w:keepNext/>
              <w:keepLines/>
              <w:spacing w:line="240" w:lineRule="auto"/>
              <w:ind w:firstLine="0"/>
              <w:jc w:val="right"/>
              <w:rPr>
                <w:color w:val="000000" w:themeColor="text1"/>
              </w:rPr>
            </w:pPr>
            <w:r w:rsidRPr="00997F1C">
              <w:rPr>
                <w:color w:val="000000" w:themeColor="text1"/>
              </w:rPr>
              <w:t>$(0.00001)</w:t>
            </w:r>
          </w:p>
        </w:tc>
      </w:tr>
      <w:tr w:rsidRPr="00997F1C" w:rsidR="004215F8" w14:paraId="12AA8AD9" w14:textId="77777777">
        <w:trPr>
          <w:jc w:val="center"/>
        </w:trPr>
        <w:tc>
          <w:tcPr>
            <w:tcW w:w="2875" w:type="dxa"/>
          </w:tcPr>
          <w:p w:rsidRPr="00997F1C" w:rsidR="003E5AEF" w:rsidP="003E5AEF" w:rsidRDefault="003E5AEF" w14:paraId="2966697C" w14:textId="77777777">
            <w:pPr>
              <w:keepNext/>
              <w:keepLines/>
              <w:spacing w:line="240" w:lineRule="auto"/>
              <w:ind w:firstLine="0"/>
              <w:rPr>
                <w:color w:val="000000" w:themeColor="text1"/>
              </w:rPr>
            </w:pPr>
            <w:r w:rsidRPr="00997F1C">
              <w:rPr>
                <w:color w:val="000000" w:themeColor="text1"/>
              </w:rPr>
              <w:t xml:space="preserve">B20/E20 S </w:t>
            </w:r>
          </w:p>
        </w:tc>
        <w:tc>
          <w:tcPr>
            <w:tcW w:w="1620" w:type="dxa"/>
          </w:tcPr>
          <w:p w:rsidRPr="00997F1C" w:rsidR="003E5AEF" w:rsidP="003E5AEF" w:rsidRDefault="003E5AEF" w14:paraId="58E98BF1" w14:textId="77777777">
            <w:pPr>
              <w:keepNext/>
              <w:keepLines/>
              <w:spacing w:line="240" w:lineRule="auto"/>
              <w:ind w:firstLine="0"/>
              <w:jc w:val="right"/>
              <w:rPr>
                <w:color w:val="000000" w:themeColor="text1"/>
              </w:rPr>
            </w:pPr>
            <w:r w:rsidRPr="00997F1C">
              <w:rPr>
                <w:color w:val="000000" w:themeColor="text1"/>
              </w:rPr>
              <w:t>$(0.00001)</w:t>
            </w:r>
          </w:p>
        </w:tc>
      </w:tr>
      <w:tr w:rsidRPr="00997F1C" w:rsidR="004215F8" w14:paraId="28CD32E9" w14:textId="77777777">
        <w:trPr>
          <w:jc w:val="center"/>
        </w:trPr>
        <w:tc>
          <w:tcPr>
            <w:tcW w:w="2875" w:type="dxa"/>
          </w:tcPr>
          <w:p w:rsidRPr="00997F1C" w:rsidR="003E5AEF" w:rsidP="003E5AEF" w:rsidRDefault="003E5AEF" w14:paraId="339D68B2" w14:textId="77777777">
            <w:pPr>
              <w:keepLines/>
              <w:spacing w:line="240" w:lineRule="auto"/>
              <w:ind w:firstLine="0"/>
              <w:rPr>
                <w:color w:val="000000" w:themeColor="text1"/>
              </w:rPr>
            </w:pPr>
            <w:r w:rsidRPr="00997F1C">
              <w:rPr>
                <w:color w:val="000000" w:themeColor="text1"/>
              </w:rPr>
              <w:t xml:space="preserve">BEV1 </w:t>
            </w:r>
          </w:p>
        </w:tc>
        <w:tc>
          <w:tcPr>
            <w:tcW w:w="1620" w:type="dxa"/>
          </w:tcPr>
          <w:p w:rsidRPr="00997F1C" w:rsidR="003E5AEF" w:rsidP="003E5AEF" w:rsidRDefault="003E5AEF" w14:paraId="38C6418B" w14:textId="77777777">
            <w:pPr>
              <w:keepLines/>
              <w:spacing w:line="240" w:lineRule="auto"/>
              <w:ind w:firstLine="0"/>
              <w:jc w:val="right"/>
              <w:rPr>
                <w:color w:val="000000" w:themeColor="text1"/>
              </w:rPr>
            </w:pPr>
            <w:r w:rsidRPr="00997F1C">
              <w:rPr>
                <w:color w:val="000000" w:themeColor="text1"/>
              </w:rPr>
              <w:t>$(0.00003)</w:t>
            </w:r>
          </w:p>
        </w:tc>
      </w:tr>
      <w:tr w:rsidRPr="00997F1C" w:rsidR="004215F8" w14:paraId="71BEC22D" w14:textId="77777777">
        <w:trPr>
          <w:jc w:val="center"/>
        </w:trPr>
        <w:tc>
          <w:tcPr>
            <w:tcW w:w="2875" w:type="dxa"/>
          </w:tcPr>
          <w:p w:rsidRPr="00997F1C" w:rsidR="003E5AEF" w:rsidP="003E5AEF" w:rsidRDefault="003E5AEF" w14:paraId="6326DE13" w14:textId="77777777">
            <w:pPr>
              <w:keepLines/>
              <w:spacing w:line="240" w:lineRule="auto"/>
              <w:ind w:firstLine="0"/>
              <w:rPr>
                <w:color w:val="000000" w:themeColor="text1"/>
              </w:rPr>
            </w:pPr>
            <w:r w:rsidRPr="00997F1C">
              <w:rPr>
                <w:color w:val="000000" w:themeColor="text1"/>
              </w:rPr>
              <w:t xml:space="preserve">BEV2 </w:t>
            </w:r>
          </w:p>
        </w:tc>
        <w:tc>
          <w:tcPr>
            <w:tcW w:w="1620" w:type="dxa"/>
          </w:tcPr>
          <w:p w:rsidRPr="00997F1C" w:rsidR="003E5AEF" w:rsidP="003E5AEF" w:rsidRDefault="003E5AEF" w14:paraId="6522590A" w14:textId="77777777">
            <w:pPr>
              <w:keepLines/>
              <w:spacing w:line="240" w:lineRule="auto"/>
              <w:ind w:firstLine="0"/>
              <w:jc w:val="right"/>
              <w:rPr>
                <w:color w:val="000000" w:themeColor="text1"/>
              </w:rPr>
            </w:pPr>
            <w:r w:rsidRPr="00997F1C">
              <w:rPr>
                <w:color w:val="000000" w:themeColor="text1"/>
              </w:rPr>
              <w:t>$(0.00002)</w:t>
            </w:r>
          </w:p>
        </w:tc>
      </w:tr>
    </w:tbl>
    <w:p w:rsidRPr="00997F1C" w:rsidR="003E5AEF" w:rsidP="00D737A5" w:rsidRDefault="003E5AEF" w14:paraId="3E2C279E" w14:textId="6C8AA8B7">
      <w:pPr>
        <w:keepNext/>
        <w:keepLines/>
        <w:numPr>
          <w:ilvl w:val="1"/>
          <w:numId w:val="12"/>
        </w:numPr>
        <w:spacing w:before="120" w:after="120" w:line="240" w:lineRule="auto"/>
        <w:ind w:right="2160"/>
        <w:outlineLvl w:val="1"/>
        <w:rPr>
          <w:rFonts w:ascii="Arial" w:hAnsi="Arial" w:cs="Arial"/>
          <w:b/>
          <w:color w:val="000000" w:themeColor="text1"/>
          <w:szCs w:val="26"/>
        </w:rPr>
      </w:pPr>
      <w:bookmarkStart w:name="_Toc182841815" w:id="308"/>
      <w:bookmarkStart w:name="_Toc212561199" w:id="309"/>
      <w:bookmarkStart w:name="_Toc179212749" w:id="310"/>
      <w:bookmarkStart w:name="_Toc182306144" w:id="311"/>
      <w:bookmarkStart w:name="_Toc217384677" w:id="312"/>
      <w:r w:rsidRPr="00997F1C">
        <w:rPr>
          <w:rFonts w:ascii="Arial" w:hAnsi="Arial" w:cs="Arial"/>
          <w:b/>
          <w:color w:val="000000" w:themeColor="text1"/>
          <w:szCs w:val="26"/>
        </w:rPr>
        <w:t xml:space="preserve">Green Tariff Shared </w:t>
      </w:r>
      <w:r w:rsidR="009F5B6F">
        <w:rPr>
          <w:rFonts w:ascii="Arial" w:hAnsi="Arial" w:cs="Arial"/>
          <w:b/>
          <w:color w:val="000000" w:themeColor="text1"/>
          <w:szCs w:val="26"/>
        </w:rPr>
        <w:br/>
      </w:r>
      <w:r w:rsidRPr="00997F1C">
        <w:rPr>
          <w:rFonts w:ascii="Arial" w:hAnsi="Arial" w:cs="Arial"/>
          <w:b/>
          <w:color w:val="000000" w:themeColor="text1"/>
          <w:szCs w:val="26"/>
        </w:rPr>
        <w:t>Renewables Rates</w:t>
      </w:r>
      <w:bookmarkEnd w:id="308"/>
      <w:bookmarkEnd w:id="309"/>
      <w:bookmarkEnd w:id="312"/>
    </w:p>
    <w:p w:rsidRPr="00997F1C" w:rsidR="003E5AEF" w:rsidP="003E5AEF" w:rsidRDefault="003E5AEF" w14:paraId="3EF8A833" w14:textId="77777777">
      <w:pPr>
        <w:rPr>
          <w:color w:val="000000" w:themeColor="text1"/>
        </w:rPr>
      </w:pPr>
      <w:r w:rsidRPr="00997F1C">
        <w:rPr>
          <w:color w:val="000000" w:themeColor="text1"/>
        </w:rPr>
        <w:t>PG&amp;E has two electric rate schedules associated with the GTSR program</w:t>
      </w:r>
      <w:proofErr w:type="gramStart"/>
      <w:r w:rsidRPr="00997F1C">
        <w:rPr>
          <w:color w:val="000000" w:themeColor="text1"/>
        </w:rPr>
        <w:t>:  (</w:t>
      </w:r>
      <w:proofErr w:type="gramEnd"/>
      <w:r w:rsidRPr="00997F1C">
        <w:rPr>
          <w:color w:val="000000" w:themeColor="text1"/>
        </w:rPr>
        <w:t xml:space="preserve">1) electric rate schedule Green Tariff (Solar Choice Program or E-GT tariff) and (2) the Enhanced Community Renewables rate schedule (E-ECR).  </w:t>
      </w:r>
    </w:p>
    <w:p w:rsidRPr="00997F1C" w:rsidR="003E5AEF" w:rsidP="003E5AEF" w:rsidRDefault="53E8B74B" w14:paraId="64597129" w14:textId="4674B783">
      <w:pPr>
        <w:rPr>
          <w:color w:val="000000" w:themeColor="text1"/>
        </w:rPr>
      </w:pPr>
      <w:r w:rsidRPr="00997F1C">
        <w:rPr>
          <w:color w:val="000000" w:themeColor="text1"/>
        </w:rPr>
        <w:t>In the instant application, PG&amp;E requested to update the GTSR Program rate components for rates effective January 1, 2026.</w:t>
      </w:r>
      <w:r w:rsidRPr="00997F1C" w:rsidR="003E5AEF">
        <w:rPr>
          <w:color w:val="000000" w:themeColor="text1"/>
          <w:vertAlign w:val="superscript"/>
        </w:rPr>
        <w:footnoteReference w:id="175"/>
      </w:r>
      <w:r w:rsidRPr="00997F1C">
        <w:rPr>
          <w:color w:val="000000" w:themeColor="text1"/>
        </w:rPr>
        <w:t xml:space="preserve">  The GTSR Program bill credit and charges that make up the E-GT and E-ECR rates are: (1) Solar Rate </w:t>
      </w:r>
      <w:r w:rsidRPr="00997F1C" w:rsidR="00A5195C">
        <w:rPr>
          <w:color w:val="000000" w:themeColor="text1"/>
        </w:rPr>
        <w:br/>
      </w:r>
      <w:r w:rsidRPr="00997F1C">
        <w:rPr>
          <w:color w:val="000000" w:themeColor="text1"/>
        </w:rPr>
        <w:t>(E-GT rate schedule only); (2) PCIA Program Charge; (3) Other Program Charge components:</w:t>
      </w:r>
    </w:p>
    <w:p w:rsidRPr="00997F1C" w:rsidR="003E5AEF" w:rsidP="00D737A5" w:rsidRDefault="003E5AEF" w14:paraId="56571A6B" w14:textId="77777777">
      <w:pPr>
        <w:numPr>
          <w:ilvl w:val="7"/>
          <w:numId w:val="12"/>
        </w:numPr>
        <w:spacing w:after="120" w:line="240" w:lineRule="auto"/>
        <w:ind w:right="1440"/>
        <w:rPr>
          <w:color w:val="000000" w:themeColor="text1"/>
        </w:rPr>
      </w:pPr>
      <w:r w:rsidRPr="00997F1C">
        <w:rPr>
          <w:color w:val="000000" w:themeColor="text1"/>
        </w:rPr>
        <w:t xml:space="preserve">RA </w:t>
      </w:r>
      <w:proofErr w:type="gramStart"/>
      <w:r w:rsidRPr="00997F1C">
        <w:rPr>
          <w:color w:val="000000" w:themeColor="text1"/>
        </w:rPr>
        <w:t>Charge;</w:t>
      </w:r>
      <w:proofErr w:type="gramEnd"/>
    </w:p>
    <w:p w:rsidRPr="00997F1C" w:rsidR="003E5AEF" w:rsidP="00D737A5" w:rsidRDefault="003E5AEF" w14:paraId="669D639E" w14:textId="77777777">
      <w:pPr>
        <w:numPr>
          <w:ilvl w:val="7"/>
          <w:numId w:val="12"/>
        </w:numPr>
        <w:spacing w:after="120" w:line="240" w:lineRule="auto"/>
        <w:ind w:right="1440"/>
        <w:rPr>
          <w:color w:val="000000" w:themeColor="text1"/>
        </w:rPr>
      </w:pPr>
      <w:r w:rsidRPr="00997F1C">
        <w:rPr>
          <w:color w:val="000000" w:themeColor="text1"/>
        </w:rPr>
        <w:t>CAISO Grid Management Charge (GMC</w:t>
      </w:r>
      <w:proofErr w:type="gramStart"/>
      <w:r w:rsidRPr="00997F1C">
        <w:rPr>
          <w:color w:val="000000" w:themeColor="text1"/>
        </w:rPr>
        <w:t>);</w:t>
      </w:r>
      <w:proofErr w:type="gramEnd"/>
    </w:p>
    <w:p w:rsidRPr="00997F1C" w:rsidR="003E5AEF" w:rsidP="00D737A5" w:rsidRDefault="003E5AEF" w14:paraId="3F03A20E" w14:textId="77777777">
      <w:pPr>
        <w:numPr>
          <w:ilvl w:val="7"/>
          <w:numId w:val="12"/>
        </w:numPr>
        <w:spacing w:after="120" w:line="240" w:lineRule="auto"/>
        <w:ind w:right="1440"/>
        <w:rPr>
          <w:color w:val="000000" w:themeColor="text1"/>
        </w:rPr>
      </w:pPr>
      <w:r w:rsidRPr="00997F1C">
        <w:rPr>
          <w:color w:val="000000" w:themeColor="text1"/>
        </w:rPr>
        <w:t xml:space="preserve">Western Renewable Energy Generation Information System (WREGIS) </w:t>
      </w:r>
      <w:proofErr w:type="gramStart"/>
      <w:r w:rsidRPr="00997F1C">
        <w:rPr>
          <w:color w:val="000000" w:themeColor="text1"/>
        </w:rPr>
        <w:t>Fees;</w:t>
      </w:r>
      <w:proofErr w:type="gramEnd"/>
      <w:r w:rsidRPr="00997F1C">
        <w:rPr>
          <w:color w:val="000000" w:themeColor="text1"/>
        </w:rPr>
        <w:t xml:space="preserve"> </w:t>
      </w:r>
    </w:p>
    <w:p w:rsidRPr="00997F1C" w:rsidR="003E5AEF" w:rsidP="00D737A5" w:rsidRDefault="003E5AEF" w14:paraId="096CBE05" w14:textId="77777777">
      <w:pPr>
        <w:numPr>
          <w:ilvl w:val="7"/>
          <w:numId w:val="12"/>
        </w:numPr>
        <w:spacing w:after="120" w:line="240" w:lineRule="auto"/>
        <w:ind w:right="1440"/>
        <w:rPr>
          <w:color w:val="000000" w:themeColor="text1"/>
        </w:rPr>
      </w:pPr>
      <w:r w:rsidRPr="00997F1C">
        <w:rPr>
          <w:color w:val="000000" w:themeColor="text1"/>
        </w:rPr>
        <w:t xml:space="preserve">Renewable Integration </w:t>
      </w:r>
      <w:proofErr w:type="gramStart"/>
      <w:r w:rsidRPr="00997F1C">
        <w:rPr>
          <w:color w:val="000000" w:themeColor="text1"/>
        </w:rPr>
        <w:t>Charges;</w:t>
      </w:r>
      <w:proofErr w:type="gramEnd"/>
      <w:r w:rsidRPr="00997F1C">
        <w:rPr>
          <w:color w:val="000000" w:themeColor="text1"/>
        </w:rPr>
        <w:t xml:space="preserve"> </w:t>
      </w:r>
    </w:p>
    <w:p w:rsidRPr="00997F1C" w:rsidR="003E5AEF" w:rsidP="00D737A5" w:rsidRDefault="003E5AEF" w14:paraId="2BC26B82" w14:textId="77777777">
      <w:pPr>
        <w:numPr>
          <w:ilvl w:val="7"/>
          <w:numId w:val="12"/>
        </w:numPr>
        <w:spacing w:after="120" w:line="240" w:lineRule="auto"/>
        <w:ind w:right="1440"/>
        <w:rPr>
          <w:color w:val="000000" w:themeColor="text1"/>
        </w:rPr>
      </w:pPr>
      <w:r w:rsidRPr="00997F1C">
        <w:rPr>
          <w:color w:val="000000" w:themeColor="text1"/>
        </w:rPr>
        <w:lastRenderedPageBreak/>
        <w:t>Solar Value Adjustment (Time of Day and RA</w:t>
      </w:r>
      <w:proofErr w:type="gramStart"/>
      <w:r w:rsidRPr="00997F1C">
        <w:rPr>
          <w:color w:val="000000" w:themeColor="text1"/>
        </w:rPr>
        <w:t>);</w:t>
      </w:r>
      <w:proofErr w:type="gramEnd"/>
    </w:p>
    <w:p w:rsidRPr="00997F1C" w:rsidR="003E5AEF" w:rsidP="00D737A5" w:rsidRDefault="003E5AEF" w14:paraId="5CA31BB6" w14:textId="77777777">
      <w:pPr>
        <w:numPr>
          <w:ilvl w:val="7"/>
          <w:numId w:val="12"/>
        </w:numPr>
        <w:spacing w:after="120" w:line="240" w:lineRule="auto"/>
        <w:ind w:right="1440"/>
        <w:rPr>
          <w:color w:val="000000" w:themeColor="text1"/>
        </w:rPr>
      </w:pPr>
      <w:r w:rsidRPr="00997F1C">
        <w:rPr>
          <w:color w:val="000000" w:themeColor="text1"/>
        </w:rPr>
        <w:t xml:space="preserve">Administrative and Marketing Costs; and </w:t>
      </w:r>
    </w:p>
    <w:p w:rsidRPr="00997F1C" w:rsidR="003E5AEF" w:rsidP="00D737A5" w:rsidRDefault="003E5AEF" w14:paraId="786B0BE0" w14:textId="77777777">
      <w:pPr>
        <w:numPr>
          <w:ilvl w:val="7"/>
          <w:numId w:val="12"/>
        </w:numPr>
        <w:spacing w:after="120" w:line="240" w:lineRule="auto"/>
        <w:ind w:right="1440"/>
        <w:rPr>
          <w:color w:val="000000" w:themeColor="text1"/>
        </w:rPr>
      </w:pPr>
      <w:r w:rsidRPr="00997F1C">
        <w:rPr>
          <w:color w:val="000000" w:themeColor="text1"/>
        </w:rPr>
        <w:t>Class Average Generation Rate credit.</w:t>
      </w:r>
    </w:p>
    <w:p w:rsidRPr="00997F1C" w:rsidR="003E5AEF" w:rsidP="001B6D62" w:rsidRDefault="003E5AEF" w14:paraId="3DB38CC2" w14:textId="77777777">
      <w:pPr>
        <w:pStyle w:val="Standard"/>
        <w:rPr>
          <w:color w:val="000000" w:themeColor="text1"/>
        </w:rPr>
      </w:pPr>
      <w:r w:rsidRPr="00997F1C">
        <w:rPr>
          <w:color w:val="000000" w:themeColor="text1"/>
        </w:rPr>
        <w:t xml:space="preserve">The RA charge is calculated using the 2025 RA MPB issued by Energy Division.  The forecast MPBs are multiplied by the current portfolio’s NQC to determine the portfolio value, then divided by sales to determine the applicable rate.  </w:t>
      </w:r>
    </w:p>
    <w:p w:rsidRPr="00997F1C" w:rsidR="003E5AEF" w:rsidP="003E5AEF" w:rsidRDefault="003E5AEF" w14:paraId="2C2BB609" w14:textId="77777777">
      <w:pPr>
        <w:rPr>
          <w:color w:val="000000" w:themeColor="text1"/>
        </w:rPr>
      </w:pPr>
      <w:r w:rsidRPr="00997F1C">
        <w:rPr>
          <w:color w:val="000000" w:themeColor="text1"/>
        </w:rPr>
        <w:t xml:space="preserve">The costs for CAISO GMC are based on a three-year rolling average of recorded data as presented in Federal Energy Regulatory Commission Form 1. The WREGIS fee and administrative and marketing expenses are based on PG&amp;E’s current forecast of sales and expected administrative and marketing </w:t>
      </w:r>
      <w:proofErr w:type="gramStart"/>
      <w:r w:rsidRPr="00997F1C">
        <w:rPr>
          <w:color w:val="000000" w:themeColor="text1"/>
        </w:rPr>
        <w:t>expenditures</w:t>
      </w:r>
      <w:proofErr w:type="gramEnd"/>
      <w:r w:rsidRPr="00997F1C">
        <w:rPr>
          <w:color w:val="000000" w:themeColor="text1"/>
        </w:rPr>
        <w:t>.</w:t>
      </w:r>
    </w:p>
    <w:p w:rsidRPr="00997F1C" w:rsidR="003E5AEF" w:rsidP="003E5AEF" w:rsidRDefault="53E8B74B" w14:paraId="23F33CA8" w14:textId="77777777">
      <w:pPr>
        <w:rPr>
          <w:color w:val="000000" w:themeColor="text1"/>
        </w:rPr>
      </w:pPr>
      <w:r w:rsidRPr="00997F1C">
        <w:rPr>
          <w:color w:val="000000" w:themeColor="text1"/>
        </w:rPr>
        <w:t xml:space="preserve">PG&amp;E presented calculations of its GTSR rates for applicable rate classes in its </w:t>
      </w:r>
      <w:proofErr w:type="gramStart"/>
      <w:r w:rsidRPr="00997F1C">
        <w:rPr>
          <w:color w:val="000000" w:themeColor="text1"/>
        </w:rPr>
        <w:t>Application</w:t>
      </w:r>
      <w:proofErr w:type="gramEnd"/>
      <w:r w:rsidRPr="00997F1C" w:rsidR="003E5AEF">
        <w:rPr>
          <w:color w:val="000000" w:themeColor="text1"/>
          <w:vertAlign w:val="superscript"/>
        </w:rPr>
        <w:footnoteReference w:id="176"/>
      </w:r>
      <w:r w:rsidRPr="00997F1C">
        <w:rPr>
          <w:color w:val="000000" w:themeColor="text1"/>
        </w:rPr>
        <w:t xml:space="preserve"> and Fall Update.</w:t>
      </w:r>
      <w:r w:rsidRPr="00997F1C" w:rsidR="003E5AEF">
        <w:rPr>
          <w:color w:val="000000" w:themeColor="text1"/>
          <w:vertAlign w:val="superscript"/>
        </w:rPr>
        <w:footnoteReference w:id="177"/>
      </w:r>
      <w:r w:rsidRPr="00997F1C">
        <w:rPr>
          <w:color w:val="000000" w:themeColor="text1"/>
        </w:rPr>
        <w:t xml:space="preserve">  No party disputed the calculation of PG&amp;E’s GTSR rates.  We have reviewed PG&amp;</w:t>
      </w:r>
      <w:proofErr w:type="gramStart"/>
      <w:r w:rsidRPr="00997F1C">
        <w:rPr>
          <w:color w:val="000000" w:themeColor="text1"/>
        </w:rPr>
        <w:t>E’s</w:t>
      </w:r>
      <w:proofErr w:type="gramEnd"/>
      <w:r w:rsidRPr="00997F1C">
        <w:rPr>
          <w:color w:val="000000" w:themeColor="text1"/>
        </w:rPr>
        <w:t xml:space="preserve"> proposed GTSR rates and find them reasonable. </w:t>
      </w:r>
    </w:p>
    <w:p w:rsidRPr="00997F1C" w:rsidR="003E5AEF" w:rsidP="00D737A5" w:rsidRDefault="003E5AEF" w14:paraId="456AB426" w14:textId="77777777">
      <w:pPr>
        <w:keepNext/>
        <w:keepLines/>
        <w:numPr>
          <w:ilvl w:val="1"/>
          <w:numId w:val="12"/>
        </w:numPr>
        <w:spacing w:after="120" w:line="240" w:lineRule="auto"/>
        <w:ind w:right="2160"/>
        <w:outlineLvl w:val="1"/>
        <w:rPr>
          <w:rFonts w:ascii="Arial" w:hAnsi="Arial" w:cs="Arial"/>
          <w:b/>
          <w:color w:val="000000" w:themeColor="text1"/>
          <w:szCs w:val="26"/>
        </w:rPr>
      </w:pPr>
      <w:bookmarkStart w:name="_Toc182841816" w:id="313"/>
      <w:bookmarkStart w:name="_Toc212561200" w:id="314"/>
      <w:bookmarkStart w:name="_Toc217384678" w:id="315"/>
      <w:r w:rsidRPr="00997F1C">
        <w:rPr>
          <w:rFonts w:ascii="Arial" w:hAnsi="Arial" w:cs="Arial"/>
          <w:b/>
          <w:color w:val="000000" w:themeColor="text1"/>
          <w:szCs w:val="26"/>
        </w:rPr>
        <w:t>Changes to Total Rates</w:t>
      </w:r>
      <w:bookmarkEnd w:id="310"/>
      <w:bookmarkEnd w:id="311"/>
      <w:bookmarkEnd w:id="313"/>
      <w:bookmarkEnd w:id="314"/>
      <w:bookmarkEnd w:id="315"/>
    </w:p>
    <w:p w:rsidRPr="00997F1C" w:rsidR="003E5AEF" w:rsidP="003E5AEF" w:rsidRDefault="003E5AEF" w14:paraId="298DFBB5" w14:textId="77777777">
      <w:pPr>
        <w:rPr>
          <w:color w:val="000000" w:themeColor="text1"/>
        </w:rPr>
      </w:pPr>
      <w:r w:rsidRPr="00997F1C">
        <w:rPr>
          <w:color w:val="000000" w:themeColor="text1"/>
        </w:rPr>
        <w:t xml:space="preserve">Total rates are determined by adding the current rate components that are not changing in this proceeding (e.g., nuclear decommissioning, distribution, and transmission) and proposed rates for PCIA, Generation, Ongoing CTC, NSGC, TMNBC, </w:t>
      </w:r>
      <w:proofErr w:type="spellStart"/>
      <w:r w:rsidRPr="00997F1C">
        <w:rPr>
          <w:color w:val="000000" w:themeColor="text1"/>
        </w:rPr>
        <w:t>BioMAT</w:t>
      </w:r>
      <w:proofErr w:type="spellEnd"/>
      <w:r w:rsidRPr="00997F1C">
        <w:rPr>
          <w:color w:val="000000" w:themeColor="text1"/>
        </w:rPr>
        <w:t xml:space="preserve"> non-</w:t>
      </w:r>
      <w:proofErr w:type="spellStart"/>
      <w:r w:rsidRPr="00997F1C">
        <w:rPr>
          <w:color w:val="000000" w:themeColor="text1"/>
        </w:rPr>
        <w:t>bypassable</w:t>
      </w:r>
      <w:proofErr w:type="spellEnd"/>
      <w:r w:rsidRPr="00997F1C">
        <w:rPr>
          <w:color w:val="000000" w:themeColor="text1"/>
        </w:rPr>
        <w:t xml:space="preserve"> charge, and PPCP.  The TMNBC, </w:t>
      </w:r>
      <w:proofErr w:type="spellStart"/>
      <w:r w:rsidRPr="00997F1C">
        <w:rPr>
          <w:color w:val="000000" w:themeColor="text1"/>
        </w:rPr>
        <w:t>BioMAT</w:t>
      </w:r>
      <w:proofErr w:type="spellEnd"/>
      <w:r w:rsidRPr="00997F1C">
        <w:rPr>
          <w:color w:val="000000" w:themeColor="text1"/>
        </w:rPr>
        <w:t xml:space="preserve"> non-</w:t>
      </w:r>
      <w:proofErr w:type="spellStart"/>
      <w:r w:rsidRPr="00997F1C">
        <w:rPr>
          <w:color w:val="000000" w:themeColor="text1"/>
        </w:rPr>
        <w:t>bypassable</w:t>
      </w:r>
      <w:proofErr w:type="spellEnd"/>
      <w:r w:rsidRPr="00997F1C">
        <w:rPr>
          <w:color w:val="000000" w:themeColor="text1"/>
        </w:rPr>
        <w:t xml:space="preserve"> charge, and PPCP rates proposed in this application are embedded in the average public purpose program rate in both the bundled and the DA/CCA customer average rate tables.</w:t>
      </w:r>
    </w:p>
    <w:p w:rsidRPr="00997F1C" w:rsidR="003E5AEF" w:rsidP="003E5AEF" w:rsidRDefault="003E5AEF" w14:paraId="46FE29CB" w14:textId="77777777">
      <w:pPr>
        <w:rPr>
          <w:color w:val="000000" w:themeColor="text1"/>
        </w:rPr>
      </w:pPr>
      <w:bookmarkStart w:name="_Hlk180045479" w:id="316"/>
      <w:r w:rsidRPr="00997F1C">
        <w:rPr>
          <w:color w:val="000000" w:themeColor="text1"/>
        </w:rPr>
        <w:lastRenderedPageBreak/>
        <w:t xml:space="preserve">Illustrative non-ERRA rate components do not reflect the cost recovery (i.e., total 2026 revenue requirements) subject to Commission approval through PG&amp;E’s 2026 Annual Electric True-Up for year-end balancing account adjustments.  Any revenue requirement component changes approved in this proceeding will be implemented in the 2026 Annual Electric True-Up and will be consolidated with other changes approved for implementation at that time.  </w:t>
      </w:r>
      <w:bookmarkEnd w:id="316"/>
    </w:p>
    <w:p w:rsidRPr="00997F1C" w:rsidR="003E5AEF" w:rsidP="00D737A5" w:rsidRDefault="003E5AEF" w14:paraId="1F961ED3" w14:textId="77777777">
      <w:pPr>
        <w:keepNext/>
        <w:keepLines/>
        <w:numPr>
          <w:ilvl w:val="0"/>
          <w:numId w:val="9"/>
        </w:numPr>
        <w:spacing w:after="120" w:line="240" w:lineRule="auto"/>
        <w:ind w:right="2160"/>
        <w:outlineLvl w:val="0"/>
        <w:rPr>
          <w:rFonts w:ascii="Arial" w:hAnsi="Arial" w:eastAsiaTheme="majorEastAsia" w:cstheme="majorBidi"/>
          <w:bCs/>
          <w:color w:val="000000" w:themeColor="text1"/>
          <w:szCs w:val="32"/>
        </w:rPr>
      </w:pPr>
      <w:bookmarkStart w:name="_Toc212561206" w:id="317"/>
      <w:bookmarkStart w:name="_Toc217384679" w:id="318"/>
      <w:r w:rsidRPr="00997F1C">
        <w:rPr>
          <w:rFonts w:ascii="Arial" w:hAnsi="Arial" w:eastAsiaTheme="majorEastAsia" w:cstheme="majorBidi"/>
          <w:b/>
          <w:bCs/>
          <w:color w:val="000000" w:themeColor="text1"/>
          <w:szCs w:val="32"/>
        </w:rPr>
        <w:t>Summary of Public Comment</w:t>
      </w:r>
      <w:bookmarkEnd w:id="317"/>
      <w:bookmarkEnd w:id="318"/>
    </w:p>
    <w:p w:rsidRPr="00997F1C" w:rsidR="003E5AEF" w:rsidP="003E5AEF" w:rsidRDefault="003E5AEF" w14:paraId="5D294277" w14:textId="77777777">
      <w:pPr>
        <w:rPr>
          <w:color w:val="000000" w:themeColor="text1"/>
        </w:rPr>
      </w:pPr>
      <w:r w:rsidRPr="00997F1C">
        <w:rPr>
          <w:color w:val="000000" w:themeColor="text1"/>
        </w:rPr>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997F1C" w:rsidR="003E5AEF" w:rsidP="003E5AEF" w:rsidRDefault="003E5AEF" w14:paraId="12E7C9D1" w14:textId="77777777">
      <w:pPr>
        <w:rPr>
          <w:color w:val="000000" w:themeColor="text1"/>
        </w:rPr>
      </w:pPr>
      <w:r w:rsidRPr="00997F1C">
        <w:rPr>
          <w:color w:val="000000" w:themeColor="text1"/>
        </w:rPr>
        <w:t xml:space="preserve">As </w:t>
      </w:r>
      <w:proofErr w:type="gramStart"/>
      <w:r w:rsidRPr="00997F1C">
        <w:rPr>
          <w:color w:val="000000" w:themeColor="text1"/>
        </w:rPr>
        <w:t>of</w:t>
      </w:r>
      <w:proofErr w:type="gramEnd"/>
      <w:r w:rsidRPr="00997F1C">
        <w:rPr>
          <w:color w:val="000000" w:themeColor="text1"/>
        </w:rPr>
        <w:t xml:space="preserve"> the date of the proposed decision, there were 18 public comments on the Docket Card for this proceeding.  All commenters opposed approval of this application. Among the concerns that public commenters raised were:</w:t>
      </w:r>
    </w:p>
    <w:p w:rsidRPr="00997F1C" w:rsidR="003E5AEF" w:rsidP="00D737A5" w:rsidRDefault="003E5AEF" w14:paraId="613610B2" w14:textId="661D1FFE">
      <w:pPr>
        <w:numPr>
          <w:ilvl w:val="0"/>
          <w:numId w:val="6"/>
        </w:numPr>
        <w:tabs>
          <w:tab w:val="clear" w:pos="360"/>
        </w:tabs>
        <w:spacing w:after="120" w:line="240" w:lineRule="auto"/>
        <w:ind w:left="1080" w:right="1440"/>
        <w:rPr>
          <w:rFonts w:ascii="Calibri" w:hAnsi="Calibri"/>
          <w:color w:val="000000" w:themeColor="text1"/>
          <w:sz w:val="22"/>
        </w:rPr>
      </w:pPr>
      <w:r w:rsidRPr="00997F1C">
        <w:rPr>
          <w:color w:val="000000" w:themeColor="text1"/>
        </w:rPr>
        <w:t>PG&amp;</w:t>
      </w:r>
      <w:r w:rsidRPr="00997F1C" w:rsidR="004540F1">
        <w:rPr>
          <w:color w:val="000000" w:themeColor="text1"/>
        </w:rPr>
        <w:t>E</w:t>
      </w:r>
      <w:r w:rsidR="004540F1">
        <w:rPr>
          <w:color w:val="000000" w:themeColor="text1"/>
        </w:rPr>
        <w:t>’</w:t>
      </w:r>
      <w:r w:rsidRPr="00997F1C" w:rsidR="004540F1">
        <w:rPr>
          <w:color w:val="000000" w:themeColor="text1"/>
        </w:rPr>
        <w:t xml:space="preserve">s </w:t>
      </w:r>
      <w:r w:rsidRPr="00997F1C">
        <w:rPr>
          <w:color w:val="000000" w:themeColor="text1"/>
        </w:rPr>
        <w:t xml:space="preserve">strong financial position and CEO compensation as evidence that rate increases are </w:t>
      </w:r>
      <w:proofErr w:type="gramStart"/>
      <w:r w:rsidRPr="00997F1C">
        <w:rPr>
          <w:color w:val="000000" w:themeColor="text1"/>
        </w:rPr>
        <w:t>unjustified;</w:t>
      </w:r>
      <w:proofErr w:type="gramEnd"/>
      <w:r w:rsidRPr="00997F1C">
        <w:rPr>
          <w:color w:val="000000" w:themeColor="text1"/>
        </w:rPr>
        <w:t xml:space="preserve"> </w:t>
      </w:r>
    </w:p>
    <w:p w:rsidRPr="00997F1C" w:rsidR="003E5AEF" w:rsidP="00D737A5" w:rsidRDefault="003E5AEF" w14:paraId="722B5839" w14:textId="77777777">
      <w:pPr>
        <w:numPr>
          <w:ilvl w:val="0"/>
          <w:numId w:val="6"/>
        </w:numPr>
        <w:tabs>
          <w:tab w:val="clear" w:pos="360"/>
        </w:tabs>
        <w:spacing w:after="120" w:line="240" w:lineRule="auto"/>
        <w:ind w:left="1080" w:right="1440"/>
        <w:rPr>
          <w:rFonts w:ascii="Calibri" w:hAnsi="Calibri"/>
          <w:color w:val="000000" w:themeColor="text1"/>
          <w:sz w:val="22"/>
        </w:rPr>
      </w:pPr>
      <w:r w:rsidRPr="00997F1C">
        <w:rPr>
          <w:color w:val="000000" w:themeColor="text1"/>
        </w:rPr>
        <w:t xml:space="preserve">The cumulative burden of rate </w:t>
      </w:r>
      <w:proofErr w:type="gramStart"/>
      <w:r w:rsidRPr="00997F1C">
        <w:rPr>
          <w:color w:val="000000" w:themeColor="text1"/>
        </w:rPr>
        <w:t>increases;</w:t>
      </w:r>
      <w:proofErr w:type="gramEnd"/>
    </w:p>
    <w:p w:rsidRPr="00997F1C" w:rsidR="003E5AEF" w:rsidP="00D737A5" w:rsidRDefault="003E5AEF" w14:paraId="03E48191" w14:textId="77777777">
      <w:pPr>
        <w:numPr>
          <w:ilvl w:val="0"/>
          <w:numId w:val="6"/>
        </w:numPr>
        <w:tabs>
          <w:tab w:val="clear" w:pos="360"/>
        </w:tabs>
        <w:spacing w:after="120" w:line="240" w:lineRule="auto"/>
        <w:ind w:left="1080" w:right="1440"/>
        <w:rPr>
          <w:rFonts w:ascii="Calibri" w:hAnsi="Calibri"/>
          <w:color w:val="000000" w:themeColor="text1"/>
          <w:sz w:val="22"/>
        </w:rPr>
      </w:pPr>
      <w:r w:rsidRPr="00997F1C">
        <w:rPr>
          <w:color w:val="000000" w:themeColor="text1"/>
        </w:rPr>
        <w:t>Outdated assistance program income thresholds that exclude struggling middle-class families; and</w:t>
      </w:r>
    </w:p>
    <w:p w:rsidRPr="00997F1C" w:rsidR="003E5AEF" w:rsidP="00D737A5" w:rsidRDefault="003E5AEF" w14:paraId="704B38B7" w14:textId="77777777">
      <w:pPr>
        <w:numPr>
          <w:ilvl w:val="0"/>
          <w:numId w:val="6"/>
        </w:numPr>
        <w:tabs>
          <w:tab w:val="clear" w:pos="360"/>
        </w:tabs>
        <w:spacing w:after="120" w:line="240" w:lineRule="auto"/>
        <w:ind w:left="1080" w:right="1440"/>
        <w:rPr>
          <w:rFonts w:ascii="Calibri" w:hAnsi="Calibri"/>
          <w:color w:val="000000" w:themeColor="text1"/>
          <w:sz w:val="22"/>
        </w:rPr>
      </w:pPr>
      <w:r w:rsidRPr="00997F1C">
        <w:rPr>
          <w:color w:val="000000" w:themeColor="text1"/>
        </w:rPr>
        <w:t>Lack of transparency, accountability, and consideration of alternatives to ratepayer-funded cost recovery.</w:t>
      </w:r>
    </w:p>
    <w:p w:rsidRPr="00997F1C" w:rsidR="003E5AEF" w:rsidP="00D737A5" w:rsidRDefault="003E5AEF" w14:paraId="10CBC8A8" w14:textId="77777777">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212561207" w:id="319"/>
      <w:bookmarkStart w:name="_Toc8123723" w:id="320"/>
      <w:bookmarkStart w:name="_Toc217384680" w:id="321"/>
      <w:bookmarkEnd w:id="32"/>
      <w:r w:rsidRPr="00997F1C">
        <w:rPr>
          <w:rFonts w:ascii="Arial" w:hAnsi="Arial" w:eastAsiaTheme="majorEastAsia" w:cstheme="majorBidi"/>
          <w:b/>
          <w:color w:val="000000" w:themeColor="text1"/>
          <w:szCs w:val="32"/>
        </w:rPr>
        <w:t>Procedural Matters</w:t>
      </w:r>
      <w:bookmarkEnd w:id="319"/>
      <w:bookmarkEnd w:id="321"/>
    </w:p>
    <w:p w:rsidRPr="00FB531D" w:rsidR="00FB531D" w:rsidP="00FB531D" w:rsidRDefault="00FB531D" w14:paraId="6F9BAB41" w14:textId="629DFF95">
      <w:pPr>
        <w:rPr>
          <w:color w:val="000000" w:themeColor="text1"/>
        </w:rPr>
      </w:pPr>
      <w:r w:rsidRPr="00FB531D">
        <w:rPr>
          <w:color w:val="000000" w:themeColor="text1"/>
        </w:rPr>
        <w:t xml:space="preserve">We find good cause to grant: </w:t>
      </w:r>
    </w:p>
    <w:p w:rsidRPr="00FB531D" w:rsidR="00FB531D" w:rsidP="009F5B6F" w:rsidRDefault="00FB531D" w14:paraId="4205CA29" w14:textId="0F1EF3BB">
      <w:pPr>
        <w:pStyle w:val="ListAlpha"/>
        <w:ind w:right="1440"/>
      </w:pPr>
      <w:r>
        <w:t>PG&amp;E</w:t>
      </w:r>
      <w:r w:rsidRPr="00FB531D">
        <w:t xml:space="preserve">’s November </w:t>
      </w:r>
      <w:r w:rsidR="00655119">
        <w:t>3</w:t>
      </w:r>
      <w:r w:rsidRPr="00FB531D">
        <w:t xml:space="preserve">, </w:t>
      </w:r>
      <w:proofErr w:type="gramStart"/>
      <w:r w:rsidRPr="00FB531D">
        <w:t>202</w:t>
      </w:r>
      <w:r>
        <w:t>5</w:t>
      </w:r>
      <w:proofErr w:type="gramEnd"/>
      <w:r w:rsidRPr="00FB531D">
        <w:t xml:space="preserve"> </w:t>
      </w:r>
      <w:r w:rsidRPr="004D2DD1" w:rsidR="004D2DD1">
        <w:t xml:space="preserve">Motion for Leave to File the Confidential Version of its Reply Brief Under Seal, </w:t>
      </w:r>
      <w:r w:rsidRPr="00FB531D" w:rsidR="00655119">
        <w:t>and</w:t>
      </w:r>
    </w:p>
    <w:p w:rsidR="00FB531D" w:rsidP="009F5B6F" w:rsidRDefault="00FB531D" w14:paraId="554DAF7A" w14:textId="5365EC81">
      <w:pPr>
        <w:pStyle w:val="ListAlpha"/>
        <w:ind w:right="1440"/>
      </w:pPr>
      <w:proofErr w:type="spellStart"/>
      <w:r w:rsidRPr="00FB531D">
        <w:t>CalCCA’s</w:t>
      </w:r>
      <w:proofErr w:type="spellEnd"/>
      <w:r w:rsidRPr="00FB531D">
        <w:t xml:space="preserve"> </w:t>
      </w:r>
      <w:r w:rsidRPr="000569DD" w:rsidR="000569DD">
        <w:t xml:space="preserve">November 10, </w:t>
      </w:r>
      <w:proofErr w:type="gramStart"/>
      <w:r w:rsidRPr="000569DD" w:rsidR="000569DD">
        <w:t>2025</w:t>
      </w:r>
      <w:proofErr w:type="gramEnd"/>
      <w:r w:rsidRPr="000569DD" w:rsidR="000569DD">
        <w:t xml:space="preserve"> Motion to File Confidential Version of Comments Under Seal</w:t>
      </w:r>
      <w:r w:rsidR="00655119">
        <w:t>.</w:t>
      </w:r>
      <w:r w:rsidRPr="00FB531D">
        <w:t xml:space="preserve"> </w:t>
      </w:r>
    </w:p>
    <w:p w:rsidRPr="00997F1C" w:rsidR="003E5AEF" w:rsidP="003E5AEF" w:rsidRDefault="003E5AEF" w14:paraId="74DD9864" w14:textId="6174B4EC">
      <w:pPr>
        <w:rPr>
          <w:color w:val="000000" w:themeColor="text1"/>
        </w:rPr>
      </w:pPr>
      <w:r w:rsidRPr="00997F1C">
        <w:rPr>
          <w:color w:val="000000" w:themeColor="text1"/>
        </w:rPr>
        <w:lastRenderedPageBreak/>
        <w:t>This decision affirms all rulings made by the Administrative Law Judge and assigned Commissioner in this proceeding. All motions not ruled on are deemed denied.</w:t>
      </w:r>
    </w:p>
    <w:p w:rsidRPr="009C76C6" w:rsidR="009C76C6" w:rsidP="009C76C6" w:rsidRDefault="009C76C6" w14:paraId="39AC349D" w14:textId="1034F6CA">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8123724" w:id="322"/>
      <w:bookmarkStart w:name="_Toc212561209" w:id="323"/>
      <w:bookmarkStart w:name="_Toc217384681" w:id="324"/>
      <w:bookmarkEnd w:id="320"/>
      <w:r w:rsidRPr="009C76C6">
        <w:rPr>
          <w:rFonts w:ascii="Arial" w:hAnsi="Arial" w:eastAsiaTheme="majorEastAsia" w:cstheme="majorBidi"/>
          <w:b/>
          <w:color w:val="000000" w:themeColor="text1"/>
          <w:szCs w:val="32"/>
        </w:rPr>
        <w:t xml:space="preserve">Reduction of Comment </w:t>
      </w:r>
      <w:r w:rsidR="009F5B6F">
        <w:rPr>
          <w:rFonts w:ascii="Arial" w:hAnsi="Arial" w:eastAsiaTheme="majorEastAsia" w:cstheme="majorBidi"/>
          <w:b/>
          <w:color w:val="000000" w:themeColor="text1"/>
          <w:szCs w:val="32"/>
        </w:rPr>
        <w:br/>
      </w:r>
      <w:r w:rsidRPr="009C76C6">
        <w:rPr>
          <w:rFonts w:ascii="Arial" w:hAnsi="Arial" w:eastAsiaTheme="majorEastAsia" w:cstheme="majorBidi"/>
          <w:b/>
          <w:color w:val="000000" w:themeColor="text1"/>
          <w:szCs w:val="32"/>
        </w:rPr>
        <w:t>Period and Party Comments</w:t>
      </w:r>
      <w:bookmarkEnd w:id="324"/>
    </w:p>
    <w:p w:rsidR="009C76C6" w:rsidP="009C76C6" w:rsidRDefault="009C76C6" w14:paraId="0E476546" w14:textId="77202196">
      <w:pPr>
        <w:pStyle w:val="Standard"/>
      </w:pPr>
      <w:r w:rsidRPr="009C76C6">
        <w:t xml:space="preserve">The proposed decision of ALJ Elizabeth Fox in this matter was mailed to the parties in accordance with Pub. Util. Code Section 311 and comments were allowed under Rule 14.3.  Pursuant to Rule 14.6(b), all parties stipulated to reduce the </w:t>
      </w:r>
      <w:proofErr w:type="gramStart"/>
      <w:r w:rsidRPr="009C76C6">
        <w:t>30 day</w:t>
      </w:r>
      <w:proofErr w:type="gramEnd"/>
      <w:r w:rsidRPr="009C76C6">
        <w:t xml:space="preserve"> public review and comment period required by Pub. Util. Code Section 311 to </w:t>
      </w:r>
      <w:r>
        <w:t>four business</w:t>
      </w:r>
      <w:r w:rsidRPr="009C76C6">
        <w:t xml:space="preserve"> days for opening comments and </w:t>
      </w:r>
      <w:r>
        <w:t>three</w:t>
      </w:r>
      <w:r w:rsidRPr="009C76C6">
        <w:t xml:space="preserve"> days for reply comments.</w:t>
      </w:r>
    </w:p>
    <w:p w:rsidR="005C41D3" w:rsidP="005C41D3" w:rsidRDefault="00BD5093" w14:paraId="0BFD3814" w14:textId="759ACA11">
      <w:pPr>
        <w:pStyle w:val="Standard"/>
      </w:pPr>
      <w:r>
        <w:t>O</w:t>
      </w:r>
      <w:r w:rsidRPr="002A37A7">
        <w:t xml:space="preserve">n </w:t>
      </w:r>
      <w:r>
        <w:t>December 1, 2025, PG&amp;E</w:t>
      </w:r>
      <w:r w:rsidR="00DB2CE1">
        <w:t>,</w:t>
      </w:r>
      <w:r>
        <w:t xml:space="preserve"> </w:t>
      </w:r>
      <w:proofErr w:type="spellStart"/>
      <w:r>
        <w:t>CalCCA</w:t>
      </w:r>
      <w:proofErr w:type="spellEnd"/>
      <w:r w:rsidR="00DB2CE1">
        <w:t>, and SBUA</w:t>
      </w:r>
      <w:r>
        <w:t xml:space="preserve"> filed </w:t>
      </w:r>
      <w:r w:rsidR="00DB2CE1">
        <w:t xml:space="preserve">opening </w:t>
      </w:r>
      <w:r w:rsidR="00BF7C07">
        <w:t>c</w:t>
      </w:r>
      <w:r w:rsidRPr="002A37A7" w:rsidR="00F92954">
        <w:t>omments</w:t>
      </w:r>
      <w:r w:rsidR="005C41D3">
        <w:t xml:space="preserve"> on the proposed decision</w:t>
      </w:r>
      <w:r w:rsidR="00BF7C07">
        <w:t>.</w:t>
      </w:r>
      <w:r w:rsidRPr="002A37A7" w:rsidR="00F92954">
        <w:t xml:space="preserve"> </w:t>
      </w:r>
      <w:r w:rsidR="000C1784">
        <w:t xml:space="preserve"> </w:t>
      </w:r>
    </w:p>
    <w:p w:rsidR="005C41D3" w:rsidP="005C41D3" w:rsidRDefault="00FC76FD" w14:paraId="489D064E" w14:textId="585414CD">
      <w:pPr>
        <w:pStyle w:val="Standard"/>
      </w:pPr>
      <w:r>
        <w:t>PG&amp;E requested that</w:t>
      </w:r>
      <w:r w:rsidRPr="00D16DC9" w:rsidR="00D16DC9">
        <w:t xml:space="preserve"> </w:t>
      </w:r>
      <w:r w:rsidR="00D16DC9">
        <w:t>the Commission</w:t>
      </w:r>
      <w:r>
        <w:t xml:space="preserve">:  (1) </w:t>
      </w:r>
      <w:r w:rsidR="00D16DC9">
        <w:t xml:space="preserve">clarify </w:t>
      </w:r>
      <w:r w:rsidR="00BA2496">
        <w:t xml:space="preserve">that </w:t>
      </w:r>
      <w:r w:rsidR="00D16DC9">
        <w:t xml:space="preserve">the interim </w:t>
      </w:r>
      <w:proofErr w:type="spellStart"/>
      <w:r w:rsidR="00290014">
        <w:t>SoD</w:t>
      </w:r>
      <w:proofErr w:type="spellEnd"/>
      <w:r w:rsidR="00290014">
        <w:t xml:space="preserve"> </w:t>
      </w:r>
      <w:r w:rsidR="00D16DC9">
        <w:t>methodology applies only to energy storage resources,</w:t>
      </w:r>
      <w:r w:rsidR="00D16DC9">
        <w:rPr>
          <w:rStyle w:val="FootnoteReference"/>
        </w:rPr>
        <w:footnoteReference w:id="178"/>
      </w:r>
      <w:r w:rsidR="00D16DC9">
        <w:t xml:space="preserve"> </w:t>
      </w:r>
      <w:r>
        <w:t xml:space="preserve">and (2) update the proposed decision to reflect that the </w:t>
      </w:r>
      <w:r w:rsidR="00D16DC9">
        <w:t xml:space="preserve">value of Pre-2019 Banked </w:t>
      </w:r>
      <w:r>
        <w:t>REC</w:t>
      </w:r>
      <w:r w:rsidR="00D16DC9">
        <w:t>s</w:t>
      </w:r>
      <w:r>
        <w:t xml:space="preserve"> </w:t>
      </w:r>
      <w:r w:rsidR="00D16DC9">
        <w:t xml:space="preserve">in the </w:t>
      </w:r>
      <w:r>
        <w:t>PCIA</w:t>
      </w:r>
      <w:r w:rsidR="00D16DC9">
        <w:t xml:space="preserve"> is zero dollars.</w:t>
      </w:r>
      <w:r w:rsidR="00D16DC9">
        <w:rPr>
          <w:rStyle w:val="FootnoteReference"/>
        </w:rPr>
        <w:footnoteReference w:id="179"/>
      </w:r>
      <w:r w:rsidR="00D16DC9">
        <w:t xml:space="preserve">  </w:t>
      </w:r>
      <w:r w:rsidR="001628F4">
        <w:t xml:space="preserve">In addition, PG&amp;E requested that the Commission </w:t>
      </w:r>
      <w:r w:rsidR="008471E0">
        <w:t xml:space="preserve">address its </w:t>
      </w:r>
      <w:r w:rsidRPr="008471E0" w:rsidR="00810C43">
        <w:t xml:space="preserve">confidentiality </w:t>
      </w:r>
      <w:r w:rsidR="008471E0">
        <w:t>m</w:t>
      </w:r>
      <w:r w:rsidRPr="008471E0" w:rsidR="008471E0">
        <w:t xml:space="preserve">otion </w:t>
      </w:r>
      <w:r w:rsidR="00810C43">
        <w:t>for</w:t>
      </w:r>
      <w:r w:rsidRPr="008471E0" w:rsidR="008471E0">
        <w:t xml:space="preserve"> </w:t>
      </w:r>
      <w:r w:rsidR="00810C43">
        <w:t>its</w:t>
      </w:r>
      <w:r w:rsidR="008471E0">
        <w:t xml:space="preserve"> </w:t>
      </w:r>
      <w:r w:rsidRPr="00952756" w:rsidR="00952756">
        <w:t>November 3, 2025</w:t>
      </w:r>
      <w:r w:rsidRPr="008471E0" w:rsidR="008471E0">
        <w:t xml:space="preserve"> </w:t>
      </w:r>
      <w:r w:rsidR="00173C20">
        <w:t>r</w:t>
      </w:r>
      <w:r w:rsidRPr="008471E0" w:rsidR="008471E0">
        <w:t xml:space="preserve">eply </w:t>
      </w:r>
      <w:r w:rsidR="00173C20">
        <w:t>b</w:t>
      </w:r>
      <w:r w:rsidRPr="008471E0" w:rsidR="008471E0">
        <w:t>rief (Confidential Version)</w:t>
      </w:r>
      <w:r w:rsidR="00791EC1">
        <w:t>.</w:t>
      </w:r>
      <w:r w:rsidR="00E91840">
        <w:rPr>
          <w:rStyle w:val="FootnoteReference"/>
        </w:rPr>
        <w:footnoteReference w:id="180"/>
      </w:r>
      <w:r w:rsidR="008471E0">
        <w:t xml:space="preserve"> </w:t>
      </w:r>
      <w:r w:rsidR="00791EC1">
        <w:t xml:space="preserve"> </w:t>
      </w:r>
    </w:p>
    <w:p w:rsidR="00E91840" w:rsidP="00BA2496" w:rsidRDefault="005C41D3" w14:paraId="3957EE98" w14:textId="77777777">
      <w:pPr>
        <w:pStyle w:val="Standard"/>
      </w:pPr>
      <w:r>
        <w:t>In its opening c</w:t>
      </w:r>
      <w:r w:rsidRPr="002A37A7">
        <w:t>omments</w:t>
      </w:r>
      <w:r>
        <w:t xml:space="preserve"> on the proposed decision, </w:t>
      </w:r>
      <w:proofErr w:type="spellStart"/>
      <w:r w:rsidR="00D16DC9">
        <w:t>CalCCA</w:t>
      </w:r>
      <w:proofErr w:type="spellEnd"/>
      <w:r w:rsidR="00D16DC9">
        <w:t xml:space="preserve"> argued that </w:t>
      </w:r>
      <w:r>
        <w:t xml:space="preserve">the Commission should: </w:t>
      </w:r>
    </w:p>
    <w:p w:rsidR="00E91840" w:rsidP="009F5B6F" w:rsidRDefault="005C41D3" w14:paraId="00345BD6" w14:textId="7A7F06B5">
      <w:pPr>
        <w:pStyle w:val="ListBullet"/>
        <w:ind w:right="1440"/>
      </w:pPr>
      <w:r>
        <w:lastRenderedPageBreak/>
        <w:t>Reject PG&amp;E’s pre-2019 banked REC zero valuation proposal</w:t>
      </w:r>
      <w:r w:rsidR="00BA2496">
        <w:t xml:space="preserve"> and </w:t>
      </w:r>
      <w:r>
        <w:t xml:space="preserve">value pre-2019 banked RECs at the applicable RPS </w:t>
      </w:r>
      <w:proofErr w:type="gramStart"/>
      <w:r>
        <w:t>Adder</w:t>
      </w:r>
      <w:r w:rsidR="00BA2496">
        <w:t>;</w:t>
      </w:r>
      <w:proofErr w:type="gramEnd"/>
      <w:r w:rsidR="00E91840">
        <w:rPr>
          <w:rStyle w:val="FootnoteReference"/>
        </w:rPr>
        <w:footnoteReference w:id="181"/>
      </w:r>
      <w:r w:rsidR="00BA2496">
        <w:t xml:space="preserve"> </w:t>
      </w:r>
    </w:p>
    <w:p w:rsidR="00E91840" w:rsidP="009F5B6F" w:rsidRDefault="00E91840" w14:paraId="605FF1D8" w14:textId="545442BE">
      <w:pPr>
        <w:pStyle w:val="ListBullet"/>
        <w:ind w:right="1440"/>
      </w:pPr>
      <w:r>
        <w:t>D</w:t>
      </w:r>
      <w:r w:rsidR="005C41D3">
        <w:t>irect PG&amp;E to exhaust its post-201</w:t>
      </w:r>
      <w:r w:rsidR="00D605E1">
        <w:t>8</w:t>
      </w:r>
      <w:r w:rsidR="005C41D3">
        <w:t xml:space="preserve"> banked RECs before using any pre-2019 banked</w:t>
      </w:r>
      <w:r w:rsidR="00BA2496">
        <w:t xml:space="preserve"> </w:t>
      </w:r>
      <w:r w:rsidR="005C41D3">
        <w:t>RECs towards its Minimum Retained RPS requiremen</w:t>
      </w:r>
      <w:r w:rsidR="00BA2496">
        <w:t>t;</w:t>
      </w:r>
      <w:r>
        <w:rPr>
          <w:rStyle w:val="FootnoteReference"/>
        </w:rPr>
        <w:footnoteReference w:id="182"/>
      </w:r>
      <w:r w:rsidR="00BA2496">
        <w:t xml:space="preserve"> </w:t>
      </w:r>
    </w:p>
    <w:p w:rsidR="00E91840" w:rsidP="009F5B6F" w:rsidRDefault="00E91840" w14:paraId="318CCDCB" w14:textId="1A13E19A">
      <w:pPr>
        <w:pStyle w:val="ListBullet"/>
        <w:ind w:right="1440"/>
      </w:pPr>
      <w:r>
        <w:t>D</w:t>
      </w:r>
      <w:r w:rsidR="005C41D3">
        <w:t xml:space="preserve">irect PG&amp;E to track and report </w:t>
      </w:r>
      <w:r w:rsidR="00AF7387">
        <w:t>n</w:t>
      </w:r>
      <w:r w:rsidRPr="00AF7387" w:rsidR="00AF7387">
        <w:t xml:space="preserve">ot only the Pre-2019 Banked RECs it will use to meet 2026 bundled customer compliance but also those it will use to meet 2025 </w:t>
      </w:r>
      <w:proofErr w:type="gramStart"/>
      <w:r w:rsidRPr="00AF7387" w:rsidR="00AF7387">
        <w:t>compliance</w:t>
      </w:r>
      <w:r>
        <w:t>;</w:t>
      </w:r>
      <w:proofErr w:type="gramEnd"/>
      <w:r>
        <w:rPr>
          <w:rStyle w:val="FootnoteReference"/>
        </w:rPr>
        <w:footnoteReference w:id="183"/>
      </w:r>
      <w:r>
        <w:t xml:space="preserve"> </w:t>
      </w:r>
    </w:p>
    <w:p w:rsidR="00FB3640" w:rsidP="009F5B6F" w:rsidRDefault="00E91840" w14:paraId="57361CFB" w14:textId="1111D71F">
      <w:pPr>
        <w:pStyle w:val="ListBullet"/>
        <w:ind w:right="1440"/>
      </w:pPr>
      <w:r>
        <w:t xml:space="preserve">Direct PG&amp;E to file a Tier 2 advice letter detailing its implementation of SCE’s </w:t>
      </w:r>
      <w:proofErr w:type="spellStart"/>
      <w:r w:rsidR="002D4C65">
        <w:t>SoD</w:t>
      </w:r>
      <w:proofErr w:type="spellEnd"/>
      <w:r w:rsidR="002D4C65">
        <w:t xml:space="preserve"> </w:t>
      </w:r>
      <w:r>
        <w:t>method within thirty days of its final decision in this proceeding</w:t>
      </w:r>
      <w:r w:rsidR="00FB3640">
        <w:t>;</w:t>
      </w:r>
      <w:r>
        <w:rPr>
          <w:rStyle w:val="FootnoteReference"/>
        </w:rPr>
        <w:footnoteReference w:id="184"/>
      </w:r>
      <w:r w:rsidR="00FB3640">
        <w:t xml:space="preserve"> and</w:t>
      </w:r>
    </w:p>
    <w:p w:rsidR="00E91840" w:rsidP="009F5B6F" w:rsidRDefault="001A3AE7" w14:paraId="215472DB" w14:textId="0AE2DC10">
      <w:pPr>
        <w:pStyle w:val="ListBullet"/>
        <w:ind w:right="1440"/>
      </w:pPr>
      <w:r>
        <w:t>“[M]</w:t>
      </w:r>
      <w:proofErr w:type="spellStart"/>
      <w:r>
        <w:t>emorialize</w:t>
      </w:r>
      <w:proofErr w:type="spellEnd"/>
      <w:r>
        <w:t xml:space="preserve"> </w:t>
      </w:r>
      <w:proofErr w:type="spellStart"/>
      <w:r>
        <w:t>CalCCA</w:t>
      </w:r>
      <w:proofErr w:type="spellEnd"/>
      <w:r>
        <w:t xml:space="preserve"> and PG&amp;E’s uncontested agreement that data center load in CCA service territory defaults to CCA service.”</w:t>
      </w:r>
      <w:r>
        <w:rPr>
          <w:rStyle w:val="FootnoteReference"/>
        </w:rPr>
        <w:footnoteReference w:id="185"/>
      </w:r>
      <w:r>
        <w:t xml:space="preserve"> </w:t>
      </w:r>
      <w:r w:rsidR="00E91840">
        <w:t xml:space="preserve"> </w:t>
      </w:r>
    </w:p>
    <w:p w:rsidR="00897DB4" w:rsidP="00BA3B05" w:rsidRDefault="00503739" w14:paraId="236DECEE" w14:textId="5711E771">
      <w:pPr>
        <w:pStyle w:val="Standard"/>
        <w:ind w:firstLine="0"/>
      </w:pPr>
      <w:r>
        <w:t>In addition, b</w:t>
      </w:r>
      <w:r w:rsidR="00897DB4">
        <w:t xml:space="preserve">oth PG&amp;E and </w:t>
      </w:r>
      <w:proofErr w:type="spellStart"/>
      <w:r w:rsidR="00897DB4">
        <w:t>CalCCA</w:t>
      </w:r>
      <w:proofErr w:type="spellEnd"/>
      <w:r w:rsidR="00897DB4">
        <w:t xml:space="preserve"> </w:t>
      </w:r>
      <w:r w:rsidR="00B1313C">
        <w:t>noted a typo on page 35</w:t>
      </w:r>
      <w:r w:rsidR="00375B48">
        <w:t xml:space="preserve"> and PG&amp;E noted </w:t>
      </w:r>
      <w:r w:rsidR="00633282">
        <w:t>typos on pages 24 and 50</w:t>
      </w:r>
      <w:r w:rsidR="00B1313C">
        <w:t>.</w:t>
      </w:r>
      <w:r w:rsidR="00633282">
        <w:t xml:space="preserve">  </w:t>
      </w:r>
    </w:p>
    <w:p w:rsidR="00DE0B68" w:rsidP="009C76C6" w:rsidRDefault="00DE0B68" w14:paraId="0C0B3381" w14:textId="43CEFDA2">
      <w:pPr>
        <w:pStyle w:val="Standard"/>
      </w:pPr>
      <w:r>
        <w:t>SBUA’s opening comments argued the following:</w:t>
      </w:r>
    </w:p>
    <w:p w:rsidR="00DE0B68" w:rsidP="009F5B6F" w:rsidRDefault="00DE0B68" w14:paraId="019CBB0F" w14:textId="34E7B453">
      <w:pPr>
        <w:pStyle w:val="ListBullet"/>
        <w:ind w:right="1440"/>
      </w:pPr>
      <w:r>
        <w:t xml:space="preserve">The proposed decision fails to address’ SBUA’s objections to PG&amp;E’s use of the Bass Diffusion Model for fuel </w:t>
      </w:r>
      <w:proofErr w:type="gramStart"/>
      <w:r>
        <w:t>cell</w:t>
      </w:r>
      <w:proofErr w:type="gramEnd"/>
      <w:r>
        <w:t xml:space="preserve"> and behind the meter solar adoption forecasting;</w:t>
      </w:r>
      <w:r w:rsidR="00EE4938">
        <w:rPr>
          <w:rStyle w:val="FootnoteReference"/>
        </w:rPr>
        <w:footnoteReference w:id="186"/>
      </w:r>
    </w:p>
    <w:p w:rsidR="00DE0B68" w:rsidP="009F5B6F" w:rsidRDefault="006A4666" w14:paraId="5F4B0C8D" w14:textId="0DB73DFB">
      <w:pPr>
        <w:pStyle w:val="ListBullet"/>
        <w:ind w:right="1440"/>
      </w:pPr>
      <w:r>
        <w:t xml:space="preserve">The proposed decision rejects SBUA’s recommendations for improved </w:t>
      </w:r>
      <w:r w:rsidR="00291596">
        <w:t>p</w:t>
      </w:r>
      <w:r>
        <w:t>ost-COVID demand forecasting without a reasoned basis;</w:t>
      </w:r>
      <w:r w:rsidR="00455157">
        <w:rPr>
          <w:rStyle w:val="FootnoteReference"/>
        </w:rPr>
        <w:footnoteReference w:id="187"/>
      </w:r>
    </w:p>
    <w:p w:rsidR="006A4666" w:rsidP="009F5B6F" w:rsidRDefault="004D273D" w14:paraId="0B381D20" w14:textId="7D772528">
      <w:pPr>
        <w:pStyle w:val="ListBullet"/>
        <w:ind w:right="1440"/>
      </w:pPr>
      <w:r>
        <w:lastRenderedPageBreak/>
        <w:t xml:space="preserve">The proposed decision rejects SBUA’s </w:t>
      </w:r>
      <w:r w:rsidR="00353E17">
        <w:t>p</w:t>
      </w:r>
      <w:r>
        <w:t>roposals regarding data center forecasting without analysis, despite PG&amp;E largely adopting SBUA’s recommendations</w:t>
      </w:r>
      <w:r w:rsidR="00455157">
        <w:t>.</w:t>
      </w:r>
      <w:r w:rsidR="00455157">
        <w:rPr>
          <w:rStyle w:val="FootnoteReference"/>
        </w:rPr>
        <w:footnoteReference w:id="188"/>
      </w:r>
      <w:r w:rsidR="00FE68F1">
        <w:t xml:space="preserve">  SBUA stated that, “[</w:t>
      </w:r>
      <w:proofErr w:type="spellStart"/>
      <w:r w:rsidR="00FE68F1">
        <w:t>i</w:t>
      </w:r>
      <w:proofErr w:type="spellEnd"/>
      <w:r w:rsidR="00FE68F1">
        <w:t>]n apparent response to SBUA’s testimony, the ALJ required PG&amp;E to provide more information on data centers</w:t>
      </w:r>
      <w:r w:rsidR="00A273C7">
        <w:t>.”</w:t>
      </w:r>
      <w:r w:rsidR="00A273C7">
        <w:rPr>
          <w:rStyle w:val="FootnoteReference"/>
        </w:rPr>
        <w:footnoteReference w:id="189"/>
      </w:r>
    </w:p>
    <w:p w:rsidR="00B71E4B" w:rsidP="009C76C6" w:rsidRDefault="00BF7C07" w14:paraId="6E3AD984" w14:textId="50B6B359">
      <w:pPr>
        <w:pStyle w:val="Standard"/>
      </w:pPr>
      <w:r>
        <w:t>O</w:t>
      </w:r>
      <w:r w:rsidRPr="002A37A7">
        <w:t xml:space="preserve">n </w:t>
      </w:r>
      <w:r>
        <w:t xml:space="preserve">December 4, </w:t>
      </w:r>
      <w:proofErr w:type="gramStart"/>
      <w:r>
        <w:t>2025</w:t>
      </w:r>
      <w:proofErr w:type="gramEnd"/>
      <w:r w:rsidRPr="002A37A7">
        <w:t xml:space="preserve"> </w:t>
      </w:r>
      <w:r>
        <w:t xml:space="preserve">PG&amp;E, </w:t>
      </w:r>
      <w:proofErr w:type="spellStart"/>
      <w:r>
        <w:t>CalCCA</w:t>
      </w:r>
      <w:proofErr w:type="spellEnd"/>
      <w:r>
        <w:t xml:space="preserve">, and SBUA </w:t>
      </w:r>
      <w:r w:rsidRPr="002A37A7" w:rsidR="00F92954">
        <w:t>filed reply</w:t>
      </w:r>
      <w:r>
        <w:t xml:space="preserve"> comments</w:t>
      </w:r>
      <w:r w:rsidRPr="002A37A7" w:rsidR="00F92954">
        <w:t>.</w:t>
      </w:r>
      <w:r>
        <w:t xml:space="preserve">  </w:t>
      </w:r>
      <w:r w:rsidR="00664C14">
        <w:t xml:space="preserve">PG&amp;E responded that: </w:t>
      </w:r>
      <w:r w:rsidR="00B71E4B">
        <w:t xml:space="preserve"> </w:t>
      </w:r>
    </w:p>
    <w:p w:rsidR="00B71E4B" w:rsidP="009F5B6F" w:rsidRDefault="00B71E4B" w14:paraId="22BF7BC6" w14:textId="4AFF543E">
      <w:pPr>
        <w:pStyle w:val="ListBullet"/>
        <w:ind w:right="1440"/>
      </w:pPr>
      <w:r>
        <w:t xml:space="preserve">If the Commission clarifies that PG&amp;E is required to adopt SCE’s </w:t>
      </w:r>
      <w:proofErr w:type="spellStart"/>
      <w:r>
        <w:t>SoD</w:t>
      </w:r>
      <w:proofErr w:type="spellEnd"/>
      <w:r>
        <w:t xml:space="preserve"> methodology for energy storage resources only, there would be no </w:t>
      </w:r>
      <w:proofErr w:type="gramStart"/>
      <w:r>
        <w:t>need  for</w:t>
      </w:r>
      <w:proofErr w:type="gramEnd"/>
      <w:r>
        <w:t xml:space="preserve"> a compliance advice letter as recommended by </w:t>
      </w:r>
      <w:proofErr w:type="spellStart"/>
      <w:r>
        <w:t>CalCCA</w:t>
      </w:r>
      <w:proofErr w:type="spellEnd"/>
      <w:r>
        <w:t>;</w:t>
      </w:r>
      <w:r w:rsidR="00FB3640">
        <w:rPr>
          <w:rStyle w:val="FootnoteReference"/>
        </w:rPr>
        <w:footnoteReference w:id="190"/>
      </w:r>
    </w:p>
    <w:p w:rsidR="00835697" w:rsidP="009F5B6F" w:rsidRDefault="00B71E4B" w14:paraId="1BFEED4C" w14:textId="77777777">
      <w:pPr>
        <w:pStyle w:val="ListBullet"/>
        <w:ind w:right="1440"/>
      </w:pPr>
      <w:r>
        <w:t xml:space="preserve">The Commission should </w:t>
      </w:r>
      <w:r w:rsidR="00FB3640">
        <w:t>di</w:t>
      </w:r>
      <w:r>
        <w:t xml:space="preserve">sregard </w:t>
      </w:r>
      <w:proofErr w:type="spellStart"/>
      <w:r>
        <w:t>CalCCA</w:t>
      </w:r>
      <w:proofErr w:type="spellEnd"/>
      <w:r>
        <w:t xml:space="preserve"> recommendations on pre-2019 </w:t>
      </w:r>
      <w:r w:rsidR="00FB3640">
        <w:t>B</w:t>
      </w:r>
      <w:r>
        <w:t>anked RECs</w:t>
      </w:r>
      <w:r w:rsidR="00FB3640">
        <w:t>;</w:t>
      </w:r>
      <w:r w:rsidR="00FB3640">
        <w:rPr>
          <w:rStyle w:val="FootnoteReference"/>
        </w:rPr>
        <w:footnoteReference w:id="191"/>
      </w:r>
    </w:p>
    <w:p w:rsidR="00835697" w:rsidP="009F5B6F" w:rsidRDefault="00835697" w14:paraId="3EC52428" w14:textId="77777777">
      <w:pPr>
        <w:pStyle w:val="ListBullet"/>
        <w:ind w:right="1440"/>
      </w:pPr>
      <w:r>
        <w:t>The Commission should l</w:t>
      </w:r>
      <w:r w:rsidR="00B71E4B">
        <w:t>imit the application of any findings or conclusions concerning default service provider of data centers in CCA territories to 2026; and</w:t>
      </w:r>
    </w:p>
    <w:p w:rsidR="00B71E4B" w:rsidP="009F5B6F" w:rsidRDefault="00835697" w14:paraId="7AC5FB7B" w14:textId="6E4793B2">
      <w:pPr>
        <w:pStyle w:val="ListBullet"/>
        <w:ind w:right="1440"/>
      </w:pPr>
      <w:r>
        <w:t xml:space="preserve">The Commission should </w:t>
      </w:r>
      <w:r w:rsidR="00077464">
        <w:t>r</w:t>
      </w:r>
      <w:r w:rsidR="00B71E4B">
        <w:t>eject SBUA’s recommendations that PG&amp;E take specific actions in prospective load forecasting activities.</w:t>
      </w:r>
      <w:r>
        <w:rPr>
          <w:rStyle w:val="FootnoteReference"/>
        </w:rPr>
        <w:footnoteReference w:id="192"/>
      </w:r>
    </w:p>
    <w:p w:rsidR="00E20AE7" w:rsidP="00E20AE7" w:rsidRDefault="00D500B7" w14:paraId="3210205A" w14:textId="09B5C174">
      <w:pPr>
        <w:pStyle w:val="Standard"/>
      </w:pPr>
      <w:proofErr w:type="spellStart"/>
      <w:r>
        <w:t>CalCCA’s</w:t>
      </w:r>
      <w:proofErr w:type="spellEnd"/>
      <w:r>
        <w:t xml:space="preserve"> reply comments</w:t>
      </w:r>
      <w:r w:rsidR="00E20AE7">
        <w:t xml:space="preserve"> asked the Commission to reject PG&amp;E’s pre-2019 Banked REC proposal</w:t>
      </w:r>
      <w:r w:rsidR="00CC6231">
        <w:rPr>
          <w:rStyle w:val="FootnoteReference"/>
        </w:rPr>
        <w:footnoteReference w:id="193"/>
      </w:r>
      <w:r w:rsidR="00E20AE7">
        <w:t xml:space="preserve"> and to apply SCE’s interim </w:t>
      </w:r>
      <w:proofErr w:type="spellStart"/>
      <w:r w:rsidR="00E20AE7">
        <w:t>SoD</w:t>
      </w:r>
      <w:proofErr w:type="spellEnd"/>
      <w:r w:rsidR="00E20AE7">
        <w:t xml:space="preserve"> methodology to all technology types in PG&amp;E’s PCIA-eligible RA portfolio, including but not limited to battery energy storage.</w:t>
      </w:r>
      <w:r w:rsidR="00E20AE7">
        <w:rPr>
          <w:rStyle w:val="FootnoteReference"/>
        </w:rPr>
        <w:footnoteReference w:id="194"/>
      </w:r>
    </w:p>
    <w:p w:rsidR="00F92954" w:rsidP="00845378" w:rsidRDefault="00845378" w14:paraId="4FD71D16" w14:textId="1271AC9E">
      <w:pPr>
        <w:pStyle w:val="Standard"/>
      </w:pPr>
      <w:r>
        <w:lastRenderedPageBreak/>
        <w:t xml:space="preserve">In its reply comments, SBUA </w:t>
      </w:r>
      <w:r w:rsidR="00E119F3">
        <w:t xml:space="preserve">argued that </w:t>
      </w:r>
      <w:proofErr w:type="spellStart"/>
      <w:r w:rsidRPr="00E119F3" w:rsidR="00E119F3">
        <w:t>C</w:t>
      </w:r>
      <w:r w:rsidR="00474D75">
        <w:t>al</w:t>
      </w:r>
      <w:r w:rsidRPr="00E119F3" w:rsidR="00E119F3">
        <w:t>CCA</w:t>
      </w:r>
      <w:r w:rsidR="00474D75">
        <w:t>’s</w:t>
      </w:r>
      <w:proofErr w:type="spellEnd"/>
      <w:r w:rsidRPr="00E119F3" w:rsidR="00E119F3">
        <w:t xml:space="preserve"> request to memorialize </w:t>
      </w:r>
      <w:r w:rsidR="00E119F3">
        <w:t>PG&amp;E</w:t>
      </w:r>
      <w:r w:rsidRPr="00E119F3" w:rsidR="00E119F3">
        <w:t xml:space="preserve">’s data responses does not comply with </w:t>
      </w:r>
      <w:r w:rsidR="00E119F3">
        <w:t>R</w:t>
      </w:r>
      <w:r w:rsidRPr="00E119F3" w:rsidR="00E119F3">
        <w:t>ule 14.3(c) and must be rejected</w:t>
      </w:r>
      <w:r>
        <w:t>.</w:t>
      </w:r>
      <w:r w:rsidR="00E119F3">
        <w:rPr>
          <w:rStyle w:val="FootnoteReference"/>
        </w:rPr>
        <w:footnoteReference w:id="195"/>
      </w:r>
    </w:p>
    <w:p w:rsidR="004B5972" w:rsidP="009C76C6" w:rsidRDefault="00AB58A6" w14:paraId="68AB876E" w14:textId="6E0FB61B">
      <w:pPr>
        <w:pStyle w:val="Standard"/>
      </w:pPr>
      <w:r>
        <w:t xml:space="preserve">In </w:t>
      </w:r>
      <w:r w:rsidR="004B5972">
        <w:t>response to comments on the proposed decision</w:t>
      </w:r>
      <w:r>
        <w:t xml:space="preserve">, we </w:t>
      </w:r>
      <w:proofErr w:type="gramStart"/>
      <w:r w:rsidR="004B5972">
        <w:t>m</w:t>
      </w:r>
      <w:r w:rsidR="00E52964">
        <w:t>a</w:t>
      </w:r>
      <w:r w:rsidR="004B5972">
        <w:t>ke</w:t>
      </w:r>
      <w:proofErr w:type="gramEnd"/>
      <w:r w:rsidR="004B5972">
        <w:t xml:space="preserve"> the following changes:</w:t>
      </w:r>
    </w:p>
    <w:p w:rsidR="00AF7387" w:rsidP="009F5B6F" w:rsidRDefault="004B5972" w14:paraId="2ED2B7B2" w14:textId="2B9EAAC7">
      <w:pPr>
        <w:pStyle w:val="ListBullet"/>
        <w:ind w:right="1440"/>
      </w:pPr>
      <w:r>
        <w:t>Address</w:t>
      </w:r>
      <w:r w:rsidR="00173C20">
        <w:t xml:space="preserve"> </w:t>
      </w:r>
      <w:r w:rsidR="00F3572C">
        <w:t xml:space="preserve">certain </w:t>
      </w:r>
      <w:r>
        <w:t>PG&amp;E</w:t>
      </w:r>
      <w:r w:rsidR="0098070B">
        <w:t xml:space="preserve"> and</w:t>
      </w:r>
      <w:r>
        <w:t xml:space="preserve"> </w:t>
      </w:r>
      <w:proofErr w:type="spellStart"/>
      <w:r w:rsidR="00173C20">
        <w:t>CalCCA</w:t>
      </w:r>
      <w:proofErr w:type="spellEnd"/>
      <w:r w:rsidR="00173C20">
        <w:t xml:space="preserve"> </w:t>
      </w:r>
      <w:r w:rsidRPr="008471E0" w:rsidR="00173C20">
        <w:t xml:space="preserve">confidentiality </w:t>
      </w:r>
      <w:r w:rsidR="00173C20">
        <w:t>m</w:t>
      </w:r>
      <w:r w:rsidRPr="008471E0" w:rsidR="00173C20">
        <w:t>otion</w:t>
      </w:r>
      <w:r w:rsidR="00173C20">
        <w:t xml:space="preserve">s. </w:t>
      </w:r>
      <w:r w:rsidR="00384D7B">
        <w:t xml:space="preserve"> </w:t>
      </w:r>
    </w:p>
    <w:p w:rsidRPr="00A61E81" w:rsidR="00C9350C" w:rsidP="009F5B6F" w:rsidRDefault="00C9350C" w14:paraId="2093D298" w14:textId="2389D122">
      <w:pPr>
        <w:pStyle w:val="ListBullet"/>
        <w:ind w:right="1440"/>
      </w:pPr>
      <w:r w:rsidRPr="00A61E81">
        <w:t xml:space="preserve">Clarify that the interim </w:t>
      </w:r>
      <w:proofErr w:type="spellStart"/>
      <w:r w:rsidRPr="00A61E81">
        <w:t>SoD</w:t>
      </w:r>
      <w:proofErr w:type="spellEnd"/>
      <w:r w:rsidRPr="00A61E81">
        <w:t xml:space="preserve"> methodology applies only to storage resources.</w:t>
      </w:r>
    </w:p>
    <w:p w:rsidR="00AF7387" w:rsidP="009F5B6F" w:rsidRDefault="004B5972" w14:paraId="5E8509A3" w14:textId="4D2DB45C">
      <w:pPr>
        <w:pStyle w:val="ListBullet"/>
        <w:ind w:right="1440"/>
      </w:pPr>
      <w:r>
        <w:t xml:space="preserve">Agree with </w:t>
      </w:r>
      <w:proofErr w:type="spellStart"/>
      <w:r>
        <w:t>CalCCA</w:t>
      </w:r>
      <w:proofErr w:type="spellEnd"/>
      <w:r>
        <w:t xml:space="preserve"> that it is reasonable for PG&amp;E to file an advice letter </w:t>
      </w:r>
      <w:r w:rsidRPr="004540F1" w:rsidR="004540F1">
        <w:t xml:space="preserve">seeking approval of </w:t>
      </w:r>
      <w:r w:rsidR="004540F1">
        <w:t xml:space="preserve">its </w:t>
      </w:r>
      <w:proofErr w:type="spellStart"/>
      <w:r w:rsidRPr="004540F1" w:rsidR="004540F1">
        <w:t>SoD</w:t>
      </w:r>
      <w:proofErr w:type="spellEnd"/>
      <w:r w:rsidRPr="004540F1" w:rsidR="004540F1">
        <w:t xml:space="preserve"> implementation</w:t>
      </w:r>
      <w:r w:rsidR="004540F1">
        <w:t xml:space="preserve"> </w:t>
      </w:r>
      <w:r>
        <w:t xml:space="preserve">within thirty days of this decision and direct PG&amp;E to file this </w:t>
      </w:r>
      <w:r w:rsidR="009F5B6F">
        <w:t>A</w:t>
      </w:r>
      <w:r>
        <w:t xml:space="preserve">dvice </w:t>
      </w:r>
      <w:r w:rsidR="009F5B6F">
        <w:t>L</w:t>
      </w:r>
      <w:r>
        <w:t>etter.</w:t>
      </w:r>
    </w:p>
    <w:p w:rsidR="004B5972" w:rsidP="009F5B6F" w:rsidRDefault="00AF7387" w14:paraId="042848A2" w14:textId="7F3F9FAB">
      <w:pPr>
        <w:pStyle w:val="ListBullet"/>
        <w:ind w:right="1440"/>
      </w:pPr>
      <w:r>
        <w:t>Address typos.</w:t>
      </w:r>
      <w:r w:rsidR="004B5972">
        <w:t xml:space="preserve"> </w:t>
      </w:r>
    </w:p>
    <w:p w:rsidR="000B1E64" w:rsidP="004B5972" w:rsidRDefault="00384D7B" w14:paraId="5B32BE37" w14:textId="76A6DAA7">
      <w:pPr>
        <w:pStyle w:val="Standard"/>
      </w:pPr>
      <w:r>
        <w:t xml:space="preserve">We decline to make substantive changes to </w:t>
      </w:r>
      <w:r w:rsidR="00D73556">
        <w:t xml:space="preserve">either the Pre-2019 Banked RECs methodology or </w:t>
      </w:r>
      <w:proofErr w:type="spellStart"/>
      <w:r w:rsidR="00290014">
        <w:t>SoD</w:t>
      </w:r>
      <w:proofErr w:type="spellEnd"/>
      <w:r w:rsidR="00D73556">
        <w:t xml:space="preserve"> methodology as detailed in the proposed decision. </w:t>
      </w:r>
      <w:r w:rsidR="00E52964">
        <w:t xml:space="preserve">  </w:t>
      </w:r>
      <w:r w:rsidR="00F97961">
        <w:t xml:space="preserve">We were also not persuaded of the benefits of memorializing </w:t>
      </w:r>
      <w:proofErr w:type="spellStart"/>
      <w:r w:rsidR="00F97961">
        <w:t>CalCCA</w:t>
      </w:r>
      <w:proofErr w:type="spellEnd"/>
      <w:r w:rsidR="00F97961">
        <w:t xml:space="preserve"> and PG&amp;E’s </w:t>
      </w:r>
      <w:r w:rsidR="00206698">
        <w:t>“</w:t>
      </w:r>
      <w:r w:rsidR="00F97961">
        <w:t>agreement that data center load in CCA service territory defaults to CCA service,</w:t>
      </w:r>
      <w:r w:rsidR="00206698">
        <w:t>”</w:t>
      </w:r>
      <w:r w:rsidR="00F97961">
        <w:t xml:space="preserve"> given that the two parties do not appear to </w:t>
      </w:r>
      <w:r w:rsidR="00256639">
        <w:t>concur</w:t>
      </w:r>
      <w:r w:rsidR="00F97961">
        <w:t xml:space="preserve"> on what that agreement entail</w:t>
      </w:r>
      <w:r w:rsidR="00206698">
        <w:t>s</w:t>
      </w:r>
      <w:r w:rsidR="00F97961">
        <w:t>.</w:t>
      </w:r>
    </w:p>
    <w:p w:rsidR="00AB58A6" w:rsidP="009C76C6" w:rsidRDefault="0023243F" w14:paraId="02F85251" w14:textId="06613189">
      <w:pPr>
        <w:pStyle w:val="Standard"/>
        <w:rPr>
          <w:rFonts w:ascii="Arial" w:hAnsi="Arial" w:eastAsiaTheme="majorEastAsia" w:cstheme="majorBidi"/>
          <w:b/>
          <w:color w:val="000000" w:themeColor="text1"/>
          <w:szCs w:val="32"/>
        </w:rPr>
      </w:pPr>
      <w:r>
        <w:t>In response to</w:t>
      </w:r>
      <w:r w:rsidR="00B538F3">
        <w:t xml:space="preserve"> SBUA’s </w:t>
      </w:r>
      <w:r w:rsidR="00FB4D0A">
        <w:t>concerns regarding PG&amp;E’s demand forecast</w:t>
      </w:r>
      <w:r w:rsidR="00291596">
        <w:t>s, we</w:t>
      </w:r>
      <w:r w:rsidR="000B5BF6">
        <w:t xml:space="preserve"> </w:t>
      </w:r>
      <w:r w:rsidR="00A52661">
        <w:t xml:space="preserve">provide additional context for </w:t>
      </w:r>
      <w:r w:rsidR="000B5BF6">
        <w:t xml:space="preserve">why we are not persuaded by SBUA’s </w:t>
      </w:r>
      <w:r w:rsidR="005E5C3E">
        <w:t>request</w:t>
      </w:r>
      <w:r w:rsidR="00F23B1B">
        <w:t>s</w:t>
      </w:r>
      <w:r w:rsidR="005E5C3E">
        <w:t xml:space="preserve"> regarding</w:t>
      </w:r>
      <w:r w:rsidR="00E5216F">
        <w:t xml:space="preserve"> </w:t>
      </w:r>
      <w:r w:rsidR="00291596">
        <w:t>post-COVID demand forecasts</w:t>
      </w:r>
      <w:r w:rsidR="00F23B1B">
        <w:t xml:space="preserve"> or the Bass Diffusion Model</w:t>
      </w:r>
      <w:r w:rsidR="005E5C3E">
        <w:t xml:space="preserve">.  </w:t>
      </w:r>
      <w:r w:rsidR="00CE4B27">
        <w:t>We further note</w:t>
      </w:r>
      <w:r w:rsidR="00F23B1B">
        <w:t xml:space="preserve"> here</w:t>
      </w:r>
      <w:r w:rsidR="00CE4B27">
        <w:t xml:space="preserve"> that </w:t>
      </w:r>
      <w:r w:rsidR="00326989">
        <w:t xml:space="preserve">the </w:t>
      </w:r>
      <w:r w:rsidR="00A047BB">
        <w:t>ALJ</w:t>
      </w:r>
      <w:r w:rsidR="00326989">
        <w:t>’s</w:t>
      </w:r>
      <w:r w:rsidR="00A047BB">
        <w:t xml:space="preserve"> rulings requiring additional information on data centers were not prompted by or informed by SBUA’s </w:t>
      </w:r>
      <w:r w:rsidR="00692D7C">
        <w:t xml:space="preserve">testimony. </w:t>
      </w:r>
    </w:p>
    <w:p w:rsidRPr="00997F1C" w:rsidR="003E5AEF" w:rsidP="00D737A5" w:rsidRDefault="003E5AEF" w14:paraId="0784A0F2" w14:textId="0B3BC028">
      <w:pPr>
        <w:keepNext/>
        <w:keepLines/>
        <w:numPr>
          <w:ilvl w:val="0"/>
          <w:numId w:val="11"/>
        </w:numPr>
        <w:spacing w:after="120" w:line="240" w:lineRule="auto"/>
        <w:ind w:right="2160"/>
        <w:outlineLvl w:val="0"/>
        <w:rPr>
          <w:rFonts w:ascii="Arial" w:hAnsi="Arial" w:eastAsiaTheme="majorEastAsia" w:cstheme="majorBidi"/>
          <w:b/>
          <w:color w:val="000000" w:themeColor="text1"/>
          <w:szCs w:val="32"/>
        </w:rPr>
      </w:pPr>
      <w:bookmarkStart w:name="_Toc217384682" w:id="325"/>
      <w:r w:rsidRPr="00997F1C">
        <w:rPr>
          <w:rFonts w:ascii="Arial" w:hAnsi="Arial" w:eastAsiaTheme="majorEastAsia" w:cstheme="majorBidi"/>
          <w:b/>
          <w:color w:val="000000" w:themeColor="text1"/>
          <w:szCs w:val="32"/>
        </w:rPr>
        <w:lastRenderedPageBreak/>
        <w:t>Assignment of Proceeding</w:t>
      </w:r>
      <w:bookmarkEnd w:id="322"/>
      <w:bookmarkEnd w:id="323"/>
      <w:bookmarkEnd w:id="325"/>
    </w:p>
    <w:p w:rsidRPr="00997F1C" w:rsidR="003E5AEF" w:rsidP="003E5AEF" w:rsidRDefault="003E5AEF" w14:paraId="061F1CB7" w14:textId="77777777">
      <w:pPr>
        <w:rPr>
          <w:color w:val="000000" w:themeColor="text1"/>
        </w:rPr>
      </w:pPr>
      <w:r w:rsidRPr="00997F1C">
        <w:rPr>
          <w:color w:val="000000" w:themeColor="text1"/>
        </w:rPr>
        <w:t>John Reynolds is the assigned Commissioner and Elizabeth Fox is the assigned Administrative Law Judge in this proceeding.</w:t>
      </w:r>
    </w:p>
    <w:p w:rsidRPr="00997F1C" w:rsidR="003E5AEF" w:rsidP="003E5AEF" w:rsidRDefault="003E5AEF" w14:paraId="729D3FD1" w14:textId="77777777">
      <w:pPr>
        <w:keepNext/>
        <w:keepLines/>
        <w:spacing w:after="120" w:line="240" w:lineRule="auto"/>
        <w:ind w:firstLine="0"/>
        <w:outlineLvl w:val="0"/>
        <w:rPr>
          <w:rFonts w:ascii="Arial" w:hAnsi="Arial" w:cs="Arial"/>
          <w:b/>
          <w:color w:val="000000" w:themeColor="text1"/>
          <w:szCs w:val="26"/>
        </w:rPr>
      </w:pPr>
      <w:bookmarkStart w:name="_Toc8123725" w:id="326"/>
      <w:bookmarkStart w:name="_Toc212561210" w:id="327"/>
      <w:bookmarkStart w:name="_Toc217384683" w:id="328"/>
      <w:r w:rsidRPr="00997F1C">
        <w:rPr>
          <w:rFonts w:ascii="Arial" w:hAnsi="Arial" w:cs="Arial"/>
          <w:b/>
          <w:color w:val="000000" w:themeColor="text1"/>
          <w:szCs w:val="26"/>
        </w:rPr>
        <w:t>Findings of Fact</w:t>
      </w:r>
      <w:bookmarkEnd w:id="326"/>
      <w:bookmarkEnd w:id="327"/>
      <w:bookmarkEnd w:id="328"/>
    </w:p>
    <w:p w:rsidRPr="00997F1C" w:rsidR="003E5AEF" w:rsidP="00D737A5" w:rsidRDefault="003E5AEF" w14:paraId="15A61CA1" w14:textId="77777777">
      <w:pPr>
        <w:numPr>
          <w:ilvl w:val="0"/>
          <w:numId w:val="2"/>
        </w:numPr>
        <w:ind w:firstLine="547"/>
        <w:rPr>
          <w:color w:val="000000" w:themeColor="text1"/>
        </w:rPr>
      </w:pPr>
      <w:r w:rsidRPr="00997F1C">
        <w:rPr>
          <w:color w:val="000000" w:themeColor="text1"/>
        </w:rPr>
        <w:t xml:space="preserve">PG&amp;E presented a complete 2026 ERRA forecast in its Fall Update.  </w:t>
      </w:r>
    </w:p>
    <w:p w:rsidR="004F73E4" w:rsidP="004F73E4" w:rsidRDefault="00D81AD0" w14:paraId="335885B2" w14:textId="5FFC06F1">
      <w:pPr>
        <w:pStyle w:val="FoF"/>
        <w:rPr>
          <w:color w:val="000000" w:themeColor="text1"/>
        </w:rPr>
      </w:pPr>
      <w:r w:rsidRPr="00997F1C">
        <w:rPr>
          <w:color w:val="000000" w:themeColor="text1"/>
        </w:rPr>
        <w:t>We have reviewed the</w:t>
      </w:r>
      <w:r w:rsidRPr="00997F1C" w:rsidR="004F73E4">
        <w:rPr>
          <w:color w:val="000000" w:themeColor="text1"/>
        </w:rPr>
        <w:t xml:space="preserve"> Cost Allocation Mechanism (CAM) and New System Generation Charge </w:t>
      </w:r>
      <w:r w:rsidRPr="00997F1C">
        <w:rPr>
          <w:color w:val="000000" w:themeColor="text1"/>
        </w:rPr>
        <w:t xml:space="preserve">balance </w:t>
      </w:r>
      <w:r w:rsidRPr="00997F1C" w:rsidR="004F73E4">
        <w:rPr>
          <w:color w:val="000000" w:themeColor="text1"/>
        </w:rPr>
        <w:t>of $372,790,000</w:t>
      </w:r>
      <w:r w:rsidRPr="00997F1C">
        <w:rPr>
          <w:color w:val="000000" w:themeColor="text1"/>
        </w:rPr>
        <w:t xml:space="preserve"> and find that it is reasonable</w:t>
      </w:r>
      <w:r w:rsidRPr="00997F1C" w:rsidR="004F73E4">
        <w:rPr>
          <w:color w:val="000000" w:themeColor="text1"/>
        </w:rPr>
        <w:t xml:space="preserve">. </w:t>
      </w:r>
    </w:p>
    <w:p w:rsidRPr="00997F1C" w:rsidR="008A0842" w:rsidP="004F73E4" w:rsidRDefault="008A0842" w14:paraId="468B1BBE" w14:textId="561E1746">
      <w:pPr>
        <w:pStyle w:val="FoF"/>
        <w:rPr>
          <w:color w:val="000000" w:themeColor="text1"/>
        </w:rPr>
      </w:pPr>
      <w:r w:rsidRPr="008A0842">
        <w:rPr>
          <w:color w:val="000000" w:themeColor="text1"/>
        </w:rPr>
        <w:t>We find that additional information on the CAM is needed in the next ERRA compliance filing.</w:t>
      </w:r>
    </w:p>
    <w:p w:rsidRPr="00997F1C" w:rsidR="004F73E4" w:rsidP="004F73E4" w:rsidRDefault="00D81AD0" w14:paraId="660DC332" w14:textId="44BEEB14">
      <w:pPr>
        <w:pStyle w:val="FoF"/>
        <w:rPr>
          <w:color w:val="000000" w:themeColor="text1"/>
        </w:rPr>
      </w:pPr>
      <w:r w:rsidRPr="00997F1C">
        <w:rPr>
          <w:color w:val="000000" w:themeColor="text1"/>
        </w:rPr>
        <w:t xml:space="preserve">We have reviewed the </w:t>
      </w:r>
      <w:r w:rsidRPr="00997F1C" w:rsidR="004F73E4">
        <w:rPr>
          <w:color w:val="000000" w:themeColor="text1"/>
        </w:rPr>
        <w:t>Voluntary Allocation Market Offer Memorandum Account</w:t>
      </w:r>
      <w:r w:rsidRPr="00997F1C">
        <w:rPr>
          <w:color w:val="000000" w:themeColor="text1"/>
        </w:rPr>
        <w:t xml:space="preserve"> balance of </w:t>
      </w:r>
      <w:r w:rsidRPr="00997F1C" w:rsidR="004F73E4">
        <w:rPr>
          <w:color w:val="000000" w:themeColor="text1"/>
        </w:rPr>
        <w:t>$654</w:t>
      </w:r>
      <w:r w:rsidRPr="00997F1C">
        <w:rPr>
          <w:color w:val="000000" w:themeColor="text1"/>
        </w:rPr>
        <w:t>,000 and find that it is reasonable.</w:t>
      </w:r>
    </w:p>
    <w:p w:rsidRPr="00997F1C" w:rsidR="004F73E4" w:rsidP="004F73E4" w:rsidRDefault="00D81AD0" w14:paraId="39064495" w14:textId="2F2881B8">
      <w:pPr>
        <w:pStyle w:val="FoF"/>
        <w:rPr>
          <w:color w:val="000000" w:themeColor="text1"/>
        </w:rPr>
      </w:pPr>
      <w:r w:rsidRPr="00997F1C">
        <w:rPr>
          <w:color w:val="000000" w:themeColor="text1"/>
        </w:rPr>
        <w:t xml:space="preserve">We have reviewed the </w:t>
      </w:r>
      <w:r w:rsidRPr="00997F1C" w:rsidR="004F73E4">
        <w:rPr>
          <w:color w:val="000000" w:themeColor="text1"/>
        </w:rPr>
        <w:t>Power Charge Indifference Adjustment (PCIA)</w:t>
      </w:r>
      <w:r w:rsidRPr="00997F1C">
        <w:rPr>
          <w:color w:val="000000" w:themeColor="text1"/>
        </w:rPr>
        <w:t xml:space="preserve"> balance of </w:t>
      </w:r>
      <w:r w:rsidRPr="00997F1C" w:rsidR="004F73E4">
        <w:rPr>
          <w:color w:val="000000" w:themeColor="text1"/>
        </w:rPr>
        <w:t>$1,098,402</w:t>
      </w:r>
      <w:r w:rsidRPr="00997F1C">
        <w:rPr>
          <w:color w:val="000000" w:themeColor="text1"/>
        </w:rPr>
        <w:t>,000 and find that it is reasonable.</w:t>
      </w:r>
    </w:p>
    <w:p w:rsidRPr="00997F1C" w:rsidR="004F73E4" w:rsidP="004F73E4" w:rsidRDefault="00D81AD0" w14:paraId="4081E5CA" w14:textId="1032B03A">
      <w:pPr>
        <w:pStyle w:val="FoF"/>
        <w:rPr>
          <w:color w:val="000000" w:themeColor="text1"/>
        </w:rPr>
      </w:pPr>
      <w:r w:rsidRPr="00997F1C">
        <w:rPr>
          <w:color w:val="000000" w:themeColor="text1"/>
        </w:rPr>
        <w:t xml:space="preserve">We have reviewed the </w:t>
      </w:r>
      <w:r w:rsidRPr="00997F1C" w:rsidR="004F73E4">
        <w:rPr>
          <w:color w:val="000000" w:themeColor="text1"/>
        </w:rPr>
        <w:t>Ongoing Competition Transition Charge (CTC)</w:t>
      </w:r>
      <w:r w:rsidRPr="00997F1C">
        <w:rPr>
          <w:color w:val="000000" w:themeColor="text1"/>
        </w:rPr>
        <w:t xml:space="preserve"> balance of </w:t>
      </w:r>
      <w:r w:rsidRPr="00997F1C" w:rsidR="004F73E4">
        <w:rPr>
          <w:color w:val="000000" w:themeColor="text1"/>
        </w:rPr>
        <w:t>$33,736</w:t>
      </w:r>
      <w:r w:rsidRPr="00997F1C">
        <w:rPr>
          <w:color w:val="000000" w:themeColor="text1"/>
        </w:rPr>
        <w:t>,000 and find that it is reasonable.</w:t>
      </w:r>
      <w:r w:rsidRPr="00997F1C" w:rsidR="004F73E4">
        <w:rPr>
          <w:color w:val="000000" w:themeColor="text1"/>
        </w:rPr>
        <w:t xml:space="preserve"> </w:t>
      </w:r>
    </w:p>
    <w:p w:rsidRPr="00997F1C" w:rsidR="004F73E4" w:rsidP="004F73E4" w:rsidRDefault="00D81AD0" w14:paraId="5259522B" w14:textId="078AD274">
      <w:pPr>
        <w:pStyle w:val="FoF"/>
        <w:rPr>
          <w:color w:val="000000" w:themeColor="text1"/>
        </w:rPr>
      </w:pPr>
      <w:r w:rsidRPr="00997F1C">
        <w:rPr>
          <w:color w:val="000000" w:themeColor="text1"/>
        </w:rPr>
        <w:t xml:space="preserve">We have reviewed the </w:t>
      </w:r>
      <w:r w:rsidRPr="00997F1C" w:rsidR="004F73E4">
        <w:rPr>
          <w:color w:val="000000" w:themeColor="text1"/>
        </w:rPr>
        <w:t>ERRA – Main</w:t>
      </w:r>
      <w:r w:rsidRPr="00997F1C">
        <w:rPr>
          <w:color w:val="000000" w:themeColor="text1"/>
        </w:rPr>
        <w:t xml:space="preserve"> balance of </w:t>
      </w:r>
      <w:r w:rsidRPr="00997F1C" w:rsidR="004F73E4">
        <w:rPr>
          <w:color w:val="000000" w:themeColor="text1"/>
        </w:rPr>
        <w:t>$2,951,883</w:t>
      </w:r>
      <w:r w:rsidRPr="00997F1C">
        <w:rPr>
          <w:color w:val="000000" w:themeColor="text1"/>
        </w:rPr>
        <w:t>,000 and find that it is reasonable.</w:t>
      </w:r>
      <w:r w:rsidRPr="00997F1C" w:rsidR="004F73E4">
        <w:rPr>
          <w:color w:val="000000" w:themeColor="text1"/>
        </w:rPr>
        <w:t xml:space="preserve"> </w:t>
      </w:r>
    </w:p>
    <w:p w:rsidRPr="00997F1C" w:rsidR="00D81AD0" w:rsidP="004F73E4" w:rsidRDefault="00D81AD0" w14:paraId="09162AA8" w14:textId="77777777">
      <w:pPr>
        <w:pStyle w:val="FoF"/>
        <w:rPr>
          <w:color w:val="000000" w:themeColor="text1"/>
        </w:rPr>
      </w:pPr>
      <w:r w:rsidRPr="00997F1C">
        <w:rPr>
          <w:color w:val="000000" w:themeColor="text1"/>
        </w:rPr>
        <w:t>We acknowledge the overcollection of the ERRA - Main balancing account.</w:t>
      </w:r>
    </w:p>
    <w:p w:rsidRPr="00997F1C" w:rsidR="00D81AD0" w:rsidP="004F73E4" w:rsidRDefault="00D81AD0" w14:paraId="18FFF745" w14:textId="77777777">
      <w:pPr>
        <w:pStyle w:val="FoF"/>
        <w:rPr>
          <w:color w:val="000000" w:themeColor="text1"/>
        </w:rPr>
      </w:pPr>
      <w:r w:rsidRPr="00997F1C">
        <w:rPr>
          <w:color w:val="000000" w:themeColor="text1"/>
        </w:rPr>
        <w:t xml:space="preserve">PG&amp;E has complied with the requirements of D.02-10-062 to file an expedited ERRA trigger application </w:t>
      </w:r>
      <w:proofErr w:type="gramStart"/>
      <w:r w:rsidRPr="00997F1C">
        <w:rPr>
          <w:color w:val="000000" w:themeColor="text1"/>
        </w:rPr>
        <w:t>as a result of</w:t>
      </w:r>
      <w:proofErr w:type="gramEnd"/>
      <w:r w:rsidRPr="00997F1C">
        <w:rPr>
          <w:color w:val="000000" w:themeColor="text1"/>
        </w:rPr>
        <w:t xml:space="preserve"> the ERRA overcollection being greater than 5 percent.  </w:t>
      </w:r>
    </w:p>
    <w:p w:rsidRPr="00997F1C" w:rsidR="00D81AD0" w:rsidP="004F73E4" w:rsidRDefault="00D81AD0" w14:paraId="137BD004" w14:textId="1C3E318F">
      <w:pPr>
        <w:pStyle w:val="FoF"/>
        <w:rPr>
          <w:color w:val="000000" w:themeColor="text1"/>
        </w:rPr>
      </w:pPr>
      <w:r w:rsidRPr="00997F1C">
        <w:rPr>
          <w:color w:val="000000" w:themeColor="text1"/>
        </w:rPr>
        <w:t xml:space="preserve">We find it reasonable to authorize PG&amp;E to amortize this overcollection in the annual electric true-up advice letter.  </w:t>
      </w:r>
    </w:p>
    <w:p w:rsidRPr="00997F1C" w:rsidR="004F73E4" w:rsidP="004F73E4" w:rsidRDefault="00D81AD0" w14:paraId="47B22904" w14:textId="3CFAA5A0">
      <w:pPr>
        <w:pStyle w:val="FoF"/>
        <w:rPr>
          <w:color w:val="000000" w:themeColor="text1"/>
        </w:rPr>
      </w:pPr>
      <w:r w:rsidRPr="00997F1C">
        <w:rPr>
          <w:color w:val="000000" w:themeColor="text1"/>
        </w:rPr>
        <w:t xml:space="preserve">We have reviewed the </w:t>
      </w:r>
      <w:r w:rsidRPr="00997F1C" w:rsidR="004F73E4">
        <w:rPr>
          <w:color w:val="000000" w:themeColor="text1"/>
        </w:rPr>
        <w:t>Public Policy Charge Procurement</w:t>
      </w:r>
      <w:r w:rsidRPr="00997F1C">
        <w:rPr>
          <w:color w:val="000000" w:themeColor="text1"/>
        </w:rPr>
        <w:t xml:space="preserve"> balance of -</w:t>
      </w:r>
      <w:r w:rsidRPr="00997F1C" w:rsidR="004F73E4">
        <w:rPr>
          <w:color w:val="000000" w:themeColor="text1"/>
        </w:rPr>
        <w:t>$1,723</w:t>
      </w:r>
      <w:r w:rsidRPr="00997F1C">
        <w:rPr>
          <w:color w:val="000000" w:themeColor="text1"/>
        </w:rPr>
        <w:t>,000 and find that it is reasonable.</w:t>
      </w:r>
    </w:p>
    <w:p w:rsidRPr="00997F1C" w:rsidR="004F73E4" w:rsidP="004F73E4" w:rsidRDefault="00D81AD0" w14:paraId="18DC5FCA" w14:textId="1253F076">
      <w:pPr>
        <w:pStyle w:val="FoF"/>
        <w:rPr>
          <w:color w:val="000000" w:themeColor="text1"/>
        </w:rPr>
      </w:pPr>
      <w:r w:rsidRPr="00997F1C">
        <w:rPr>
          <w:color w:val="000000" w:themeColor="text1"/>
        </w:rPr>
        <w:lastRenderedPageBreak/>
        <w:t xml:space="preserve">We have reviewed the </w:t>
      </w:r>
      <w:r w:rsidRPr="00997F1C" w:rsidR="004F73E4">
        <w:rPr>
          <w:color w:val="000000" w:themeColor="text1"/>
        </w:rPr>
        <w:t>Tree Mortality Non-</w:t>
      </w:r>
      <w:proofErr w:type="spellStart"/>
      <w:proofErr w:type="gramStart"/>
      <w:r w:rsidRPr="00997F1C" w:rsidR="004F73E4">
        <w:rPr>
          <w:color w:val="000000" w:themeColor="text1"/>
        </w:rPr>
        <w:t>bypassable</w:t>
      </w:r>
      <w:proofErr w:type="spellEnd"/>
      <w:proofErr w:type="gramEnd"/>
      <w:r w:rsidRPr="00997F1C" w:rsidR="004F73E4">
        <w:rPr>
          <w:color w:val="000000" w:themeColor="text1"/>
        </w:rPr>
        <w:t xml:space="preserve"> Charge</w:t>
      </w:r>
      <w:r w:rsidRPr="00997F1C">
        <w:rPr>
          <w:color w:val="000000" w:themeColor="text1"/>
        </w:rPr>
        <w:t xml:space="preserve"> balance of </w:t>
      </w:r>
      <w:r w:rsidRPr="00997F1C" w:rsidR="004F73E4">
        <w:rPr>
          <w:color w:val="000000" w:themeColor="text1"/>
        </w:rPr>
        <w:t>$41,579</w:t>
      </w:r>
      <w:r w:rsidRPr="00997F1C">
        <w:rPr>
          <w:color w:val="000000" w:themeColor="text1"/>
        </w:rPr>
        <w:t>,000 and find that it is reasonable.</w:t>
      </w:r>
      <w:r w:rsidRPr="00997F1C" w:rsidR="004F73E4">
        <w:rPr>
          <w:color w:val="000000" w:themeColor="text1"/>
        </w:rPr>
        <w:t xml:space="preserve"> </w:t>
      </w:r>
    </w:p>
    <w:p w:rsidRPr="00997F1C" w:rsidR="004F73E4" w:rsidP="004F73E4" w:rsidRDefault="00D81AD0" w14:paraId="25FB1991" w14:textId="2628FE19">
      <w:pPr>
        <w:pStyle w:val="FoF"/>
        <w:rPr>
          <w:color w:val="000000" w:themeColor="text1"/>
        </w:rPr>
      </w:pPr>
      <w:r w:rsidRPr="00997F1C">
        <w:rPr>
          <w:color w:val="000000" w:themeColor="text1"/>
        </w:rPr>
        <w:t xml:space="preserve">We have reviewed the </w:t>
      </w:r>
      <w:r w:rsidRPr="00997F1C" w:rsidR="004F73E4">
        <w:rPr>
          <w:color w:val="000000" w:themeColor="text1"/>
        </w:rPr>
        <w:t>Bioenergy Market Adjusting Tariff</w:t>
      </w:r>
      <w:r w:rsidRPr="00997F1C">
        <w:rPr>
          <w:color w:val="000000" w:themeColor="text1"/>
        </w:rPr>
        <w:t xml:space="preserve"> balance of </w:t>
      </w:r>
      <w:r w:rsidRPr="00997F1C" w:rsidR="004F73E4">
        <w:rPr>
          <w:color w:val="000000" w:themeColor="text1"/>
        </w:rPr>
        <w:t>$13,763</w:t>
      </w:r>
      <w:r w:rsidRPr="00997F1C">
        <w:rPr>
          <w:color w:val="000000" w:themeColor="text1"/>
        </w:rPr>
        <w:t>,000 and find that it is reasonable.</w:t>
      </w:r>
    </w:p>
    <w:p w:rsidRPr="00997F1C" w:rsidR="003E5AEF" w:rsidP="00D737A5" w:rsidRDefault="003E5AEF" w14:paraId="20A50EF4" w14:textId="3D4F4AF3">
      <w:pPr>
        <w:numPr>
          <w:ilvl w:val="0"/>
          <w:numId w:val="2"/>
        </w:numPr>
        <w:ind w:firstLine="547"/>
        <w:rPr>
          <w:color w:val="000000" w:themeColor="text1"/>
        </w:rPr>
      </w:pPr>
      <w:r w:rsidRPr="00997F1C">
        <w:rPr>
          <w:color w:val="000000" w:themeColor="text1"/>
        </w:rPr>
        <w:t>The estimated net revenue requirement is $</w:t>
      </w:r>
      <w:r w:rsidRPr="00997F1C" w:rsidR="00EF5C45">
        <w:rPr>
          <w:color w:val="000000" w:themeColor="text1"/>
        </w:rPr>
        <w:t>3,260,698</w:t>
      </w:r>
      <w:r w:rsidRPr="00997F1C">
        <w:rPr>
          <w:color w:val="000000" w:themeColor="text1"/>
        </w:rPr>
        <w:t>,000.</w:t>
      </w:r>
    </w:p>
    <w:p w:rsidRPr="00997F1C" w:rsidR="005F2B38" w:rsidP="00D737A5" w:rsidRDefault="005F2B38" w14:paraId="5732D46F" w14:textId="014306BB">
      <w:pPr>
        <w:numPr>
          <w:ilvl w:val="0"/>
          <w:numId w:val="2"/>
        </w:numPr>
        <w:ind w:firstLine="547"/>
        <w:rPr>
          <w:color w:val="000000" w:themeColor="text1"/>
        </w:rPr>
      </w:pPr>
      <w:r w:rsidRPr="00997F1C">
        <w:rPr>
          <w:color w:val="000000" w:themeColor="text1"/>
        </w:rPr>
        <w:t>We find it reasonable to adopt PG&amp;E’s Pre-2019 Banked RECs methodology on an interim basis for the purpose of this decision.</w:t>
      </w:r>
    </w:p>
    <w:p w:rsidRPr="00997F1C" w:rsidR="00440F17" w:rsidP="00D737A5" w:rsidRDefault="00440F17" w14:paraId="2F4B9494" w14:textId="79BBC52D">
      <w:pPr>
        <w:numPr>
          <w:ilvl w:val="0"/>
          <w:numId w:val="2"/>
        </w:numPr>
        <w:ind w:firstLine="547"/>
        <w:rPr>
          <w:color w:val="000000" w:themeColor="text1"/>
        </w:rPr>
      </w:pPr>
      <w:r w:rsidRPr="00997F1C">
        <w:rPr>
          <w:color w:val="000000" w:themeColor="text1"/>
        </w:rPr>
        <w:t>The proposal to address conflicting understandings regarding the valuation of Pre-2019 Banked RECs is appropriate for consideration in a rulemaking.</w:t>
      </w:r>
    </w:p>
    <w:p w:rsidRPr="00997F1C" w:rsidR="005F2B38" w:rsidP="00D81AD0" w:rsidRDefault="005F2B38" w14:paraId="1ABD858A" w14:textId="79B754DB">
      <w:pPr>
        <w:pStyle w:val="FoF"/>
        <w:rPr>
          <w:color w:val="000000" w:themeColor="text1"/>
        </w:rPr>
      </w:pPr>
      <w:r w:rsidRPr="00997F1C">
        <w:rPr>
          <w:color w:val="000000" w:themeColor="text1"/>
        </w:rPr>
        <w:t>We find it reasonable for PG&amp;E to adopt SCE’s Slice-of-Day methodology, as described herein, on an interim basis.</w:t>
      </w:r>
    </w:p>
    <w:p w:rsidRPr="00997F1C" w:rsidR="00254A5B" w:rsidP="00D81AD0" w:rsidRDefault="00254A5B" w14:paraId="2A5137D6" w14:textId="2E67FFE5">
      <w:pPr>
        <w:pStyle w:val="FoF"/>
        <w:rPr>
          <w:color w:val="000000" w:themeColor="text1"/>
        </w:rPr>
      </w:pPr>
      <w:r w:rsidRPr="00997F1C">
        <w:rPr>
          <w:color w:val="000000" w:themeColor="text1"/>
        </w:rPr>
        <w:t xml:space="preserve">A more comprehensive decision on </w:t>
      </w:r>
      <w:proofErr w:type="spellStart"/>
      <w:r w:rsidRPr="00997F1C">
        <w:rPr>
          <w:color w:val="000000" w:themeColor="text1"/>
        </w:rPr>
        <w:t>SoD</w:t>
      </w:r>
      <w:proofErr w:type="spellEnd"/>
      <w:r w:rsidRPr="00997F1C">
        <w:rPr>
          <w:color w:val="000000" w:themeColor="text1"/>
        </w:rPr>
        <w:t xml:space="preserve"> compliance should be developed in a rulemaking. </w:t>
      </w:r>
    </w:p>
    <w:p w:rsidRPr="00997F1C" w:rsidR="00D81AD0" w:rsidP="00D81AD0" w:rsidRDefault="00D81AD0" w14:paraId="0EB95C79" w14:textId="219636B5">
      <w:pPr>
        <w:pStyle w:val="FoF"/>
        <w:rPr>
          <w:color w:val="000000" w:themeColor="text1"/>
        </w:rPr>
      </w:pPr>
      <w:r w:rsidRPr="00997F1C">
        <w:rPr>
          <w:color w:val="000000" w:themeColor="text1"/>
        </w:rPr>
        <w:t>The Commission finds PG&amp;E’s GHG allowance</w:t>
      </w:r>
      <w:r w:rsidRPr="00997F1C">
        <w:rPr>
          <w:color w:val="000000" w:themeColor="text1"/>
        </w:rPr>
        <w:noBreakHyphen/>
        <w:t>related proceeds and expenses reasonable and in compliance with applicable rules, orders and Commission decisions.</w:t>
      </w:r>
    </w:p>
    <w:p w:rsidRPr="00997F1C" w:rsidR="003E5AEF" w:rsidP="00D737A5" w:rsidRDefault="003E5AEF" w14:paraId="773B5E89" w14:textId="150D22DA">
      <w:pPr>
        <w:numPr>
          <w:ilvl w:val="0"/>
          <w:numId w:val="2"/>
        </w:numPr>
        <w:ind w:firstLine="547"/>
        <w:rPr>
          <w:color w:val="000000" w:themeColor="text1"/>
        </w:rPr>
      </w:pPr>
      <w:r w:rsidRPr="00997F1C">
        <w:rPr>
          <w:color w:val="000000" w:themeColor="text1"/>
        </w:rPr>
        <w:t>PG&amp;E incurred $</w:t>
      </w:r>
      <w:r w:rsidRPr="00997F1C" w:rsidR="003F5B80">
        <w:rPr>
          <w:color w:val="000000" w:themeColor="text1"/>
        </w:rPr>
        <w:t>708</w:t>
      </w:r>
      <w:r w:rsidRPr="00997F1C">
        <w:rPr>
          <w:color w:val="000000" w:themeColor="text1"/>
        </w:rPr>
        <w:t>,000 in 2024 GHG administrative and customer outreach costs.</w:t>
      </w:r>
    </w:p>
    <w:p w:rsidRPr="00997F1C" w:rsidR="00D81AD0" w:rsidP="00D81AD0" w:rsidRDefault="00D81AD0" w14:paraId="22831103" w14:textId="673C78B0">
      <w:pPr>
        <w:pStyle w:val="FoF"/>
        <w:rPr>
          <w:color w:val="000000" w:themeColor="text1"/>
        </w:rPr>
      </w:pPr>
      <w:r w:rsidRPr="00997F1C">
        <w:rPr>
          <w:color w:val="000000" w:themeColor="text1"/>
        </w:rPr>
        <w:t xml:space="preserve">PG&amp;E’s 2026 forecast of administrative and customer outreach expenses is $925,000.  </w:t>
      </w:r>
    </w:p>
    <w:p w:rsidRPr="00997F1C" w:rsidR="00D81AD0" w:rsidP="00D81AD0" w:rsidRDefault="00D81AD0" w14:paraId="19305A76" w14:textId="2151A985">
      <w:pPr>
        <w:pStyle w:val="FoF"/>
        <w:rPr>
          <w:color w:val="000000" w:themeColor="text1"/>
        </w:rPr>
      </w:pPr>
      <w:r w:rsidRPr="00997F1C">
        <w:rPr>
          <w:color w:val="000000" w:themeColor="text1"/>
        </w:rPr>
        <w:t>PG&amp;E’s 2026 forecast administrative and customer outreach expense costs reasonable and in compliance with applicable rules, orders, and Commission decisions.</w:t>
      </w:r>
    </w:p>
    <w:p w:rsidRPr="009F5B6F" w:rsidR="005F2B38" w:rsidP="009F5B6F" w:rsidRDefault="005F2B38" w14:paraId="74FEB837" w14:textId="75DB9C66">
      <w:pPr>
        <w:pStyle w:val="FoF"/>
        <w:rPr>
          <w:color w:val="000000" w:themeColor="text1"/>
        </w:rPr>
      </w:pPr>
      <w:r w:rsidRPr="00997F1C">
        <w:rPr>
          <w:color w:val="000000" w:themeColor="text1"/>
        </w:rPr>
        <w:t xml:space="preserve">We find PG&amp;E’s proposed revenue allocation and rate design to be reasonable. </w:t>
      </w:r>
    </w:p>
    <w:p w:rsidRPr="00997F1C" w:rsidR="003E5AEF" w:rsidP="003E5AEF" w:rsidRDefault="003E5AEF" w14:paraId="3BA69AF1" w14:textId="77777777">
      <w:pPr>
        <w:keepNext/>
        <w:keepLines/>
        <w:spacing w:after="120" w:line="240" w:lineRule="auto"/>
        <w:ind w:firstLine="0"/>
        <w:outlineLvl w:val="0"/>
        <w:rPr>
          <w:rFonts w:ascii="Arial" w:hAnsi="Arial" w:cs="Arial"/>
          <w:b/>
          <w:color w:val="000000" w:themeColor="text1"/>
          <w:szCs w:val="26"/>
        </w:rPr>
      </w:pPr>
      <w:bookmarkStart w:name="_Toc212561211" w:id="329"/>
      <w:bookmarkStart w:name="_Toc217384684" w:id="330"/>
      <w:r w:rsidRPr="00997F1C">
        <w:rPr>
          <w:rFonts w:ascii="Arial" w:hAnsi="Arial" w:cs="Arial"/>
          <w:b/>
          <w:color w:val="000000" w:themeColor="text1"/>
          <w:szCs w:val="26"/>
        </w:rPr>
        <w:lastRenderedPageBreak/>
        <w:t>Conclusions of Law</w:t>
      </w:r>
      <w:bookmarkEnd w:id="329"/>
      <w:bookmarkEnd w:id="330"/>
    </w:p>
    <w:p w:rsidRPr="00997F1C" w:rsidR="003E5AEF" w:rsidP="00D737A5" w:rsidRDefault="003E5AEF" w14:paraId="0192DC0F" w14:textId="30A411E2">
      <w:pPr>
        <w:numPr>
          <w:ilvl w:val="0"/>
          <w:numId w:val="3"/>
        </w:numPr>
        <w:ind w:firstLine="547"/>
        <w:rPr>
          <w:color w:val="000000" w:themeColor="text1"/>
        </w:rPr>
      </w:pPr>
      <w:r w:rsidRPr="00997F1C">
        <w:rPr>
          <w:color w:val="000000" w:themeColor="text1"/>
        </w:rPr>
        <w:t>It is reasonable to approve a gross revenue requirement for 2025 of $</w:t>
      </w:r>
      <w:r w:rsidRPr="00997F1C" w:rsidR="00634B08">
        <w:rPr>
          <w:color w:val="000000" w:themeColor="text1"/>
        </w:rPr>
        <w:t>4,511,083</w:t>
      </w:r>
      <w:r w:rsidRPr="00997F1C">
        <w:rPr>
          <w:color w:val="000000" w:themeColor="text1"/>
        </w:rPr>
        <w:t xml:space="preserve">,000, composed of the following balances in balancing accounts, subject to adjustments in the Annual Electric True-Up process.  </w:t>
      </w:r>
    </w:p>
    <w:tbl>
      <w:tblPr>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16"/>
        <w:gridCol w:w="1704"/>
      </w:tblGrid>
      <w:tr w:rsidRPr="00997F1C" w:rsidR="004215F8" w14:paraId="66BE3213" w14:textId="77777777">
        <w:trPr>
          <w:trHeight w:val="348"/>
          <w:jc w:val="center"/>
        </w:trPr>
        <w:tc>
          <w:tcPr>
            <w:tcW w:w="7616" w:type="dxa"/>
            <w:vAlign w:val="center"/>
            <w:hideMark/>
          </w:tcPr>
          <w:p w:rsidRPr="00997F1C" w:rsidR="003E5AEF" w:rsidP="003E5AEF" w:rsidRDefault="003E5AEF" w14:paraId="7A10CA04"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Balancing Account</w:t>
            </w:r>
          </w:p>
        </w:tc>
        <w:tc>
          <w:tcPr>
            <w:tcW w:w="1704" w:type="dxa"/>
            <w:vAlign w:val="center"/>
            <w:hideMark/>
          </w:tcPr>
          <w:p w:rsidRPr="00997F1C" w:rsidR="003E5AEF" w:rsidP="003E5AEF" w:rsidRDefault="003E5AEF" w14:paraId="7122FFDA"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Balance (Thousands)</w:t>
            </w:r>
          </w:p>
        </w:tc>
      </w:tr>
      <w:tr w:rsidRPr="00997F1C" w:rsidR="004215F8" w14:paraId="7ACE70D6" w14:textId="77777777">
        <w:trPr>
          <w:trHeight w:val="348"/>
          <w:jc w:val="center"/>
        </w:trPr>
        <w:tc>
          <w:tcPr>
            <w:tcW w:w="7616" w:type="dxa"/>
            <w:hideMark/>
          </w:tcPr>
          <w:p w:rsidRPr="00997F1C" w:rsidR="003E5AEF" w:rsidP="003E5AEF" w:rsidRDefault="003E5AEF" w14:paraId="2993E1B0" w14:textId="77777777">
            <w:pPr>
              <w:spacing w:line="240" w:lineRule="auto"/>
              <w:ind w:firstLine="0"/>
              <w:rPr>
                <w:rFonts w:eastAsia="Times New Roman" w:cs="Calibri"/>
                <w:color w:val="000000" w:themeColor="text1"/>
                <w:szCs w:val="26"/>
              </w:rPr>
            </w:pPr>
            <w:r w:rsidRPr="00997F1C">
              <w:rPr>
                <w:color w:val="000000" w:themeColor="text1"/>
                <w:szCs w:val="26"/>
              </w:rPr>
              <w:t>Cost Allocation Mechanism (CAM) and New System Generation Charge</w:t>
            </w:r>
          </w:p>
        </w:tc>
        <w:tc>
          <w:tcPr>
            <w:tcW w:w="1704" w:type="dxa"/>
            <w:vAlign w:val="center"/>
          </w:tcPr>
          <w:p w:rsidRPr="00997F1C" w:rsidR="003E5AEF" w:rsidP="003E5AEF" w:rsidRDefault="003E5AEF" w14:paraId="2945EE29"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 xml:space="preserve">$372,790 </w:t>
            </w:r>
          </w:p>
        </w:tc>
      </w:tr>
      <w:tr w:rsidRPr="00997F1C" w:rsidR="004215F8" w14:paraId="62E1D878" w14:textId="77777777">
        <w:trPr>
          <w:trHeight w:val="348"/>
          <w:jc w:val="center"/>
        </w:trPr>
        <w:tc>
          <w:tcPr>
            <w:tcW w:w="7616" w:type="dxa"/>
            <w:hideMark/>
          </w:tcPr>
          <w:p w:rsidRPr="00997F1C" w:rsidR="003E5AEF" w:rsidP="003E5AEF" w:rsidRDefault="003E5AEF" w14:paraId="5CCBA8B1" w14:textId="77777777">
            <w:pPr>
              <w:spacing w:line="240" w:lineRule="auto"/>
              <w:ind w:firstLine="0"/>
              <w:rPr>
                <w:rFonts w:eastAsia="Times New Roman" w:cs="Calibri"/>
                <w:color w:val="000000" w:themeColor="text1"/>
                <w:szCs w:val="26"/>
              </w:rPr>
            </w:pPr>
            <w:r w:rsidRPr="00997F1C">
              <w:rPr>
                <w:color w:val="000000" w:themeColor="text1"/>
                <w:szCs w:val="26"/>
              </w:rPr>
              <w:t>Voluntary Allocation Market Offer Memorandum Account</w:t>
            </w:r>
          </w:p>
        </w:tc>
        <w:tc>
          <w:tcPr>
            <w:tcW w:w="1704" w:type="dxa"/>
            <w:vAlign w:val="center"/>
          </w:tcPr>
          <w:p w:rsidRPr="00997F1C" w:rsidR="003E5AEF" w:rsidP="003E5AEF" w:rsidRDefault="003E5AEF" w14:paraId="0C137E52"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 xml:space="preserve">$654 </w:t>
            </w:r>
          </w:p>
        </w:tc>
      </w:tr>
      <w:tr w:rsidRPr="00997F1C" w:rsidR="004215F8" w14:paraId="6B8BD54F" w14:textId="77777777">
        <w:trPr>
          <w:trHeight w:val="348"/>
          <w:jc w:val="center"/>
        </w:trPr>
        <w:tc>
          <w:tcPr>
            <w:tcW w:w="7616" w:type="dxa"/>
            <w:hideMark/>
          </w:tcPr>
          <w:p w:rsidRPr="00997F1C" w:rsidR="003E5AEF" w:rsidP="003E5AEF" w:rsidRDefault="003E5AEF" w14:paraId="0D3A54C7" w14:textId="77777777">
            <w:pPr>
              <w:spacing w:line="240" w:lineRule="auto"/>
              <w:ind w:firstLine="0"/>
              <w:rPr>
                <w:rFonts w:eastAsia="Times New Roman" w:cs="Calibri"/>
                <w:color w:val="000000" w:themeColor="text1"/>
                <w:szCs w:val="26"/>
              </w:rPr>
            </w:pPr>
            <w:r w:rsidRPr="00997F1C">
              <w:rPr>
                <w:color w:val="000000" w:themeColor="text1"/>
                <w:szCs w:val="26"/>
              </w:rPr>
              <w:t>Power Charge Indifference Adjustment (PCIA)</w:t>
            </w:r>
          </w:p>
        </w:tc>
        <w:tc>
          <w:tcPr>
            <w:tcW w:w="1704" w:type="dxa"/>
            <w:vAlign w:val="center"/>
          </w:tcPr>
          <w:p w:rsidRPr="00997F1C" w:rsidR="003E5AEF" w:rsidP="003E5AEF" w:rsidRDefault="003E5AEF" w14:paraId="11D32053" w14:textId="214EE924">
            <w:pPr>
              <w:spacing w:line="240" w:lineRule="auto"/>
              <w:ind w:firstLine="0"/>
              <w:jc w:val="right"/>
              <w:rPr>
                <w:rFonts w:eastAsia="Times New Roman" w:cs="Calibri"/>
                <w:color w:val="000000" w:themeColor="text1"/>
                <w:szCs w:val="26"/>
              </w:rPr>
            </w:pPr>
            <w:r w:rsidRPr="00997F1C">
              <w:rPr>
                <w:rFonts w:cs="Calibri"/>
                <w:color w:val="000000" w:themeColor="text1"/>
                <w:szCs w:val="26"/>
              </w:rPr>
              <w:t>$</w:t>
            </w:r>
            <w:r w:rsidRPr="00997F1C" w:rsidR="001E7D46">
              <w:rPr>
                <w:rFonts w:cs="Calibri"/>
                <w:color w:val="000000" w:themeColor="text1"/>
                <w:szCs w:val="26"/>
              </w:rPr>
              <w:t>1,098,402</w:t>
            </w:r>
            <w:r w:rsidRPr="00997F1C">
              <w:rPr>
                <w:rFonts w:cs="Calibri"/>
                <w:color w:val="000000" w:themeColor="text1"/>
                <w:szCs w:val="26"/>
              </w:rPr>
              <w:t xml:space="preserve"> </w:t>
            </w:r>
          </w:p>
        </w:tc>
      </w:tr>
      <w:tr w:rsidRPr="00997F1C" w:rsidR="004215F8" w14:paraId="74D08569" w14:textId="77777777">
        <w:trPr>
          <w:trHeight w:val="348"/>
          <w:jc w:val="center"/>
        </w:trPr>
        <w:tc>
          <w:tcPr>
            <w:tcW w:w="7616" w:type="dxa"/>
            <w:hideMark/>
          </w:tcPr>
          <w:p w:rsidRPr="00997F1C" w:rsidR="003E5AEF" w:rsidP="003E5AEF" w:rsidRDefault="003E5AEF" w14:paraId="6E832AA3" w14:textId="77777777">
            <w:pPr>
              <w:spacing w:line="240" w:lineRule="auto"/>
              <w:ind w:firstLine="0"/>
              <w:rPr>
                <w:rFonts w:eastAsia="Times New Roman" w:cs="Calibri"/>
                <w:color w:val="000000" w:themeColor="text1"/>
                <w:szCs w:val="26"/>
              </w:rPr>
            </w:pPr>
            <w:r w:rsidRPr="00997F1C">
              <w:rPr>
                <w:color w:val="000000" w:themeColor="text1"/>
                <w:szCs w:val="26"/>
              </w:rPr>
              <w:t>Ongoing Competition Transition Charge (CTC)</w:t>
            </w:r>
          </w:p>
        </w:tc>
        <w:tc>
          <w:tcPr>
            <w:tcW w:w="1704" w:type="dxa"/>
            <w:vAlign w:val="center"/>
          </w:tcPr>
          <w:p w:rsidRPr="00997F1C" w:rsidR="003E5AEF" w:rsidP="003E5AEF" w:rsidRDefault="003E5AEF" w14:paraId="3907A1A2" w14:textId="77777777">
            <w:pPr>
              <w:spacing w:line="240" w:lineRule="auto"/>
              <w:ind w:firstLine="0"/>
              <w:jc w:val="right"/>
              <w:rPr>
                <w:rFonts w:eastAsia="Times New Roman" w:cs="Calibri"/>
                <w:color w:val="000000" w:themeColor="text1"/>
                <w:szCs w:val="26"/>
              </w:rPr>
            </w:pPr>
            <w:r w:rsidRPr="00997F1C">
              <w:rPr>
                <w:rFonts w:cs="Calibri"/>
                <w:color w:val="000000" w:themeColor="text1"/>
                <w:szCs w:val="26"/>
              </w:rPr>
              <w:t xml:space="preserve">$33,736 </w:t>
            </w:r>
          </w:p>
        </w:tc>
      </w:tr>
      <w:tr w:rsidRPr="00997F1C" w:rsidR="004215F8" w14:paraId="31C5D62E" w14:textId="77777777">
        <w:trPr>
          <w:trHeight w:val="348"/>
          <w:jc w:val="center"/>
        </w:trPr>
        <w:tc>
          <w:tcPr>
            <w:tcW w:w="7616" w:type="dxa"/>
            <w:hideMark/>
          </w:tcPr>
          <w:p w:rsidRPr="00997F1C" w:rsidR="003E5AEF" w:rsidP="003E5AEF" w:rsidRDefault="003E5AEF" w14:paraId="7E9B0ADF" w14:textId="77777777">
            <w:pPr>
              <w:spacing w:line="240" w:lineRule="auto"/>
              <w:ind w:firstLine="0"/>
              <w:rPr>
                <w:rFonts w:eastAsia="Times New Roman" w:cs="Calibri"/>
                <w:color w:val="000000" w:themeColor="text1"/>
                <w:szCs w:val="26"/>
              </w:rPr>
            </w:pPr>
            <w:r w:rsidRPr="00997F1C">
              <w:rPr>
                <w:color w:val="000000" w:themeColor="text1"/>
                <w:szCs w:val="26"/>
              </w:rPr>
              <w:t>Energy Resource Recovery Account (ERRA) – Main</w:t>
            </w:r>
          </w:p>
        </w:tc>
        <w:tc>
          <w:tcPr>
            <w:tcW w:w="1704" w:type="dxa"/>
          </w:tcPr>
          <w:p w:rsidRPr="00997F1C" w:rsidR="003E5AEF" w:rsidP="003E5AEF" w:rsidRDefault="003E5AEF" w14:paraId="1CFD056D" w14:textId="77777777">
            <w:pPr>
              <w:spacing w:line="240" w:lineRule="auto"/>
              <w:ind w:firstLine="0"/>
              <w:jc w:val="right"/>
              <w:rPr>
                <w:rFonts w:eastAsia="Times New Roman" w:cs="Calibri"/>
                <w:color w:val="000000" w:themeColor="text1"/>
                <w:szCs w:val="26"/>
              </w:rPr>
            </w:pPr>
            <w:r w:rsidRPr="00997F1C">
              <w:rPr>
                <w:color w:val="000000" w:themeColor="text1"/>
              </w:rPr>
              <w:t xml:space="preserve">$2,951,883 </w:t>
            </w:r>
          </w:p>
        </w:tc>
      </w:tr>
      <w:tr w:rsidRPr="00997F1C" w:rsidR="004215F8" w14:paraId="57920B6D" w14:textId="77777777">
        <w:trPr>
          <w:trHeight w:val="348"/>
          <w:jc w:val="center"/>
        </w:trPr>
        <w:tc>
          <w:tcPr>
            <w:tcW w:w="7616" w:type="dxa"/>
            <w:hideMark/>
          </w:tcPr>
          <w:p w:rsidRPr="00997F1C" w:rsidR="003E5AEF" w:rsidP="003E5AEF" w:rsidRDefault="003E5AEF" w14:paraId="0DB6634D" w14:textId="77777777">
            <w:pPr>
              <w:spacing w:line="240" w:lineRule="auto"/>
              <w:ind w:firstLine="0"/>
              <w:rPr>
                <w:rFonts w:eastAsia="Times New Roman" w:cs="Calibri"/>
                <w:color w:val="000000" w:themeColor="text1"/>
                <w:szCs w:val="26"/>
              </w:rPr>
            </w:pPr>
            <w:r w:rsidRPr="00997F1C">
              <w:rPr>
                <w:color w:val="000000" w:themeColor="text1"/>
                <w:szCs w:val="26"/>
              </w:rPr>
              <w:t>Public Policy Charge Procurement</w:t>
            </w:r>
          </w:p>
        </w:tc>
        <w:tc>
          <w:tcPr>
            <w:tcW w:w="1704" w:type="dxa"/>
          </w:tcPr>
          <w:p w:rsidRPr="00997F1C" w:rsidR="003E5AEF" w:rsidP="003E5AEF" w:rsidRDefault="003E5AEF" w14:paraId="290C4A7B" w14:textId="77777777">
            <w:pPr>
              <w:spacing w:line="240" w:lineRule="auto"/>
              <w:ind w:firstLine="0"/>
              <w:jc w:val="right"/>
              <w:rPr>
                <w:rFonts w:eastAsia="Times New Roman" w:cs="Calibri"/>
                <w:color w:val="000000" w:themeColor="text1"/>
                <w:szCs w:val="26"/>
              </w:rPr>
            </w:pPr>
            <w:r w:rsidRPr="00997F1C">
              <w:rPr>
                <w:color w:val="000000" w:themeColor="text1"/>
              </w:rPr>
              <w:t>($1,723)</w:t>
            </w:r>
          </w:p>
        </w:tc>
      </w:tr>
      <w:tr w:rsidRPr="00997F1C" w:rsidR="004215F8" w14:paraId="38FCBC12" w14:textId="77777777">
        <w:trPr>
          <w:trHeight w:val="348"/>
          <w:jc w:val="center"/>
        </w:trPr>
        <w:tc>
          <w:tcPr>
            <w:tcW w:w="7616" w:type="dxa"/>
            <w:hideMark/>
          </w:tcPr>
          <w:p w:rsidRPr="00997F1C" w:rsidR="003E5AEF" w:rsidP="003E5AEF" w:rsidRDefault="003E5AEF" w14:paraId="18CD3E06" w14:textId="77777777">
            <w:pPr>
              <w:spacing w:line="240" w:lineRule="auto"/>
              <w:ind w:firstLine="0"/>
              <w:rPr>
                <w:rFonts w:eastAsia="Times New Roman" w:cs="Calibri"/>
                <w:color w:val="000000" w:themeColor="text1"/>
                <w:szCs w:val="26"/>
              </w:rPr>
            </w:pPr>
            <w:r w:rsidRPr="00997F1C">
              <w:rPr>
                <w:color w:val="000000" w:themeColor="text1"/>
                <w:szCs w:val="26"/>
              </w:rPr>
              <w:t>Tree Mortality Non-</w:t>
            </w:r>
            <w:proofErr w:type="spellStart"/>
            <w:proofErr w:type="gramStart"/>
            <w:r w:rsidRPr="00997F1C">
              <w:rPr>
                <w:color w:val="000000" w:themeColor="text1"/>
                <w:szCs w:val="26"/>
              </w:rPr>
              <w:t>bypassable</w:t>
            </w:r>
            <w:proofErr w:type="spellEnd"/>
            <w:proofErr w:type="gramEnd"/>
            <w:r w:rsidRPr="00997F1C">
              <w:rPr>
                <w:color w:val="000000" w:themeColor="text1"/>
                <w:szCs w:val="26"/>
              </w:rPr>
              <w:t xml:space="preserve"> Charge</w:t>
            </w:r>
          </w:p>
        </w:tc>
        <w:tc>
          <w:tcPr>
            <w:tcW w:w="1704" w:type="dxa"/>
          </w:tcPr>
          <w:p w:rsidRPr="00997F1C" w:rsidR="003E5AEF" w:rsidP="003E5AEF" w:rsidRDefault="003E5AEF" w14:paraId="14D13576" w14:textId="77777777">
            <w:pPr>
              <w:spacing w:line="240" w:lineRule="auto"/>
              <w:ind w:firstLine="0"/>
              <w:jc w:val="right"/>
              <w:rPr>
                <w:rFonts w:eastAsia="Times New Roman" w:cs="Calibri"/>
                <w:color w:val="000000" w:themeColor="text1"/>
                <w:szCs w:val="26"/>
              </w:rPr>
            </w:pPr>
            <w:r w:rsidRPr="00997F1C">
              <w:rPr>
                <w:color w:val="000000" w:themeColor="text1"/>
              </w:rPr>
              <w:t xml:space="preserve">$41,579 </w:t>
            </w:r>
          </w:p>
        </w:tc>
      </w:tr>
      <w:tr w:rsidRPr="00997F1C" w:rsidR="004215F8" w14:paraId="54A08F3B" w14:textId="77777777">
        <w:trPr>
          <w:trHeight w:val="348"/>
          <w:jc w:val="center"/>
        </w:trPr>
        <w:tc>
          <w:tcPr>
            <w:tcW w:w="7616" w:type="dxa"/>
            <w:hideMark/>
          </w:tcPr>
          <w:p w:rsidRPr="00997F1C" w:rsidR="003E5AEF" w:rsidP="003E5AEF" w:rsidRDefault="003E5AEF" w14:paraId="52C7CDF6" w14:textId="77777777">
            <w:pPr>
              <w:spacing w:line="240" w:lineRule="auto"/>
              <w:ind w:firstLine="0"/>
              <w:rPr>
                <w:rFonts w:eastAsia="Times New Roman" w:cs="Calibri"/>
                <w:color w:val="000000" w:themeColor="text1"/>
                <w:szCs w:val="26"/>
              </w:rPr>
            </w:pPr>
            <w:r w:rsidRPr="00997F1C">
              <w:rPr>
                <w:color w:val="000000" w:themeColor="text1"/>
                <w:szCs w:val="26"/>
              </w:rPr>
              <w:t>Bioenergy Market Adjusting Tariff</w:t>
            </w:r>
          </w:p>
        </w:tc>
        <w:tc>
          <w:tcPr>
            <w:tcW w:w="1704" w:type="dxa"/>
          </w:tcPr>
          <w:p w:rsidRPr="00997F1C" w:rsidR="003E5AEF" w:rsidP="003E5AEF" w:rsidRDefault="003E5AEF" w14:paraId="563544E3" w14:textId="77777777">
            <w:pPr>
              <w:spacing w:line="240" w:lineRule="auto"/>
              <w:ind w:firstLine="0"/>
              <w:jc w:val="right"/>
              <w:rPr>
                <w:rFonts w:eastAsia="Times New Roman" w:cs="Calibri"/>
                <w:color w:val="000000" w:themeColor="text1"/>
                <w:szCs w:val="26"/>
              </w:rPr>
            </w:pPr>
            <w:r w:rsidRPr="00997F1C">
              <w:rPr>
                <w:color w:val="000000" w:themeColor="text1"/>
              </w:rPr>
              <w:t xml:space="preserve">$13,763 </w:t>
            </w:r>
          </w:p>
        </w:tc>
      </w:tr>
      <w:tr w:rsidRPr="00997F1C" w:rsidR="004215F8" w14:paraId="26AE2ED0" w14:textId="77777777">
        <w:trPr>
          <w:trHeight w:val="348"/>
          <w:jc w:val="center"/>
        </w:trPr>
        <w:tc>
          <w:tcPr>
            <w:tcW w:w="7616" w:type="dxa"/>
            <w:vAlign w:val="center"/>
            <w:hideMark/>
          </w:tcPr>
          <w:p w:rsidRPr="00997F1C" w:rsidR="003E5AEF" w:rsidP="003E5AEF" w:rsidRDefault="003E5AEF" w14:paraId="2EA3B150" w14:textId="77777777">
            <w:pPr>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Gross Revenue Requirement</w:t>
            </w:r>
          </w:p>
        </w:tc>
        <w:tc>
          <w:tcPr>
            <w:tcW w:w="1704" w:type="dxa"/>
          </w:tcPr>
          <w:p w:rsidRPr="00997F1C" w:rsidR="003E5AEF" w:rsidP="003E5AEF" w:rsidRDefault="003E5AEF" w14:paraId="58D60C99" w14:textId="6B52BBFA">
            <w:pPr>
              <w:spacing w:line="240" w:lineRule="auto"/>
              <w:ind w:firstLine="0"/>
              <w:jc w:val="right"/>
              <w:rPr>
                <w:rFonts w:eastAsia="Times New Roman" w:cs="Calibri"/>
                <w:color w:val="000000" w:themeColor="text1"/>
                <w:szCs w:val="26"/>
              </w:rPr>
            </w:pPr>
            <w:r w:rsidRPr="00997F1C">
              <w:rPr>
                <w:color w:val="000000" w:themeColor="text1"/>
              </w:rPr>
              <w:t>$</w:t>
            </w:r>
            <w:r w:rsidRPr="00997F1C" w:rsidR="00634B08">
              <w:rPr>
                <w:rFonts w:cs="Calibri"/>
                <w:b/>
                <w:bCs/>
                <w:color w:val="000000" w:themeColor="text1"/>
                <w:szCs w:val="26"/>
              </w:rPr>
              <w:t>4,511,083</w:t>
            </w:r>
          </w:p>
        </w:tc>
      </w:tr>
    </w:tbl>
    <w:p w:rsidRPr="00997F1C" w:rsidR="004C3703" w:rsidP="009F5B6F" w:rsidRDefault="004C3703" w14:paraId="75542F7A" w14:textId="380B8C51">
      <w:pPr>
        <w:pStyle w:val="CoL"/>
        <w:spacing w:before="120"/>
        <w:rPr>
          <w:color w:val="000000" w:themeColor="text1"/>
        </w:rPr>
      </w:pPr>
      <w:r w:rsidRPr="00997F1C">
        <w:rPr>
          <w:color w:val="000000" w:themeColor="text1"/>
        </w:rPr>
        <w:t xml:space="preserve">It </w:t>
      </w:r>
      <w:r w:rsidRPr="00997F1C" w:rsidR="0069351D">
        <w:rPr>
          <w:color w:val="000000" w:themeColor="text1"/>
        </w:rPr>
        <w:t xml:space="preserve">is reasonable to </w:t>
      </w:r>
      <w:r w:rsidRPr="00997F1C" w:rsidR="00662EA2">
        <w:rPr>
          <w:color w:val="000000" w:themeColor="text1"/>
        </w:rPr>
        <w:t>authorize PG&amp;E to amortize a $700,000,000 overcollection</w:t>
      </w:r>
      <w:r w:rsidRPr="00997F1C" w:rsidR="006A6CAC">
        <w:rPr>
          <w:color w:val="000000" w:themeColor="text1"/>
        </w:rPr>
        <w:t xml:space="preserve"> </w:t>
      </w:r>
      <w:r w:rsidRPr="00997F1C" w:rsidR="00662EA2">
        <w:rPr>
          <w:color w:val="000000" w:themeColor="text1"/>
        </w:rPr>
        <w:t>of its ERRA</w:t>
      </w:r>
      <w:r w:rsidR="00746B6A">
        <w:rPr>
          <w:color w:val="000000" w:themeColor="text1"/>
          <w:szCs w:val="26"/>
        </w:rPr>
        <w:t xml:space="preserve"> Trigger balance</w:t>
      </w:r>
      <w:r w:rsidRPr="00997F1C" w:rsidR="00662EA2">
        <w:rPr>
          <w:color w:val="000000" w:themeColor="text1"/>
        </w:rPr>
        <w:t xml:space="preserve"> in the annual electric true-up advice letter</w:t>
      </w:r>
      <w:r w:rsidRPr="00997F1C" w:rsidR="006A6CAC">
        <w:rPr>
          <w:color w:val="000000" w:themeColor="text1"/>
        </w:rPr>
        <w:t xml:space="preserve">, subject to submission of a </w:t>
      </w:r>
      <w:r w:rsidRPr="00997F1C" w:rsidR="00662EA2">
        <w:rPr>
          <w:color w:val="000000" w:themeColor="text1"/>
        </w:rPr>
        <w:t>Tier 1 advice letter that documents the</w:t>
      </w:r>
      <w:r w:rsidRPr="00997F1C" w:rsidR="006A6CAC">
        <w:rPr>
          <w:color w:val="000000" w:themeColor="text1"/>
        </w:rPr>
        <w:t xml:space="preserve"> associated</w:t>
      </w:r>
      <w:r w:rsidRPr="00997F1C" w:rsidR="00662EA2">
        <w:rPr>
          <w:color w:val="000000" w:themeColor="text1"/>
        </w:rPr>
        <w:t xml:space="preserve"> rate changes</w:t>
      </w:r>
      <w:r w:rsidRPr="00997F1C" w:rsidR="00D16123">
        <w:rPr>
          <w:color w:val="000000" w:themeColor="text1"/>
        </w:rPr>
        <w:t>.</w:t>
      </w:r>
    </w:p>
    <w:p w:rsidRPr="00997F1C" w:rsidR="00D00B0B" w:rsidP="006A6CAC" w:rsidRDefault="00D00B0B" w14:paraId="7770353A" w14:textId="24177806">
      <w:pPr>
        <w:pStyle w:val="CoL"/>
        <w:rPr>
          <w:color w:val="000000" w:themeColor="text1"/>
        </w:rPr>
      </w:pPr>
      <w:r w:rsidRPr="00997F1C">
        <w:rPr>
          <w:color w:val="000000" w:themeColor="text1"/>
        </w:rPr>
        <w:t xml:space="preserve">It is reasonable to update PG&amp;E’s </w:t>
      </w:r>
      <w:r w:rsidRPr="00997F1C" w:rsidR="00D517A2">
        <w:rPr>
          <w:color w:val="000000" w:themeColor="text1"/>
        </w:rPr>
        <w:t>Slice</w:t>
      </w:r>
      <w:r w:rsidR="00D517A2">
        <w:rPr>
          <w:color w:val="000000" w:themeColor="text1"/>
        </w:rPr>
        <w:t>-</w:t>
      </w:r>
      <w:r w:rsidRPr="00997F1C" w:rsidR="00D517A2">
        <w:rPr>
          <w:color w:val="000000" w:themeColor="text1"/>
        </w:rPr>
        <w:t>of</w:t>
      </w:r>
      <w:r w:rsidR="00D517A2">
        <w:rPr>
          <w:color w:val="000000" w:themeColor="text1"/>
        </w:rPr>
        <w:t>-</w:t>
      </w:r>
      <w:r w:rsidRPr="00997F1C">
        <w:rPr>
          <w:color w:val="000000" w:themeColor="text1"/>
        </w:rPr>
        <w:t>Day methodology on an interim basis.</w:t>
      </w:r>
    </w:p>
    <w:p w:rsidRPr="00997F1C" w:rsidR="003E5AEF" w:rsidP="006A6CAC" w:rsidRDefault="003E5AEF" w14:paraId="0346A441" w14:textId="5690433C">
      <w:pPr>
        <w:pStyle w:val="CoL"/>
        <w:rPr>
          <w:color w:val="000000" w:themeColor="text1"/>
        </w:rPr>
      </w:pPr>
      <w:r w:rsidRPr="00997F1C">
        <w:rPr>
          <w:color w:val="000000" w:themeColor="text1"/>
        </w:rPr>
        <w:t>It is reasonable to adopt PG&amp;E’s forecasted energy load requirement of 27,101 GWh for 2026, calculated as the residual of the total system sales forecast (77,873 GWh), forecasted departing load (-49,777 GWh) and unaccounted for energy/losses (2,451 GWh).</w:t>
      </w:r>
    </w:p>
    <w:p w:rsidRPr="00997F1C" w:rsidR="003E5AEF" w:rsidP="00D737A5" w:rsidRDefault="003E5AEF" w14:paraId="4817F80D" w14:textId="77777777">
      <w:pPr>
        <w:numPr>
          <w:ilvl w:val="0"/>
          <w:numId w:val="3"/>
        </w:numPr>
        <w:ind w:firstLine="547"/>
        <w:rPr>
          <w:color w:val="000000" w:themeColor="text1"/>
        </w:rPr>
      </w:pPr>
      <w:r w:rsidRPr="00997F1C">
        <w:rPr>
          <w:color w:val="000000" w:themeColor="text1"/>
        </w:rPr>
        <w:t>It is reasonable to adopt PG&amp;E’s forecast of:</w:t>
      </w:r>
    </w:p>
    <w:p w:rsidRPr="00997F1C" w:rsidR="003E5AEF" w:rsidP="00D737A5" w:rsidRDefault="003E5AEF" w14:paraId="5A93EB88" w14:textId="4AFA8486">
      <w:pPr>
        <w:numPr>
          <w:ilvl w:val="1"/>
          <w:numId w:val="3"/>
        </w:numPr>
        <w:spacing w:after="120" w:line="240" w:lineRule="auto"/>
        <w:ind w:left="1080" w:right="1440" w:hanging="360"/>
        <w:rPr>
          <w:color w:val="000000" w:themeColor="text1"/>
        </w:rPr>
      </w:pPr>
      <w:r w:rsidRPr="00997F1C">
        <w:rPr>
          <w:color w:val="000000" w:themeColor="text1"/>
        </w:rPr>
        <w:t>GHG administrative and outreach expenses of $</w:t>
      </w:r>
      <w:r w:rsidRPr="00997F1C" w:rsidR="00BE5876">
        <w:rPr>
          <w:color w:val="000000" w:themeColor="text1"/>
        </w:rPr>
        <w:t>925</w:t>
      </w:r>
      <w:r w:rsidRPr="00997F1C">
        <w:rPr>
          <w:color w:val="000000" w:themeColor="text1"/>
        </w:rPr>
        <w:t>,000 for 2026.</w:t>
      </w:r>
    </w:p>
    <w:p w:rsidRPr="00997F1C" w:rsidR="003E5AEF" w:rsidP="00D737A5" w:rsidRDefault="003E5AEF" w14:paraId="77BFA4F5" w14:textId="07BADB7B">
      <w:pPr>
        <w:numPr>
          <w:ilvl w:val="1"/>
          <w:numId w:val="3"/>
        </w:numPr>
        <w:spacing w:after="120" w:line="240" w:lineRule="auto"/>
        <w:ind w:left="1080" w:right="1440" w:hanging="360"/>
        <w:rPr>
          <w:color w:val="000000" w:themeColor="text1"/>
        </w:rPr>
      </w:pPr>
      <w:r w:rsidRPr="00997F1C">
        <w:rPr>
          <w:color w:val="000000" w:themeColor="text1"/>
        </w:rPr>
        <w:lastRenderedPageBreak/>
        <w:t xml:space="preserve">Clean energy and energy efficiency programs </w:t>
      </w:r>
      <w:proofErr w:type="gramStart"/>
      <w:r w:rsidRPr="00997F1C">
        <w:rPr>
          <w:color w:val="000000" w:themeColor="text1"/>
        </w:rPr>
        <w:t>totaling</w:t>
      </w:r>
      <w:proofErr w:type="gramEnd"/>
      <w:r w:rsidRPr="00997F1C">
        <w:rPr>
          <w:color w:val="000000" w:themeColor="text1"/>
        </w:rPr>
        <w:t xml:space="preserve"> $38,303,000 for 2025.  This includes: (1) $34,626,000 for the PG&amp;E’s SOMAH program, including true-ups; (2) $4,370,000 for the PG&amp;E’s DAC-SASH program; (3) $5,664,000 for PG&amp;E’s DAC-GT CS-GT programs, including true-ups; (4) $9,667,000 for CCA DAC-GT and CS-GT programs, including true-ups; (5) $34,000 for CCA Disbursement Reconciliation to PG&amp;E; and (6) -$16,059,000 in funding from public purpose programs.</w:t>
      </w:r>
      <w:r w:rsidRPr="00997F1C">
        <w:rPr>
          <w:color w:val="000000" w:themeColor="text1"/>
        </w:rPr>
        <w:tab/>
      </w:r>
    </w:p>
    <w:p w:rsidRPr="00997F1C" w:rsidR="003E5AEF" w:rsidP="00D737A5" w:rsidRDefault="003E5AEF" w14:paraId="0E284211" w14:textId="2682A626">
      <w:pPr>
        <w:numPr>
          <w:ilvl w:val="1"/>
          <w:numId w:val="3"/>
        </w:numPr>
        <w:spacing w:after="120" w:line="240" w:lineRule="auto"/>
        <w:ind w:left="1080" w:right="1440" w:hanging="360"/>
        <w:rPr>
          <w:color w:val="000000" w:themeColor="text1"/>
        </w:rPr>
      </w:pPr>
      <w:r w:rsidRPr="00997F1C">
        <w:rPr>
          <w:color w:val="000000" w:themeColor="text1"/>
        </w:rPr>
        <w:t xml:space="preserve">Net GHG </w:t>
      </w:r>
      <w:r w:rsidRPr="00997F1C" w:rsidR="004F0DA9">
        <w:rPr>
          <w:color w:val="000000" w:themeColor="text1"/>
        </w:rPr>
        <w:t xml:space="preserve">allowance auction </w:t>
      </w:r>
      <w:proofErr w:type="gramStart"/>
      <w:r w:rsidRPr="00997F1C" w:rsidR="004F0DA9">
        <w:rPr>
          <w:color w:val="000000" w:themeColor="text1"/>
        </w:rPr>
        <w:t>proceeds</w:t>
      </w:r>
      <w:proofErr w:type="gramEnd"/>
      <w:r w:rsidRPr="00997F1C">
        <w:rPr>
          <w:color w:val="000000" w:themeColor="text1"/>
        </w:rPr>
        <w:t xml:space="preserve"> return of $475,276,000 for 2026.</w:t>
      </w:r>
    </w:p>
    <w:p w:rsidRPr="00997F1C" w:rsidR="003E5AEF" w:rsidP="00D737A5" w:rsidRDefault="003E5AEF" w14:paraId="397B51C7" w14:textId="600264F9">
      <w:pPr>
        <w:numPr>
          <w:ilvl w:val="1"/>
          <w:numId w:val="3"/>
        </w:numPr>
        <w:spacing w:after="120" w:line="240" w:lineRule="auto"/>
        <w:ind w:left="1080" w:right="1440" w:hanging="360"/>
        <w:rPr>
          <w:color w:val="000000" w:themeColor="text1"/>
        </w:rPr>
      </w:pPr>
      <w:r w:rsidRPr="00997F1C">
        <w:rPr>
          <w:color w:val="000000" w:themeColor="text1"/>
        </w:rPr>
        <w:t>A semi-annual California Climate Credit value of $</w:t>
      </w:r>
      <w:r w:rsidRPr="00997F1C" w:rsidR="00A23D5A">
        <w:rPr>
          <w:color w:val="000000" w:themeColor="text1"/>
        </w:rPr>
        <w:t>36.18</w:t>
      </w:r>
      <w:r w:rsidRPr="00997F1C">
        <w:rPr>
          <w:color w:val="000000" w:themeColor="text1"/>
        </w:rPr>
        <w:t xml:space="preserve"> for 2026.</w:t>
      </w:r>
    </w:p>
    <w:p w:rsidRPr="00997F1C" w:rsidR="003E5AEF" w:rsidP="00D737A5" w:rsidRDefault="003E5AEF" w14:paraId="4AFD23B2" w14:textId="7D2CB693">
      <w:pPr>
        <w:numPr>
          <w:ilvl w:val="0"/>
          <w:numId w:val="3"/>
        </w:numPr>
        <w:ind w:firstLine="547"/>
        <w:rPr>
          <w:color w:val="000000" w:themeColor="text1"/>
        </w:rPr>
      </w:pPr>
      <w:r w:rsidRPr="00997F1C">
        <w:rPr>
          <w:color w:val="000000" w:themeColor="text1"/>
        </w:rPr>
        <w:t>It is reasonable to adopt PG&amp;E’s 2024 recorded GHG administrative and customer outreach costs of $</w:t>
      </w:r>
      <w:r w:rsidRPr="00997F1C" w:rsidR="00862E50">
        <w:rPr>
          <w:color w:val="000000" w:themeColor="text1"/>
        </w:rPr>
        <w:t>708</w:t>
      </w:r>
      <w:r w:rsidRPr="00997F1C">
        <w:rPr>
          <w:color w:val="000000" w:themeColor="text1"/>
        </w:rPr>
        <w:t>,000.</w:t>
      </w:r>
    </w:p>
    <w:p w:rsidRPr="00997F1C" w:rsidR="003E5AEF" w:rsidP="00D737A5" w:rsidRDefault="003E5AEF" w14:paraId="6C4F4CC9" w14:textId="77777777">
      <w:pPr>
        <w:numPr>
          <w:ilvl w:val="0"/>
          <w:numId w:val="3"/>
        </w:numPr>
        <w:ind w:firstLine="547"/>
        <w:rPr>
          <w:color w:val="000000" w:themeColor="text1"/>
        </w:rPr>
      </w:pPr>
      <w:r w:rsidRPr="00997F1C">
        <w:rPr>
          <w:color w:val="000000" w:themeColor="text1"/>
        </w:rPr>
        <w:t>It is reasonable to adopt PG&amp;E’s rate design proposals and revenue allocation proposals as detailed in Section 9 of this decision.</w:t>
      </w:r>
    </w:p>
    <w:p w:rsidR="00B41F1F" w:rsidP="00D737A5" w:rsidRDefault="00B41F1F" w14:paraId="56F91793" w14:textId="5836AED4">
      <w:pPr>
        <w:numPr>
          <w:ilvl w:val="0"/>
          <w:numId w:val="3"/>
        </w:numPr>
        <w:ind w:firstLine="547"/>
        <w:rPr>
          <w:color w:val="000000" w:themeColor="text1"/>
        </w:rPr>
      </w:pPr>
      <w:r w:rsidRPr="00997F1C">
        <w:rPr>
          <w:color w:val="000000" w:themeColor="text1"/>
        </w:rPr>
        <w:t>It is reasonable to allow PG&amp;E to amortize the ERRA-Main overcollection in the annual electric true-up advice letter.</w:t>
      </w:r>
    </w:p>
    <w:p w:rsidRPr="00FB531D" w:rsidR="0065331B" w:rsidP="0065331B" w:rsidRDefault="0065331B" w14:paraId="35D0D650" w14:textId="0221390E">
      <w:pPr>
        <w:pStyle w:val="CoL"/>
      </w:pPr>
      <w:r>
        <w:t>It is reasonable to grant PG&amp;E</w:t>
      </w:r>
      <w:r w:rsidRPr="00FB531D">
        <w:t xml:space="preserve">’s November </w:t>
      </w:r>
      <w:r>
        <w:t>3</w:t>
      </w:r>
      <w:r w:rsidRPr="00FB531D">
        <w:t xml:space="preserve">, </w:t>
      </w:r>
      <w:proofErr w:type="gramStart"/>
      <w:r w:rsidRPr="00FB531D">
        <w:t>202</w:t>
      </w:r>
      <w:r>
        <w:t>5</w:t>
      </w:r>
      <w:proofErr w:type="gramEnd"/>
      <w:r w:rsidRPr="00FB531D">
        <w:t xml:space="preserve"> </w:t>
      </w:r>
      <w:r w:rsidRPr="004D2DD1">
        <w:t>Motion for Leave to File the Confidential Version of its Reply Brief Under Seal</w:t>
      </w:r>
      <w:r>
        <w:t>.</w:t>
      </w:r>
    </w:p>
    <w:p w:rsidRPr="0065331B" w:rsidR="0065331B" w:rsidP="00BA3B05" w:rsidRDefault="0065331B" w14:paraId="1023B492" w14:textId="55F7213F">
      <w:pPr>
        <w:pStyle w:val="CoL"/>
        <w:rPr>
          <w:color w:val="000000" w:themeColor="text1"/>
        </w:rPr>
      </w:pPr>
      <w:r>
        <w:t xml:space="preserve">It is reasonable to grant </w:t>
      </w:r>
      <w:proofErr w:type="spellStart"/>
      <w:r w:rsidRPr="00FB531D">
        <w:t>CalCCA’s</w:t>
      </w:r>
      <w:proofErr w:type="spellEnd"/>
      <w:r w:rsidRPr="00FB531D">
        <w:t xml:space="preserve"> </w:t>
      </w:r>
      <w:r w:rsidRPr="000569DD">
        <w:t xml:space="preserve">November 10, </w:t>
      </w:r>
      <w:proofErr w:type="gramStart"/>
      <w:r w:rsidRPr="000569DD">
        <w:t>2025</w:t>
      </w:r>
      <w:proofErr w:type="gramEnd"/>
      <w:r w:rsidRPr="000569DD">
        <w:t xml:space="preserve"> Motion to File Confidential Version of Comments Under Seal</w:t>
      </w:r>
      <w:r>
        <w:t>.</w:t>
      </w:r>
      <w:r w:rsidRPr="00FB531D">
        <w:t xml:space="preserve"> </w:t>
      </w:r>
    </w:p>
    <w:p w:rsidRPr="00997F1C" w:rsidR="003E5AEF" w:rsidP="003E5AEF" w:rsidRDefault="003E5AEF" w14:paraId="3941B527" w14:textId="77777777">
      <w:pPr>
        <w:keepNext/>
        <w:spacing w:before="180"/>
        <w:ind w:firstLine="0"/>
        <w:jc w:val="center"/>
        <w:outlineLvl w:val="0"/>
        <w:rPr>
          <w:rFonts w:ascii="Arial" w:hAnsi="Arial" w:eastAsiaTheme="majorEastAsia" w:cstheme="majorBidi"/>
          <w:b/>
          <w:caps/>
          <w:color w:val="000000" w:themeColor="text1"/>
          <w:spacing w:val="120"/>
          <w:szCs w:val="56"/>
        </w:rPr>
      </w:pPr>
      <w:bookmarkStart w:name="_Toc212561212" w:id="331"/>
      <w:bookmarkStart w:name="_Toc217384685" w:id="332"/>
      <w:r w:rsidRPr="00997F1C">
        <w:rPr>
          <w:rFonts w:ascii="Arial" w:hAnsi="Arial" w:eastAsiaTheme="majorEastAsia" w:cstheme="majorBidi"/>
          <w:b/>
          <w:caps/>
          <w:color w:val="000000" w:themeColor="text1"/>
          <w:spacing w:val="120"/>
          <w:szCs w:val="56"/>
        </w:rPr>
        <w:t>ORDER</w:t>
      </w:r>
      <w:bookmarkEnd w:id="331"/>
      <w:bookmarkEnd w:id="332"/>
    </w:p>
    <w:p w:rsidRPr="00997F1C" w:rsidR="003E5AEF" w:rsidP="003E5AEF" w:rsidRDefault="003E5AEF" w14:paraId="28CF7602" w14:textId="77777777">
      <w:pPr>
        <w:rPr>
          <w:color w:val="000000" w:themeColor="text1"/>
        </w:rPr>
      </w:pPr>
      <w:r w:rsidRPr="00997F1C">
        <w:rPr>
          <w:color w:val="000000" w:themeColor="text1"/>
        </w:rPr>
        <w:t>IT IS ORDERED that:</w:t>
      </w:r>
    </w:p>
    <w:p w:rsidRPr="00997F1C" w:rsidR="003E5AEF" w:rsidP="00D737A5" w:rsidRDefault="003E5AEF" w14:paraId="39EEE03A" w14:textId="466D5539">
      <w:pPr>
        <w:numPr>
          <w:ilvl w:val="0"/>
          <w:numId w:val="4"/>
        </w:numPr>
        <w:rPr>
          <w:color w:val="000000" w:themeColor="text1"/>
        </w:rPr>
      </w:pPr>
      <w:r w:rsidRPr="00997F1C">
        <w:rPr>
          <w:color w:val="000000" w:themeColor="text1"/>
        </w:rPr>
        <w:t xml:space="preserve">Within 30 days of this decision’s issuance date, Pacific Gas and Electric Company shall file a Tier 1 </w:t>
      </w:r>
      <w:r w:rsidRPr="00997F1C" w:rsidR="00A5195C">
        <w:rPr>
          <w:color w:val="000000" w:themeColor="text1"/>
        </w:rPr>
        <w:t>A</w:t>
      </w:r>
      <w:r w:rsidRPr="00997F1C">
        <w:rPr>
          <w:color w:val="000000" w:themeColor="text1"/>
        </w:rPr>
        <w:t xml:space="preserve">dvice </w:t>
      </w:r>
      <w:r w:rsidRPr="00997F1C" w:rsidR="00A5195C">
        <w:rPr>
          <w:color w:val="000000" w:themeColor="text1"/>
        </w:rPr>
        <w:t>L</w:t>
      </w:r>
      <w:r w:rsidRPr="00997F1C">
        <w:rPr>
          <w:color w:val="000000" w:themeColor="text1"/>
        </w:rPr>
        <w:t xml:space="preserve">etter with tariffs to implement the rates authorized by this decision, effective on the date of the filing of the </w:t>
      </w:r>
      <w:r w:rsidRPr="00997F1C" w:rsidR="00A5195C">
        <w:rPr>
          <w:color w:val="000000" w:themeColor="text1"/>
        </w:rPr>
        <w:t>A</w:t>
      </w:r>
      <w:r w:rsidRPr="00997F1C">
        <w:rPr>
          <w:color w:val="000000" w:themeColor="text1"/>
        </w:rPr>
        <w:t xml:space="preserve">dvice </w:t>
      </w:r>
      <w:r w:rsidRPr="00997F1C" w:rsidR="00A5195C">
        <w:rPr>
          <w:color w:val="000000" w:themeColor="text1"/>
        </w:rPr>
        <w:t>L</w:t>
      </w:r>
      <w:r w:rsidRPr="00997F1C">
        <w:rPr>
          <w:color w:val="000000" w:themeColor="text1"/>
        </w:rPr>
        <w:t xml:space="preserve">etter. </w:t>
      </w:r>
    </w:p>
    <w:p w:rsidRPr="00DE75AA" w:rsidR="00B64FCC" w:rsidP="00D737A5" w:rsidRDefault="00DE75AA" w14:paraId="4C006155" w14:textId="569E0E27">
      <w:pPr>
        <w:pStyle w:val="OP"/>
        <w:rPr>
          <w:color w:val="000000" w:themeColor="text1"/>
        </w:rPr>
      </w:pPr>
      <w:r>
        <w:lastRenderedPageBreak/>
        <w:t xml:space="preserve">Pacific Gas and Electric Company shall provide a narrative describing all reasons for the increase in the Cost Allocation Mechanism/New System Generation Charge in its next ERRA compliance filing.   </w:t>
      </w:r>
    </w:p>
    <w:p w:rsidRPr="00997F1C" w:rsidR="00DB34BD" w:rsidP="00D737A5" w:rsidRDefault="00DB34BD" w14:paraId="6AEF4137" w14:textId="7D8AAC49">
      <w:pPr>
        <w:numPr>
          <w:ilvl w:val="0"/>
          <w:numId w:val="4"/>
        </w:numPr>
        <w:rPr>
          <w:color w:val="000000" w:themeColor="text1"/>
        </w:rPr>
      </w:pPr>
      <w:r w:rsidRPr="00997F1C">
        <w:rPr>
          <w:color w:val="000000" w:themeColor="text1"/>
        </w:rPr>
        <w:t>Within 30 days of this decision’s issuance date, Pacific Gas and Electric Company</w:t>
      </w:r>
      <w:r w:rsidRPr="00997F1C" w:rsidR="005B47E9">
        <w:rPr>
          <w:color w:val="000000" w:themeColor="text1"/>
        </w:rPr>
        <w:t xml:space="preserve"> </w:t>
      </w:r>
      <w:r w:rsidRPr="00997F1C">
        <w:rPr>
          <w:color w:val="000000" w:themeColor="text1"/>
        </w:rPr>
        <w:t xml:space="preserve">shall file </w:t>
      </w:r>
      <w:r w:rsidRPr="00997F1C" w:rsidR="000C3415">
        <w:rPr>
          <w:color w:val="000000" w:themeColor="text1"/>
        </w:rPr>
        <w:t>an information-only</w:t>
      </w:r>
      <w:r w:rsidRPr="00997F1C">
        <w:rPr>
          <w:color w:val="000000" w:themeColor="text1"/>
        </w:rPr>
        <w:t xml:space="preserve"> Advice Letter with </w:t>
      </w:r>
      <w:r w:rsidRPr="00997F1C" w:rsidR="0090420B">
        <w:rPr>
          <w:color w:val="000000" w:themeColor="text1"/>
        </w:rPr>
        <w:t xml:space="preserve">updated rate impacts associated with the approval of Application </w:t>
      </w:r>
      <w:r w:rsidRPr="00997F1C" w:rsidR="0090420B">
        <w:rPr>
          <w:rFonts w:cs="Arial"/>
          <w:color w:val="000000" w:themeColor="text1"/>
          <w:szCs w:val="26"/>
        </w:rPr>
        <w:t>25-09-015</w:t>
      </w:r>
      <w:r w:rsidRPr="00997F1C" w:rsidR="001D705B">
        <w:rPr>
          <w:rFonts w:cs="Arial"/>
          <w:color w:val="000000" w:themeColor="text1"/>
          <w:szCs w:val="26"/>
        </w:rPr>
        <w:t xml:space="preserve">, as described in </w:t>
      </w:r>
      <w:r w:rsidRPr="00997F1C" w:rsidR="00EF7197">
        <w:rPr>
          <w:rFonts w:cs="Arial"/>
          <w:color w:val="000000" w:themeColor="text1"/>
          <w:szCs w:val="26"/>
        </w:rPr>
        <w:t xml:space="preserve">Section </w:t>
      </w:r>
      <w:r w:rsidRPr="00997F1C" w:rsidR="002E72E5">
        <w:rPr>
          <w:color w:val="000000" w:themeColor="text1"/>
        </w:rPr>
        <w:t>3.5.</w:t>
      </w:r>
      <w:r w:rsidRPr="00997F1C" w:rsidR="00D82C00">
        <w:rPr>
          <w:color w:val="000000" w:themeColor="text1"/>
        </w:rPr>
        <w:t>3</w:t>
      </w:r>
      <w:r w:rsidRPr="00997F1C" w:rsidR="00EF7197">
        <w:rPr>
          <w:color w:val="000000" w:themeColor="text1"/>
        </w:rPr>
        <w:t>.</w:t>
      </w:r>
    </w:p>
    <w:p w:rsidRPr="00997F1C" w:rsidR="00F30CBD" w:rsidP="00D737A5" w:rsidRDefault="00F30CBD" w14:paraId="2DCE6791" w14:textId="10F0C20B">
      <w:pPr>
        <w:numPr>
          <w:ilvl w:val="0"/>
          <w:numId w:val="4"/>
        </w:numPr>
        <w:rPr>
          <w:color w:val="000000" w:themeColor="text1"/>
        </w:rPr>
      </w:pPr>
      <w:r w:rsidRPr="00997F1C">
        <w:rPr>
          <w:color w:val="000000" w:themeColor="text1"/>
        </w:rPr>
        <w:t xml:space="preserve">Pacific Gas and Electric Company </w:t>
      </w:r>
      <w:r w:rsidR="00DE75AA">
        <w:rPr>
          <w:color w:val="000000" w:themeColor="text1"/>
        </w:rPr>
        <w:t>(PG&amp;E</w:t>
      </w:r>
      <w:proofErr w:type="gramStart"/>
      <w:r w:rsidR="00DE75AA">
        <w:rPr>
          <w:color w:val="000000" w:themeColor="text1"/>
        </w:rPr>
        <w:t xml:space="preserve">) </w:t>
      </w:r>
      <w:r w:rsidRPr="00997F1C" w:rsidR="00D469A7">
        <w:rPr>
          <w:color w:val="000000" w:themeColor="text1"/>
        </w:rPr>
        <w:t>shall</w:t>
      </w:r>
      <w:proofErr w:type="gramEnd"/>
      <w:r w:rsidRPr="00997F1C">
        <w:rPr>
          <w:color w:val="000000" w:themeColor="text1"/>
        </w:rPr>
        <w:t xml:space="preserve"> file a Tier 2 </w:t>
      </w:r>
      <w:r w:rsidR="009F5B6F">
        <w:rPr>
          <w:color w:val="000000" w:themeColor="text1"/>
        </w:rPr>
        <w:t>A</w:t>
      </w:r>
      <w:r w:rsidRPr="00997F1C">
        <w:rPr>
          <w:color w:val="000000" w:themeColor="text1"/>
        </w:rPr>
        <w:t xml:space="preserve">dvice </w:t>
      </w:r>
      <w:r w:rsidR="009F5B6F">
        <w:rPr>
          <w:color w:val="000000" w:themeColor="text1"/>
        </w:rPr>
        <w:t>L</w:t>
      </w:r>
      <w:r w:rsidRPr="00997F1C">
        <w:rPr>
          <w:color w:val="000000" w:themeColor="text1"/>
        </w:rPr>
        <w:t xml:space="preserve">etter by </w:t>
      </w:r>
      <w:r w:rsidRPr="00997F1C" w:rsidR="005F5F38">
        <w:rPr>
          <w:color w:val="000000" w:themeColor="text1"/>
        </w:rPr>
        <w:t>February</w:t>
      </w:r>
      <w:r w:rsidRPr="00997F1C">
        <w:rPr>
          <w:color w:val="000000" w:themeColor="text1"/>
        </w:rPr>
        <w:t xml:space="preserve"> 1, </w:t>
      </w:r>
      <w:proofErr w:type="gramStart"/>
      <w:r w:rsidRPr="00997F1C">
        <w:rPr>
          <w:color w:val="000000" w:themeColor="text1"/>
        </w:rPr>
        <w:t>2026</w:t>
      </w:r>
      <w:proofErr w:type="gramEnd"/>
      <w:r w:rsidRPr="00997F1C">
        <w:rPr>
          <w:color w:val="000000" w:themeColor="text1"/>
        </w:rPr>
        <w:t xml:space="preserve"> </w:t>
      </w:r>
      <w:r w:rsidRPr="00997F1C" w:rsidR="005A4341">
        <w:rPr>
          <w:color w:val="000000" w:themeColor="text1"/>
        </w:rPr>
        <w:t xml:space="preserve">to propose how they will track and report the quantity of pre-2019 banked RECs used to meet 2026 compliance and the year those RECs were generated.  The </w:t>
      </w:r>
      <w:r w:rsidR="009F5B6F">
        <w:rPr>
          <w:color w:val="000000" w:themeColor="text1"/>
        </w:rPr>
        <w:t>A</w:t>
      </w:r>
      <w:r w:rsidRPr="00997F1C" w:rsidR="005A4341">
        <w:rPr>
          <w:color w:val="000000" w:themeColor="text1"/>
        </w:rPr>
        <w:t xml:space="preserve">dvice </w:t>
      </w:r>
      <w:r w:rsidR="009F5B6F">
        <w:rPr>
          <w:color w:val="000000" w:themeColor="text1"/>
        </w:rPr>
        <w:t>L</w:t>
      </w:r>
      <w:r w:rsidRPr="00997F1C" w:rsidR="005A4341">
        <w:rPr>
          <w:color w:val="000000" w:themeColor="text1"/>
        </w:rPr>
        <w:t xml:space="preserve">etter shall explain how PG&amp;E intends to track the quantity and generation year of all Pre-2019 </w:t>
      </w:r>
      <w:r w:rsidR="003E7746">
        <w:rPr>
          <w:color w:val="000000" w:themeColor="text1"/>
        </w:rPr>
        <w:t>B</w:t>
      </w:r>
      <w:r w:rsidRPr="00997F1C" w:rsidR="003E7746">
        <w:rPr>
          <w:color w:val="000000" w:themeColor="text1"/>
        </w:rPr>
        <w:t xml:space="preserve">anked </w:t>
      </w:r>
      <w:r w:rsidRPr="00997F1C" w:rsidR="005A4341">
        <w:rPr>
          <w:color w:val="000000" w:themeColor="text1"/>
        </w:rPr>
        <w:t xml:space="preserve">RECs it will use to meet 2026 compliance requirements through September 30, 2026.  The </w:t>
      </w:r>
      <w:r w:rsidR="009F5B6F">
        <w:rPr>
          <w:color w:val="000000" w:themeColor="text1"/>
        </w:rPr>
        <w:t>A</w:t>
      </w:r>
      <w:r w:rsidRPr="00997F1C" w:rsidR="005A4341">
        <w:rPr>
          <w:color w:val="000000" w:themeColor="text1"/>
        </w:rPr>
        <w:t xml:space="preserve">dvice </w:t>
      </w:r>
      <w:r w:rsidR="009F5B6F">
        <w:rPr>
          <w:color w:val="000000" w:themeColor="text1"/>
        </w:rPr>
        <w:t>L</w:t>
      </w:r>
      <w:r w:rsidRPr="00997F1C" w:rsidR="005A4341">
        <w:rPr>
          <w:color w:val="000000" w:themeColor="text1"/>
        </w:rPr>
        <w:t xml:space="preserve">etter shall also explain how PG&amp;E intends to forecast how many and which RECs PG&amp;E intends to use for bundled customer compliance from October 1, 2026, through December 31, 2026. </w:t>
      </w:r>
    </w:p>
    <w:p w:rsidR="00886E4B" w:rsidP="00D737A5" w:rsidRDefault="00886E4B" w14:paraId="347BFC0C" w14:textId="56043488">
      <w:pPr>
        <w:numPr>
          <w:ilvl w:val="0"/>
          <w:numId w:val="4"/>
        </w:numPr>
        <w:rPr>
          <w:color w:val="000000" w:themeColor="text1"/>
        </w:rPr>
      </w:pPr>
      <w:r w:rsidRPr="00997F1C">
        <w:rPr>
          <w:color w:val="000000" w:themeColor="text1"/>
        </w:rPr>
        <w:t xml:space="preserve">Should the Commission issue updated guidance on the appropriate valuation of Pre-2019 Banked RECs prior to September 1, 2026, PG&amp;E </w:t>
      </w:r>
      <w:r w:rsidRPr="00997F1C" w:rsidR="00D469A7">
        <w:rPr>
          <w:color w:val="000000" w:themeColor="text1"/>
        </w:rPr>
        <w:t>shall</w:t>
      </w:r>
      <w:r w:rsidRPr="00997F1C">
        <w:rPr>
          <w:color w:val="000000" w:themeColor="text1"/>
        </w:rPr>
        <w:t xml:space="preserve"> incorporate that guidance into its 202</w:t>
      </w:r>
      <w:r w:rsidRPr="00997F1C" w:rsidR="000F31F4">
        <w:rPr>
          <w:color w:val="000000" w:themeColor="text1"/>
        </w:rPr>
        <w:t>7</w:t>
      </w:r>
      <w:r w:rsidRPr="00997F1C">
        <w:rPr>
          <w:color w:val="000000" w:themeColor="text1"/>
        </w:rPr>
        <w:t xml:space="preserve"> ERRA forecast Fall Update.  </w:t>
      </w:r>
    </w:p>
    <w:p w:rsidRPr="00A61E81" w:rsidR="00E42C73" w:rsidP="00D737A5" w:rsidRDefault="00E42C73" w14:paraId="408B2B12" w14:textId="0667EC19">
      <w:pPr>
        <w:numPr>
          <w:ilvl w:val="0"/>
          <w:numId w:val="4"/>
        </w:numPr>
        <w:rPr>
          <w:color w:val="000000" w:themeColor="text1"/>
        </w:rPr>
      </w:pPr>
      <w:r w:rsidRPr="00997F1C">
        <w:rPr>
          <w:color w:val="000000" w:themeColor="text1"/>
        </w:rPr>
        <w:t xml:space="preserve">Pacific Gas and Electric Company </w:t>
      </w:r>
      <w:r>
        <w:rPr>
          <w:color w:val="000000" w:themeColor="text1"/>
        </w:rPr>
        <w:t xml:space="preserve">(PG&amp;E) </w:t>
      </w:r>
      <w:r w:rsidRPr="00997F1C">
        <w:rPr>
          <w:color w:val="000000" w:themeColor="text1"/>
        </w:rPr>
        <w:t xml:space="preserve">shall file a </w:t>
      </w:r>
      <w:r w:rsidRPr="00A61E81">
        <w:rPr>
          <w:color w:val="000000" w:themeColor="text1"/>
        </w:rPr>
        <w:t xml:space="preserve">Tier </w:t>
      </w:r>
      <w:r w:rsidRPr="00A61E81" w:rsidR="00C9350C">
        <w:rPr>
          <w:color w:val="000000" w:themeColor="text1"/>
        </w:rPr>
        <w:t>1</w:t>
      </w:r>
      <w:r w:rsidRPr="00A61E81">
        <w:rPr>
          <w:color w:val="000000" w:themeColor="text1"/>
        </w:rPr>
        <w:t xml:space="preserve"> </w:t>
      </w:r>
      <w:r w:rsidR="00A61E81">
        <w:rPr>
          <w:color w:val="000000" w:themeColor="text1"/>
        </w:rPr>
        <w:t>A</w:t>
      </w:r>
      <w:r w:rsidRPr="00A61E81">
        <w:rPr>
          <w:color w:val="000000" w:themeColor="text1"/>
        </w:rPr>
        <w:t xml:space="preserve">dvice </w:t>
      </w:r>
      <w:r w:rsidR="00A61E81">
        <w:rPr>
          <w:color w:val="000000" w:themeColor="text1"/>
        </w:rPr>
        <w:t>L</w:t>
      </w:r>
      <w:r w:rsidRPr="00A61E81">
        <w:rPr>
          <w:color w:val="000000" w:themeColor="text1"/>
        </w:rPr>
        <w:t>etter within 30 days of the issuance of</w:t>
      </w:r>
      <w:r w:rsidRPr="00A61E81" w:rsidR="00C9350C">
        <w:rPr>
          <w:color w:val="000000" w:themeColor="text1"/>
        </w:rPr>
        <w:t xml:space="preserve"> this decision</w:t>
      </w:r>
      <w:r w:rsidRPr="00A61E81">
        <w:rPr>
          <w:color w:val="000000" w:themeColor="text1"/>
        </w:rPr>
        <w:t xml:space="preserve"> </w:t>
      </w:r>
      <w:r w:rsidRPr="00A61E81" w:rsidR="00C9350C">
        <w:rPr>
          <w:color w:val="000000" w:themeColor="text1"/>
        </w:rPr>
        <w:t>that explains how it has implemented its</w:t>
      </w:r>
      <w:r w:rsidRPr="00A61E81" w:rsidR="00C9350C">
        <w:t xml:space="preserve"> Slice-of-Day methodology pursuant to this decision for implementation </w:t>
      </w:r>
      <w:proofErr w:type="gramStart"/>
      <w:r w:rsidRPr="00A61E81" w:rsidR="00C9350C">
        <w:t>in</w:t>
      </w:r>
      <w:proofErr w:type="gramEnd"/>
      <w:r w:rsidRPr="00A61E81" w:rsidR="00C9350C">
        <w:t xml:space="preserve"> January 1, </w:t>
      </w:r>
      <w:proofErr w:type="gramStart"/>
      <w:r w:rsidRPr="00A61E81" w:rsidR="00C9350C">
        <w:t>2026</w:t>
      </w:r>
      <w:proofErr w:type="gramEnd"/>
      <w:r w:rsidRPr="00A61E81" w:rsidR="00C9350C">
        <w:t xml:space="preserve"> rates. </w:t>
      </w:r>
    </w:p>
    <w:p w:rsidR="00D70B6B" w:rsidP="00D70B6B" w:rsidRDefault="00D70B6B" w14:paraId="40CAA5FE" w14:textId="5018ADCC">
      <w:pPr>
        <w:pStyle w:val="OP"/>
      </w:pPr>
      <w:r w:rsidRPr="00997F1C">
        <w:rPr>
          <w:color w:val="000000" w:themeColor="text1"/>
        </w:rPr>
        <w:t>Pacific Gas and Electric Company</w:t>
      </w:r>
      <w:r>
        <w:t xml:space="preserve">’s </w:t>
      </w:r>
      <w:r w:rsidRPr="00FB531D">
        <w:t xml:space="preserve">November </w:t>
      </w:r>
      <w:r>
        <w:t>3</w:t>
      </w:r>
      <w:r w:rsidRPr="00FB531D">
        <w:t xml:space="preserve">, </w:t>
      </w:r>
      <w:proofErr w:type="gramStart"/>
      <w:r w:rsidRPr="00FB531D">
        <w:t>202</w:t>
      </w:r>
      <w:r>
        <w:t>5</w:t>
      </w:r>
      <w:proofErr w:type="gramEnd"/>
      <w:r w:rsidRPr="00FB531D">
        <w:t xml:space="preserve"> </w:t>
      </w:r>
      <w:r w:rsidRPr="004D2DD1">
        <w:t>Motion for Leave to File the Confidential Version of its Reply Brief Under Seal</w:t>
      </w:r>
      <w:r w:rsidRPr="00CD51DB">
        <w:t xml:space="preserve"> is granted.</w:t>
      </w:r>
    </w:p>
    <w:p w:rsidRPr="00997F1C" w:rsidR="00D70B6B" w:rsidP="00D70B6B" w:rsidRDefault="00D70B6B" w14:paraId="0A76B4A8" w14:textId="3BA948DB">
      <w:pPr>
        <w:numPr>
          <w:ilvl w:val="0"/>
          <w:numId w:val="4"/>
        </w:numPr>
        <w:rPr>
          <w:color w:val="000000" w:themeColor="text1"/>
        </w:rPr>
      </w:pPr>
      <w:r w:rsidRPr="00BA2B93">
        <w:lastRenderedPageBreak/>
        <w:t>California Community Choice Association</w:t>
      </w:r>
      <w:r>
        <w:t xml:space="preserve">’s </w:t>
      </w:r>
      <w:r w:rsidRPr="000569DD">
        <w:t xml:space="preserve">November 10, </w:t>
      </w:r>
      <w:proofErr w:type="gramStart"/>
      <w:r w:rsidRPr="000569DD">
        <w:t>2025</w:t>
      </w:r>
      <w:proofErr w:type="gramEnd"/>
      <w:r w:rsidRPr="000569DD">
        <w:t xml:space="preserve"> Motion to File Confidential Version of Comments Under Seal</w:t>
      </w:r>
      <w:r w:rsidRPr="00CD51DB">
        <w:t xml:space="preserve"> is granted</w:t>
      </w:r>
      <w:r>
        <w:t>.</w:t>
      </w:r>
    </w:p>
    <w:p w:rsidRPr="00997F1C" w:rsidR="003E5AEF" w:rsidP="00A5195C" w:rsidRDefault="003E5AEF" w14:paraId="1C1CDF13" w14:textId="50AAF751">
      <w:pPr>
        <w:pStyle w:val="OP"/>
        <w:rPr>
          <w:color w:val="000000" w:themeColor="text1"/>
        </w:rPr>
      </w:pPr>
      <w:r w:rsidRPr="00997F1C">
        <w:rPr>
          <w:color w:val="000000" w:themeColor="text1"/>
        </w:rPr>
        <w:t xml:space="preserve">Application 25-05-011 </w:t>
      </w:r>
      <w:r w:rsidRPr="00997F1C" w:rsidR="0090420B">
        <w:rPr>
          <w:color w:val="000000" w:themeColor="text1"/>
        </w:rPr>
        <w:t xml:space="preserve">and Application </w:t>
      </w:r>
      <w:r w:rsidRPr="00997F1C" w:rsidR="0090420B">
        <w:rPr>
          <w:rFonts w:cs="Arial"/>
          <w:color w:val="000000" w:themeColor="text1"/>
          <w:szCs w:val="26"/>
        </w:rPr>
        <w:t>25-09-015</w:t>
      </w:r>
      <w:r w:rsidRPr="00997F1C" w:rsidR="0090420B">
        <w:rPr>
          <w:color w:val="000000" w:themeColor="text1"/>
        </w:rPr>
        <w:t xml:space="preserve"> (consolidated) are</w:t>
      </w:r>
      <w:r w:rsidRPr="00997F1C">
        <w:rPr>
          <w:color w:val="000000" w:themeColor="text1"/>
        </w:rPr>
        <w:t xml:space="preserve"> closed.</w:t>
      </w:r>
    </w:p>
    <w:p w:rsidRPr="00997F1C" w:rsidR="003E5AEF" w:rsidP="003E5AEF" w:rsidRDefault="003E5AEF" w14:paraId="1AA692C1" w14:textId="77777777">
      <w:pPr>
        <w:rPr>
          <w:color w:val="000000" w:themeColor="text1"/>
        </w:rPr>
      </w:pPr>
      <w:r w:rsidRPr="00997F1C">
        <w:rPr>
          <w:color w:val="000000" w:themeColor="text1"/>
        </w:rPr>
        <w:t>This order is effective today.</w:t>
      </w:r>
    </w:p>
    <w:p w:rsidRPr="00997F1C" w:rsidR="003E5AEF" w:rsidP="00A5195C" w:rsidRDefault="003E5AEF" w14:paraId="44E53F92" w14:textId="78BA8667">
      <w:pPr>
        <w:rPr>
          <w:color w:val="000000" w:themeColor="text1"/>
        </w:rPr>
      </w:pPr>
      <w:r w:rsidRPr="00997F1C">
        <w:rPr>
          <w:color w:val="000000" w:themeColor="text1"/>
        </w:rPr>
        <w:t>Dated</w:t>
      </w:r>
      <w:r w:rsidR="009F5B6F">
        <w:rPr>
          <w:color w:val="000000" w:themeColor="text1"/>
        </w:rPr>
        <w:t xml:space="preserve"> December 18, 2025</w:t>
      </w:r>
      <w:r w:rsidRPr="00997F1C">
        <w:rPr>
          <w:color w:val="000000" w:themeColor="text1"/>
        </w:rPr>
        <w:t xml:space="preserve">, at </w:t>
      </w:r>
      <w:r w:rsidRPr="00997F1C" w:rsidR="00A5195C">
        <w:rPr>
          <w:color w:val="000000" w:themeColor="text1"/>
        </w:rPr>
        <w:t>Sacramento</w:t>
      </w:r>
      <w:r w:rsidRPr="00997F1C">
        <w:rPr>
          <w:color w:val="000000" w:themeColor="text1"/>
        </w:rPr>
        <w:t>, California.</w:t>
      </w:r>
    </w:p>
    <w:p w:rsidRPr="00997F1C" w:rsidR="003E5AEF" w:rsidP="003E5AEF" w:rsidRDefault="003E5AEF" w14:paraId="29C49078" w14:textId="77777777">
      <w:pPr>
        <w:keepNext/>
        <w:rPr>
          <w:color w:val="000000" w:themeColor="text1"/>
        </w:rPr>
      </w:pPr>
    </w:p>
    <w:p w:rsidRPr="009F5B6F" w:rsidR="009F5B6F" w:rsidP="009F5B6F" w:rsidRDefault="009F5B6F" w14:paraId="3746854A" w14:textId="77777777">
      <w:pPr>
        <w:autoSpaceDE w:val="0"/>
        <w:autoSpaceDN w:val="0"/>
        <w:adjustRightInd w:val="0"/>
        <w:spacing w:line="240" w:lineRule="auto"/>
        <w:ind w:left="4320" w:firstLine="0"/>
        <w:jc w:val="both"/>
        <w:rPr>
          <w:rFonts w:cs="Times New Roman"/>
          <w:szCs w:val="20"/>
        </w:rPr>
      </w:pPr>
      <w:r w:rsidRPr="009F5B6F">
        <w:rPr>
          <w:rFonts w:cs="Times New Roman"/>
          <w:szCs w:val="20"/>
        </w:rPr>
        <w:t>ALICE REYNOLDS</w:t>
      </w:r>
    </w:p>
    <w:p w:rsidRPr="009F5B6F" w:rsidR="009F5B6F" w:rsidP="009F5B6F" w:rsidRDefault="009F5B6F" w14:paraId="27744313" w14:textId="77777777">
      <w:pPr>
        <w:autoSpaceDE w:val="0"/>
        <w:autoSpaceDN w:val="0"/>
        <w:adjustRightInd w:val="0"/>
        <w:spacing w:line="240" w:lineRule="auto"/>
        <w:jc w:val="both"/>
        <w:rPr>
          <w:rFonts w:cs="Times New Roman"/>
          <w:szCs w:val="20"/>
        </w:rPr>
      </w:pPr>
      <w:r w:rsidRPr="009F5B6F">
        <w:rPr>
          <w:rFonts w:cs="Times New Roman"/>
          <w:szCs w:val="20"/>
        </w:rPr>
        <w:tab/>
      </w:r>
      <w:r w:rsidRPr="009F5B6F">
        <w:rPr>
          <w:rFonts w:cs="Times New Roman"/>
          <w:szCs w:val="20"/>
        </w:rPr>
        <w:tab/>
      </w:r>
      <w:r w:rsidRPr="009F5B6F">
        <w:rPr>
          <w:rFonts w:cs="Times New Roman"/>
          <w:szCs w:val="20"/>
        </w:rPr>
        <w:tab/>
      </w:r>
      <w:r w:rsidRPr="009F5B6F">
        <w:rPr>
          <w:rFonts w:cs="Times New Roman"/>
          <w:szCs w:val="20"/>
        </w:rPr>
        <w:tab/>
      </w:r>
      <w:r w:rsidRPr="009F5B6F">
        <w:rPr>
          <w:rFonts w:cs="Times New Roman"/>
          <w:szCs w:val="20"/>
        </w:rPr>
        <w:tab/>
        <w:t xml:space="preserve">                       President</w:t>
      </w:r>
    </w:p>
    <w:p w:rsidRPr="009F5B6F" w:rsidR="009F5B6F" w:rsidP="009F5B6F" w:rsidRDefault="009F5B6F" w14:paraId="323DE58D" w14:textId="77777777">
      <w:pPr>
        <w:autoSpaceDE w:val="0"/>
        <w:autoSpaceDN w:val="0"/>
        <w:adjustRightInd w:val="0"/>
        <w:spacing w:line="240" w:lineRule="auto"/>
        <w:ind w:left="3600"/>
        <w:jc w:val="both"/>
        <w:rPr>
          <w:rFonts w:cs="Times New Roman"/>
          <w:szCs w:val="20"/>
        </w:rPr>
      </w:pPr>
      <w:r w:rsidRPr="009F5B6F">
        <w:rPr>
          <w:rFonts w:cs="Times New Roman"/>
          <w:szCs w:val="20"/>
        </w:rPr>
        <w:t>DARCIE L. HOUCK</w:t>
      </w:r>
    </w:p>
    <w:p w:rsidRPr="009F5B6F" w:rsidR="009F5B6F" w:rsidP="009F5B6F" w:rsidRDefault="009F5B6F" w14:paraId="0B9C2E2A" w14:textId="77777777">
      <w:pPr>
        <w:autoSpaceDE w:val="0"/>
        <w:autoSpaceDN w:val="0"/>
        <w:adjustRightInd w:val="0"/>
        <w:spacing w:line="240" w:lineRule="auto"/>
        <w:ind w:left="3600"/>
        <w:jc w:val="both"/>
        <w:rPr>
          <w:rFonts w:cs="Times New Roman"/>
          <w:szCs w:val="20"/>
        </w:rPr>
      </w:pPr>
      <w:r w:rsidRPr="009F5B6F">
        <w:rPr>
          <w:rFonts w:cs="Times New Roman"/>
          <w:szCs w:val="20"/>
        </w:rPr>
        <w:t>JOHN REYNOLDS</w:t>
      </w:r>
    </w:p>
    <w:p w:rsidRPr="009F5B6F" w:rsidR="009F5B6F" w:rsidP="009F5B6F" w:rsidRDefault="009F5B6F" w14:paraId="01A3AFDE" w14:textId="77777777">
      <w:pPr>
        <w:autoSpaceDE w:val="0"/>
        <w:autoSpaceDN w:val="0"/>
        <w:adjustRightInd w:val="0"/>
        <w:spacing w:line="240" w:lineRule="auto"/>
        <w:ind w:left="3600"/>
        <w:jc w:val="both"/>
        <w:rPr>
          <w:rFonts w:eastAsia="Times New Roman" w:cs="Calibri"/>
          <w:color w:val="000000"/>
          <w:szCs w:val="26"/>
        </w:rPr>
      </w:pPr>
      <w:r w:rsidRPr="009F5B6F">
        <w:rPr>
          <w:rFonts w:eastAsia="Times New Roman" w:cs="Calibri"/>
          <w:color w:val="000000"/>
          <w:szCs w:val="26"/>
        </w:rPr>
        <w:t>KAREN DOUGLAS</w:t>
      </w:r>
    </w:p>
    <w:p w:rsidRPr="009F5B6F" w:rsidR="009F5B6F" w:rsidP="009F5B6F" w:rsidRDefault="009F5B6F" w14:paraId="7F9E8A5F" w14:textId="77777777">
      <w:pPr>
        <w:autoSpaceDE w:val="0"/>
        <w:autoSpaceDN w:val="0"/>
        <w:adjustRightInd w:val="0"/>
        <w:spacing w:line="240" w:lineRule="auto"/>
        <w:ind w:left="3600"/>
        <w:jc w:val="both"/>
        <w:rPr>
          <w:rFonts w:cs="Times New Roman"/>
          <w:szCs w:val="20"/>
        </w:rPr>
      </w:pPr>
      <w:r w:rsidRPr="009F5B6F">
        <w:rPr>
          <w:rFonts w:eastAsia="Times New Roman" w:cs="Calibri"/>
          <w:color w:val="000000"/>
          <w:szCs w:val="26"/>
        </w:rPr>
        <w:t>MATTHEW BAKER</w:t>
      </w:r>
    </w:p>
    <w:p w:rsidRPr="009F5B6F" w:rsidR="003E5AEF" w:rsidP="009F5B6F" w:rsidRDefault="009F5B6F" w14:paraId="74E7098E" w14:textId="4ABD2F0A">
      <w:pPr>
        <w:autoSpaceDE w:val="0"/>
        <w:autoSpaceDN w:val="0"/>
        <w:adjustRightInd w:val="0"/>
        <w:spacing w:line="240" w:lineRule="auto"/>
        <w:ind w:left="4320"/>
        <w:jc w:val="both"/>
        <w:rPr>
          <w:rFonts w:cs="Times New Roman"/>
          <w:szCs w:val="20"/>
        </w:rPr>
        <w:sectPr w:rsidRPr="009F5B6F" w:rsidR="003E5AEF" w:rsidSect="008003AC">
          <w:footerReference w:type="default" r:id="rId18"/>
          <w:pgSz w:w="12240" w:h="15840"/>
          <w:pgMar w:top="1728" w:right="1440" w:bottom="1440" w:left="1440" w:header="720" w:footer="720" w:gutter="0"/>
          <w:pgNumType w:start="52"/>
          <w:cols w:space="720"/>
          <w:docGrid w:linePitch="360"/>
        </w:sectPr>
      </w:pPr>
      <w:r w:rsidRPr="009F5B6F">
        <w:rPr>
          <w:rFonts w:cs="Times New Roman"/>
          <w:szCs w:val="20"/>
        </w:rPr>
        <w:t xml:space="preserve">            Commissioners</w:t>
      </w:r>
    </w:p>
    <w:p w:rsidRPr="00997F1C" w:rsidR="003E5AEF" w:rsidP="009F5B6F" w:rsidRDefault="003E5AEF" w14:paraId="207304DA" w14:textId="77777777">
      <w:pPr>
        <w:ind w:firstLine="0"/>
        <w:rPr>
          <w:b/>
          <w:bCs/>
          <w:color w:val="000000" w:themeColor="text1"/>
          <w:sz w:val="48"/>
          <w:szCs w:val="48"/>
        </w:rPr>
      </w:pPr>
      <w:bookmarkStart w:name="_Toc177628790" w:id="333"/>
      <w:bookmarkStart w:name="_Toc179212760" w:id="334"/>
      <w:bookmarkStart w:name="_Toc182306153" w:id="335"/>
    </w:p>
    <w:p w:rsidRPr="00A93519" w:rsidR="003E5AEF" w:rsidP="003E5AEF" w:rsidRDefault="003E5AEF" w14:paraId="3175AA9C" w14:textId="77777777">
      <w:pPr>
        <w:ind w:firstLine="0"/>
        <w:jc w:val="center"/>
        <w:rPr>
          <w:b/>
          <w:bCs/>
          <w:color w:val="000000" w:themeColor="text1"/>
          <w:sz w:val="32"/>
          <w:szCs w:val="32"/>
        </w:rPr>
      </w:pPr>
      <w:r w:rsidRPr="00A93519">
        <w:rPr>
          <w:b/>
          <w:bCs/>
          <w:color w:val="000000" w:themeColor="text1"/>
          <w:sz w:val="32"/>
          <w:szCs w:val="32"/>
        </w:rPr>
        <w:t>APPENDIX A</w:t>
      </w:r>
    </w:p>
    <w:p w:rsidR="00A93519" w:rsidP="003E5AEF" w:rsidRDefault="00A93519" w14:paraId="57F3A130" w14:textId="387B8E92">
      <w:pPr>
        <w:ind w:firstLine="0"/>
        <w:jc w:val="center"/>
        <w:rPr>
          <w:b/>
          <w:bCs/>
          <w:color w:val="000000" w:themeColor="text1"/>
          <w:sz w:val="48"/>
          <w:szCs w:val="48"/>
        </w:rPr>
      </w:pPr>
      <w:r w:rsidRPr="00D928F8">
        <w:rPr>
          <w:rFonts w:cs="Arial"/>
          <w:iCs/>
          <w:color w:val="000000" w:themeColor="text1"/>
          <w:szCs w:val="26"/>
        </w:rPr>
        <w:t>Commonly Used Terms</w:t>
      </w:r>
    </w:p>
    <w:p w:rsidRPr="00997F1C" w:rsidR="00A93519" w:rsidP="003E5AEF" w:rsidRDefault="00A93519" w14:paraId="778DE314" w14:textId="77777777">
      <w:pPr>
        <w:ind w:firstLine="0"/>
        <w:jc w:val="center"/>
        <w:rPr>
          <w:b/>
          <w:bCs/>
          <w:color w:val="000000" w:themeColor="text1"/>
          <w:sz w:val="48"/>
          <w:szCs w:val="48"/>
        </w:rPr>
        <w:sectPr w:rsidRPr="00997F1C" w:rsidR="00A93519" w:rsidSect="003E5AEF">
          <w:footerReference w:type="default" r:id="rId19"/>
          <w:pgSz w:w="12240" w:h="15840"/>
          <w:pgMar w:top="1728" w:right="1440" w:bottom="1440" w:left="1440" w:header="720" w:footer="720" w:gutter="0"/>
          <w:pgNumType w:start="1"/>
          <w:cols w:space="720"/>
          <w:docGrid w:linePitch="360"/>
        </w:sectPr>
      </w:pPr>
    </w:p>
    <w:p w:rsidRPr="00997F1C" w:rsidR="003E5AEF" w:rsidP="003E5AEF" w:rsidRDefault="003E5AEF" w14:paraId="194D65D6" w14:textId="77777777">
      <w:pPr>
        <w:keepNext/>
        <w:keepLines/>
        <w:spacing w:after="120" w:line="240" w:lineRule="auto"/>
        <w:ind w:firstLine="0"/>
        <w:jc w:val="center"/>
        <w:outlineLvl w:val="0"/>
        <w:rPr>
          <w:rFonts w:eastAsiaTheme="majorEastAsia" w:cstheme="majorBidi"/>
          <w:b/>
          <w:bCs/>
          <w:color w:val="000000" w:themeColor="text1"/>
          <w:szCs w:val="26"/>
        </w:rPr>
      </w:pPr>
      <w:bookmarkStart w:name="_Toc182841824" w:id="336"/>
      <w:bookmarkStart w:name="_Toc212561213" w:id="337"/>
      <w:bookmarkStart w:name="_Toc213233781" w:id="338"/>
      <w:bookmarkStart w:name="_Toc214603731" w:id="339"/>
      <w:bookmarkStart w:name="_Toc217384686" w:id="340"/>
      <w:r w:rsidRPr="00997F1C">
        <w:rPr>
          <w:rFonts w:eastAsiaTheme="majorEastAsia" w:cstheme="majorBidi"/>
          <w:b/>
          <w:color w:val="000000" w:themeColor="text1"/>
          <w:szCs w:val="26"/>
        </w:rPr>
        <w:lastRenderedPageBreak/>
        <w:t>Appendix A: Commonly Used Terms</w:t>
      </w:r>
      <w:bookmarkEnd w:id="333"/>
      <w:bookmarkEnd w:id="334"/>
      <w:bookmarkEnd w:id="335"/>
      <w:bookmarkEnd w:id="336"/>
      <w:bookmarkEnd w:id="337"/>
      <w:bookmarkEnd w:id="338"/>
      <w:bookmarkEnd w:id="339"/>
      <w:bookmarkEnd w:id="340"/>
    </w:p>
    <w:tbl>
      <w:tblPr>
        <w:tblW w:w="95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6860"/>
      </w:tblGrid>
      <w:tr w:rsidRPr="00997F1C" w:rsidR="004215F8" w14:paraId="303F28D2" w14:textId="77777777">
        <w:trPr>
          <w:trHeight w:val="288"/>
          <w:tblHeader/>
        </w:trPr>
        <w:tc>
          <w:tcPr>
            <w:tcW w:w="2700" w:type="dxa"/>
            <w:hideMark/>
          </w:tcPr>
          <w:p w:rsidRPr="00997F1C" w:rsidR="003E5AEF" w:rsidP="003E5AEF" w:rsidRDefault="003E5AEF" w14:paraId="4948880D" w14:textId="77777777">
            <w:pPr>
              <w:keepNext/>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Term</w:t>
            </w:r>
          </w:p>
        </w:tc>
        <w:tc>
          <w:tcPr>
            <w:tcW w:w="6860" w:type="dxa"/>
            <w:hideMark/>
          </w:tcPr>
          <w:p w:rsidRPr="00997F1C" w:rsidR="003E5AEF" w:rsidP="003E5AEF" w:rsidRDefault="003E5AEF" w14:paraId="7E98353C" w14:textId="77777777">
            <w:pPr>
              <w:keepNext/>
              <w:spacing w:line="240" w:lineRule="auto"/>
              <w:ind w:firstLine="0"/>
              <w:rPr>
                <w:rFonts w:eastAsia="Times New Roman" w:cs="Calibri"/>
                <w:b/>
                <w:bCs/>
                <w:color w:val="000000" w:themeColor="text1"/>
                <w:szCs w:val="26"/>
              </w:rPr>
            </w:pPr>
            <w:r w:rsidRPr="00997F1C">
              <w:rPr>
                <w:rFonts w:eastAsia="Times New Roman" w:cs="Calibri"/>
                <w:b/>
                <w:bCs/>
                <w:color w:val="000000" w:themeColor="text1"/>
                <w:szCs w:val="26"/>
              </w:rPr>
              <w:t>Definition</w:t>
            </w:r>
          </w:p>
        </w:tc>
      </w:tr>
      <w:tr w:rsidRPr="00997F1C" w:rsidR="004215F8" w14:paraId="3BAB247A" w14:textId="77777777">
        <w:trPr>
          <w:trHeight w:val="288"/>
        </w:trPr>
        <w:tc>
          <w:tcPr>
            <w:tcW w:w="2700" w:type="dxa"/>
            <w:hideMark/>
          </w:tcPr>
          <w:p w:rsidRPr="00997F1C" w:rsidR="003E5AEF" w:rsidP="003E5AEF" w:rsidRDefault="003E5AEF" w14:paraId="020DDB08"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AL</w:t>
            </w:r>
          </w:p>
        </w:tc>
        <w:tc>
          <w:tcPr>
            <w:tcW w:w="6860" w:type="dxa"/>
            <w:hideMark/>
          </w:tcPr>
          <w:p w:rsidRPr="00997F1C" w:rsidR="003E5AEF" w:rsidP="003E5AEF" w:rsidRDefault="003E5AEF" w14:paraId="6898741B"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Advice Letter</w:t>
            </w:r>
          </w:p>
        </w:tc>
      </w:tr>
      <w:tr w:rsidRPr="00997F1C" w:rsidR="004215F8" w14:paraId="370940DE" w14:textId="77777777">
        <w:trPr>
          <w:trHeight w:val="288"/>
        </w:trPr>
        <w:tc>
          <w:tcPr>
            <w:tcW w:w="2700" w:type="dxa"/>
            <w:hideMark/>
          </w:tcPr>
          <w:p w:rsidRPr="00997F1C" w:rsidR="003E5AEF" w:rsidP="003E5AEF" w:rsidRDefault="003E5AEF" w14:paraId="2FA31FA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BA</w:t>
            </w:r>
          </w:p>
        </w:tc>
        <w:tc>
          <w:tcPr>
            <w:tcW w:w="6860" w:type="dxa"/>
            <w:hideMark/>
          </w:tcPr>
          <w:p w:rsidRPr="00997F1C" w:rsidR="003E5AEF" w:rsidP="003E5AEF" w:rsidRDefault="003E5AEF" w14:paraId="20033B5E"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Balancing Account</w:t>
            </w:r>
          </w:p>
        </w:tc>
      </w:tr>
      <w:tr w:rsidRPr="00997F1C" w:rsidR="004215F8" w14:paraId="3442CD1B" w14:textId="77777777">
        <w:trPr>
          <w:trHeight w:val="288"/>
        </w:trPr>
        <w:tc>
          <w:tcPr>
            <w:tcW w:w="2700" w:type="dxa"/>
            <w:hideMark/>
          </w:tcPr>
          <w:p w:rsidRPr="00997F1C" w:rsidR="003E5AEF" w:rsidP="003E5AEF" w:rsidRDefault="003E5AEF" w14:paraId="790A5591"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CAISO</w:t>
            </w:r>
          </w:p>
        </w:tc>
        <w:tc>
          <w:tcPr>
            <w:tcW w:w="6860" w:type="dxa"/>
            <w:hideMark/>
          </w:tcPr>
          <w:p w:rsidRPr="00997F1C" w:rsidR="003E5AEF" w:rsidP="003E5AEF" w:rsidRDefault="003E5AEF" w14:paraId="1C81A279"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California Independent System Operator</w:t>
            </w:r>
          </w:p>
        </w:tc>
      </w:tr>
      <w:tr w:rsidRPr="00997F1C" w:rsidR="004215F8" w14:paraId="5B127111" w14:textId="77777777">
        <w:trPr>
          <w:trHeight w:val="288"/>
        </w:trPr>
        <w:tc>
          <w:tcPr>
            <w:tcW w:w="2700" w:type="dxa"/>
            <w:hideMark/>
          </w:tcPr>
          <w:p w:rsidRPr="00997F1C" w:rsidR="003E5AEF" w:rsidP="003E5AEF" w:rsidRDefault="003E5AEF" w14:paraId="01C353CA"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CAM</w:t>
            </w:r>
          </w:p>
        </w:tc>
        <w:tc>
          <w:tcPr>
            <w:tcW w:w="6860" w:type="dxa"/>
            <w:hideMark/>
          </w:tcPr>
          <w:p w:rsidRPr="00997F1C" w:rsidR="003E5AEF" w:rsidP="003E5AEF" w:rsidRDefault="003E5AEF" w14:paraId="3D720ABB"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Cost Allocation Mechanism</w:t>
            </w:r>
          </w:p>
        </w:tc>
      </w:tr>
      <w:tr w:rsidRPr="00997F1C" w:rsidR="004215F8" w14:paraId="301593C3" w14:textId="77777777">
        <w:trPr>
          <w:trHeight w:val="288"/>
        </w:trPr>
        <w:tc>
          <w:tcPr>
            <w:tcW w:w="2700" w:type="dxa"/>
            <w:hideMark/>
          </w:tcPr>
          <w:p w:rsidRPr="00997F1C" w:rsidR="003E5AEF" w:rsidP="003E5AEF" w:rsidRDefault="003E5AEF" w14:paraId="6D886E71"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Bundled customer</w:t>
            </w:r>
          </w:p>
        </w:tc>
        <w:tc>
          <w:tcPr>
            <w:tcW w:w="6860" w:type="dxa"/>
            <w:hideMark/>
          </w:tcPr>
          <w:p w:rsidRPr="00997F1C" w:rsidR="003E5AEF" w:rsidP="003E5AEF" w:rsidRDefault="003E5AEF" w14:paraId="2601DA04"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Customer who receives both electricity generation and distribution services from PG&amp;E</w:t>
            </w:r>
          </w:p>
        </w:tc>
      </w:tr>
      <w:tr w:rsidRPr="00997F1C" w:rsidR="004215F8" w14:paraId="6CCBBE9D" w14:textId="77777777">
        <w:trPr>
          <w:trHeight w:val="288"/>
        </w:trPr>
        <w:tc>
          <w:tcPr>
            <w:tcW w:w="2700" w:type="dxa"/>
            <w:hideMark/>
          </w:tcPr>
          <w:p w:rsidRPr="00997F1C" w:rsidR="003E5AEF" w:rsidP="003E5AEF" w:rsidRDefault="003E5AEF" w14:paraId="46D25E2E"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CCA</w:t>
            </w:r>
          </w:p>
        </w:tc>
        <w:tc>
          <w:tcPr>
            <w:tcW w:w="6860" w:type="dxa"/>
            <w:hideMark/>
          </w:tcPr>
          <w:p w:rsidRPr="00997F1C" w:rsidR="003E5AEF" w:rsidP="003E5AEF" w:rsidRDefault="003E5AEF" w14:paraId="0F73E959"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Community Choice Aggregator</w:t>
            </w:r>
          </w:p>
        </w:tc>
      </w:tr>
      <w:tr w:rsidRPr="00997F1C" w:rsidR="004215F8" w14:paraId="173F584D" w14:textId="77777777">
        <w:trPr>
          <w:trHeight w:val="288"/>
        </w:trPr>
        <w:tc>
          <w:tcPr>
            <w:tcW w:w="2700" w:type="dxa"/>
            <w:hideMark/>
          </w:tcPr>
          <w:p w:rsidRPr="00997F1C" w:rsidR="003E5AEF" w:rsidP="003E5AEF" w:rsidRDefault="003E5AEF" w14:paraId="5F5C9195"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CDWR</w:t>
            </w:r>
          </w:p>
        </w:tc>
        <w:tc>
          <w:tcPr>
            <w:tcW w:w="6860" w:type="dxa"/>
            <w:hideMark/>
          </w:tcPr>
          <w:p w:rsidRPr="00997F1C" w:rsidR="003E5AEF" w:rsidP="003E5AEF" w:rsidRDefault="003E5AEF" w14:paraId="7D49E76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California Department of Water Resources</w:t>
            </w:r>
          </w:p>
        </w:tc>
      </w:tr>
      <w:tr w:rsidRPr="00997F1C" w:rsidR="004215F8" w14:paraId="08058293" w14:textId="77777777">
        <w:trPr>
          <w:trHeight w:val="288"/>
        </w:trPr>
        <w:tc>
          <w:tcPr>
            <w:tcW w:w="2700" w:type="dxa"/>
            <w:hideMark/>
          </w:tcPr>
          <w:p w:rsidRPr="00997F1C" w:rsidR="003E5AEF" w:rsidP="003E5AEF" w:rsidRDefault="003E5AEF" w14:paraId="742B3B71"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COL</w:t>
            </w:r>
          </w:p>
        </w:tc>
        <w:tc>
          <w:tcPr>
            <w:tcW w:w="6860" w:type="dxa"/>
            <w:hideMark/>
          </w:tcPr>
          <w:p w:rsidRPr="00997F1C" w:rsidR="003E5AEF" w:rsidP="003E5AEF" w:rsidRDefault="003E5AEF" w14:paraId="3994441B"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Conclusion of Law</w:t>
            </w:r>
          </w:p>
        </w:tc>
      </w:tr>
      <w:tr w:rsidRPr="00997F1C" w:rsidR="004215F8" w14:paraId="52546D64" w14:textId="77777777">
        <w:trPr>
          <w:trHeight w:val="288"/>
        </w:trPr>
        <w:tc>
          <w:tcPr>
            <w:tcW w:w="2700" w:type="dxa"/>
            <w:hideMark/>
          </w:tcPr>
          <w:p w:rsidRPr="00997F1C" w:rsidR="003E5AEF" w:rsidP="003E5AEF" w:rsidRDefault="003E5AEF" w14:paraId="566EEEC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CTC</w:t>
            </w:r>
          </w:p>
        </w:tc>
        <w:tc>
          <w:tcPr>
            <w:tcW w:w="6860" w:type="dxa"/>
            <w:hideMark/>
          </w:tcPr>
          <w:p w:rsidRPr="00997F1C" w:rsidR="003E5AEF" w:rsidP="003E5AEF" w:rsidRDefault="003E5AEF" w14:paraId="78CC57E2"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Competition Transition Charge</w:t>
            </w:r>
          </w:p>
        </w:tc>
      </w:tr>
      <w:tr w:rsidRPr="00997F1C" w:rsidR="004215F8" w14:paraId="077CB9E3" w14:textId="77777777">
        <w:trPr>
          <w:trHeight w:val="288"/>
        </w:trPr>
        <w:tc>
          <w:tcPr>
            <w:tcW w:w="2700" w:type="dxa"/>
            <w:hideMark/>
          </w:tcPr>
          <w:p w:rsidRPr="00997F1C" w:rsidR="003E5AEF" w:rsidP="003E5AEF" w:rsidRDefault="003E5AEF" w14:paraId="0BF56B93"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DA</w:t>
            </w:r>
          </w:p>
        </w:tc>
        <w:tc>
          <w:tcPr>
            <w:tcW w:w="6860" w:type="dxa"/>
            <w:hideMark/>
          </w:tcPr>
          <w:p w:rsidRPr="00997F1C" w:rsidR="003E5AEF" w:rsidP="003E5AEF" w:rsidRDefault="003E5AEF" w14:paraId="612C9C80"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Direct Access</w:t>
            </w:r>
          </w:p>
        </w:tc>
      </w:tr>
      <w:tr w:rsidRPr="00997F1C" w:rsidR="004215F8" w14:paraId="1444E84F" w14:textId="77777777">
        <w:trPr>
          <w:trHeight w:val="300"/>
        </w:trPr>
        <w:tc>
          <w:tcPr>
            <w:tcW w:w="2700" w:type="dxa"/>
            <w:hideMark/>
          </w:tcPr>
          <w:p w:rsidRPr="00997F1C" w:rsidR="003E5AEF" w:rsidP="003E5AEF" w:rsidRDefault="003E5AEF" w14:paraId="56F3F5B5"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Departed load</w:t>
            </w:r>
          </w:p>
        </w:tc>
        <w:tc>
          <w:tcPr>
            <w:tcW w:w="6860" w:type="dxa"/>
            <w:hideMark/>
          </w:tcPr>
          <w:p w:rsidRPr="00997F1C" w:rsidR="003E5AEF" w:rsidP="003E5AEF" w:rsidRDefault="003E5AEF" w14:paraId="6825FC1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Also known as unbundled electric service customers, departing load customers, receive electricity generation and distribution services from separate entities. Examples of departing load customers are customers of CCAs or DA providers.</w:t>
            </w:r>
          </w:p>
        </w:tc>
      </w:tr>
      <w:tr w:rsidRPr="00997F1C" w:rsidR="004215F8" w14:paraId="52B9E02C" w14:textId="77777777">
        <w:trPr>
          <w:trHeight w:val="300"/>
        </w:trPr>
        <w:tc>
          <w:tcPr>
            <w:tcW w:w="2700" w:type="dxa"/>
            <w:hideMark/>
          </w:tcPr>
          <w:p w:rsidRPr="00997F1C" w:rsidR="003E5AEF" w:rsidP="003E5AEF" w:rsidRDefault="003E5AEF" w14:paraId="3290CC08"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EITE</w:t>
            </w:r>
          </w:p>
        </w:tc>
        <w:tc>
          <w:tcPr>
            <w:tcW w:w="6860" w:type="dxa"/>
            <w:hideMark/>
          </w:tcPr>
          <w:p w:rsidRPr="00997F1C" w:rsidR="003E5AEF" w:rsidP="003E5AEF" w:rsidRDefault="003E5AEF" w14:paraId="77F0249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Emissions-intensive trade-exposed customers</w:t>
            </w:r>
          </w:p>
        </w:tc>
      </w:tr>
      <w:tr w:rsidRPr="00997F1C" w:rsidR="004215F8" w14:paraId="0CE2903B" w14:textId="77777777">
        <w:trPr>
          <w:trHeight w:val="288"/>
        </w:trPr>
        <w:tc>
          <w:tcPr>
            <w:tcW w:w="2700" w:type="dxa"/>
            <w:hideMark/>
          </w:tcPr>
          <w:p w:rsidRPr="00997F1C" w:rsidR="003E5AEF" w:rsidP="003E5AEF" w:rsidRDefault="003E5AEF" w14:paraId="3FD9CDED"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ERRA</w:t>
            </w:r>
          </w:p>
        </w:tc>
        <w:tc>
          <w:tcPr>
            <w:tcW w:w="6860" w:type="dxa"/>
            <w:hideMark/>
          </w:tcPr>
          <w:p w:rsidRPr="00997F1C" w:rsidR="003E5AEF" w:rsidP="003E5AEF" w:rsidRDefault="003E5AEF" w14:paraId="21BDE40D"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xml:space="preserve">Energy Resource Recovery Account </w:t>
            </w:r>
          </w:p>
        </w:tc>
      </w:tr>
      <w:tr w:rsidRPr="00997F1C" w:rsidR="004215F8" w14:paraId="6BBE9235" w14:textId="77777777">
        <w:trPr>
          <w:trHeight w:val="288"/>
        </w:trPr>
        <w:tc>
          <w:tcPr>
            <w:tcW w:w="2700" w:type="dxa"/>
            <w:hideMark/>
          </w:tcPr>
          <w:p w:rsidRPr="00997F1C" w:rsidR="003E5AEF" w:rsidP="003E5AEF" w:rsidRDefault="003E5AEF" w14:paraId="6AC3E22D"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ESA</w:t>
            </w:r>
          </w:p>
        </w:tc>
        <w:tc>
          <w:tcPr>
            <w:tcW w:w="6860" w:type="dxa"/>
            <w:hideMark/>
          </w:tcPr>
          <w:p w:rsidRPr="00997F1C" w:rsidR="003E5AEF" w:rsidP="003E5AEF" w:rsidRDefault="003E5AEF" w14:paraId="77C8C1C5"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Electric Supply Administration</w:t>
            </w:r>
          </w:p>
        </w:tc>
      </w:tr>
      <w:tr w:rsidRPr="00997F1C" w:rsidR="004215F8" w14:paraId="481DC84A" w14:textId="77777777">
        <w:trPr>
          <w:trHeight w:val="288"/>
        </w:trPr>
        <w:tc>
          <w:tcPr>
            <w:tcW w:w="2700" w:type="dxa"/>
            <w:hideMark/>
          </w:tcPr>
          <w:p w:rsidRPr="00997F1C" w:rsidR="003E5AEF" w:rsidP="003E5AEF" w:rsidRDefault="003E5AEF" w14:paraId="08FBEDF9"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GHG</w:t>
            </w:r>
          </w:p>
        </w:tc>
        <w:tc>
          <w:tcPr>
            <w:tcW w:w="6860" w:type="dxa"/>
            <w:hideMark/>
          </w:tcPr>
          <w:p w:rsidRPr="00997F1C" w:rsidR="003E5AEF" w:rsidP="003E5AEF" w:rsidRDefault="003E5AEF" w14:paraId="43E52088"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Greenhouse gas</w:t>
            </w:r>
          </w:p>
        </w:tc>
      </w:tr>
      <w:tr w:rsidRPr="00997F1C" w:rsidR="004215F8" w14:paraId="788D7887" w14:textId="77777777">
        <w:trPr>
          <w:trHeight w:val="288"/>
        </w:trPr>
        <w:tc>
          <w:tcPr>
            <w:tcW w:w="2700" w:type="dxa"/>
            <w:hideMark/>
          </w:tcPr>
          <w:p w:rsidRPr="00997F1C" w:rsidR="003E5AEF" w:rsidP="003E5AEF" w:rsidRDefault="003E5AEF" w14:paraId="3999924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GTSR</w:t>
            </w:r>
          </w:p>
        </w:tc>
        <w:tc>
          <w:tcPr>
            <w:tcW w:w="6860" w:type="dxa"/>
            <w:hideMark/>
          </w:tcPr>
          <w:p w:rsidRPr="00997F1C" w:rsidR="003E5AEF" w:rsidP="003E5AEF" w:rsidRDefault="003E5AEF" w14:paraId="538D8E00"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Green Tariff Shared Renewables</w:t>
            </w:r>
          </w:p>
        </w:tc>
      </w:tr>
      <w:tr w:rsidRPr="00997F1C" w:rsidR="004215F8" w14:paraId="711F7A0F" w14:textId="77777777">
        <w:trPr>
          <w:trHeight w:val="288"/>
        </w:trPr>
        <w:tc>
          <w:tcPr>
            <w:tcW w:w="2700" w:type="dxa"/>
            <w:hideMark/>
          </w:tcPr>
          <w:p w:rsidRPr="00997F1C" w:rsidR="003E5AEF" w:rsidP="003E5AEF" w:rsidRDefault="003E5AEF" w14:paraId="6655CDC6"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GWh</w:t>
            </w:r>
          </w:p>
        </w:tc>
        <w:tc>
          <w:tcPr>
            <w:tcW w:w="6860" w:type="dxa"/>
            <w:hideMark/>
          </w:tcPr>
          <w:p w:rsidRPr="00997F1C" w:rsidR="003E5AEF" w:rsidP="003E5AEF" w:rsidRDefault="003E5AEF" w14:paraId="04C41327"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Gigawatt-hours</w:t>
            </w:r>
          </w:p>
        </w:tc>
      </w:tr>
      <w:tr w:rsidRPr="00997F1C" w:rsidR="004215F8" w14:paraId="1DE044C5" w14:textId="77777777">
        <w:trPr>
          <w:trHeight w:val="288"/>
        </w:trPr>
        <w:tc>
          <w:tcPr>
            <w:tcW w:w="2700" w:type="dxa"/>
            <w:hideMark/>
          </w:tcPr>
          <w:p w:rsidRPr="00997F1C" w:rsidR="003E5AEF" w:rsidP="003E5AEF" w:rsidRDefault="003E5AEF" w14:paraId="5F9A88C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LSEs</w:t>
            </w:r>
          </w:p>
        </w:tc>
        <w:tc>
          <w:tcPr>
            <w:tcW w:w="6860" w:type="dxa"/>
            <w:hideMark/>
          </w:tcPr>
          <w:p w:rsidRPr="00997F1C" w:rsidR="003E5AEF" w:rsidP="003E5AEF" w:rsidRDefault="003E5AEF" w14:paraId="467F54AD" w14:textId="77777777">
            <w:pPr>
              <w:spacing w:line="240" w:lineRule="auto"/>
              <w:ind w:firstLine="0"/>
              <w:rPr>
                <w:rFonts w:eastAsia="Times New Roman" w:cs="Calibri"/>
                <w:color w:val="000000" w:themeColor="text1"/>
                <w:szCs w:val="26"/>
              </w:rPr>
            </w:pPr>
            <w:proofErr w:type="gramStart"/>
            <w:r w:rsidRPr="00997F1C">
              <w:rPr>
                <w:rFonts w:eastAsia="Times New Roman" w:cs="Calibri"/>
                <w:color w:val="000000" w:themeColor="text1"/>
                <w:szCs w:val="26"/>
              </w:rPr>
              <w:t>Load serving</w:t>
            </w:r>
            <w:proofErr w:type="gramEnd"/>
            <w:r w:rsidRPr="00997F1C">
              <w:rPr>
                <w:rFonts w:eastAsia="Times New Roman" w:cs="Calibri"/>
                <w:color w:val="000000" w:themeColor="text1"/>
                <w:szCs w:val="26"/>
              </w:rPr>
              <w:t xml:space="preserve"> entities</w:t>
            </w:r>
          </w:p>
        </w:tc>
      </w:tr>
      <w:tr w:rsidRPr="00997F1C" w:rsidR="004215F8" w14:paraId="706B7104" w14:textId="77777777">
        <w:trPr>
          <w:trHeight w:val="288"/>
        </w:trPr>
        <w:tc>
          <w:tcPr>
            <w:tcW w:w="2700" w:type="dxa"/>
          </w:tcPr>
          <w:p w:rsidRPr="00997F1C" w:rsidR="003E5AEF" w:rsidP="003E5AEF" w:rsidRDefault="003E5AEF" w14:paraId="3FBAFDD4"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MPBs</w:t>
            </w:r>
          </w:p>
        </w:tc>
        <w:tc>
          <w:tcPr>
            <w:tcW w:w="6860" w:type="dxa"/>
          </w:tcPr>
          <w:p w:rsidRPr="00997F1C" w:rsidR="003E5AEF" w:rsidP="003E5AEF" w:rsidRDefault="003E5AEF" w14:paraId="03A873B4"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Market Price Benchmarks</w:t>
            </w:r>
          </w:p>
        </w:tc>
      </w:tr>
      <w:tr w:rsidRPr="00997F1C" w:rsidR="004215F8" w14:paraId="6572073B" w14:textId="77777777">
        <w:trPr>
          <w:trHeight w:val="288"/>
        </w:trPr>
        <w:tc>
          <w:tcPr>
            <w:tcW w:w="2700" w:type="dxa"/>
            <w:hideMark/>
          </w:tcPr>
          <w:p w:rsidRPr="00997F1C" w:rsidR="003E5AEF" w:rsidP="003E5AEF" w:rsidRDefault="003E5AEF" w14:paraId="64DBA23C"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MW</w:t>
            </w:r>
          </w:p>
        </w:tc>
        <w:tc>
          <w:tcPr>
            <w:tcW w:w="6860" w:type="dxa"/>
            <w:hideMark/>
          </w:tcPr>
          <w:p w:rsidRPr="00997F1C" w:rsidR="003E5AEF" w:rsidP="003E5AEF" w:rsidRDefault="003E5AEF" w14:paraId="58EBB455"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Megawatt</w:t>
            </w:r>
          </w:p>
        </w:tc>
      </w:tr>
      <w:tr w:rsidRPr="00997F1C" w:rsidR="004215F8" w14:paraId="7916D2F9" w14:textId="77777777">
        <w:trPr>
          <w:trHeight w:val="288"/>
        </w:trPr>
        <w:tc>
          <w:tcPr>
            <w:tcW w:w="2700" w:type="dxa"/>
          </w:tcPr>
          <w:p w:rsidRPr="00997F1C" w:rsidR="0090420B" w:rsidP="003E5AEF" w:rsidRDefault="0090420B" w14:paraId="606C8D46" w14:textId="68CF6CC0">
            <w:pPr>
              <w:spacing w:line="240" w:lineRule="auto"/>
              <w:ind w:firstLine="0"/>
              <w:rPr>
                <w:rFonts w:eastAsia="Times New Roman" w:cs="Calibri"/>
                <w:color w:val="000000" w:themeColor="text1"/>
                <w:szCs w:val="26"/>
              </w:rPr>
            </w:pPr>
            <w:r w:rsidRPr="00997F1C">
              <w:rPr>
                <w:color w:val="000000" w:themeColor="text1"/>
              </w:rPr>
              <w:t>NQC</w:t>
            </w:r>
          </w:p>
        </w:tc>
        <w:tc>
          <w:tcPr>
            <w:tcW w:w="6860" w:type="dxa"/>
          </w:tcPr>
          <w:p w:rsidRPr="00997F1C" w:rsidR="0090420B" w:rsidP="003E5AEF" w:rsidRDefault="0090420B" w14:paraId="3F74A626" w14:textId="10DC1CA9">
            <w:pPr>
              <w:spacing w:line="240" w:lineRule="auto"/>
              <w:ind w:firstLine="0"/>
              <w:rPr>
                <w:rFonts w:eastAsia="Times New Roman" w:cs="Calibri"/>
                <w:color w:val="000000" w:themeColor="text1"/>
                <w:szCs w:val="26"/>
              </w:rPr>
            </w:pPr>
            <w:r w:rsidRPr="00997F1C">
              <w:rPr>
                <w:color w:val="000000" w:themeColor="text1"/>
              </w:rPr>
              <w:t>Net Qualifying Capacity</w:t>
            </w:r>
          </w:p>
        </w:tc>
      </w:tr>
      <w:tr w:rsidRPr="00997F1C" w:rsidR="004215F8" w14:paraId="49B7330E" w14:textId="77777777">
        <w:trPr>
          <w:trHeight w:val="288"/>
        </w:trPr>
        <w:tc>
          <w:tcPr>
            <w:tcW w:w="2700" w:type="dxa"/>
            <w:hideMark/>
          </w:tcPr>
          <w:p w:rsidRPr="00997F1C" w:rsidR="003E5AEF" w:rsidP="003E5AEF" w:rsidRDefault="003E5AEF" w14:paraId="628C40EB"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OP</w:t>
            </w:r>
          </w:p>
        </w:tc>
        <w:tc>
          <w:tcPr>
            <w:tcW w:w="6860" w:type="dxa"/>
            <w:hideMark/>
          </w:tcPr>
          <w:p w:rsidRPr="00997F1C" w:rsidR="003E5AEF" w:rsidP="003E5AEF" w:rsidRDefault="003E5AEF" w14:paraId="39A35316"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Ordering Paragraph</w:t>
            </w:r>
          </w:p>
        </w:tc>
      </w:tr>
      <w:tr w:rsidRPr="00997F1C" w:rsidR="004215F8" w14:paraId="5BCB5E02" w14:textId="77777777">
        <w:trPr>
          <w:trHeight w:val="288"/>
        </w:trPr>
        <w:tc>
          <w:tcPr>
            <w:tcW w:w="2700" w:type="dxa"/>
          </w:tcPr>
          <w:p w:rsidRPr="00997F1C" w:rsidR="003E5AEF" w:rsidP="003E5AEF" w:rsidRDefault="003E5AEF" w14:paraId="142E858B"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PABA</w:t>
            </w:r>
          </w:p>
        </w:tc>
        <w:tc>
          <w:tcPr>
            <w:tcW w:w="6860" w:type="dxa"/>
          </w:tcPr>
          <w:p w:rsidRPr="00997F1C" w:rsidR="003E5AEF" w:rsidP="003E5AEF" w:rsidRDefault="003E5AEF" w14:paraId="57C5D6B9"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Portfolio Allocation Balancing Account</w:t>
            </w:r>
          </w:p>
        </w:tc>
      </w:tr>
      <w:tr w:rsidRPr="00997F1C" w:rsidR="004215F8" w14:paraId="0FED63EB" w14:textId="77777777">
        <w:trPr>
          <w:trHeight w:val="288"/>
        </w:trPr>
        <w:tc>
          <w:tcPr>
            <w:tcW w:w="2700" w:type="dxa"/>
            <w:hideMark/>
          </w:tcPr>
          <w:p w:rsidRPr="00997F1C" w:rsidR="003E5AEF" w:rsidP="003E5AEF" w:rsidRDefault="003E5AEF" w14:paraId="23E254A9"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PCIA</w:t>
            </w:r>
          </w:p>
        </w:tc>
        <w:tc>
          <w:tcPr>
            <w:tcW w:w="6860" w:type="dxa"/>
            <w:hideMark/>
          </w:tcPr>
          <w:p w:rsidRPr="00997F1C" w:rsidR="003E5AEF" w:rsidP="003E5AEF" w:rsidRDefault="003E5AEF" w14:paraId="3CD69A62"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Power Charge Indifference Adjustment</w:t>
            </w:r>
          </w:p>
        </w:tc>
      </w:tr>
      <w:tr w:rsidRPr="00997F1C" w:rsidR="004215F8" w14:paraId="2CC98D24" w14:textId="77777777">
        <w:trPr>
          <w:trHeight w:val="288"/>
        </w:trPr>
        <w:tc>
          <w:tcPr>
            <w:tcW w:w="2700" w:type="dxa"/>
          </w:tcPr>
          <w:p w:rsidRPr="00997F1C" w:rsidR="003E5AEF" w:rsidP="003E5AEF" w:rsidRDefault="003E5AEF" w14:paraId="211ED855"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PUBA</w:t>
            </w:r>
          </w:p>
        </w:tc>
        <w:tc>
          <w:tcPr>
            <w:tcW w:w="6860" w:type="dxa"/>
          </w:tcPr>
          <w:p w:rsidRPr="00997F1C" w:rsidR="003E5AEF" w:rsidP="003E5AEF" w:rsidRDefault="003E5AEF" w14:paraId="375E03EE"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xml:space="preserve">PCIA </w:t>
            </w:r>
            <w:proofErr w:type="spellStart"/>
            <w:r w:rsidRPr="00997F1C">
              <w:rPr>
                <w:rFonts w:eastAsia="Times New Roman" w:cs="Calibri"/>
                <w:color w:val="000000" w:themeColor="text1"/>
                <w:szCs w:val="26"/>
              </w:rPr>
              <w:t>Undercollection</w:t>
            </w:r>
            <w:proofErr w:type="spellEnd"/>
            <w:r w:rsidRPr="00997F1C">
              <w:rPr>
                <w:rFonts w:eastAsia="Times New Roman" w:cs="Calibri"/>
                <w:color w:val="000000" w:themeColor="text1"/>
                <w:szCs w:val="26"/>
              </w:rPr>
              <w:t xml:space="preserve"> Balancing Account</w:t>
            </w:r>
          </w:p>
        </w:tc>
      </w:tr>
      <w:tr w:rsidRPr="00997F1C" w:rsidR="004215F8" w14:paraId="649135C7" w14:textId="77777777">
        <w:trPr>
          <w:trHeight w:val="288"/>
        </w:trPr>
        <w:tc>
          <w:tcPr>
            <w:tcW w:w="2700" w:type="dxa"/>
            <w:hideMark/>
          </w:tcPr>
          <w:p w:rsidRPr="00997F1C" w:rsidR="003E5AEF" w:rsidP="003E5AEF" w:rsidRDefault="003E5AEF" w14:paraId="4B386316"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PURPA</w:t>
            </w:r>
          </w:p>
        </w:tc>
        <w:tc>
          <w:tcPr>
            <w:tcW w:w="6860" w:type="dxa"/>
            <w:hideMark/>
          </w:tcPr>
          <w:p w:rsidRPr="00997F1C" w:rsidR="003E5AEF" w:rsidP="003E5AEF" w:rsidRDefault="003E5AEF" w14:paraId="4D3E27F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Public Utility Regulatory Policies Act</w:t>
            </w:r>
          </w:p>
        </w:tc>
      </w:tr>
      <w:tr w:rsidRPr="00997F1C" w:rsidR="004215F8" w14:paraId="0660E594" w14:textId="77777777">
        <w:trPr>
          <w:trHeight w:val="288"/>
        </w:trPr>
        <w:tc>
          <w:tcPr>
            <w:tcW w:w="2700" w:type="dxa"/>
            <w:hideMark/>
          </w:tcPr>
          <w:p w:rsidRPr="00997F1C" w:rsidR="003E5AEF" w:rsidP="003E5AEF" w:rsidRDefault="003E5AEF" w14:paraId="31C912D2"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PV</w:t>
            </w:r>
          </w:p>
        </w:tc>
        <w:tc>
          <w:tcPr>
            <w:tcW w:w="6860" w:type="dxa"/>
            <w:hideMark/>
          </w:tcPr>
          <w:p w:rsidRPr="00997F1C" w:rsidR="003E5AEF" w:rsidP="003E5AEF" w:rsidRDefault="003E5AEF" w14:paraId="09E3E1FA"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Solar photovoltaic</w:t>
            </w:r>
          </w:p>
        </w:tc>
      </w:tr>
      <w:tr w:rsidRPr="00997F1C" w:rsidR="004215F8" w14:paraId="128DEB6D" w14:textId="77777777">
        <w:trPr>
          <w:trHeight w:val="576"/>
        </w:trPr>
        <w:tc>
          <w:tcPr>
            <w:tcW w:w="2700" w:type="dxa"/>
            <w:hideMark/>
          </w:tcPr>
          <w:p w:rsidRPr="00997F1C" w:rsidR="003E5AEF" w:rsidP="003E5AEF" w:rsidRDefault="003E5AEF" w14:paraId="4E540341"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QF</w:t>
            </w:r>
          </w:p>
        </w:tc>
        <w:tc>
          <w:tcPr>
            <w:tcW w:w="6860" w:type="dxa"/>
            <w:hideMark/>
          </w:tcPr>
          <w:p w:rsidRPr="00997F1C" w:rsidR="003E5AEF" w:rsidP="003E5AEF" w:rsidRDefault="003E5AEF" w14:paraId="080DC010"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Qualifying generation facilities under the Public Utility Regulatory Policies Act of 1978</w:t>
            </w:r>
          </w:p>
        </w:tc>
      </w:tr>
      <w:tr w:rsidRPr="00997F1C" w:rsidR="004215F8" w14:paraId="32D61B1E" w14:textId="77777777">
        <w:trPr>
          <w:trHeight w:val="288"/>
        </w:trPr>
        <w:tc>
          <w:tcPr>
            <w:tcW w:w="2700" w:type="dxa"/>
            <w:hideMark/>
          </w:tcPr>
          <w:p w:rsidRPr="00997F1C" w:rsidR="003E5AEF" w:rsidP="003E5AEF" w:rsidRDefault="003E5AEF" w14:paraId="698D5E41"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RPS</w:t>
            </w:r>
          </w:p>
        </w:tc>
        <w:tc>
          <w:tcPr>
            <w:tcW w:w="6860" w:type="dxa"/>
            <w:hideMark/>
          </w:tcPr>
          <w:p w:rsidRPr="00997F1C" w:rsidR="003E5AEF" w:rsidP="003E5AEF" w:rsidRDefault="003E5AEF" w14:paraId="6F65E383"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Renewable Portfolio Standard</w:t>
            </w:r>
          </w:p>
        </w:tc>
      </w:tr>
      <w:tr w:rsidRPr="00997F1C" w:rsidR="004215F8" w14:paraId="4DD5D9A2" w14:textId="77777777">
        <w:trPr>
          <w:trHeight w:val="288"/>
        </w:trPr>
        <w:tc>
          <w:tcPr>
            <w:tcW w:w="2700" w:type="dxa"/>
            <w:hideMark/>
          </w:tcPr>
          <w:p w:rsidRPr="00997F1C" w:rsidR="003E5AEF" w:rsidP="003E5AEF" w:rsidRDefault="003E5AEF" w14:paraId="5ADB118F"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lastRenderedPageBreak/>
              <w:t>Unbundled customer</w:t>
            </w:r>
          </w:p>
        </w:tc>
        <w:tc>
          <w:tcPr>
            <w:tcW w:w="6860" w:type="dxa"/>
            <w:hideMark/>
          </w:tcPr>
          <w:p w:rsidRPr="00997F1C" w:rsidR="003E5AEF" w:rsidP="003E5AEF" w:rsidRDefault="003E5AEF" w14:paraId="213D759D"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 xml:space="preserve">A customer that receives energy delivery services from PG&amp;E but </w:t>
            </w:r>
            <w:proofErr w:type="gramStart"/>
            <w:r w:rsidRPr="00997F1C">
              <w:rPr>
                <w:rFonts w:eastAsia="Times New Roman" w:cs="Calibri"/>
                <w:color w:val="000000" w:themeColor="text1"/>
                <w:szCs w:val="26"/>
              </w:rPr>
              <w:t>take</w:t>
            </w:r>
            <w:proofErr w:type="gramEnd"/>
            <w:r w:rsidRPr="00997F1C">
              <w:rPr>
                <w:rFonts w:eastAsia="Times New Roman" w:cs="Calibri"/>
                <w:color w:val="000000" w:themeColor="text1"/>
                <w:szCs w:val="26"/>
              </w:rPr>
              <w:t xml:space="preserve"> energy from another supplier. Unbundled customers include CCA and Direct Access customers.</w:t>
            </w:r>
          </w:p>
        </w:tc>
      </w:tr>
      <w:tr w:rsidRPr="00997F1C" w:rsidR="004215F8" w14:paraId="34A72EAC" w14:textId="77777777">
        <w:trPr>
          <w:trHeight w:val="288"/>
        </w:trPr>
        <w:tc>
          <w:tcPr>
            <w:tcW w:w="2700" w:type="dxa"/>
            <w:hideMark/>
          </w:tcPr>
          <w:p w:rsidRPr="00997F1C" w:rsidR="003E5AEF" w:rsidP="003E5AEF" w:rsidRDefault="003E5AEF" w14:paraId="200AEE46"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UOG</w:t>
            </w:r>
          </w:p>
        </w:tc>
        <w:tc>
          <w:tcPr>
            <w:tcW w:w="6860" w:type="dxa"/>
            <w:hideMark/>
          </w:tcPr>
          <w:p w:rsidRPr="00997F1C" w:rsidR="003E5AEF" w:rsidP="003E5AEF" w:rsidRDefault="003E5AEF" w14:paraId="5E63C5C6"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Utility-owned generation</w:t>
            </w:r>
          </w:p>
        </w:tc>
      </w:tr>
      <w:tr w:rsidRPr="00997F1C" w:rsidR="004215F8" w14:paraId="03B18622" w14:textId="77777777">
        <w:trPr>
          <w:trHeight w:val="288"/>
        </w:trPr>
        <w:tc>
          <w:tcPr>
            <w:tcW w:w="2700" w:type="dxa"/>
            <w:hideMark/>
          </w:tcPr>
          <w:p w:rsidRPr="00997F1C" w:rsidR="003E5AEF" w:rsidP="003E5AEF" w:rsidRDefault="003E5AEF" w14:paraId="0CB64BFD"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VAMO</w:t>
            </w:r>
          </w:p>
        </w:tc>
        <w:tc>
          <w:tcPr>
            <w:tcW w:w="6860" w:type="dxa"/>
            <w:hideMark/>
          </w:tcPr>
          <w:p w:rsidRPr="00997F1C" w:rsidR="003E5AEF" w:rsidP="003E5AEF" w:rsidRDefault="003E5AEF" w14:paraId="488DD1AC"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Voluntary Allocation Market Offer</w:t>
            </w:r>
          </w:p>
        </w:tc>
      </w:tr>
      <w:tr w:rsidRPr="00997F1C" w:rsidR="004215F8" w14:paraId="41D8C2C2" w14:textId="77777777">
        <w:trPr>
          <w:trHeight w:val="288"/>
        </w:trPr>
        <w:tc>
          <w:tcPr>
            <w:tcW w:w="2700" w:type="dxa"/>
            <w:hideMark/>
          </w:tcPr>
          <w:p w:rsidRPr="00997F1C" w:rsidR="003E5AEF" w:rsidP="003E5AEF" w:rsidRDefault="003E5AEF" w14:paraId="4C73873D"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VAMOMA</w:t>
            </w:r>
          </w:p>
        </w:tc>
        <w:tc>
          <w:tcPr>
            <w:tcW w:w="6860" w:type="dxa"/>
            <w:hideMark/>
          </w:tcPr>
          <w:p w:rsidRPr="00997F1C" w:rsidR="003E5AEF" w:rsidP="003E5AEF" w:rsidRDefault="003E5AEF" w14:paraId="0718148B" w14:textId="77777777">
            <w:pPr>
              <w:spacing w:line="240" w:lineRule="auto"/>
              <w:ind w:firstLine="0"/>
              <w:rPr>
                <w:rFonts w:eastAsia="Times New Roman" w:cs="Calibri"/>
                <w:color w:val="000000" w:themeColor="text1"/>
                <w:szCs w:val="26"/>
              </w:rPr>
            </w:pPr>
            <w:r w:rsidRPr="00997F1C">
              <w:rPr>
                <w:rFonts w:eastAsia="Times New Roman" w:cs="Calibri"/>
                <w:color w:val="000000" w:themeColor="text1"/>
                <w:szCs w:val="26"/>
              </w:rPr>
              <w:t>Voluntary Allocation Market Offer Memorandum Account</w:t>
            </w:r>
          </w:p>
        </w:tc>
      </w:tr>
    </w:tbl>
    <w:p w:rsidRPr="00997F1C" w:rsidR="003E5AEF" w:rsidP="003E5AEF" w:rsidRDefault="003E5AEF" w14:paraId="33B45109" w14:textId="77777777">
      <w:pPr>
        <w:ind w:firstLine="0"/>
        <w:jc w:val="center"/>
        <w:rPr>
          <w:b/>
          <w:bCs/>
          <w:color w:val="000000" w:themeColor="text1"/>
        </w:rPr>
      </w:pPr>
    </w:p>
    <w:p w:rsidRPr="00997F1C" w:rsidR="003E5AEF" w:rsidP="003E5AEF" w:rsidRDefault="003E5AEF" w14:paraId="2795A7D4" w14:textId="77777777">
      <w:pPr>
        <w:ind w:firstLine="0"/>
        <w:jc w:val="center"/>
        <w:rPr>
          <w:b/>
          <w:bCs/>
          <w:color w:val="000000" w:themeColor="text1"/>
        </w:rPr>
      </w:pPr>
    </w:p>
    <w:p w:rsidRPr="00997F1C" w:rsidR="003E5AEF" w:rsidP="003E5AEF" w:rsidRDefault="003E5AEF" w14:paraId="33543686" w14:textId="77777777">
      <w:pPr>
        <w:ind w:firstLine="0"/>
        <w:jc w:val="center"/>
        <w:rPr>
          <w:color w:val="000000" w:themeColor="text1"/>
          <w:sz w:val="22"/>
          <w:szCs w:val="20"/>
        </w:rPr>
      </w:pPr>
      <w:r w:rsidRPr="00997F1C">
        <w:rPr>
          <w:b/>
          <w:bCs/>
          <w:color w:val="000000" w:themeColor="text1"/>
        </w:rPr>
        <w:t>(END OF APPENDIX A)</w:t>
      </w:r>
    </w:p>
    <w:p w:rsidRPr="00997F1C" w:rsidR="007B71DD" w:rsidP="00BB5F01" w:rsidRDefault="007B71DD" w14:paraId="5A4B7B10" w14:textId="77777777">
      <w:pPr>
        <w:rPr>
          <w:color w:val="000000" w:themeColor="text1"/>
        </w:rPr>
      </w:pPr>
    </w:p>
    <w:p w:rsidRPr="00997F1C" w:rsidR="007B71DD" w:rsidP="00BB5F01" w:rsidRDefault="007B71DD" w14:paraId="19F94D5D" w14:textId="77777777">
      <w:pPr>
        <w:rPr>
          <w:color w:val="000000" w:themeColor="text1"/>
        </w:rPr>
      </w:pPr>
    </w:p>
    <w:p w:rsidRPr="00997F1C" w:rsidR="007B71DD" w:rsidP="00BB5F01" w:rsidRDefault="007B71DD" w14:paraId="50F94091" w14:textId="77777777">
      <w:pPr>
        <w:rPr>
          <w:color w:val="000000" w:themeColor="text1"/>
        </w:rPr>
      </w:pPr>
    </w:p>
    <w:p w:rsidRPr="00997F1C" w:rsidR="007B71DD" w:rsidP="00BB5F01" w:rsidRDefault="007B71DD" w14:paraId="71E62EC0" w14:textId="77777777">
      <w:pPr>
        <w:rPr>
          <w:color w:val="000000" w:themeColor="text1"/>
        </w:rPr>
      </w:pPr>
    </w:p>
    <w:p w:rsidRPr="00997F1C" w:rsidR="007B71DD" w:rsidP="00BB5F01" w:rsidRDefault="007B71DD" w14:paraId="5A32897F" w14:textId="77777777">
      <w:pPr>
        <w:rPr>
          <w:color w:val="000000" w:themeColor="text1"/>
        </w:rPr>
      </w:pPr>
    </w:p>
    <w:p w:rsidRPr="00997F1C" w:rsidR="007B71DD" w:rsidP="00BB5F01" w:rsidRDefault="007B71DD" w14:paraId="096FB174" w14:textId="77777777">
      <w:pPr>
        <w:rPr>
          <w:color w:val="000000" w:themeColor="text1"/>
        </w:rPr>
      </w:pPr>
    </w:p>
    <w:p w:rsidRPr="00997F1C" w:rsidR="007B71DD" w:rsidP="00BB5F01" w:rsidRDefault="007B71DD" w14:paraId="58670664" w14:textId="77777777">
      <w:pPr>
        <w:rPr>
          <w:color w:val="000000" w:themeColor="text1"/>
        </w:rPr>
      </w:pPr>
    </w:p>
    <w:p w:rsidRPr="00997F1C" w:rsidR="007B71DD" w:rsidP="00BB5F01" w:rsidRDefault="007B71DD" w14:paraId="089353CE" w14:textId="77777777">
      <w:pPr>
        <w:rPr>
          <w:color w:val="000000" w:themeColor="text1"/>
        </w:rPr>
      </w:pPr>
    </w:p>
    <w:p w:rsidRPr="00997F1C" w:rsidR="007B71DD" w:rsidP="007B71DD" w:rsidRDefault="007B71DD" w14:paraId="5F0D5DEA" w14:textId="77777777">
      <w:pPr>
        <w:rPr>
          <w:color w:val="000000" w:themeColor="text1"/>
          <w:sz w:val="22"/>
          <w:szCs w:val="20"/>
        </w:rPr>
      </w:pPr>
    </w:p>
    <w:p w:rsidRPr="00997F1C" w:rsidR="007B71DD" w:rsidP="00BB5F01" w:rsidRDefault="007B71DD" w14:paraId="7B5B7349" w14:textId="77777777">
      <w:pPr>
        <w:rPr>
          <w:color w:val="000000" w:themeColor="text1"/>
        </w:rPr>
      </w:pPr>
    </w:p>
    <w:sectPr w:rsidRPr="00997F1C" w:rsidR="007B71DD" w:rsidSect="00207D41">
      <w:headerReference w:type="default" r:id="rId20"/>
      <w:footerReference w:type="default" r:id="rId21"/>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9B3A" w14:textId="77777777" w:rsidR="00867845" w:rsidRDefault="00867845" w:rsidP="0098138E">
      <w:pPr>
        <w:spacing w:line="240" w:lineRule="auto"/>
      </w:pPr>
      <w:r>
        <w:separator/>
      </w:r>
    </w:p>
  </w:endnote>
  <w:endnote w:type="continuationSeparator" w:id="0">
    <w:p w14:paraId="30C2C71E" w14:textId="77777777" w:rsidR="00867845" w:rsidRDefault="0086784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77A92040"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4031EEA3" w:rsidR="00632207" w:rsidRDefault="00AF46E4" w:rsidP="007E0FEE">
    <w:pPr>
      <w:tabs>
        <w:tab w:val="center" w:pos="4680"/>
      </w:tabs>
      <w:ind w:firstLine="0"/>
      <w:rPr>
        <w:noProof/>
      </w:rPr>
    </w:pPr>
    <w:r w:rsidRPr="00AF46E4">
      <w:rPr>
        <w:sz w:val="16"/>
        <w:szCs w:val="16"/>
      </w:rPr>
      <w:t>5</w:t>
    </w:r>
    <w:sdt>
      <w:sdtPr>
        <w:id w:val="-1352874971"/>
        <w:docPartObj>
          <w:docPartGallery w:val="Page Numbers (Bottom of Page)"/>
          <w:docPartUnique/>
        </w:docPartObj>
      </w:sdtPr>
      <w:sdtEndPr>
        <w:rPr>
          <w:noProof/>
        </w:rPr>
      </w:sdtEndPr>
      <w:sdtContent>
        <w:r w:rsidR="00635C3C" w:rsidRPr="00BA3B05">
          <w:rPr>
            <w:sz w:val="16"/>
            <w:szCs w:val="16"/>
          </w:rPr>
          <w:t>9</w:t>
        </w:r>
        <w:r w:rsidR="00463C9A">
          <w:rPr>
            <w:sz w:val="16"/>
            <w:szCs w:val="16"/>
          </w:rPr>
          <w:t>2312564</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61D333D1"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E11C" w14:textId="16D9B228" w:rsidR="00EE27AE" w:rsidRDefault="00000000" w:rsidP="008003AC">
    <w:pPr>
      <w:pStyle w:val="Footer"/>
      <w:ind w:firstLine="0"/>
      <w:jc w:val="center"/>
    </w:pPr>
    <w:sdt>
      <w:sdtPr>
        <w:id w:val="-806390521"/>
        <w:docPartObj>
          <w:docPartGallery w:val="Page Numbers (Bottom of Page)"/>
          <w:docPartUnique/>
        </w:docPartObj>
      </w:sdtPr>
      <w:sdtEndPr>
        <w:rPr>
          <w:noProof/>
        </w:rPr>
      </w:sdtEndPr>
      <w:sdtContent>
        <w:r w:rsidR="008003AC">
          <w:t>-</w:t>
        </w:r>
        <w:r w:rsidR="00EE27AE">
          <w:fldChar w:fldCharType="begin"/>
        </w:r>
        <w:r w:rsidR="00EE27AE">
          <w:instrText xml:space="preserve"> PAGE   \* MERGEFORMAT </w:instrText>
        </w:r>
        <w:r w:rsidR="00EE27AE">
          <w:fldChar w:fldCharType="separate"/>
        </w:r>
        <w:r w:rsidR="00EE27AE">
          <w:rPr>
            <w:noProof/>
          </w:rPr>
          <w:t>2</w:t>
        </w:r>
        <w:r w:rsidR="00EE27AE">
          <w:rPr>
            <w:noProof/>
          </w:rPr>
          <w:fldChar w:fldCharType="end"/>
        </w:r>
      </w:sdtContent>
    </w:sdt>
    <w:r w:rsidR="008003AC">
      <w:rPr>
        <w:noProof/>
      </w:rPr>
      <w:t>-</w:t>
    </w:r>
  </w:p>
  <w:p w14:paraId="0C880254" w14:textId="4EC3AD3A" w:rsidR="00542ABD" w:rsidRDefault="00542ABD" w:rsidP="00B60CC7">
    <w:pPr>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0833" w14:textId="72F5158D" w:rsidR="00EE27AE" w:rsidRDefault="008003AC" w:rsidP="008003AC">
    <w:pPr>
      <w:pStyle w:val="Footer"/>
      <w:ind w:firstLine="0"/>
      <w:jc w:val="center"/>
    </w:pPr>
    <w:r>
      <w:t>-</w:t>
    </w:r>
    <w:sdt>
      <w:sdtPr>
        <w:id w:val="1720322420"/>
        <w:docPartObj>
          <w:docPartGallery w:val="Page Numbers (Bottom of Page)"/>
          <w:docPartUnique/>
        </w:docPartObj>
      </w:sdtPr>
      <w:sdtEndPr>
        <w:rPr>
          <w:noProof/>
        </w:rPr>
      </w:sdtEndPr>
      <w:sdtContent>
        <w:r w:rsidR="00EE27AE">
          <w:fldChar w:fldCharType="begin"/>
        </w:r>
        <w:r w:rsidR="00EE27AE">
          <w:instrText xml:space="preserve"> PAGE   \* MERGEFORMAT </w:instrText>
        </w:r>
        <w:r w:rsidR="00EE27AE">
          <w:fldChar w:fldCharType="separate"/>
        </w:r>
        <w:r w:rsidR="00EE27AE">
          <w:rPr>
            <w:noProof/>
          </w:rPr>
          <w:t>2</w:t>
        </w:r>
        <w:r w:rsidR="00EE27AE">
          <w:rPr>
            <w:noProof/>
          </w:rPr>
          <w:fldChar w:fldCharType="end"/>
        </w:r>
        <w:r>
          <w:rPr>
            <w:noProof/>
          </w:rPr>
          <w:t>-</w:t>
        </w:r>
      </w:sdtContent>
    </w:sdt>
  </w:p>
  <w:p w14:paraId="55744613" w14:textId="0927D09E" w:rsidR="00542ABD" w:rsidRDefault="00542ABD" w:rsidP="007E0FEE">
    <w:pPr>
      <w:tabs>
        <w:tab w:val="center" w:pos="4680"/>
      </w:tabs>
      <w:ind w:firstLine="0"/>
      <w:rPr>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436C" w14:textId="33E2C9DB" w:rsidR="008003AC" w:rsidRDefault="008003AC" w:rsidP="008003AC">
    <w:pPr>
      <w:pStyle w:val="Footer"/>
      <w:ind w:firstLine="0"/>
      <w:jc w:val="center"/>
    </w:pPr>
    <w:r>
      <w:t>-</w:t>
    </w:r>
    <w:sdt>
      <w:sdtPr>
        <w:id w:val="514112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11CD6FD6" w14:textId="4464C3DE" w:rsidR="003E5AEF" w:rsidRDefault="003E5AEF">
    <w:pPr>
      <w:spacing w:line="240" w:lineRule="auto"/>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4518" w14:textId="4B62D8E0" w:rsidR="003E5AEF" w:rsidRPr="00C14AC7" w:rsidRDefault="001402A7" w:rsidP="001402A7">
    <w:pPr>
      <w:pStyle w:val="Footer"/>
      <w:tabs>
        <w:tab w:val="clear" w:pos="4680"/>
        <w:tab w:val="center" w:pos="4320"/>
      </w:tabs>
      <w:ind w:firstLine="0"/>
      <w:jc w:val="center"/>
    </w:pPr>
    <w: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218DB58D"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2935" w14:textId="77777777" w:rsidR="00867845" w:rsidRDefault="00867845" w:rsidP="00DF58E7">
      <w:pPr>
        <w:spacing w:line="240" w:lineRule="auto"/>
        <w:ind w:firstLine="0"/>
      </w:pPr>
      <w:r>
        <w:separator/>
      </w:r>
    </w:p>
  </w:footnote>
  <w:footnote w:type="continuationSeparator" w:id="0">
    <w:p w14:paraId="35EF5A64" w14:textId="77777777" w:rsidR="00867845" w:rsidRDefault="00867845" w:rsidP="00DF58E7">
      <w:pPr>
        <w:spacing w:line="240" w:lineRule="auto"/>
        <w:ind w:firstLine="0"/>
      </w:pPr>
      <w:r>
        <w:continuationSeparator/>
      </w:r>
    </w:p>
  </w:footnote>
  <w:footnote w:type="continuationNotice" w:id="1">
    <w:p w14:paraId="4A426C12" w14:textId="77777777" w:rsidR="00867845" w:rsidRPr="00DF58E7" w:rsidRDefault="00867845"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C40740F" w14:textId="18B7BFFA" w:rsidR="003A2E5C" w:rsidRPr="00997F1C" w:rsidRDefault="003A2E5C">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E43DF2" w:rsidRPr="00997F1C">
        <w:rPr>
          <w:color w:val="000000" w:themeColor="text1"/>
        </w:rPr>
        <w:t>Rates for DA and CCA customers do not include the cost of electricity generation, which is not procured by the utility.</w:t>
      </w:r>
    </w:p>
  </w:footnote>
  <w:footnote w:id="3">
    <w:p w14:paraId="209FF9F9" w14:textId="08F41E7E"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Bundled electric service customers are customers that receive both electricity generation and distribution services from PG&amp;E.  They are distinct from unbundled customers, such as DA and CCA customers, who receive energy delivery services from PG&amp;E but take energy from another supplier. </w:t>
      </w:r>
      <w:r w:rsidR="00542ABD" w:rsidRPr="00997F1C">
        <w:rPr>
          <w:color w:val="000000" w:themeColor="text1"/>
          <w:szCs w:val="22"/>
        </w:rPr>
        <w:t xml:space="preserve"> </w:t>
      </w:r>
      <w:r w:rsidRPr="00997F1C">
        <w:rPr>
          <w:color w:val="000000" w:themeColor="text1"/>
          <w:szCs w:val="22"/>
        </w:rPr>
        <w:t>Departed load customers are unbundled customers that have departed from bundled service.</w:t>
      </w:r>
    </w:p>
  </w:footnote>
  <w:footnote w:id="4">
    <w:p w14:paraId="34458A04"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D.02-10-062.</w:t>
      </w:r>
    </w:p>
  </w:footnote>
  <w:footnote w:id="5">
    <w:p w14:paraId="6ACC9D02"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D.12-12-033; D.14-10-033.</w:t>
      </w:r>
    </w:p>
  </w:footnote>
  <w:footnote w:id="6">
    <w:p w14:paraId="46B04299"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D.14-10-033.</w:t>
      </w:r>
    </w:p>
  </w:footnote>
  <w:footnote w:id="7">
    <w:p w14:paraId="72F7BE92" w14:textId="730C1FB9"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PGE-01 and Exhibit PGE-06, Table 1-1.  </w:t>
      </w:r>
    </w:p>
  </w:footnote>
  <w:footnote w:id="8">
    <w:p w14:paraId="65F5CBFB" w14:textId="1FCAEAB2" w:rsidR="00FD151C" w:rsidRPr="00997F1C" w:rsidRDefault="00FD151C">
      <w:pPr>
        <w:pStyle w:val="FootnoteText"/>
        <w:rPr>
          <w:color w:val="000000" w:themeColor="text1"/>
        </w:rPr>
      </w:pPr>
      <w:r w:rsidRPr="00997F1C">
        <w:rPr>
          <w:rStyle w:val="FootnoteReference"/>
          <w:color w:val="000000" w:themeColor="text1"/>
        </w:rPr>
        <w:footnoteRef/>
      </w:r>
      <w:r w:rsidRPr="00997F1C">
        <w:rPr>
          <w:color w:val="000000" w:themeColor="text1"/>
        </w:rPr>
        <w:t xml:space="preserve"> As amended in </w:t>
      </w:r>
      <w:r w:rsidR="00D52E7D" w:rsidRPr="00997F1C">
        <w:rPr>
          <w:color w:val="000000" w:themeColor="text1"/>
        </w:rPr>
        <w:t>Fall Update Errata.</w:t>
      </w:r>
    </w:p>
  </w:footnote>
  <w:footnote w:id="9">
    <w:p w14:paraId="361EFD5E" w14:textId="22793D26" w:rsidR="00EE082B" w:rsidRDefault="00EE082B">
      <w:pPr>
        <w:pStyle w:val="FootnoteText"/>
      </w:pPr>
      <w:r>
        <w:rPr>
          <w:rStyle w:val="FootnoteReference"/>
        </w:rPr>
        <w:footnoteRef/>
      </w:r>
      <w:r>
        <w:t xml:space="preserve"> </w:t>
      </w:r>
      <w:r w:rsidR="00D504D9" w:rsidRPr="00D504D9">
        <w:t>Exhibit PGE-06, Tables 4-5, 6-1, 7-1, 13-1.</w:t>
      </w:r>
    </w:p>
  </w:footnote>
  <w:footnote w:id="10">
    <w:p w14:paraId="2556E2D3"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An LSE is any company that (a) sells or provides electricity to end users located in California, or (b) generates electricity at one site and consumes electricity at another site that is in California and that is owned or controlled by the company.</w:t>
      </w:r>
    </w:p>
  </w:footnote>
  <w:footnote w:id="11">
    <w:p w14:paraId="11486ED4"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Approved November 9, 2018.</w:t>
      </w:r>
    </w:p>
  </w:footnote>
  <w:footnote w:id="12">
    <w:p w14:paraId="22D07B02"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D.20-06-002, Ordering Paragraph (OP) 2.</w:t>
      </w:r>
    </w:p>
  </w:footnote>
  <w:footnote w:id="13">
    <w:p w14:paraId="62FF678B" w14:textId="5A143D36"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w:t>
      </w:r>
      <w:r w:rsidR="006E34A4" w:rsidRPr="00997F1C">
        <w:rPr>
          <w:color w:val="000000" w:themeColor="text1"/>
          <w:szCs w:val="22"/>
        </w:rPr>
        <w:t>01</w:t>
      </w:r>
      <w:r w:rsidRPr="00997F1C">
        <w:rPr>
          <w:color w:val="000000" w:themeColor="text1"/>
          <w:szCs w:val="22"/>
        </w:rPr>
        <w:t xml:space="preserve"> at 1</w:t>
      </w:r>
      <w:r w:rsidR="006E34A4" w:rsidRPr="00997F1C">
        <w:rPr>
          <w:color w:val="000000" w:themeColor="text1"/>
          <w:szCs w:val="22"/>
        </w:rPr>
        <w:t>-</w:t>
      </w:r>
      <w:r w:rsidRPr="00997F1C">
        <w:rPr>
          <w:color w:val="000000" w:themeColor="text1"/>
          <w:szCs w:val="22"/>
        </w:rPr>
        <w:t xml:space="preserve">2.  </w:t>
      </w:r>
    </w:p>
  </w:footnote>
  <w:footnote w:id="14">
    <w:p w14:paraId="7B3425EB"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The VAMOMA was established pursuant to D.21-05-030 and D.22-11-021 and authorized in AL 6275-E, effective July 27, 2021.</w:t>
      </w:r>
    </w:p>
  </w:footnote>
  <w:footnote w:id="15">
    <w:p w14:paraId="1A9FB431"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Pub. Util. Code Sections 366.2 and 366.3 require the Commission to make sure that departing (unbundled) customers do not burden remaining (bundled) utility customers with costs incurred to serve them.  D.02-11-022 addressed the Commission’s definition of customer indifference.</w:t>
      </w:r>
    </w:p>
  </w:footnote>
  <w:footnote w:id="16">
    <w:p w14:paraId="7BD06D2D"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D.06-07-030.</w:t>
      </w:r>
    </w:p>
  </w:footnote>
  <w:footnote w:id="17">
    <w:p w14:paraId="05F94C17" w14:textId="5EF833EC"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San Jose Clean Energy and Ava Community Energy Authority Joint Application for Rehearing of D</w:t>
      </w:r>
      <w:r w:rsidR="0012268E" w:rsidRPr="00997F1C">
        <w:rPr>
          <w:color w:val="000000" w:themeColor="text1"/>
        </w:rPr>
        <w:t>.</w:t>
      </w:r>
      <w:r w:rsidRPr="00997F1C">
        <w:rPr>
          <w:color w:val="000000" w:themeColor="text1"/>
        </w:rPr>
        <w:t xml:space="preserve">25-06-049, July 28, 2025 </w:t>
      </w:r>
      <w:r w:rsidRPr="00997F1C">
        <w:rPr>
          <w:i/>
          <w:iCs/>
          <w:color w:val="000000" w:themeColor="text1"/>
        </w:rPr>
        <w:t>and</w:t>
      </w:r>
      <w:r w:rsidRPr="00997F1C">
        <w:rPr>
          <w:color w:val="000000" w:themeColor="text1"/>
        </w:rPr>
        <w:t xml:space="preserve"> California Community Choice Association Application for Rehearing of Decision 25-06-049, July 28, 2025.</w:t>
      </w:r>
    </w:p>
  </w:footnote>
  <w:footnote w:id="18">
    <w:p w14:paraId="47E8C1D5"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D.19-10-001.</w:t>
      </w:r>
    </w:p>
  </w:footnote>
  <w:footnote w:id="19">
    <w:p w14:paraId="4760DA0D"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Pr="00997F1C">
        <w:rPr>
          <w:color w:val="000000" w:themeColor="text1"/>
          <w:szCs w:val="22"/>
        </w:rPr>
        <w:t>D.19-10-001.</w:t>
      </w:r>
    </w:p>
  </w:footnote>
  <w:footnote w:id="20">
    <w:p w14:paraId="6999FE1C"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The Commission issued Final 2025 MPBs on October 1, 2025.</w:t>
      </w:r>
    </w:p>
  </w:footnote>
  <w:footnote w:id="21">
    <w:p w14:paraId="53B66CC2"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PGE-06 at 18.</w:t>
      </w:r>
    </w:p>
  </w:footnote>
  <w:footnote w:id="22">
    <w:p w14:paraId="5DE2C034" w14:textId="16D347C7" w:rsidR="00B920F4" w:rsidRPr="00997F1C" w:rsidRDefault="00B920F4">
      <w:pPr>
        <w:pStyle w:val="FootnoteText"/>
        <w:rPr>
          <w:color w:val="000000" w:themeColor="text1"/>
        </w:rPr>
      </w:pPr>
      <w:r w:rsidRPr="00997F1C">
        <w:rPr>
          <w:rStyle w:val="FootnoteReference"/>
          <w:color w:val="000000" w:themeColor="text1"/>
        </w:rPr>
        <w:footnoteRef/>
      </w:r>
      <w:r w:rsidRPr="00997F1C">
        <w:rPr>
          <w:color w:val="000000" w:themeColor="text1"/>
        </w:rPr>
        <w:t xml:space="preserve"> Fall Update Errata</w:t>
      </w:r>
      <w:r w:rsidR="007278EF" w:rsidRPr="00997F1C">
        <w:rPr>
          <w:color w:val="000000" w:themeColor="text1"/>
        </w:rPr>
        <w:t>, Table 12-3.</w:t>
      </w:r>
      <w:r w:rsidRPr="00997F1C">
        <w:rPr>
          <w:color w:val="000000" w:themeColor="text1"/>
        </w:rPr>
        <w:t xml:space="preserve"> </w:t>
      </w:r>
    </w:p>
  </w:footnote>
  <w:footnote w:id="23">
    <w:p w14:paraId="7C4A4E03" w14:textId="762B4FA6" w:rsidR="138D25FD" w:rsidRPr="00997F1C" w:rsidRDefault="138D25FD" w:rsidP="00C04333">
      <w:pPr>
        <w:ind w:firstLine="0"/>
        <w:rPr>
          <w:color w:val="000000" w:themeColor="text1"/>
          <w:sz w:val="22"/>
        </w:rPr>
      </w:pPr>
      <w:r w:rsidRPr="00997F1C">
        <w:rPr>
          <w:color w:val="000000" w:themeColor="text1"/>
          <w:sz w:val="22"/>
          <w:vertAlign w:val="superscript"/>
        </w:rPr>
        <w:footnoteRef/>
      </w:r>
      <w:r w:rsidRPr="00997F1C">
        <w:rPr>
          <w:color w:val="000000" w:themeColor="text1"/>
          <w:sz w:val="22"/>
        </w:rPr>
        <w:t xml:space="preserve"> Fall Update Errata at 20</w:t>
      </w:r>
      <w:r w:rsidR="00C04333" w:rsidRPr="00997F1C">
        <w:rPr>
          <w:color w:val="000000" w:themeColor="text1"/>
          <w:sz w:val="22"/>
        </w:rPr>
        <w:t>.</w:t>
      </w:r>
    </w:p>
  </w:footnote>
  <w:footnote w:id="24">
    <w:p w14:paraId="0719EE84" w14:textId="769B8FD5" w:rsidR="46A7E850" w:rsidRPr="00997F1C" w:rsidRDefault="46A7E850" w:rsidP="00BB5F01">
      <w:pPr>
        <w:ind w:firstLine="0"/>
        <w:rPr>
          <w:color w:val="000000" w:themeColor="text1"/>
        </w:rPr>
      </w:pPr>
      <w:r w:rsidRPr="00997F1C">
        <w:rPr>
          <w:color w:val="000000" w:themeColor="text1"/>
          <w:sz w:val="22"/>
          <w:vertAlign w:val="superscript"/>
        </w:rPr>
        <w:footnoteRef/>
      </w:r>
      <w:r w:rsidRPr="00997F1C">
        <w:rPr>
          <w:color w:val="000000" w:themeColor="text1"/>
          <w:sz w:val="22"/>
          <w:vertAlign w:val="superscript"/>
        </w:rPr>
        <w:t xml:space="preserve"> </w:t>
      </w:r>
      <w:r w:rsidRPr="00997F1C">
        <w:rPr>
          <w:color w:val="000000" w:themeColor="text1"/>
          <w:sz w:val="22"/>
        </w:rPr>
        <w:t>Fall Update Errata at 22</w:t>
      </w:r>
      <w:r w:rsidR="00892B01" w:rsidRPr="00997F1C">
        <w:rPr>
          <w:color w:val="000000" w:themeColor="text1"/>
          <w:sz w:val="22"/>
        </w:rPr>
        <w:t>.</w:t>
      </w:r>
    </w:p>
  </w:footnote>
  <w:footnote w:id="25">
    <w:p w14:paraId="30C15BEC" w14:textId="72AF65A4" w:rsidR="00925F21" w:rsidRPr="00997F1C" w:rsidRDefault="00925F21">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D35BFE" w:rsidRPr="00997F1C">
        <w:rPr>
          <w:color w:val="000000" w:themeColor="text1"/>
        </w:rPr>
        <w:t>D.19-10-001 at 6.</w:t>
      </w:r>
    </w:p>
  </w:footnote>
  <w:footnote w:id="26">
    <w:p w14:paraId="303396EC" w14:textId="332A0387" w:rsidR="000E625E" w:rsidRPr="00997F1C" w:rsidRDefault="000E625E">
      <w:pPr>
        <w:pStyle w:val="FootnoteText"/>
        <w:rPr>
          <w:color w:val="000000" w:themeColor="text1"/>
        </w:rPr>
      </w:pPr>
      <w:r w:rsidRPr="00997F1C">
        <w:rPr>
          <w:rStyle w:val="FootnoteReference"/>
          <w:color w:val="000000" w:themeColor="text1"/>
        </w:rPr>
        <w:footnoteRef/>
      </w:r>
      <w:r w:rsidRPr="00997F1C">
        <w:rPr>
          <w:color w:val="000000" w:themeColor="text1"/>
        </w:rPr>
        <w:t xml:space="preserve"> D.25-06-059</w:t>
      </w:r>
      <w:r w:rsidR="00D81A32" w:rsidRPr="00997F1C">
        <w:rPr>
          <w:color w:val="000000" w:themeColor="text1"/>
        </w:rPr>
        <w:t xml:space="preserve"> at </w:t>
      </w:r>
      <w:r w:rsidRPr="00997F1C">
        <w:rPr>
          <w:color w:val="000000" w:themeColor="text1"/>
        </w:rPr>
        <w:t>OP</w:t>
      </w:r>
      <w:r w:rsidR="00D81A32" w:rsidRPr="00997F1C">
        <w:rPr>
          <w:color w:val="000000" w:themeColor="text1"/>
        </w:rPr>
        <w:t xml:space="preserve"> </w:t>
      </w:r>
      <w:r w:rsidRPr="00997F1C">
        <w:rPr>
          <w:color w:val="000000" w:themeColor="text1"/>
        </w:rPr>
        <w:t>1.</w:t>
      </w:r>
    </w:p>
  </w:footnote>
  <w:footnote w:id="27">
    <w:p w14:paraId="3EB4060C" w14:textId="4963B3A2"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B87DB5" w:rsidRPr="00997F1C">
        <w:rPr>
          <w:color w:val="000000" w:themeColor="text1"/>
        </w:rPr>
        <w:t xml:space="preserve">Fall Update Errata </w:t>
      </w:r>
      <w:r w:rsidR="00970DC2" w:rsidRPr="00997F1C">
        <w:rPr>
          <w:color w:val="000000" w:themeColor="text1"/>
        </w:rPr>
        <w:t>Table 12-4</w:t>
      </w:r>
      <w:r w:rsidR="00B87DB5" w:rsidRPr="00997F1C">
        <w:rPr>
          <w:color w:val="000000" w:themeColor="text1"/>
        </w:rPr>
        <w:t xml:space="preserve">, </w:t>
      </w:r>
      <w:r w:rsidRPr="00997F1C">
        <w:rPr>
          <w:color w:val="000000" w:themeColor="text1"/>
        </w:rPr>
        <w:t>Exhibit PGE-06 at 25, A.25-09-015.</w:t>
      </w:r>
    </w:p>
  </w:footnote>
  <w:footnote w:id="28">
    <w:p w14:paraId="1B58CEE2" w14:textId="48E9DA63"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4E0345" w:rsidRPr="00997F1C">
        <w:rPr>
          <w:color w:val="000000" w:themeColor="text1"/>
        </w:rPr>
        <w:t xml:space="preserve">ERRA Trigger Application </w:t>
      </w:r>
      <w:r w:rsidRPr="00997F1C">
        <w:rPr>
          <w:color w:val="000000" w:themeColor="text1"/>
        </w:rPr>
        <w:t xml:space="preserve">at </w:t>
      </w:r>
      <w:r w:rsidR="00503BC6" w:rsidRPr="00997F1C">
        <w:rPr>
          <w:color w:val="000000" w:themeColor="text1"/>
        </w:rPr>
        <w:t>7</w:t>
      </w:r>
      <w:r w:rsidRPr="00997F1C">
        <w:rPr>
          <w:color w:val="000000" w:themeColor="text1"/>
        </w:rPr>
        <w:t>.</w:t>
      </w:r>
    </w:p>
  </w:footnote>
  <w:footnote w:id="29">
    <w:p w14:paraId="0A6FF9BE" w14:textId="4453CDF2" w:rsidR="00517D02" w:rsidRPr="00997F1C" w:rsidRDefault="00517D02">
      <w:pPr>
        <w:pStyle w:val="FootnoteText"/>
        <w:rPr>
          <w:color w:val="000000" w:themeColor="text1"/>
        </w:rPr>
      </w:pPr>
      <w:r w:rsidRPr="00997F1C">
        <w:rPr>
          <w:rStyle w:val="FootnoteReference"/>
          <w:color w:val="000000" w:themeColor="text1"/>
        </w:rPr>
        <w:footnoteRef/>
      </w:r>
      <w:r w:rsidRPr="00997F1C">
        <w:rPr>
          <w:color w:val="000000" w:themeColor="text1"/>
        </w:rPr>
        <w:t xml:space="preserve"> Application at 21.</w:t>
      </w:r>
    </w:p>
  </w:footnote>
  <w:footnote w:id="30">
    <w:p w14:paraId="3DBEF5FE" w14:textId="0076C947" w:rsidR="00517D02" w:rsidRPr="00997F1C" w:rsidRDefault="00517D02">
      <w:pPr>
        <w:pStyle w:val="FootnoteText"/>
        <w:rPr>
          <w:color w:val="000000" w:themeColor="text1"/>
        </w:rPr>
      </w:pPr>
      <w:r w:rsidRPr="00997F1C">
        <w:rPr>
          <w:rStyle w:val="FootnoteReference"/>
          <w:color w:val="000000" w:themeColor="text1"/>
        </w:rPr>
        <w:footnoteRef/>
      </w:r>
      <w:r w:rsidRPr="00997F1C">
        <w:rPr>
          <w:color w:val="000000" w:themeColor="text1"/>
        </w:rPr>
        <w:t xml:space="preserve"> Application at 21.</w:t>
      </w:r>
    </w:p>
  </w:footnote>
  <w:footnote w:id="31">
    <w:p w14:paraId="7CEAB775" w14:textId="09F24D8B" w:rsidR="00517D02" w:rsidRPr="00997F1C" w:rsidRDefault="00517D02">
      <w:pPr>
        <w:pStyle w:val="FootnoteText"/>
        <w:rPr>
          <w:color w:val="000000" w:themeColor="text1"/>
        </w:rPr>
      </w:pPr>
      <w:r w:rsidRPr="00997F1C">
        <w:rPr>
          <w:rStyle w:val="FootnoteReference"/>
          <w:color w:val="000000" w:themeColor="text1"/>
        </w:rPr>
        <w:footnoteRef/>
      </w:r>
      <w:r w:rsidRPr="00997F1C">
        <w:rPr>
          <w:color w:val="000000" w:themeColor="text1"/>
        </w:rPr>
        <w:t xml:space="preserve"> ERRA Trigger Application at </w:t>
      </w:r>
      <w:r w:rsidR="00C14557" w:rsidRPr="00997F1C">
        <w:rPr>
          <w:color w:val="000000" w:themeColor="text1"/>
        </w:rPr>
        <w:t>2, Exhibit A</w:t>
      </w:r>
      <w:r w:rsidRPr="00997F1C">
        <w:rPr>
          <w:color w:val="000000" w:themeColor="text1"/>
        </w:rPr>
        <w:t>.</w:t>
      </w:r>
    </w:p>
  </w:footnote>
  <w:footnote w:id="32">
    <w:p w14:paraId="5C75AC82" w14:textId="1CD18BEF" w:rsidR="00C14557" w:rsidRPr="00997F1C" w:rsidRDefault="00C14557">
      <w:pPr>
        <w:pStyle w:val="FootnoteText"/>
        <w:rPr>
          <w:color w:val="000000" w:themeColor="text1"/>
        </w:rPr>
      </w:pPr>
      <w:r w:rsidRPr="00997F1C">
        <w:rPr>
          <w:rStyle w:val="FootnoteReference"/>
          <w:color w:val="000000" w:themeColor="text1"/>
        </w:rPr>
        <w:footnoteRef/>
      </w:r>
      <w:r w:rsidRPr="00997F1C">
        <w:rPr>
          <w:color w:val="000000" w:themeColor="text1"/>
        </w:rPr>
        <w:t xml:space="preserve"> ERRA Trigger Application at 2.</w:t>
      </w:r>
    </w:p>
  </w:footnote>
  <w:footnote w:id="33">
    <w:p w14:paraId="678004EB" w14:textId="478F849C" w:rsidR="00C14557" w:rsidRPr="00997F1C" w:rsidRDefault="00C14557">
      <w:pPr>
        <w:pStyle w:val="FootnoteText"/>
        <w:rPr>
          <w:color w:val="000000" w:themeColor="text1"/>
        </w:rPr>
      </w:pPr>
      <w:r w:rsidRPr="00997F1C">
        <w:rPr>
          <w:rStyle w:val="FootnoteReference"/>
          <w:color w:val="000000" w:themeColor="text1"/>
        </w:rPr>
        <w:footnoteRef/>
      </w:r>
      <w:r w:rsidRPr="00997F1C">
        <w:rPr>
          <w:color w:val="000000" w:themeColor="text1"/>
        </w:rPr>
        <w:t xml:space="preserve"> ERRA Trigger Application at 2, A-3.</w:t>
      </w:r>
    </w:p>
  </w:footnote>
  <w:footnote w:id="34">
    <w:p w14:paraId="357A4140" w14:textId="77777777" w:rsidR="00C14557" w:rsidRPr="00997F1C" w:rsidRDefault="00C14557" w:rsidP="00C14557">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PGE-06 at 25.</w:t>
      </w:r>
    </w:p>
  </w:footnote>
  <w:footnote w:id="35">
    <w:p w14:paraId="2E26040D" w14:textId="77777777" w:rsidR="00C14557" w:rsidRPr="00997F1C" w:rsidRDefault="00C14557" w:rsidP="00C14557">
      <w:pPr>
        <w:pStyle w:val="FootnoteText"/>
        <w:rPr>
          <w:color w:val="000000" w:themeColor="text1"/>
        </w:rPr>
      </w:pPr>
      <w:r w:rsidRPr="00997F1C">
        <w:rPr>
          <w:rStyle w:val="FootnoteReference"/>
          <w:color w:val="000000" w:themeColor="text1"/>
        </w:rPr>
        <w:footnoteRef/>
      </w:r>
      <w:r w:rsidRPr="00997F1C">
        <w:rPr>
          <w:color w:val="000000" w:themeColor="text1"/>
        </w:rPr>
        <w:t xml:space="preserve"> Fall Update Errata, Table 12-4.</w:t>
      </w:r>
    </w:p>
  </w:footnote>
  <w:footnote w:id="36">
    <w:p w14:paraId="6859BC57" w14:textId="10EF243F" w:rsidR="009F5B0F" w:rsidRPr="00997F1C" w:rsidRDefault="009F5B0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46562B" w:rsidRPr="00997F1C">
        <w:rPr>
          <w:color w:val="000000" w:themeColor="text1"/>
        </w:rPr>
        <w:t>Fall Update Errata</w:t>
      </w:r>
      <w:r w:rsidRPr="00997F1C">
        <w:rPr>
          <w:color w:val="000000" w:themeColor="text1"/>
        </w:rPr>
        <w:t>, Table 12-4.</w:t>
      </w:r>
    </w:p>
  </w:footnote>
  <w:footnote w:id="37">
    <w:p w14:paraId="248FFA34"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PGE-06 at 26.</w:t>
      </w:r>
    </w:p>
  </w:footnote>
  <w:footnote w:id="38">
    <w:p w14:paraId="427E5623"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PGE-06 at 26; PG&amp;E Opening Brief at 22.</w:t>
      </w:r>
    </w:p>
  </w:footnote>
  <w:footnote w:id="39">
    <w:p w14:paraId="43A6E642"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The PPCP subaccount was established in AL 6524-E.</w:t>
      </w:r>
    </w:p>
  </w:footnote>
  <w:footnote w:id="40">
    <w:p w14:paraId="73F783D2"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Res. E-4770, March 17, 2016.</w:t>
      </w:r>
    </w:p>
  </w:footnote>
  <w:footnote w:id="41">
    <w:p w14:paraId="79890D51"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As codified in Pub. Util. Code Section 399.20.03(f).</w:t>
      </w:r>
    </w:p>
  </w:footnote>
  <w:footnote w:id="42">
    <w:p w14:paraId="19D0CA59"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Res. E-4805, October 21, 2016.</w:t>
      </w:r>
    </w:p>
  </w:footnote>
  <w:footnote w:id="43">
    <w:p w14:paraId="79EF7DCA" w14:textId="73505CE0"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PGE-01 at </w:t>
      </w:r>
      <w:r w:rsidR="0074230E" w:rsidRPr="00997F1C">
        <w:rPr>
          <w:color w:val="000000" w:themeColor="text1"/>
          <w:szCs w:val="22"/>
        </w:rPr>
        <w:t>9-2</w:t>
      </w:r>
      <w:r w:rsidRPr="00997F1C">
        <w:rPr>
          <w:color w:val="000000" w:themeColor="text1"/>
          <w:szCs w:val="22"/>
        </w:rPr>
        <w:t>.</w:t>
      </w:r>
    </w:p>
  </w:footnote>
  <w:footnote w:id="44">
    <w:p w14:paraId="73B996D4"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PGE-01 at 9-2.</w:t>
      </w:r>
    </w:p>
  </w:footnote>
  <w:footnote w:id="45">
    <w:p w14:paraId="31DC4B50"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PGE-01 at 9-2.</w:t>
      </w:r>
    </w:p>
  </w:footnote>
  <w:footnote w:id="46">
    <w:p w14:paraId="5DE537E7"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PGE-06, Table 8-1.</w:t>
      </w:r>
    </w:p>
  </w:footnote>
  <w:footnote w:id="47">
    <w:p w14:paraId="3D9E8BA2"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AL 6001-E-A.</w:t>
      </w:r>
    </w:p>
  </w:footnote>
  <w:footnote w:id="48">
    <w:p w14:paraId="1E0534E6"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8-19.</w:t>
      </w:r>
    </w:p>
  </w:footnote>
  <w:footnote w:id="49">
    <w:p w14:paraId="48CB0CB5"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8-19, PG&amp;E Opening Brief at 18.</w:t>
      </w:r>
    </w:p>
  </w:footnote>
  <w:footnote w:id="50">
    <w:p w14:paraId="30B35B97"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8-19.</w:t>
      </w:r>
    </w:p>
  </w:footnote>
  <w:footnote w:id="51">
    <w:p w14:paraId="6BCD6F8B"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8-19.</w:t>
      </w:r>
    </w:p>
  </w:footnote>
  <w:footnote w:id="52">
    <w:p w14:paraId="433D1079" w14:textId="4E6BD31E"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w:t>
      </w:r>
      <w:r w:rsidR="009E64C2" w:rsidRPr="00997F1C">
        <w:rPr>
          <w:color w:val="000000" w:themeColor="text1"/>
        </w:rPr>
        <w:t>8-19</w:t>
      </w:r>
      <w:r w:rsidRPr="00997F1C">
        <w:rPr>
          <w:color w:val="000000" w:themeColor="text1"/>
        </w:rPr>
        <w:t>.</w:t>
      </w:r>
    </w:p>
  </w:footnote>
  <w:footnote w:id="53">
    <w:p w14:paraId="18ADB7DE"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8-19.</w:t>
      </w:r>
    </w:p>
  </w:footnote>
  <w:footnote w:id="54">
    <w:p w14:paraId="4FC6B705" w14:textId="77777777" w:rsidR="00345D71" w:rsidRPr="00997F1C" w:rsidRDefault="00345D71" w:rsidP="00345D71">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Opening Brief at 20.</w:t>
      </w:r>
    </w:p>
  </w:footnote>
  <w:footnote w:id="55">
    <w:p w14:paraId="15681063" w14:textId="77777777" w:rsidR="00345D71" w:rsidRPr="00997F1C" w:rsidRDefault="00345D71" w:rsidP="00345D71">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Opening Brief at 20.</w:t>
      </w:r>
    </w:p>
  </w:footnote>
  <w:footnote w:id="56">
    <w:p w14:paraId="54496A13" w14:textId="77777777" w:rsidR="00345D71" w:rsidRPr="00997F1C" w:rsidRDefault="00345D71" w:rsidP="00345D71">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Opening Brief at 20.</w:t>
      </w:r>
    </w:p>
  </w:footnote>
  <w:footnote w:id="57">
    <w:p w14:paraId="2DAB03C9" w14:textId="3FE031C4" w:rsidR="007E01C0" w:rsidRPr="00997F1C" w:rsidRDefault="007E01C0">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Fall Update Comments</w:t>
      </w:r>
      <w:r w:rsidR="007B3AC9" w:rsidRPr="00997F1C">
        <w:rPr>
          <w:color w:val="000000" w:themeColor="text1"/>
        </w:rPr>
        <w:t xml:space="preserve"> at 6.</w:t>
      </w:r>
    </w:p>
  </w:footnote>
  <w:footnote w:id="58">
    <w:p w14:paraId="567CC550" w14:textId="35AE15E2" w:rsidR="006008BA" w:rsidRPr="00997F1C" w:rsidRDefault="006008BA">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Fall Update Comments at 11.</w:t>
      </w:r>
    </w:p>
  </w:footnote>
  <w:footnote w:id="59">
    <w:p w14:paraId="4F96FC3E"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DACC Opening Brief at 2-3.</w:t>
      </w:r>
    </w:p>
  </w:footnote>
  <w:footnote w:id="60">
    <w:p w14:paraId="6E57AB7D"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DACC Opening Brief at 2 citing D.25-06-049 at 4.</w:t>
      </w:r>
    </w:p>
  </w:footnote>
  <w:footnote w:id="61">
    <w:p w14:paraId="345AD9DD"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DACC Opening Brief at 3.</w:t>
      </w:r>
    </w:p>
  </w:footnote>
  <w:footnote w:id="62">
    <w:p w14:paraId="3F21C76F" w14:textId="77777777" w:rsidR="00073E8A" w:rsidRPr="00997F1C" w:rsidRDefault="00073E8A" w:rsidP="00073E8A">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4-7.</w:t>
      </w:r>
    </w:p>
  </w:footnote>
  <w:footnote w:id="63">
    <w:p w14:paraId="0DECD062" w14:textId="77777777" w:rsidR="00073E8A" w:rsidRPr="00997F1C" w:rsidRDefault="00073E8A" w:rsidP="00073E8A">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4.</w:t>
      </w:r>
    </w:p>
  </w:footnote>
  <w:footnote w:id="64">
    <w:p w14:paraId="5102F806" w14:textId="77777777" w:rsidR="00073E8A" w:rsidRPr="00997F1C" w:rsidRDefault="00073E8A" w:rsidP="00073E8A">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4.</w:t>
      </w:r>
    </w:p>
  </w:footnote>
  <w:footnote w:id="65">
    <w:p w14:paraId="79F1CF66" w14:textId="77777777" w:rsidR="00073E8A" w:rsidRPr="00997F1C" w:rsidRDefault="00073E8A" w:rsidP="00073E8A">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4-5.</w:t>
      </w:r>
    </w:p>
  </w:footnote>
  <w:footnote w:id="66">
    <w:p w14:paraId="4CAE785C" w14:textId="77777777" w:rsidR="00073E8A" w:rsidRPr="00997F1C" w:rsidRDefault="00073E8A" w:rsidP="00073E8A">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5, emphasis added.</w:t>
      </w:r>
    </w:p>
  </w:footnote>
  <w:footnote w:id="67">
    <w:p w14:paraId="5C4C4872" w14:textId="77777777" w:rsidR="00073E8A" w:rsidRPr="00997F1C" w:rsidRDefault="00073E8A" w:rsidP="00073E8A">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5.</w:t>
      </w:r>
    </w:p>
  </w:footnote>
  <w:footnote w:id="68">
    <w:p w14:paraId="7584343F" w14:textId="77777777" w:rsidR="00073E8A" w:rsidRPr="00997F1C" w:rsidRDefault="00073E8A" w:rsidP="00073E8A">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5.</w:t>
      </w:r>
    </w:p>
  </w:footnote>
  <w:footnote w:id="69">
    <w:p w14:paraId="0CBE4097" w14:textId="7A6E814C" w:rsidR="00205BFE" w:rsidRPr="00997F1C" w:rsidRDefault="00205BFE">
      <w:pPr>
        <w:pStyle w:val="FootnoteText"/>
        <w:rPr>
          <w:color w:val="000000" w:themeColor="text1"/>
        </w:rPr>
      </w:pPr>
      <w:r w:rsidRPr="00997F1C">
        <w:rPr>
          <w:rStyle w:val="FootnoteReference"/>
          <w:color w:val="000000" w:themeColor="text1"/>
        </w:rPr>
        <w:footnoteRef/>
      </w:r>
      <w:r w:rsidRPr="00997F1C">
        <w:rPr>
          <w:color w:val="000000" w:themeColor="text1"/>
        </w:rPr>
        <w:t xml:space="preserve"> D.19-10-001, FOF 8.</w:t>
      </w:r>
    </w:p>
  </w:footnote>
  <w:footnote w:id="70">
    <w:p w14:paraId="1C64CC14" w14:textId="325649D2"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4-10 to 4-12, 5-7 to 5-12.</w:t>
      </w:r>
    </w:p>
  </w:footnote>
  <w:footnote w:id="71">
    <w:p w14:paraId="61F5D81B" w14:textId="584F62EE"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PGE-04 at 1-2, 3-1 to 3-14.</w:t>
      </w:r>
    </w:p>
  </w:footnote>
  <w:footnote w:id="72">
    <w:p w14:paraId="2F707088" w14:textId="40CFECB2"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CalCCA-01 at </w:t>
      </w:r>
      <w:r w:rsidR="003713F0" w:rsidRPr="00997F1C">
        <w:rPr>
          <w:color w:val="000000" w:themeColor="text1"/>
        </w:rPr>
        <w:t>10-33</w:t>
      </w:r>
      <w:r w:rsidRPr="00997F1C">
        <w:rPr>
          <w:color w:val="000000" w:themeColor="text1"/>
        </w:rPr>
        <w:t xml:space="preserve">, CalCCA Opening Brief at </w:t>
      </w:r>
      <w:r w:rsidR="00166183" w:rsidRPr="00997F1C">
        <w:rPr>
          <w:color w:val="000000" w:themeColor="text1"/>
        </w:rPr>
        <w:t>47-74</w:t>
      </w:r>
      <w:r w:rsidRPr="00997F1C">
        <w:rPr>
          <w:color w:val="000000" w:themeColor="text1"/>
        </w:rPr>
        <w:t xml:space="preserve">, PG&amp;E Opening Brief at </w:t>
      </w:r>
      <w:r w:rsidR="00E6084D" w:rsidRPr="00997F1C">
        <w:rPr>
          <w:color w:val="000000" w:themeColor="text1"/>
        </w:rPr>
        <w:t>38-46</w:t>
      </w:r>
      <w:r w:rsidRPr="00997F1C">
        <w:rPr>
          <w:color w:val="000000" w:themeColor="text1"/>
        </w:rPr>
        <w:t xml:space="preserve">, PG&amp;E Reply Brief at </w:t>
      </w:r>
      <w:r w:rsidR="00F65541" w:rsidRPr="00997F1C">
        <w:rPr>
          <w:color w:val="000000" w:themeColor="text1"/>
        </w:rPr>
        <w:t>11-15</w:t>
      </w:r>
      <w:r w:rsidRPr="00997F1C">
        <w:rPr>
          <w:color w:val="000000" w:themeColor="text1"/>
        </w:rPr>
        <w:t>.</w:t>
      </w:r>
    </w:p>
  </w:footnote>
  <w:footnote w:id="73">
    <w:p w14:paraId="0799DA64"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October 7, 2025 Hearing Transcript at 21-76.</w:t>
      </w:r>
    </w:p>
  </w:footnote>
  <w:footnote w:id="74">
    <w:p w14:paraId="4379B2F1"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Opening Brief at 18.</w:t>
      </w:r>
    </w:p>
  </w:footnote>
  <w:footnote w:id="75">
    <w:p w14:paraId="2ED28E36" w14:textId="0AC80F0F" w:rsidR="003E5AEF" w:rsidRPr="00997F1C" w:rsidRDefault="003E5AEF" w:rsidP="003E5AEF">
      <w:pPr>
        <w:pStyle w:val="FootnoteText"/>
        <w:rPr>
          <w:color w:val="000000" w:themeColor="text1"/>
        </w:rPr>
      </w:pPr>
      <w:r w:rsidRPr="00997F1C">
        <w:rPr>
          <w:rStyle w:val="FootnoteReference"/>
          <w:color w:val="000000" w:themeColor="text1"/>
        </w:rPr>
        <w:footnoteRef/>
      </w:r>
      <w:r w:rsidR="00FC00E3" w:rsidRPr="00997F1C">
        <w:rPr>
          <w:color w:val="000000" w:themeColor="text1"/>
        </w:rPr>
        <w:t xml:space="preserve"> CalCCA Protest at</w:t>
      </w:r>
      <w:r w:rsidRPr="00997F1C">
        <w:rPr>
          <w:color w:val="000000" w:themeColor="text1"/>
        </w:rPr>
        <w:t xml:space="preserve"> </w:t>
      </w:r>
      <w:r w:rsidR="006936C7" w:rsidRPr="00997F1C">
        <w:rPr>
          <w:color w:val="000000" w:themeColor="text1"/>
        </w:rPr>
        <w:t>21-27.</w:t>
      </w:r>
    </w:p>
  </w:footnote>
  <w:footnote w:id="76">
    <w:p w14:paraId="5EA66C1B" w14:textId="6DD62DAE"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E00130" w:rsidRPr="00997F1C">
        <w:rPr>
          <w:color w:val="000000" w:themeColor="text1"/>
        </w:rPr>
        <w:t xml:space="preserve">Exhibit </w:t>
      </w:r>
      <w:r w:rsidR="007D51B2" w:rsidRPr="00997F1C">
        <w:rPr>
          <w:color w:val="000000" w:themeColor="text1"/>
        </w:rPr>
        <w:t>PG&amp;E</w:t>
      </w:r>
      <w:r w:rsidR="00E00130" w:rsidRPr="00997F1C">
        <w:rPr>
          <w:color w:val="000000" w:themeColor="text1"/>
        </w:rPr>
        <w:t>-</w:t>
      </w:r>
      <w:r w:rsidR="0008701A" w:rsidRPr="00997F1C">
        <w:rPr>
          <w:color w:val="000000" w:themeColor="text1"/>
        </w:rPr>
        <w:t>04</w:t>
      </w:r>
      <w:r w:rsidR="00D81A32" w:rsidRPr="00997F1C">
        <w:rPr>
          <w:color w:val="000000" w:themeColor="text1"/>
        </w:rPr>
        <w:t xml:space="preserve"> at </w:t>
      </w:r>
      <w:r w:rsidR="00A51453" w:rsidRPr="00997F1C">
        <w:rPr>
          <w:color w:val="000000" w:themeColor="text1"/>
        </w:rPr>
        <w:t>Chapter 3</w:t>
      </w:r>
      <w:r w:rsidR="007D51B2" w:rsidRPr="00997F1C">
        <w:rPr>
          <w:color w:val="000000" w:themeColor="text1"/>
        </w:rPr>
        <w:t>.</w:t>
      </w:r>
    </w:p>
  </w:footnote>
  <w:footnote w:id="77">
    <w:p w14:paraId="377C4EA5" w14:textId="4CA34BAB"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w:t>
      </w:r>
      <w:r w:rsidR="005F2B38" w:rsidRPr="00997F1C">
        <w:rPr>
          <w:color w:val="000000" w:themeColor="text1"/>
        </w:rPr>
        <w:t>13</w:t>
      </w:r>
      <w:r w:rsidRPr="00997F1C">
        <w:rPr>
          <w:color w:val="000000" w:themeColor="text1"/>
        </w:rPr>
        <w:t>.</w:t>
      </w:r>
    </w:p>
  </w:footnote>
  <w:footnote w:id="78">
    <w:p w14:paraId="36E1EEE0" w14:textId="2F9AC8D9"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w:t>
      </w:r>
      <w:r w:rsidR="005F2B38" w:rsidRPr="00997F1C">
        <w:rPr>
          <w:color w:val="000000" w:themeColor="text1"/>
        </w:rPr>
        <w:t>13</w:t>
      </w:r>
      <w:r w:rsidRPr="00997F1C">
        <w:rPr>
          <w:color w:val="000000" w:themeColor="text1"/>
        </w:rPr>
        <w:t>.</w:t>
      </w:r>
    </w:p>
  </w:footnote>
  <w:footnote w:id="79">
    <w:p w14:paraId="1495E689" w14:textId="6017EB9F"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w:t>
      </w:r>
      <w:r w:rsidR="005F2B38" w:rsidRPr="00997F1C">
        <w:rPr>
          <w:color w:val="000000" w:themeColor="text1"/>
        </w:rPr>
        <w:t>13</w:t>
      </w:r>
      <w:r w:rsidRPr="00997F1C">
        <w:rPr>
          <w:color w:val="000000" w:themeColor="text1"/>
        </w:rPr>
        <w:t>.</w:t>
      </w:r>
    </w:p>
  </w:footnote>
  <w:footnote w:id="80">
    <w:p w14:paraId="55B9E378" w14:textId="6502A3C2"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Protest at </w:t>
      </w:r>
      <w:r w:rsidR="00C11A4C" w:rsidRPr="00997F1C">
        <w:rPr>
          <w:color w:val="000000" w:themeColor="text1"/>
        </w:rPr>
        <w:t>26-27</w:t>
      </w:r>
      <w:r w:rsidRPr="00997F1C">
        <w:rPr>
          <w:color w:val="000000" w:themeColor="text1"/>
        </w:rPr>
        <w:t>, Exhibit CalCCA-</w:t>
      </w:r>
      <w:r w:rsidR="00C11A4C" w:rsidRPr="00997F1C">
        <w:rPr>
          <w:color w:val="000000" w:themeColor="text1"/>
        </w:rPr>
        <w:t xml:space="preserve">01 </w:t>
      </w:r>
      <w:r w:rsidRPr="00997F1C">
        <w:rPr>
          <w:color w:val="000000" w:themeColor="text1"/>
        </w:rPr>
        <w:t xml:space="preserve">at 2, </w:t>
      </w:r>
      <w:r w:rsidR="00C11A4C" w:rsidRPr="00997F1C">
        <w:rPr>
          <w:color w:val="000000" w:themeColor="text1"/>
        </w:rPr>
        <w:t>12-13</w:t>
      </w:r>
      <w:r w:rsidRPr="00997F1C">
        <w:rPr>
          <w:color w:val="000000" w:themeColor="text1"/>
        </w:rPr>
        <w:t>.</w:t>
      </w:r>
    </w:p>
  </w:footnote>
  <w:footnote w:id="81">
    <w:p w14:paraId="57585A4B" w14:textId="15341904"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CalCCA-</w:t>
      </w:r>
      <w:r w:rsidR="00C11A4C" w:rsidRPr="00997F1C">
        <w:rPr>
          <w:color w:val="000000" w:themeColor="text1"/>
        </w:rPr>
        <w:t>01</w:t>
      </w:r>
      <w:r w:rsidRPr="00997F1C">
        <w:rPr>
          <w:color w:val="000000" w:themeColor="text1"/>
        </w:rPr>
        <w:t xml:space="preserve"> at 2, </w:t>
      </w:r>
      <w:r w:rsidR="00C11A4C" w:rsidRPr="00997F1C">
        <w:rPr>
          <w:color w:val="000000" w:themeColor="text1"/>
        </w:rPr>
        <w:t>34-35</w:t>
      </w:r>
      <w:r w:rsidRPr="00997F1C">
        <w:rPr>
          <w:color w:val="000000" w:themeColor="text1"/>
        </w:rPr>
        <w:t>.</w:t>
      </w:r>
    </w:p>
  </w:footnote>
  <w:footnote w:id="82">
    <w:p w14:paraId="738CD811" w14:textId="57AD82EA"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Opening Brief at 48, 51, 70-75. </w:t>
      </w:r>
      <w:r w:rsidRPr="00997F1C">
        <w:rPr>
          <w:i/>
          <w:iCs/>
          <w:color w:val="000000" w:themeColor="text1"/>
        </w:rPr>
        <w:t>See</w:t>
      </w:r>
      <w:r w:rsidRPr="00997F1C">
        <w:rPr>
          <w:color w:val="000000" w:themeColor="text1"/>
        </w:rPr>
        <w:t xml:space="preserve"> </w:t>
      </w:r>
      <w:r w:rsidR="001D1158" w:rsidRPr="00997F1C">
        <w:rPr>
          <w:color w:val="000000" w:themeColor="text1"/>
        </w:rPr>
        <w:t>also Exhibit CalCCA-01C at 30, referencing A.25-05-008, SCE-01 at 129-130</w:t>
      </w:r>
      <w:r w:rsidRPr="00997F1C">
        <w:rPr>
          <w:color w:val="000000" w:themeColor="text1"/>
        </w:rPr>
        <w:t>.</w:t>
      </w:r>
    </w:p>
  </w:footnote>
  <w:footnote w:id="83">
    <w:p w14:paraId="3C5BDCA4" w14:textId="00EEE904" w:rsidR="00A44600" w:rsidRPr="00997F1C" w:rsidRDefault="00A44600" w:rsidP="00A44600">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Opening Brief at 72. </w:t>
      </w:r>
    </w:p>
  </w:footnote>
  <w:footnote w:id="84">
    <w:p w14:paraId="334F7D48" w14:textId="12768A41" w:rsidR="00B945BB" w:rsidRPr="00997F1C" w:rsidRDefault="00B945BB">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Opening Brief at </w:t>
      </w:r>
      <w:r w:rsidR="006011E9" w:rsidRPr="00997F1C">
        <w:rPr>
          <w:color w:val="000000" w:themeColor="text1"/>
        </w:rPr>
        <w:t>73-74.</w:t>
      </w:r>
    </w:p>
  </w:footnote>
  <w:footnote w:id="85">
    <w:p w14:paraId="5C74B459" w14:textId="3A1EEB13" w:rsidR="008326E7" w:rsidRPr="00997F1C" w:rsidRDefault="008326E7">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Opening Brief at 73-74.</w:t>
      </w:r>
    </w:p>
  </w:footnote>
  <w:footnote w:id="86">
    <w:p w14:paraId="7D4A08CC" w14:textId="0AB07749"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11-</w:t>
      </w:r>
      <w:r w:rsidR="00C11A4C" w:rsidRPr="00997F1C">
        <w:rPr>
          <w:color w:val="000000" w:themeColor="text1"/>
        </w:rPr>
        <w:t>15</w:t>
      </w:r>
      <w:r w:rsidRPr="00997F1C">
        <w:rPr>
          <w:color w:val="000000" w:themeColor="text1"/>
        </w:rPr>
        <w:t>.</w:t>
      </w:r>
    </w:p>
  </w:footnote>
  <w:footnote w:id="87">
    <w:p w14:paraId="1C40676F" w14:textId="2EDCF44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11</w:t>
      </w:r>
      <w:r w:rsidR="00E00130" w:rsidRPr="00997F1C">
        <w:rPr>
          <w:color w:val="000000" w:themeColor="text1"/>
        </w:rPr>
        <w:t>-</w:t>
      </w:r>
      <w:r w:rsidR="00C11A4C" w:rsidRPr="00997F1C">
        <w:rPr>
          <w:color w:val="000000" w:themeColor="text1"/>
        </w:rPr>
        <w:t>15</w:t>
      </w:r>
      <w:r w:rsidRPr="00997F1C">
        <w:rPr>
          <w:color w:val="000000" w:themeColor="text1"/>
        </w:rPr>
        <w:t>.</w:t>
      </w:r>
    </w:p>
  </w:footnote>
  <w:footnote w:id="88">
    <w:p w14:paraId="6DCCC166" w14:textId="6D940994"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w:t>
      </w:r>
      <w:r w:rsidR="00C11A4C" w:rsidRPr="00997F1C">
        <w:rPr>
          <w:color w:val="000000" w:themeColor="text1"/>
        </w:rPr>
        <w:t>11</w:t>
      </w:r>
      <w:r w:rsidRPr="00997F1C">
        <w:rPr>
          <w:color w:val="000000" w:themeColor="text1"/>
        </w:rPr>
        <w:t>.</w:t>
      </w:r>
    </w:p>
  </w:footnote>
  <w:footnote w:id="89">
    <w:p w14:paraId="6324491C" w14:textId="63405F09"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w:t>
      </w:r>
      <w:r w:rsidR="00C11A4C" w:rsidRPr="00997F1C">
        <w:rPr>
          <w:color w:val="000000" w:themeColor="text1"/>
        </w:rPr>
        <w:t>11-12</w:t>
      </w:r>
      <w:r w:rsidRPr="00997F1C">
        <w:rPr>
          <w:color w:val="000000" w:themeColor="text1"/>
        </w:rPr>
        <w:t>.</w:t>
      </w:r>
    </w:p>
  </w:footnote>
  <w:footnote w:id="90">
    <w:p w14:paraId="0215961C" w14:textId="378AC83E"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w:t>
      </w:r>
      <w:r w:rsidR="00C11A4C" w:rsidRPr="00997F1C">
        <w:rPr>
          <w:color w:val="000000" w:themeColor="text1"/>
        </w:rPr>
        <w:t>12</w:t>
      </w:r>
      <w:r w:rsidRPr="00997F1C">
        <w:rPr>
          <w:color w:val="000000" w:themeColor="text1"/>
        </w:rPr>
        <w:t>.</w:t>
      </w:r>
    </w:p>
  </w:footnote>
  <w:footnote w:id="91">
    <w:p w14:paraId="6FC3BFCB"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12.</w:t>
      </w:r>
    </w:p>
  </w:footnote>
  <w:footnote w:id="92">
    <w:p w14:paraId="43A1CD73"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12-13.</w:t>
      </w:r>
    </w:p>
  </w:footnote>
  <w:footnote w:id="93">
    <w:p w14:paraId="3153949D"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13.</w:t>
      </w:r>
    </w:p>
  </w:footnote>
  <w:footnote w:id="94">
    <w:p w14:paraId="349D442F" w14:textId="6230C28C"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Reply Brief at </w:t>
      </w:r>
      <w:r w:rsidR="00C11A4C" w:rsidRPr="00997F1C">
        <w:rPr>
          <w:color w:val="000000" w:themeColor="text1"/>
        </w:rPr>
        <w:t>12</w:t>
      </w:r>
      <w:r w:rsidRPr="00997F1C">
        <w:rPr>
          <w:color w:val="000000" w:themeColor="text1"/>
        </w:rPr>
        <w:t>.</w:t>
      </w:r>
    </w:p>
  </w:footnote>
  <w:footnote w:id="95">
    <w:p w14:paraId="574D464C" w14:textId="3BC7C99B" w:rsidR="00C84DF7" w:rsidRPr="00997F1C" w:rsidRDefault="00C84DF7">
      <w:pPr>
        <w:pStyle w:val="FootnoteText"/>
        <w:rPr>
          <w:color w:val="000000" w:themeColor="text1"/>
        </w:rPr>
      </w:pPr>
      <w:r w:rsidRPr="00997F1C">
        <w:rPr>
          <w:rStyle w:val="FootnoteReference"/>
          <w:color w:val="000000" w:themeColor="text1"/>
        </w:rPr>
        <w:footnoteRef/>
      </w:r>
      <w:r w:rsidRPr="00997F1C">
        <w:rPr>
          <w:color w:val="000000" w:themeColor="text1"/>
        </w:rPr>
        <w:t xml:space="preserve"> CalCCA Fall Update Comments at </w:t>
      </w:r>
      <w:r w:rsidR="00D66F00" w:rsidRPr="00997F1C">
        <w:rPr>
          <w:color w:val="000000" w:themeColor="text1"/>
        </w:rPr>
        <w:t>14.</w:t>
      </w:r>
    </w:p>
  </w:footnote>
  <w:footnote w:id="96">
    <w:p w14:paraId="432E8192" w14:textId="55C84AE3" w:rsidR="00914DC2" w:rsidRPr="00997F1C" w:rsidRDefault="00914DC2">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CalCCA-01C at 30.</w:t>
      </w:r>
    </w:p>
  </w:footnote>
  <w:footnote w:id="97">
    <w:p w14:paraId="7D3D1F1A" w14:textId="461602F7" w:rsidR="00CC4D97" w:rsidRPr="00997F1C" w:rsidRDefault="00CC4D97">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Pr="00997F1C">
        <w:rPr>
          <w:i/>
          <w:iCs/>
          <w:color w:val="000000" w:themeColor="text1"/>
        </w:rPr>
        <w:t>See</w:t>
      </w:r>
      <w:r w:rsidRPr="00997F1C">
        <w:rPr>
          <w:color w:val="000000" w:themeColor="text1"/>
        </w:rPr>
        <w:t xml:space="preserve"> </w:t>
      </w:r>
      <w:r w:rsidR="00222BA0" w:rsidRPr="00997F1C">
        <w:rPr>
          <w:color w:val="000000" w:themeColor="text1"/>
        </w:rPr>
        <w:t>Exh</w:t>
      </w:r>
      <w:r w:rsidR="003861E3" w:rsidRPr="00997F1C">
        <w:rPr>
          <w:color w:val="000000" w:themeColor="text1"/>
        </w:rPr>
        <w:t>ibit</w:t>
      </w:r>
      <w:r w:rsidR="00222BA0" w:rsidRPr="00997F1C">
        <w:rPr>
          <w:color w:val="000000" w:themeColor="text1"/>
        </w:rPr>
        <w:t xml:space="preserve"> CalCCA-01C at 30</w:t>
      </w:r>
      <w:r w:rsidR="001D1158" w:rsidRPr="00997F1C">
        <w:rPr>
          <w:color w:val="000000" w:themeColor="text1"/>
        </w:rPr>
        <w:t>,</w:t>
      </w:r>
      <w:r w:rsidR="00222BA0" w:rsidRPr="00997F1C">
        <w:rPr>
          <w:color w:val="000000" w:themeColor="text1"/>
        </w:rPr>
        <w:t xml:space="preserve"> referencing A.25-05-008, SCE-01 at 129</w:t>
      </w:r>
      <w:r w:rsidR="001D1158" w:rsidRPr="00997F1C">
        <w:rPr>
          <w:color w:val="000000" w:themeColor="text1"/>
        </w:rPr>
        <w:t>-</w:t>
      </w:r>
      <w:r w:rsidR="00222BA0" w:rsidRPr="00997F1C">
        <w:rPr>
          <w:color w:val="000000" w:themeColor="text1"/>
        </w:rPr>
        <w:t>130.</w:t>
      </w:r>
      <w:r w:rsidR="00A916F2" w:rsidRPr="00997F1C">
        <w:rPr>
          <w:color w:val="000000" w:themeColor="text1"/>
        </w:rPr>
        <w:t xml:space="preserve"> </w:t>
      </w:r>
    </w:p>
  </w:footnote>
  <w:footnote w:id="98">
    <w:p w14:paraId="02E91607"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PGE-06, Table 2-3.</w:t>
      </w:r>
    </w:p>
  </w:footnote>
  <w:footnote w:id="99">
    <w:p w14:paraId="42FEB2C8" w14:textId="4B936938"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PGE-06, Table 2-3</w:t>
      </w:r>
      <w:r w:rsidR="009E52AB" w:rsidRPr="00997F1C">
        <w:rPr>
          <w:color w:val="000000" w:themeColor="text1"/>
          <w:szCs w:val="22"/>
        </w:rPr>
        <w:t>, Line 2</w:t>
      </w:r>
      <w:r w:rsidRPr="00997F1C">
        <w:rPr>
          <w:color w:val="000000" w:themeColor="text1"/>
          <w:szCs w:val="22"/>
        </w:rPr>
        <w:t>; D.24-12-038.</w:t>
      </w:r>
    </w:p>
  </w:footnote>
  <w:footnote w:id="100">
    <w:p w14:paraId="401D6AE4" w14:textId="4955C6FB"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w:t>
      </w:r>
      <w:r w:rsidR="00D4401A" w:rsidRPr="00997F1C">
        <w:rPr>
          <w:color w:val="000000" w:themeColor="text1"/>
          <w:szCs w:val="22"/>
        </w:rPr>
        <w:t xml:space="preserve">06, Table 2-3, Line </w:t>
      </w:r>
      <w:r w:rsidR="004A45FC" w:rsidRPr="00997F1C">
        <w:rPr>
          <w:color w:val="000000" w:themeColor="text1"/>
          <w:szCs w:val="22"/>
        </w:rPr>
        <w:t>32</w:t>
      </w:r>
      <w:r w:rsidR="009E52AB" w:rsidRPr="00997F1C">
        <w:rPr>
          <w:color w:val="000000" w:themeColor="text1"/>
          <w:szCs w:val="22"/>
        </w:rPr>
        <w:t>; D.24-12-038</w:t>
      </w:r>
      <w:r w:rsidRPr="00997F1C">
        <w:rPr>
          <w:color w:val="000000" w:themeColor="text1"/>
          <w:szCs w:val="22"/>
        </w:rPr>
        <w:t>.</w:t>
      </w:r>
    </w:p>
  </w:footnote>
  <w:footnote w:id="101">
    <w:p w14:paraId="439A7B34"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PGE-06 at 5-6.</w:t>
      </w:r>
    </w:p>
  </w:footnote>
  <w:footnote w:id="102">
    <w:p w14:paraId="18755395"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PGE-01 at 2-2, Table 2-3.</w:t>
      </w:r>
    </w:p>
  </w:footnote>
  <w:footnote w:id="103">
    <w:p w14:paraId="68143EDD"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2-2.</w:t>
      </w:r>
    </w:p>
  </w:footnote>
  <w:footnote w:id="104">
    <w:p w14:paraId="6BBC85EA"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PGE-01 at 2-2 to 2-8.</w:t>
      </w:r>
    </w:p>
  </w:footnote>
  <w:footnote w:id="105">
    <w:p w14:paraId="3A6A55D9" w14:textId="1CD55A5F"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w:t>
      </w:r>
      <w:r w:rsidR="00C57295" w:rsidRPr="00997F1C">
        <w:rPr>
          <w:color w:val="000000" w:themeColor="text1"/>
        </w:rPr>
        <w:t>01</w:t>
      </w:r>
      <w:r w:rsidR="00395A24" w:rsidRPr="00997F1C">
        <w:rPr>
          <w:color w:val="000000" w:themeColor="text1"/>
        </w:rPr>
        <w:t>, Table 2-3, Lines 7 and 39</w:t>
      </w:r>
      <w:r w:rsidRPr="00997F1C">
        <w:rPr>
          <w:color w:val="000000" w:themeColor="text1"/>
        </w:rPr>
        <w:t>.</w:t>
      </w:r>
    </w:p>
  </w:footnote>
  <w:footnote w:id="106">
    <w:p w14:paraId="0A0912A8" w14:textId="3D6E9516" w:rsidR="005B4778" w:rsidRPr="00997F1C" w:rsidRDefault="005B4778">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2-11</w:t>
      </w:r>
    </w:p>
  </w:footnote>
  <w:footnote w:id="107">
    <w:p w14:paraId="392319AA" w14:textId="3FF8A07D" w:rsidR="005B4778" w:rsidRPr="00997F1C" w:rsidRDefault="005B4778">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9E52AB" w:rsidRPr="00997F1C">
        <w:rPr>
          <w:color w:val="000000" w:themeColor="text1"/>
        </w:rPr>
        <w:t xml:space="preserve">Exhibit PGE-06 at </w:t>
      </w:r>
      <w:r w:rsidR="00D3184B" w:rsidRPr="00997F1C">
        <w:rPr>
          <w:color w:val="000000" w:themeColor="text1"/>
        </w:rPr>
        <w:t>7-11</w:t>
      </w:r>
      <w:r w:rsidR="00650B80" w:rsidRPr="00997F1C">
        <w:rPr>
          <w:color w:val="000000" w:themeColor="text1"/>
        </w:rPr>
        <w:t>.</w:t>
      </w:r>
    </w:p>
  </w:footnote>
  <w:footnote w:id="108">
    <w:p w14:paraId="17EF3FF1" w14:textId="7FC55981" w:rsidR="005B4778" w:rsidRPr="00997F1C" w:rsidRDefault="005B4778">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3E78B1" w:rsidRPr="00997F1C">
        <w:rPr>
          <w:color w:val="000000" w:themeColor="text1"/>
        </w:rPr>
        <w:t xml:space="preserve">Fall Update, Table 2-3, Lines </w:t>
      </w:r>
      <w:r w:rsidR="00650B80" w:rsidRPr="00997F1C">
        <w:rPr>
          <w:color w:val="000000" w:themeColor="text1"/>
        </w:rPr>
        <w:t xml:space="preserve">2 </w:t>
      </w:r>
      <w:r w:rsidR="003E78B1" w:rsidRPr="00997F1C">
        <w:rPr>
          <w:color w:val="000000" w:themeColor="text1"/>
        </w:rPr>
        <w:t>and 32.</w:t>
      </w:r>
    </w:p>
  </w:footnote>
  <w:footnote w:id="109">
    <w:p w14:paraId="7ECB070D"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SBUA Opening Brief at 3-4 and SBUA Reply Brief at 2.</w:t>
      </w:r>
    </w:p>
  </w:footnote>
  <w:footnote w:id="110">
    <w:p w14:paraId="4DDA78FB" w14:textId="4C7B076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SBUA Opening Brief at </w:t>
      </w:r>
      <w:r w:rsidR="00CA63FC" w:rsidRPr="00997F1C">
        <w:rPr>
          <w:color w:val="000000" w:themeColor="text1"/>
        </w:rPr>
        <w:t>8</w:t>
      </w:r>
      <w:r w:rsidRPr="00997F1C">
        <w:rPr>
          <w:color w:val="000000" w:themeColor="text1"/>
        </w:rPr>
        <w:t>.</w:t>
      </w:r>
    </w:p>
  </w:footnote>
  <w:footnote w:id="111">
    <w:p w14:paraId="51600761"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SBUA Opening Brief at 8, citing Exhibit PGE-01 at 2-9 and Exhibit PGE-04 at 2-11.</w:t>
      </w:r>
    </w:p>
  </w:footnote>
  <w:footnote w:id="112">
    <w:p w14:paraId="6C07F80A"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SBUA Opening Brief at 8.</w:t>
      </w:r>
    </w:p>
  </w:footnote>
  <w:footnote w:id="113">
    <w:p w14:paraId="1B3DAAA7" w14:textId="69C3448B" w:rsidR="002C2C2B" w:rsidRDefault="002C2C2B">
      <w:pPr>
        <w:pStyle w:val="FootnoteText"/>
      </w:pPr>
      <w:r>
        <w:rPr>
          <w:rStyle w:val="FootnoteReference"/>
        </w:rPr>
        <w:footnoteRef/>
      </w:r>
      <w:r>
        <w:t xml:space="preserve"> Exhibit PGE-01</w:t>
      </w:r>
      <w:r w:rsidR="00AE3AEF">
        <w:t xml:space="preserve"> at 2-4.</w:t>
      </w:r>
    </w:p>
  </w:footnote>
  <w:footnote w:id="114">
    <w:p w14:paraId="5254421C" w14:textId="7226C97C"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Pr="00997F1C">
        <w:rPr>
          <w:color w:val="000000" w:themeColor="text1"/>
          <w:szCs w:val="22"/>
        </w:rPr>
        <w:t>Exhibit PGE-01, Table 2-3</w:t>
      </w:r>
      <w:r w:rsidR="002F6CC9" w:rsidRPr="00997F1C">
        <w:rPr>
          <w:color w:val="000000" w:themeColor="text1"/>
          <w:szCs w:val="22"/>
        </w:rPr>
        <w:t>, L</w:t>
      </w:r>
      <w:r w:rsidRPr="00997F1C">
        <w:rPr>
          <w:color w:val="000000" w:themeColor="text1"/>
          <w:szCs w:val="22"/>
        </w:rPr>
        <w:t xml:space="preserve">ines </w:t>
      </w:r>
      <w:r w:rsidR="002F6CC9" w:rsidRPr="00997F1C">
        <w:rPr>
          <w:color w:val="000000" w:themeColor="text1"/>
          <w:szCs w:val="22"/>
        </w:rPr>
        <w:t xml:space="preserve">7 </w:t>
      </w:r>
      <w:r w:rsidRPr="00997F1C">
        <w:rPr>
          <w:color w:val="000000" w:themeColor="text1"/>
          <w:szCs w:val="22"/>
        </w:rPr>
        <w:t xml:space="preserve">and </w:t>
      </w:r>
      <w:r w:rsidR="002F6CC9" w:rsidRPr="00997F1C">
        <w:rPr>
          <w:color w:val="000000" w:themeColor="text1"/>
          <w:szCs w:val="22"/>
        </w:rPr>
        <w:t>39</w:t>
      </w:r>
      <w:r w:rsidRPr="00997F1C">
        <w:rPr>
          <w:color w:val="000000" w:themeColor="text1"/>
          <w:szCs w:val="22"/>
        </w:rPr>
        <w:t>.</w:t>
      </w:r>
    </w:p>
  </w:footnote>
  <w:footnote w:id="115">
    <w:p w14:paraId="05790CD5"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Chapter 2.</w:t>
      </w:r>
    </w:p>
  </w:footnote>
  <w:footnote w:id="116">
    <w:p w14:paraId="0FEE06FF"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September 9, 2025 Ruling Requiring Additional Information and October 6, 2025 Second Ruling Requiring Additional Information. </w:t>
      </w:r>
    </w:p>
  </w:footnote>
  <w:footnote w:id="117">
    <w:p w14:paraId="398F2048" w14:textId="6A028725"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50104F" w:rsidRPr="00997F1C">
        <w:rPr>
          <w:i/>
          <w:iCs/>
          <w:color w:val="000000" w:themeColor="text1"/>
        </w:rPr>
        <w:t>PG&amp;E’s response to ALJ Ruling</w:t>
      </w:r>
      <w:r w:rsidR="0050104F" w:rsidRPr="00997F1C">
        <w:rPr>
          <w:color w:val="000000" w:themeColor="text1"/>
        </w:rPr>
        <w:t xml:space="preserve">, </w:t>
      </w:r>
      <w:r w:rsidR="002B3A2C" w:rsidRPr="00997F1C">
        <w:rPr>
          <w:color w:val="000000" w:themeColor="text1"/>
        </w:rPr>
        <w:t xml:space="preserve">September 23, 2025, and </w:t>
      </w:r>
      <w:r w:rsidR="00CE41D8" w:rsidRPr="00997F1C">
        <w:rPr>
          <w:i/>
          <w:iCs/>
          <w:color w:val="000000" w:themeColor="text1"/>
        </w:rPr>
        <w:t xml:space="preserve">Response to October 6, 2025 ALJ’s Ruling Requiring Additional Information, </w:t>
      </w:r>
      <w:r w:rsidR="00097DD5" w:rsidRPr="00997F1C">
        <w:rPr>
          <w:color w:val="000000" w:themeColor="text1"/>
        </w:rPr>
        <w:t>October 5, 2025</w:t>
      </w:r>
      <w:r w:rsidR="00CE41D8" w:rsidRPr="00997F1C">
        <w:rPr>
          <w:color w:val="000000" w:themeColor="text1"/>
        </w:rPr>
        <w:t>.</w:t>
      </w:r>
    </w:p>
  </w:footnote>
  <w:footnote w:id="118">
    <w:p w14:paraId="42D6341C" w14:textId="2A5682A1"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944786" w:rsidRPr="00997F1C">
        <w:rPr>
          <w:color w:val="000000" w:themeColor="text1"/>
        </w:rPr>
        <w:t>Exhibit PGE-06</w:t>
      </w:r>
      <w:r w:rsidRPr="00997F1C">
        <w:rPr>
          <w:color w:val="000000" w:themeColor="text1"/>
        </w:rPr>
        <w:t>.</w:t>
      </w:r>
    </w:p>
  </w:footnote>
  <w:footnote w:id="119">
    <w:p w14:paraId="2E99FABA"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Fall Update at 7-11.  Among other reasons, PG&amp;E stated that it made this change to comply with the 15/15 rule in D.97-10-031. </w:t>
      </w:r>
    </w:p>
  </w:footnote>
  <w:footnote w:id="120">
    <w:p w14:paraId="64348244"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Fall Update at 7.  The Business Case Customer Required Operative Date is the date that PG&amp;E agreed to in the business case with the customer to put the project in service.  </w:t>
      </w:r>
    </w:p>
  </w:footnote>
  <w:footnote w:id="121">
    <w:p w14:paraId="4D765C98"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When compared with Exhibit PGE-01E, which had a value of 90,765 GWh for unmitigated retail sales and 1,474 GWh for large data centers.</w:t>
      </w:r>
    </w:p>
  </w:footnote>
  <w:footnote w:id="122">
    <w:p w14:paraId="50CB10A7" w14:textId="550C85DE"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SBUA Opening Brief at </w:t>
      </w:r>
      <w:r w:rsidR="00AD58CB" w:rsidRPr="00997F1C">
        <w:rPr>
          <w:color w:val="000000" w:themeColor="text1"/>
        </w:rPr>
        <w:t>5</w:t>
      </w:r>
      <w:r w:rsidRPr="00997F1C">
        <w:rPr>
          <w:color w:val="000000" w:themeColor="text1"/>
        </w:rPr>
        <w:t>.</w:t>
      </w:r>
    </w:p>
  </w:footnote>
  <w:footnote w:id="123">
    <w:p w14:paraId="194AC3EB" w14:textId="158D46BD"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SBUA Opening Brief at </w:t>
      </w:r>
      <w:r w:rsidR="000220A9" w:rsidRPr="00997F1C">
        <w:rPr>
          <w:color w:val="000000" w:themeColor="text1"/>
        </w:rPr>
        <w:t>5</w:t>
      </w:r>
      <w:r w:rsidR="007E0D50" w:rsidRPr="00997F1C">
        <w:rPr>
          <w:color w:val="000000" w:themeColor="text1"/>
        </w:rPr>
        <w:t>-</w:t>
      </w:r>
      <w:r w:rsidR="00F1212E" w:rsidRPr="00997F1C">
        <w:rPr>
          <w:color w:val="000000" w:themeColor="text1"/>
        </w:rPr>
        <w:t>7</w:t>
      </w:r>
      <w:r w:rsidRPr="00997F1C">
        <w:rPr>
          <w:color w:val="000000" w:themeColor="text1"/>
        </w:rPr>
        <w:t>.</w:t>
      </w:r>
    </w:p>
  </w:footnote>
  <w:footnote w:id="124">
    <w:p w14:paraId="644ABB67" w14:textId="67DF7196"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SBUA Opening Brief at </w:t>
      </w:r>
      <w:r w:rsidR="00F1212E" w:rsidRPr="00997F1C">
        <w:rPr>
          <w:color w:val="000000" w:themeColor="text1"/>
        </w:rPr>
        <w:t>7-8</w:t>
      </w:r>
      <w:r w:rsidRPr="00997F1C">
        <w:rPr>
          <w:color w:val="000000" w:themeColor="text1"/>
        </w:rPr>
        <w:t>.</w:t>
      </w:r>
    </w:p>
  </w:footnote>
  <w:footnote w:id="125">
    <w:p w14:paraId="22043EA1" w14:textId="53DE19A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EB3767" w:rsidRPr="00997F1C">
        <w:rPr>
          <w:color w:val="000000" w:themeColor="text1"/>
          <w:szCs w:val="22"/>
        </w:rPr>
        <w:t>Fall Update Errata</w:t>
      </w:r>
      <w:r w:rsidRPr="00997F1C">
        <w:rPr>
          <w:color w:val="000000" w:themeColor="text1"/>
          <w:szCs w:val="22"/>
        </w:rPr>
        <w:t>, Table 15-1, Template D-2.</w:t>
      </w:r>
    </w:p>
  </w:footnote>
  <w:footnote w:id="126">
    <w:p w14:paraId="17E362A9" w14:textId="0A8AFA3B"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EB3767" w:rsidRPr="00997F1C">
        <w:rPr>
          <w:color w:val="000000" w:themeColor="text1"/>
          <w:szCs w:val="22"/>
        </w:rPr>
        <w:t>Fall Update Errata</w:t>
      </w:r>
      <w:r w:rsidRPr="00997F1C">
        <w:rPr>
          <w:color w:val="000000" w:themeColor="text1"/>
          <w:szCs w:val="22"/>
        </w:rPr>
        <w:t>, Table 17-3.</w:t>
      </w:r>
    </w:p>
  </w:footnote>
  <w:footnote w:id="127">
    <w:p w14:paraId="094C9B67" w14:textId="10AE65C1"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EB3767" w:rsidRPr="00997F1C">
        <w:rPr>
          <w:color w:val="000000" w:themeColor="text1"/>
          <w:szCs w:val="22"/>
        </w:rPr>
        <w:t>Fall Update Errata</w:t>
      </w:r>
      <w:r w:rsidR="000147FB" w:rsidRPr="00997F1C">
        <w:rPr>
          <w:color w:val="000000" w:themeColor="text1"/>
          <w:szCs w:val="22"/>
        </w:rPr>
        <w:t>, Fall Update Errata</w:t>
      </w:r>
      <w:r w:rsidRPr="00997F1C">
        <w:rPr>
          <w:color w:val="000000" w:themeColor="text1"/>
          <w:szCs w:val="22"/>
        </w:rPr>
        <w:t xml:space="preserve">, </w:t>
      </w:r>
      <w:r w:rsidRPr="00997F1C">
        <w:rPr>
          <w:color w:val="000000" w:themeColor="text1"/>
        </w:rPr>
        <w:t>Table 17-1, Template D-1</w:t>
      </w:r>
      <w:r w:rsidR="000147FB" w:rsidRPr="00997F1C">
        <w:rPr>
          <w:color w:val="000000" w:themeColor="text1"/>
        </w:rPr>
        <w:t xml:space="preserve">, Line </w:t>
      </w:r>
      <w:r w:rsidR="00AB0A20" w:rsidRPr="00997F1C">
        <w:rPr>
          <w:color w:val="000000" w:themeColor="text1"/>
        </w:rPr>
        <w:t>17</w:t>
      </w:r>
      <w:r w:rsidRPr="00997F1C">
        <w:rPr>
          <w:color w:val="000000" w:themeColor="text1"/>
        </w:rPr>
        <w:t>.</w:t>
      </w:r>
    </w:p>
  </w:footnote>
  <w:footnote w:id="128">
    <w:p w14:paraId="18DB22AC" w14:textId="0D82590F" w:rsidR="005A58BD" w:rsidRPr="00997F1C" w:rsidRDefault="005A58BD" w:rsidP="005A58BD">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790B1C" w:rsidRPr="00997F1C">
        <w:rPr>
          <w:color w:val="000000" w:themeColor="text1"/>
          <w:szCs w:val="22"/>
        </w:rPr>
        <w:t>Fall Update Errata</w:t>
      </w:r>
      <w:r w:rsidRPr="00997F1C">
        <w:rPr>
          <w:color w:val="000000" w:themeColor="text1"/>
          <w:szCs w:val="22"/>
        </w:rPr>
        <w:t>, Table 17-1, Template D-1</w:t>
      </w:r>
      <w:r w:rsidR="00BF25CF" w:rsidRPr="00997F1C">
        <w:rPr>
          <w:color w:val="000000" w:themeColor="text1"/>
          <w:szCs w:val="22"/>
        </w:rPr>
        <w:t xml:space="preserve">, Line </w:t>
      </w:r>
      <w:r w:rsidR="004147EB" w:rsidRPr="00997F1C">
        <w:rPr>
          <w:color w:val="000000" w:themeColor="text1"/>
          <w:szCs w:val="22"/>
        </w:rPr>
        <w:t>19</w:t>
      </w:r>
      <w:r w:rsidRPr="00997F1C">
        <w:rPr>
          <w:color w:val="000000" w:themeColor="text1"/>
          <w:szCs w:val="22"/>
        </w:rPr>
        <w:t>.</w:t>
      </w:r>
    </w:p>
  </w:footnote>
  <w:footnote w:id="129">
    <w:p w14:paraId="7D64B926" w14:textId="2963D59F"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F34CBE" w:rsidRPr="00997F1C">
        <w:rPr>
          <w:color w:val="000000" w:themeColor="text1"/>
          <w:szCs w:val="22"/>
        </w:rPr>
        <w:t>Fall Update Errata</w:t>
      </w:r>
      <w:r w:rsidRPr="00997F1C">
        <w:rPr>
          <w:color w:val="000000" w:themeColor="text1"/>
          <w:szCs w:val="22"/>
        </w:rPr>
        <w:t>, Table 17-1, Template D-1</w:t>
      </w:r>
      <w:r w:rsidR="00BE61D2" w:rsidRPr="00997F1C">
        <w:rPr>
          <w:color w:val="000000" w:themeColor="text1"/>
          <w:szCs w:val="22"/>
        </w:rPr>
        <w:t>, Line</w:t>
      </w:r>
      <w:r w:rsidR="00A9340B" w:rsidRPr="00997F1C">
        <w:rPr>
          <w:color w:val="000000" w:themeColor="text1"/>
          <w:szCs w:val="22"/>
        </w:rPr>
        <w:t>s</w:t>
      </w:r>
      <w:r w:rsidR="0024564D" w:rsidRPr="00997F1C">
        <w:rPr>
          <w:color w:val="000000" w:themeColor="text1"/>
          <w:szCs w:val="22"/>
        </w:rPr>
        <w:t xml:space="preserve"> 29</w:t>
      </w:r>
      <w:r w:rsidR="00A9340B" w:rsidRPr="00997F1C">
        <w:rPr>
          <w:color w:val="000000" w:themeColor="text1"/>
          <w:szCs w:val="22"/>
        </w:rPr>
        <w:t xml:space="preserve"> and 30</w:t>
      </w:r>
      <w:r w:rsidRPr="00997F1C">
        <w:rPr>
          <w:color w:val="000000" w:themeColor="text1"/>
          <w:szCs w:val="22"/>
        </w:rPr>
        <w:t>.</w:t>
      </w:r>
    </w:p>
  </w:footnote>
  <w:footnote w:id="130">
    <w:p w14:paraId="1C1FF3D2" w14:textId="4D365EAB"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F34CBE" w:rsidRPr="00997F1C">
        <w:rPr>
          <w:color w:val="000000" w:themeColor="text1"/>
          <w:szCs w:val="22"/>
        </w:rPr>
        <w:t>Fall Update Errata</w:t>
      </w:r>
      <w:r w:rsidRPr="00997F1C">
        <w:rPr>
          <w:color w:val="000000" w:themeColor="text1"/>
          <w:szCs w:val="22"/>
        </w:rPr>
        <w:t xml:space="preserve">, Table 17-1, Template D-1. </w:t>
      </w:r>
    </w:p>
  </w:footnote>
  <w:footnote w:id="131">
    <w:p w14:paraId="10D99370"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Solar on Multifamily Affordable Housing program.</w:t>
      </w:r>
    </w:p>
  </w:footnote>
  <w:footnote w:id="132">
    <w:p w14:paraId="05F9E27E" w14:textId="7430F1DC"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Disadvantaged Communities </w:t>
      </w:r>
      <w:r w:rsidR="00BA1EB8" w:rsidRPr="00997F1C">
        <w:rPr>
          <w:color w:val="000000" w:themeColor="text1"/>
          <w:szCs w:val="22"/>
        </w:rPr>
        <w:t>–</w:t>
      </w:r>
      <w:r w:rsidRPr="00997F1C">
        <w:rPr>
          <w:color w:val="000000" w:themeColor="text1"/>
          <w:szCs w:val="22"/>
        </w:rPr>
        <w:t xml:space="preserve"> Single-Family Solar Homes.</w:t>
      </w:r>
    </w:p>
  </w:footnote>
  <w:footnote w:id="133">
    <w:p w14:paraId="5E72B518"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Disadvantaged Communities Green Tariff.</w:t>
      </w:r>
    </w:p>
  </w:footnote>
  <w:footnote w:id="134">
    <w:p w14:paraId="719A31D5"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Community Solar Green Tariff.</w:t>
      </w:r>
    </w:p>
  </w:footnote>
  <w:footnote w:id="135">
    <w:p w14:paraId="4376A998" w14:textId="5C9F53E9"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AD4AEA" w:rsidRPr="00997F1C">
        <w:rPr>
          <w:color w:val="000000" w:themeColor="text1"/>
          <w:szCs w:val="22"/>
        </w:rPr>
        <w:t>Fall Update Errata</w:t>
      </w:r>
      <w:r w:rsidRPr="00997F1C">
        <w:rPr>
          <w:color w:val="000000" w:themeColor="text1"/>
          <w:szCs w:val="22"/>
        </w:rPr>
        <w:t>, Table 15-1, Template D-2.</w:t>
      </w:r>
    </w:p>
  </w:footnote>
  <w:footnote w:id="136">
    <w:p w14:paraId="3A5517BE" w14:textId="48EAB71A"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AD4AEA" w:rsidRPr="00997F1C">
        <w:rPr>
          <w:color w:val="000000" w:themeColor="text1"/>
          <w:szCs w:val="22"/>
        </w:rPr>
        <w:t>Fall Update Errata, Table 15-1, Template D-2.</w:t>
      </w:r>
    </w:p>
  </w:footnote>
  <w:footnote w:id="137">
    <w:p w14:paraId="6129FFD9"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PGE-06, Table 17-1, Template D-1.</w:t>
      </w:r>
    </w:p>
  </w:footnote>
  <w:footnote w:id="138">
    <w:p w14:paraId="234901D3"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PGE-06, Table 17-3.</w:t>
      </w:r>
    </w:p>
  </w:footnote>
  <w:footnote w:id="139">
    <w:p w14:paraId="42D7B4E6" w14:textId="2A479DA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B03174" w:rsidRPr="00997F1C">
        <w:rPr>
          <w:color w:val="000000" w:themeColor="text1"/>
          <w:szCs w:val="22"/>
        </w:rPr>
        <w:t xml:space="preserve">Fall Update Errata, Table 17-1, Line </w:t>
      </w:r>
      <w:r w:rsidR="006447A8" w:rsidRPr="00997F1C">
        <w:rPr>
          <w:color w:val="000000" w:themeColor="text1"/>
          <w:szCs w:val="22"/>
        </w:rPr>
        <w:t>8.</w:t>
      </w:r>
    </w:p>
  </w:footnote>
  <w:footnote w:id="140">
    <w:p w14:paraId="6843ACB3"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PGE-06, Table 16-5, Template D-3.</w:t>
      </w:r>
    </w:p>
  </w:footnote>
  <w:footnote w:id="141">
    <w:p w14:paraId="075C8EDD" w14:textId="2B1042E6"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6447A8" w:rsidRPr="00997F1C">
        <w:rPr>
          <w:color w:val="000000" w:themeColor="text1"/>
          <w:szCs w:val="22"/>
        </w:rPr>
        <w:t>Fall Update Errata</w:t>
      </w:r>
      <w:r w:rsidRPr="00997F1C">
        <w:rPr>
          <w:color w:val="000000" w:themeColor="text1"/>
          <w:szCs w:val="22"/>
        </w:rPr>
        <w:t xml:space="preserve">, Table </w:t>
      </w:r>
      <w:r w:rsidR="0030709A" w:rsidRPr="00997F1C">
        <w:rPr>
          <w:color w:val="000000" w:themeColor="text1"/>
          <w:szCs w:val="22"/>
        </w:rPr>
        <w:t>16</w:t>
      </w:r>
      <w:r w:rsidRPr="00997F1C">
        <w:rPr>
          <w:color w:val="000000" w:themeColor="text1"/>
          <w:szCs w:val="22"/>
        </w:rPr>
        <w:t>-</w:t>
      </w:r>
      <w:r w:rsidR="0030709A" w:rsidRPr="00997F1C">
        <w:rPr>
          <w:color w:val="000000" w:themeColor="text1"/>
          <w:szCs w:val="22"/>
        </w:rPr>
        <w:t>5</w:t>
      </w:r>
      <w:r w:rsidRPr="00997F1C">
        <w:rPr>
          <w:color w:val="000000" w:themeColor="text1"/>
          <w:szCs w:val="22"/>
        </w:rPr>
        <w:t>, Template D-</w:t>
      </w:r>
      <w:r w:rsidR="0030709A" w:rsidRPr="00997F1C">
        <w:rPr>
          <w:color w:val="000000" w:themeColor="text1"/>
          <w:szCs w:val="22"/>
        </w:rPr>
        <w:t>3</w:t>
      </w:r>
      <w:r w:rsidR="006447A8" w:rsidRPr="00997F1C">
        <w:rPr>
          <w:color w:val="000000" w:themeColor="text1"/>
          <w:szCs w:val="22"/>
        </w:rPr>
        <w:t xml:space="preserve">, Line </w:t>
      </w:r>
      <w:r w:rsidR="00A42AFE" w:rsidRPr="00997F1C">
        <w:rPr>
          <w:color w:val="000000" w:themeColor="text1"/>
          <w:szCs w:val="22"/>
        </w:rPr>
        <w:t>1</w:t>
      </w:r>
      <w:r w:rsidR="0030709A" w:rsidRPr="00997F1C">
        <w:rPr>
          <w:color w:val="000000" w:themeColor="text1"/>
          <w:szCs w:val="22"/>
        </w:rPr>
        <w:t>4</w:t>
      </w:r>
      <w:r w:rsidRPr="00997F1C">
        <w:rPr>
          <w:color w:val="000000" w:themeColor="text1"/>
          <w:szCs w:val="22"/>
        </w:rPr>
        <w:t>.</w:t>
      </w:r>
    </w:p>
  </w:footnote>
  <w:footnote w:id="142">
    <w:p w14:paraId="04E1570E" w14:textId="730CFD54"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6447A8" w:rsidRPr="00997F1C">
        <w:rPr>
          <w:color w:val="000000" w:themeColor="text1"/>
          <w:szCs w:val="22"/>
        </w:rPr>
        <w:t xml:space="preserve">Fall Update Errata, </w:t>
      </w:r>
      <w:r w:rsidRPr="00997F1C">
        <w:rPr>
          <w:color w:val="000000" w:themeColor="text1"/>
          <w:szCs w:val="22"/>
        </w:rPr>
        <w:t>Table 17-1, Template D-1</w:t>
      </w:r>
      <w:r w:rsidR="006447A8" w:rsidRPr="00997F1C">
        <w:rPr>
          <w:color w:val="000000" w:themeColor="text1"/>
          <w:szCs w:val="22"/>
        </w:rPr>
        <w:t xml:space="preserve">, Line </w:t>
      </w:r>
      <w:r w:rsidR="006E3493" w:rsidRPr="00997F1C">
        <w:rPr>
          <w:color w:val="000000" w:themeColor="text1"/>
          <w:szCs w:val="22"/>
        </w:rPr>
        <w:t>14</w:t>
      </w:r>
      <w:r w:rsidRPr="00997F1C">
        <w:rPr>
          <w:color w:val="000000" w:themeColor="text1"/>
          <w:szCs w:val="22"/>
        </w:rPr>
        <w:t>.</w:t>
      </w:r>
    </w:p>
  </w:footnote>
  <w:footnote w:id="143">
    <w:p w14:paraId="53D5725A" w14:textId="5CF8407A"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6E3493" w:rsidRPr="00997F1C">
        <w:rPr>
          <w:color w:val="000000" w:themeColor="text1"/>
          <w:szCs w:val="22"/>
        </w:rPr>
        <w:t>Fall Update Errata, Table 17-1, Template D-1</w:t>
      </w:r>
      <w:r w:rsidR="006B371D" w:rsidRPr="00997F1C">
        <w:rPr>
          <w:color w:val="000000" w:themeColor="text1"/>
          <w:szCs w:val="22"/>
        </w:rPr>
        <w:t>, Line</w:t>
      </w:r>
      <w:r w:rsidR="00E60663" w:rsidRPr="00997F1C">
        <w:rPr>
          <w:color w:val="000000" w:themeColor="text1"/>
          <w:szCs w:val="22"/>
        </w:rPr>
        <w:t>s 14(a)-(d)</w:t>
      </w:r>
      <w:r w:rsidR="006E3493" w:rsidRPr="00997F1C">
        <w:rPr>
          <w:color w:val="000000" w:themeColor="text1"/>
          <w:szCs w:val="22"/>
        </w:rPr>
        <w:t>.</w:t>
      </w:r>
    </w:p>
  </w:footnote>
  <w:footnote w:id="144">
    <w:p w14:paraId="3E90BE5D" w14:textId="3ACE6ABD"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PG&amp;E AL </w:t>
      </w:r>
      <w:r w:rsidR="005E21C3" w:rsidRPr="00997F1C">
        <w:rPr>
          <w:color w:val="000000" w:themeColor="text1"/>
        </w:rPr>
        <w:t>7554</w:t>
      </w:r>
      <w:r w:rsidR="006C1451" w:rsidRPr="00997F1C">
        <w:rPr>
          <w:color w:val="000000" w:themeColor="text1"/>
        </w:rPr>
        <w:t>-E</w:t>
      </w:r>
      <w:r w:rsidRPr="00997F1C">
        <w:rPr>
          <w:color w:val="000000" w:themeColor="text1"/>
        </w:rPr>
        <w:t>.</w:t>
      </w:r>
    </w:p>
  </w:footnote>
  <w:footnote w:id="145">
    <w:p w14:paraId="51E3BD31"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PGE-06 at 34.</w:t>
      </w:r>
    </w:p>
  </w:footnote>
  <w:footnote w:id="146">
    <w:p w14:paraId="28DDDE9D" w14:textId="6BC554CE"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CC44B6" w:rsidRPr="00997F1C">
        <w:rPr>
          <w:color w:val="000000" w:themeColor="text1"/>
          <w:szCs w:val="22"/>
        </w:rPr>
        <w:t>Fall Update Errata</w:t>
      </w:r>
      <w:r w:rsidRPr="00997F1C">
        <w:rPr>
          <w:color w:val="000000" w:themeColor="text1"/>
          <w:szCs w:val="22"/>
        </w:rPr>
        <w:t>, Table 17-1, Template D-1</w:t>
      </w:r>
      <w:r w:rsidR="00CC44B6" w:rsidRPr="00997F1C">
        <w:rPr>
          <w:color w:val="000000" w:themeColor="text1"/>
          <w:szCs w:val="22"/>
        </w:rPr>
        <w:t xml:space="preserve">, Line </w:t>
      </w:r>
      <w:r w:rsidR="00F25580" w:rsidRPr="00997F1C">
        <w:rPr>
          <w:color w:val="000000" w:themeColor="text1"/>
          <w:szCs w:val="22"/>
        </w:rPr>
        <w:t>19</w:t>
      </w:r>
      <w:r w:rsidRPr="00997F1C">
        <w:rPr>
          <w:color w:val="000000" w:themeColor="text1"/>
          <w:szCs w:val="22"/>
        </w:rPr>
        <w:t>.</w:t>
      </w:r>
    </w:p>
  </w:footnote>
  <w:footnote w:id="147">
    <w:p w14:paraId="62B1F065"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Res. E-5339, August 22, 2024, modified eligibility rules for small business customers. </w:t>
      </w:r>
    </w:p>
  </w:footnote>
  <w:footnote w:id="148">
    <w:p w14:paraId="5F6037D8" w14:textId="3BA10794"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8605A1" w:rsidRPr="00997F1C">
        <w:rPr>
          <w:color w:val="000000" w:themeColor="text1"/>
          <w:szCs w:val="22"/>
        </w:rPr>
        <w:t>Fall Update Errata</w:t>
      </w:r>
      <w:r w:rsidRPr="00997F1C">
        <w:rPr>
          <w:color w:val="000000" w:themeColor="text1"/>
          <w:szCs w:val="22"/>
        </w:rPr>
        <w:t>, Table 17-1, Template D-1</w:t>
      </w:r>
      <w:r w:rsidR="00EA63C7" w:rsidRPr="00997F1C">
        <w:rPr>
          <w:color w:val="000000" w:themeColor="text1"/>
          <w:szCs w:val="22"/>
        </w:rPr>
        <w:t xml:space="preserve">, Line </w:t>
      </w:r>
      <w:r w:rsidR="000A4ED6" w:rsidRPr="00997F1C">
        <w:rPr>
          <w:color w:val="000000" w:themeColor="text1"/>
          <w:szCs w:val="22"/>
        </w:rPr>
        <w:t>4</w:t>
      </w:r>
      <w:r w:rsidRPr="00997F1C">
        <w:rPr>
          <w:color w:val="000000" w:themeColor="text1"/>
          <w:szCs w:val="22"/>
        </w:rPr>
        <w:t>.</w:t>
      </w:r>
    </w:p>
  </w:footnote>
  <w:footnote w:id="149">
    <w:p w14:paraId="26386126" w14:textId="3A664FDA"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EE35DE" w:rsidRPr="00997F1C">
        <w:rPr>
          <w:color w:val="000000" w:themeColor="text1"/>
          <w:szCs w:val="22"/>
        </w:rPr>
        <w:t>Fall Update Errata</w:t>
      </w:r>
      <w:r w:rsidRPr="00997F1C">
        <w:rPr>
          <w:color w:val="000000" w:themeColor="text1"/>
          <w:szCs w:val="22"/>
        </w:rPr>
        <w:t>, Table 17-1, Template D-1</w:t>
      </w:r>
      <w:r w:rsidR="00DE1B51" w:rsidRPr="00997F1C">
        <w:rPr>
          <w:color w:val="000000" w:themeColor="text1"/>
          <w:szCs w:val="22"/>
        </w:rPr>
        <w:t>, Line</w:t>
      </w:r>
      <w:r w:rsidR="00AA70FD" w:rsidRPr="00997F1C">
        <w:rPr>
          <w:color w:val="000000" w:themeColor="text1"/>
          <w:szCs w:val="22"/>
        </w:rPr>
        <w:t xml:space="preserve">s </w:t>
      </w:r>
      <w:r w:rsidR="00C039C5" w:rsidRPr="00997F1C">
        <w:rPr>
          <w:color w:val="000000" w:themeColor="text1"/>
          <w:szCs w:val="22"/>
        </w:rPr>
        <w:t>28 and</w:t>
      </w:r>
      <w:r w:rsidR="00DE1B51" w:rsidRPr="00997F1C">
        <w:rPr>
          <w:color w:val="000000" w:themeColor="text1"/>
          <w:szCs w:val="22"/>
        </w:rPr>
        <w:t xml:space="preserve"> </w:t>
      </w:r>
      <w:r w:rsidR="003E799D" w:rsidRPr="00997F1C">
        <w:rPr>
          <w:color w:val="000000" w:themeColor="text1"/>
          <w:szCs w:val="22"/>
        </w:rPr>
        <w:t>30</w:t>
      </w:r>
      <w:r w:rsidRPr="00997F1C">
        <w:rPr>
          <w:color w:val="000000" w:themeColor="text1"/>
          <w:szCs w:val="22"/>
        </w:rPr>
        <w:t>.</w:t>
      </w:r>
    </w:p>
  </w:footnote>
  <w:footnote w:id="150">
    <w:p w14:paraId="5BF3A8DF" w14:textId="1BE1B1B9"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5E4859" w:rsidRPr="00997F1C">
        <w:rPr>
          <w:color w:val="000000" w:themeColor="text1"/>
          <w:szCs w:val="22"/>
        </w:rPr>
        <w:t>Fall Update Errata</w:t>
      </w:r>
      <w:r w:rsidRPr="00997F1C">
        <w:rPr>
          <w:color w:val="000000" w:themeColor="text1"/>
          <w:szCs w:val="22"/>
        </w:rPr>
        <w:t>, Table 17-1, Template D-1</w:t>
      </w:r>
      <w:r w:rsidR="003E799D" w:rsidRPr="00997F1C">
        <w:rPr>
          <w:color w:val="000000" w:themeColor="text1"/>
          <w:szCs w:val="22"/>
        </w:rPr>
        <w:t>, Line 29</w:t>
      </w:r>
      <w:r w:rsidRPr="00997F1C">
        <w:rPr>
          <w:color w:val="000000" w:themeColor="text1"/>
          <w:szCs w:val="22"/>
        </w:rPr>
        <w:t>.</w:t>
      </w:r>
    </w:p>
  </w:footnote>
  <w:footnote w:id="151">
    <w:p w14:paraId="2DA26A73" w14:textId="3C6BD09D"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Pr="00997F1C">
        <w:rPr>
          <w:color w:val="000000" w:themeColor="text1"/>
          <w:szCs w:val="22"/>
        </w:rPr>
        <w:t>Exhibit PGE-</w:t>
      </w:r>
      <w:r w:rsidR="00537720" w:rsidRPr="00997F1C">
        <w:rPr>
          <w:color w:val="000000" w:themeColor="text1"/>
          <w:szCs w:val="22"/>
        </w:rPr>
        <w:t>01</w:t>
      </w:r>
      <w:r w:rsidRPr="00997F1C">
        <w:rPr>
          <w:color w:val="000000" w:themeColor="text1"/>
          <w:szCs w:val="22"/>
        </w:rPr>
        <w:t>, Chapter 13.</w:t>
      </w:r>
    </w:p>
  </w:footnote>
  <w:footnote w:id="152">
    <w:p w14:paraId="4ADA85C8" w14:textId="0F2ED8AD"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Pr="00997F1C">
        <w:rPr>
          <w:color w:val="000000" w:themeColor="text1"/>
          <w:szCs w:val="22"/>
        </w:rPr>
        <w:t>Exhibit PGE-</w:t>
      </w:r>
      <w:r w:rsidR="00537720" w:rsidRPr="00997F1C">
        <w:rPr>
          <w:color w:val="000000" w:themeColor="text1"/>
          <w:szCs w:val="22"/>
        </w:rPr>
        <w:t>01</w:t>
      </w:r>
      <w:r w:rsidRPr="00997F1C">
        <w:rPr>
          <w:color w:val="000000" w:themeColor="text1"/>
          <w:szCs w:val="22"/>
        </w:rPr>
        <w:t>, Chapter 13.</w:t>
      </w:r>
    </w:p>
  </w:footnote>
  <w:footnote w:id="153">
    <w:p w14:paraId="2CD0CBF4" w14:textId="133B1CD2"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w:t>
      </w:r>
      <w:r w:rsidR="00537720" w:rsidRPr="00997F1C">
        <w:rPr>
          <w:color w:val="000000" w:themeColor="text1"/>
          <w:szCs w:val="22"/>
        </w:rPr>
        <w:t>01</w:t>
      </w:r>
      <w:r w:rsidRPr="00997F1C">
        <w:rPr>
          <w:color w:val="000000" w:themeColor="text1"/>
          <w:szCs w:val="22"/>
        </w:rPr>
        <w:t>, Chapter 13.</w:t>
      </w:r>
    </w:p>
  </w:footnote>
  <w:footnote w:id="154">
    <w:p w14:paraId="612D116D"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PGE-06, at 4-5.</w:t>
      </w:r>
    </w:p>
  </w:footnote>
  <w:footnote w:id="155">
    <w:p w14:paraId="19026EDF"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13-4.</w:t>
      </w:r>
    </w:p>
  </w:footnote>
  <w:footnote w:id="156">
    <w:p w14:paraId="0D64268C"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13-4.</w:t>
      </w:r>
    </w:p>
  </w:footnote>
  <w:footnote w:id="157">
    <w:p w14:paraId="562791EA"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Application at 7, D.22-01-023 at 13-15.</w:t>
      </w:r>
    </w:p>
  </w:footnote>
  <w:footnote w:id="158">
    <w:p w14:paraId="47159BAB"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Pr="00997F1C">
        <w:rPr>
          <w:color w:val="000000" w:themeColor="text1"/>
          <w:szCs w:val="22"/>
        </w:rPr>
        <w:t>Exhibit PGE-06 at 27.</w:t>
      </w:r>
    </w:p>
  </w:footnote>
  <w:footnote w:id="159">
    <w:p w14:paraId="2301CAE9"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PGE-01 at 13-4.</w:t>
      </w:r>
    </w:p>
  </w:footnote>
  <w:footnote w:id="160">
    <w:p w14:paraId="16D213AE" w14:textId="2D9DBE7C"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Exhibit PGE-06</w:t>
      </w:r>
      <w:r w:rsidR="00FC39E6" w:rsidRPr="00997F1C">
        <w:rPr>
          <w:color w:val="000000" w:themeColor="text1"/>
          <w:szCs w:val="22"/>
        </w:rPr>
        <w:t>, Table 12-4</w:t>
      </w:r>
      <w:r w:rsidRPr="00997F1C">
        <w:rPr>
          <w:color w:val="000000" w:themeColor="text1"/>
          <w:szCs w:val="22"/>
        </w:rPr>
        <w:t>.</w:t>
      </w:r>
    </w:p>
  </w:footnote>
  <w:footnote w:id="161">
    <w:p w14:paraId="1449B52F"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Any revenue requirement component changes approved in this proceeding will be implemented in the 2026 Annual Electric True-Up and will be consolidated with other changes approved for implementation at that time.  </w:t>
      </w:r>
    </w:p>
  </w:footnote>
  <w:footnote w:id="162">
    <w:p w14:paraId="6AB87DAD" w14:textId="28F23A4A"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4F5A83" w:rsidRPr="00997F1C">
        <w:rPr>
          <w:color w:val="000000" w:themeColor="text1"/>
        </w:rPr>
        <w:t>Fall Update Errata</w:t>
      </w:r>
      <w:r w:rsidRPr="00997F1C">
        <w:rPr>
          <w:color w:val="000000" w:themeColor="text1"/>
        </w:rPr>
        <w:t>, Table 13-3.</w:t>
      </w:r>
    </w:p>
  </w:footnote>
  <w:footnote w:id="163">
    <w:p w14:paraId="42BA3921" w14:textId="03A44E6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6547F5" w:rsidRPr="00997F1C">
        <w:rPr>
          <w:color w:val="000000" w:themeColor="text1"/>
          <w:szCs w:val="22"/>
        </w:rPr>
        <w:t>Fall Update Errata</w:t>
      </w:r>
      <w:r w:rsidR="004F73E4" w:rsidRPr="00997F1C">
        <w:rPr>
          <w:color w:val="000000" w:themeColor="text1"/>
          <w:szCs w:val="22"/>
        </w:rPr>
        <w:t>, Table 13-4</w:t>
      </w:r>
      <w:r w:rsidRPr="00997F1C">
        <w:rPr>
          <w:color w:val="000000" w:themeColor="text1"/>
          <w:szCs w:val="22"/>
        </w:rPr>
        <w:t>.</w:t>
      </w:r>
    </w:p>
  </w:footnote>
  <w:footnote w:id="164">
    <w:p w14:paraId="7D2E7450" w14:textId="3C72C179"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FA7DAA" w:rsidRPr="00997F1C">
        <w:rPr>
          <w:color w:val="000000" w:themeColor="text1"/>
          <w:szCs w:val="22"/>
        </w:rPr>
        <w:t>Fall Update Errata</w:t>
      </w:r>
      <w:r w:rsidR="00FE1139" w:rsidRPr="00997F1C">
        <w:rPr>
          <w:color w:val="000000" w:themeColor="text1"/>
          <w:szCs w:val="22"/>
        </w:rPr>
        <w:t>,</w:t>
      </w:r>
      <w:r w:rsidR="00FA7DAA" w:rsidRPr="00997F1C">
        <w:rPr>
          <w:color w:val="000000" w:themeColor="text1"/>
          <w:szCs w:val="22"/>
        </w:rPr>
        <w:t xml:space="preserve"> </w:t>
      </w:r>
      <w:r w:rsidRPr="00997F1C">
        <w:rPr>
          <w:color w:val="000000" w:themeColor="text1"/>
          <w:szCs w:val="22"/>
        </w:rPr>
        <w:t>Table 13-5.</w:t>
      </w:r>
    </w:p>
  </w:footnote>
  <w:footnote w:id="165">
    <w:p w14:paraId="7A310C48"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Pursuant to D.21-11-016.</w:t>
      </w:r>
    </w:p>
  </w:footnote>
  <w:footnote w:id="166">
    <w:p w14:paraId="46B123A9"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Pr="00997F1C">
        <w:rPr>
          <w:color w:val="000000" w:themeColor="text1"/>
          <w:szCs w:val="22"/>
        </w:rPr>
        <w:t>Exhibit PGE-06, Table 13-6.</w:t>
      </w:r>
    </w:p>
  </w:footnote>
  <w:footnote w:id="167">
    <w:p w14:paraId="14B1EDD4" w14:textId="38DB4319"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F249DC" w:rsidRPr="00997F1C">
        <w:rPr>
          <w:color w:val="000000" w:themeColor="text1"/>
          <w:szCs w:val="22"/>
        </w:rPr>
        <w:t xml:space="preserve">Fall Update Errata, Table </w:t>
      </w:r>
      <w:r w:rsidR="00FE1139" w:rsidRPr="00997F1C">
        <w:rPr>
          <w:color w:val="000000" w:themeColor="text1"/>
          <w:szCs w:val="22"/>
        </w:rPr>
        <w:t>13-6</w:t>
      </w:r>
      <w:r w:rsidRPr="00997F1C">
        <w:rPr>
          <w:color w:val="000000" w:themeColor="text1"/>
          <w:szCs w:val="22"/>
        </w:rPr>
        <w:t>.</w:t>
      </w:r>
    </w:p>
  </w:footnote>
  <w:footnote w:id="168">
    <w:p w14:paraId="08FD92EB" w14:textId="65E4B0A8"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In D.10-12-035, the Commission adopted a settlement which established an NBC that utilized the CAM approved by D.06-07-029, D.07-09-044, and D.08-09-012. </w:t>
      </w:r>
      <w:r w:rsidR="00A5195C" w:rsidRPr="00997F1C">
        <w:rPr>
          <w:color w:val="000000" w:themeColor="text1"/>
          <w:szCs w:val="22"/>
        </w:rPr>
        <w:t xml:space="preserve"> </w:t>
      </w:r>
      <w:r w:rsidRPr="00997F1C">
        <w:rPr>
          <w:color w:val="000000" w:themeColor="text1"/>
          <w:szCs w:val="22"/>
        </w:rPr>
        <w:t>PG&amp;E subsequently labeled this non-bypassable charge the NSGC in AL 3896-E-B.</w:t>
      </w:r>
    </w:p>
  </w:footnote>
  <w:footnote w:id="169">
    <w:p w14:paraId="02F9FDFE"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D.11-12-013, D.15-08-005.</w:t>
      </w:r>
    </w:p>
  </w:footnote>
  <w:footnote w:id="170">
    <w:p w14:paraId="4B91AABA" w14:textId="665AD9F1"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FE1139" w:rsidRPr="00997F1C">
        <w:rPr>
          <w:color w:val="000000" w:themeColor="text1"/>
          <w:szCs w:val="22"/>
        </w:rPr>
        <w:t xml:space="preserve">Fall Update Errata, </w:t>
      </w:r>
      <w:r w:rsidRPr="00997F1C">
        <w:rPr>
          <w:color w:val="000000" w:themeColor="text1"/>
          <w:szCs w:val="22"/>
        </w:rPr>
        <w:t>Table 13-7.</w:t>
      </w:r>
    </w:p>
  </w:footnote>
  <w:footnote w:id="171">
    <w:p w14:paraId="2E4F76EB" w14:textId="1A32464F"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10514D" w:rsidRPr="00997F1C">
        <w:rPr>
          <w:color w:val="000000" w:themeColor="text1"/>
          <w:szCs w:val="22"/>
        </w:rPr>
        <w:t xml:space="preserve">Fall Update Errata, </w:t>
      </w:r>
      <w:r w:rsidRPr="00997F1C">
        <w:rPr>
          <w:color w:val="000000" w:themeColor="text1"/>
          <w:szCs w:val="22"/>
        </w:rPr>
        <w:t>, Table 13-8.</w:t>
      </w:r>
    </w:p>
  </w:footnote>
  <w:footnote w:id="172">
    <w:p w14:paraId="3991DB94" w14:textId="0294D185"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w:t>
      </w:r>
      <w:r w:rsidR="001754C5" w:rsidRPr="00997F1C">
        <w:rPr>
          <w:color w:val="000000" w:themeColor="text1"/>
          <w:szCs w:val="22"/>
        </w:rPr>
        <w:t xml:space="preserve">Fall Update Errata, Table </w:t>
      </w:r>
      <w:r w:rsidRPr="00997F1C">
        <w:rPr>
          <w:color w:val="000000" w:themeColor="text1"/>
          <w:szCs w:val="22"/>
        </w:rPr>
        <w:t>13-9.</w:t>
      </w:r>
    </w:p>
  </w:footnote>
  <w:footnote w:id="173">
    <w:p w14:paraId="2BA19E2D" w14:textId="77777777" w:rsidR="003E5AEF" w:rsidRPr="00997F1C" w:rsidRDefault="003E5AEF" w:rsidP="003E5AEF">
      <w:pPr>
        <w:pStyle w:val="FootnoteText"/>
        <w:rPr>
          <w:color w:val="000000" w:themeColor="text1"/>
          <w:szCs w:val="22"/>
        </w:rPr>
      </w:pPr>
      <w:r w:rsidRPr="00997F1C">
        <w:rPr>
          <w:rStyle w:val="FootnoteReference"/>
          <w:color w:val="000000" w:themeColor="text1"/>
          <w:szCs w:val="22"/>
        </w:rPr>
        <w:footnoteRef/>
      </w:r>
      <w:r w:rsidRPr="00997F1C">
        <w:rPr>
          <w:color w:val="000000" w:themeColor="text1"/>
          <w:szCs w:val="22"/>
        </w:rPr>
        <w:t xml:space="preserve">  PG&amp;E established the PPCP subaccount through AL 6524-E, effective March 14, 2022.</w:t>
      </w:r>
    </w:p>
  </w:footnote>
  <w:footnote w:id="174">
    <w:p w14:paraId="723DDCEA" w14:textId="23C5BFC4"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w:t>
      </w:r>
      <w:r w:rsidR="001754C5" w:rsidRPr="00997F1C">
        <w:rPr>
          <w:color w:val="000000" w:themeColor="text1"/>
          <w:szCs w:val="22"/>
        </w:rPr>
        <w:t xml:space="preserve">Fall Update Errata, Table </w:t>
      </w:r>
      <w:r w:rsidRPr="00997F1C">
        <w:rPr>
          <w:color w:val="000000" w:themeColor="text1"/>
          <w:szCs w:val="22"/>
        </w:rPr>
        <w:t>13-10.</w:t>
      </w:r>
    </w:p>
  </w:footnote>
  <w:footnote w:id="175">
    <w:p w14:paraId="4A510288"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Pursuant to D.15-01-051, the renewable power rate and other components of GTSR rates should be updated annually.</w:t>
      </w:r>
    </w:p>
  </w:footnote>
  <w:footnote w:id="176">
    <w:p w14:paraId="20DAE942"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PG&amp;E-2, Chapter 14, Tables 14-3 to 14-3.</w:t>
      </w:r>
    </w:p>
  </w:footnote>
  <w:footnote w:id="177">
    <w:p w14:paraId="09335841" w14:textId="77777777" w:rsidR="003E5AEF" w:rsidRPr="00997F1C" w:rsidRDefault="003E5AEF" w:rsidP="003E5AEF">
      <w:pPr>
        <w:pStyle w:val="FootnoteText"/>
        <w:rPr>
          <w:color w:val="000000" w:themeColor="text1"/>
        </w:rPr>
      </w:pPr>
      <w:r w:rsidRPr="00997F1C">
        <w:rPr>
          <w:rStyle w:val="FootnoteReference"/>
          <w:color w:val="000000" w:themeColor="text1"/>
        </w:rPr>
        <w:footnoteRef/>
      </w:r>
      <w:r w:rsidRPr="00997F1C">
        <w:rPr>
          <w:color w:val="000000" w:themeColor="text1"/>
        </w:rPr>
        <w:t xml:space="preserve"> Exhibit PG&amp;E-4, Tables 14-3, 14-5 to 14-13.</w:t>
      </w:r>
    </w:p>
  </w:footnote>
  <w:footnote w:id="178">
    <w:p w14:paraId="1A51AF3E" w14:textId="3B865B6B" w:rsidR="00D16DC9" w:rsidRDefault="00D16DC9">
      <w:pPr>
        <w:pStyle w:val="FootnoteText"/>
      </w:pPr>
      <w:r>
        <w:rPr>
          <w:rStyle w:val="FootnoteReference"/>
        </w:rPr>
        <w:footnoteRef/>
      </w:r>
      <w:r>
        <w:t xml:space="preserve"> </w:t>
      </w:r>
      <w:r w:rsidR="00EA1A55">
        <w:t>PG&amp;E Comments on the Proposed Decision at 2</w:t>
      </w:r>
      <w:r w:rsidR="001628F4">
        <w:t>-3</w:t>
      </w:r>
      <w:r w:rsidR="00EA1A55">
        <w:t>.</w:t>
      </w:r>
    </w:p>
  </w:footnote>
  <w:footnote w:id="179">
    <w:p w14:paraId="45200BC3" w14:textId="3A3B02BB" w:rsidR="00D16DC9" w:rsidRDefault="00D16DC9">
      <w:pPr>
        <w:pStyle w:val="FootnoteText"/>
      </w:pPr>
      <w:r>
        <w:rPr>
          <w:rStyle w:val="FootnoteReference"/>
        </w:rPr>
        <w:footnoteRef/>
      </w:r>
      <w:r>
        <w:t xml:space="preserve"> </w:t>
      </w:r>
      <w:r w:rsidR="00EA1A55">
        <w:t>PG&amp;E Comments on the Proposed Decision at 3-</w:t>
      </w:r>
      <w:r w:rsidR="001628F4">
        <w:t>4</w:t>
      </w:r>
      <w:r w:rsidR="00EA1A55">
        <w:t>.</w:t>
      </w:r>
    </w:p>
  </w:footnote>
  <w:footnote w:id="180">
    <w:p w14:paraId="2E40D45C" w14:textId="424F18F3" w:rsidR="00E91840" w:rsidRDefault="00E91840">
      <w:pPr>
        <w:pStyle w:val="FootnoteText"/>
      </w:pPr>
      <w:r>
        <w:rPr>
          <w:rStyle w:val="FootnoteReference"/>
        </w:rPr>
        <w:footnoteRef/>
      </w:r>
      <w:r>
        <w:t xml:space="preserve"> PG&amp;E Comments on the Proposed Decision at </w:t>
      </w:r>
      <w:r w:rsidR="00375B48">
        <w:t>5</w:t>
      </w:r>
      <w:r>
        <w:t>.</w:t>
      </w:r>
    </w:p>
  </w:footnote>
  <w:footnote w:id="181">
    <w:p w14:paraId="1AEA5B60" w14:textId="64EF6ECD" w:rsidR="00E91840" w:rsidRDefault="00E91840">
      <w:pPr>
        <w:pStyle w:val="FootnoteText"/>
      </w:pPr>
      <w:r>
        <w:rPr>
          <w:rStyle w:val="FootnoteReference"/>
        </w:rPr>
        <w:footnoteRef/>
      </w:r>
      <w:r>
        <w:t xml:space="preserve"> CalCCA Comments on the Proposed Decision at </w:t>
      </w:r>
      <w:r w:rsidR="00436D2B">
        <w:t>8-</w:t>
      </w:r>
      <w:r w:rsidR="00B8175A">
        <w:t>11</w:t>
      </w:r>
      <w:r>
        <w:t>.</w:t>
      </w:r>
    </w:p>
  </w:footnote>
  <w:footnote w:id="182">
    <w:p w14:paraId="48660820" w14:textId="11809AC1" w:rsidR="00E91840" w:rsidRDefault="00E91840">
      <w:pPr>
        <w:pStyle w:val="FootnoteText"/>
      </w:pPr>
      <w:r>
        <w:rPr>
          <w:rStyle w:val="FootnoteReference"/>
        </w:rPr>
        <w:footnoteRef/>
      </w:r>
      <w:r>
        <w:t xml:space="preserve"> CalCCA Comments on the Proposed Decision at </w:t>
      </w:r>
      <w:r w:rsidR="00310BCB">
        <w:t>11</w:t>
      </w:r>
      <w:r>
        <w:t>.</w:t>
      </w:r>
    </w:p>
  </w:footnote>
  <w:footnote w:id="183">
    <w:p w14:paraId="6E274B8A" w14:textId="40194B9A" w:rsidR="00E91840" w:rsidRDefault="00E91840">
      <w:pPr>
        <w:pStyle w:val="FootnoteText"/>
      </w:pPr>
      <w:r>
        <w:rPr>
          <w:rStyle w:val="FootnoteReference"/>
        </w:rPr>
        <w:footnoteRef/>
      </w:r>
      <w:r>
        <w:t xml:space="preserve"> CalCCA Comments on the Proposed Decision at </w:t>
      </w:r>
      <w:r w:rsidR="00504748">
        <w:t>11-12</w:t>
      </w:r>
      <w:r>
        <w:t>.</w:t>
      </w:r>
    </w:p>
  </w:footnote>
  <w:footnote w:id="184">
    <w:p w14:paraId="04B41CF8" w14:textId="05D66D95" w:rsidR="00E91840" w:rsidRDefault="00E91840">
      <w:pPr>
        <w:pStyle w:val="FootnoteText"/>
      </w:pPr>
      <w:r>
        <w:rPr>
          <w:rStyle w:val="FootnoteReference"/>
        </w:rPr>
        <w:footnoteRef/>
      </w:r>
      <w:r>
        <w:t xml:space="preserve"> CalCCA Comments on the Proposed Decision at </w:t>
      </w:r>
      <w:r w:rsidR="008E21AD">
        <w:t>12-13</w:t>
      </w:r>
      <w:r>
        <w:t>.</w:t>
      </w:r>
    </w:p>
  </w:footnote>
  <w:footnote w:id="185">
    <w:p w14:paraId="758FF43D" w14:textId="2A5914F5" w:rsidR="001A3AE7" w:rsidRDefault="001A3AE7">
      <w:pPr>
        <w:pStyle w:val="FootnoteText"/>
      </w:pPr>
      <w:r>
        <w:rPr>
          <w:rStyle w:val="FootnoteReference"/>
        </w:rPr>
        <w:footnoteRef/>
      </w:r>
      <w:r>
        <w:t xml:space="preserve"> CalCCA Comments on the Proposed Decision at </w:t>
      </w:r>
      <w:r w:rsidR="008E21AD">
        <w:t>8</w:t>
      </w:r>
      <w:r>
        <w:t>.</w:t>
      </w:r>
    </w:p>
  </w:footnote>
  <w:footnote w:id="186">
    <w:p w14:paraId="37FD9CC2" w14:textId="37EDEB87" w:rsidR="00EE4938" w:rsidRDefault="00EE4938" w:rsidP="00455157">
      <w:pPr>
        <w:pStyle w:val="FootnoteText"/>
      </w:pPr>
      <w:r>
        <w:rPr>
          <w:rStyle w:val="FootnoteReference"/>
        </w:rPr>
        <w:footnoteRef/>
      </w:r>
      <w:r>
        <w:t xml:space="preserve"> </w:t>
      </w:r>
      <w:r w:rsidR="00455157">
        <w:t xml:space="preserve">Opening Comments of Small Business Utility Advocates on the Proposed Decision </w:t>
      </w:r>
      <w:r>
        <w:t>at 2-3.</w:t>
      </w:r>
    </w:p>
  </w:footnote>
  <w:footnote w:id="187">
    <w:p w14:paraId="0E87C660" w14:textId="3505FF74" w:rsidR="00455157" w:rsidRDefault="00455157">
      <w:pPr>
        <w:pStyle w:val="FootnoteText"/>
      </w:pPr>
      <w:r>
        <w:rPr>
          <w:rStyle w:val="FootnoteReference"/>
        </w:rPr>
        <w:footnoteRef/>
      </w:r>
      <w:r>
        <w:t xml:space="preserve"> </w:t>
      </w:r>
      <w:r w:rsidR="00503739">
        <w:t xml:space="preserve">Opening Comments of Small Business Utility Advocates on the Proposed Decision at </w:t>
      </w:r>
      <w:r w:rsidR="0025716C">
        <w:t>3-4</w:t>
      </w:r>
      <w:r w:rsidR="00503739">
        <w:t>.</w:t>
      </w:r>
    </w:p>
  </w:footnote>
  <w:footnote w:id="188">
    <w:p w14:paraId="30249D2D" w14:textId="34222C99" w:rsidR="00455157" w:rsidRDefault="00455157">
      <w:pPr>
        <w:pStyle w:val="FootnoteText"/>
      </w:pPr>
      <w:r>
        <w:rPr>
          <w:rStyle w:val="FootnoteReference"/>
        </w:rPr>
        <w:footnoteRef/>
      </w:r>
      <w:r>
        <w:t xml:space="preserve"> </w:t>
      </w:r>
      <w:r w:rsidR="00503739">
        <w:t xml:space="preserve">Opening Comments of Small Business Utility Advocates on the Proposed Decision at </w:t>
      </w:r>
      <w:r w:rsidR="0025716C">
        <w:t>4</w:t>
      </w:r>
      <w:r w:rsidR="00503739">
        <w:t>.</w:t>
      </w:r>
    </w:p>
  </w:footnote>
  <w:footnote w:id="189">
    <w:p w14:paraId="5ED96791" w14:textId="4715330C" w:rsidR="00A273C7" w:rsidRDefault="00A273C7">
      <w:pPr>
        <w:pStyle w:val="FootnoteText"/>
      </w:pPr>
      <w:r>
        <w:rPr>
          <w:rStyle w:val="FootnoteReference"/>
        </w:rPr>
        <w:footnoteRef/>
      </w:r>
      <w:r>
        <w:t xml:space="preserve"> Opening Comments of Small Business Utility Advocates on the Proposed Decision at 4.</w:t>
      </w:r>
    </w:p>
  </w:footnote>
  <w:footnote w:id="190">
    <w:p w14:paraId="49888E35" w14:textId="0F79C756" w:rsidR="00FB3640" w:rsidRDefault="00FB3640">
      <w:pPr>
        <w:pStyle w:val="FootnoteText"/>
      </w:pPr>
      <w:r>
        <w:rPr>
          <w:rStyle w:val="FootnoteReference"/>
        </w:rPr>
        <w:footnoteRef/>
      </w:r>
      <w:r>
        <w:t xml:space="preserve"> </w:t>
      </w:r>
      <w:r w:rsidR="001A3AE7">
        <w:t xml:space="preserve">PG&amp;E Reply Comments on the Proposed Decision at </w:t>
      </w:r>
      <w:r w:rsidR="00CB755E">
        <w:t>1-3</w:t>
      </w:r>
      <w:r w:rsidR="001A3AE7">
        <w:t>.</w:t>
      </w:r>
    </w:p>
  </w:footnote>
  <w:footnote w:id="191">
    <w:p w14:paraId="391760C8" w14:textId="3AC7C313" w:rsidR="00FB3640" w:rsidRDefault="00FB3640">
      <w:pPr>
        <w:pStyle w:val="FootnoteText"/>
      </w:pPr>
      <w:r>
        <w:rPr>
          <w:rStyle w:val="FootnoteReference"/>
        </w:rPr>
        <w:footnoteRef/>
      </w:r>
      <w:r>
        <w:t xml:space="preserve"> </w:t>
      </w:r>
      <w:r w:rsidR="001A3AE7">
        <w:t xml:space="preserve">PG&amp;E Reply Comments on the Proposed Decision at </w:t>
      </w:r>
      <w:r w:rsidR="00BB5231">
        <w:t>3-5</w:t>
      </w:r>
      <w:r w:rsidR="001A3AE7">
        <w:t>.</w:t>
      </w:r>
    </w:p>
  </w:footnote>
  <w:footnote w:id="192">
    <w:p w14:paraId="0EA07E66" w14:textId="0768EF21" w:rsidR="00835697" w:rsidRDefault="00835697">
      <w:pPr>
        <w:pStyle w:val="FootnoteText"/>
      </w:pPr>
      <w:r>
        <w:rPr>
          <w:rStyle w:val="FootnoteReference"/>
        </w:rPr>
        <w:footnoteRef/>
      </w:r>
      <w:r>
        <w:t xml:space="preserve"> </w:t>
      </w:r>
      <w:r w:rsidR="000F37F8">
        <w:t xml:space="preserve">PG&amp;E Reply Comments on the Proposed Decision at </w:t>
      </w:r>
      <w:r w:rsidR="000D5E50">
        <w:t>5</w:t>
      </w:r>
      <w:r w:rsidR="000F37F8">
        <w:t>.</w:t>
      </w:r>
    </w:p>
  </w:footnote>
  <w:footnote w:id="193">
    <w:p w14:paraId="4E7DE3B9" w14:textId="4CBF6F4C" w:rsidR="00CC6231" w:rsidRDefault="00CC6231" w:rsidP="00CC6231">
      <w:pPr>
        <w:pStyle w:val="FootnoteText"/>
      </w:pPr>
      <w:r>
        <w:rPr>
          <w:rStyle w:val="FootnoteReference"/>
        </w:rPr>
        <w:footnoteRef/>
      </w:r>
      <w:r>
        <w:t xml:space="preserve"> California Community Choice Association’s Reply Comments on Proposed Decision at </w:t>
      </w:r>
      <w:r w:rsidR="00542A5D">
        <w:t>2-4.</w:t>
      </w:r>
    </w:p>
  </w:footnote>
  <w:footnote w:id="194">
    <w:p w14:paraId="3804C0CA" w14:textId="7597F654" w:rsidR="00E20AE7" w:rsidRDefault="00E20AE7">
      <w:pPr>
        <w:pStyle w:val="FootnoteText"/>
      </w:pPr>
      <w:r>
        <w:rPr>
          <w:rStyle w:val="FootnoteReference"/>
        </w:rPr>
        <w:footnoteRef/>
      </w:r>
      <w:r>
        <w:t xml:space="preserve"> </w:t>
      </w:r>
      <w:r w:rsidR="00CC6231">
        <w:t xml:space="preserve">California Community Choice Association’s Reply Comments on Proposed Decision at </w:t>
      </w:r>
      <w:r w:rsidR="00542A5D">
        <w:t>4-</w:t>
      </w:r>
      <w:r w:rsidR="00845378">
        <w:t>5</w:t>
      </w:r>
      <w:r w:rsidR="00CC6231">
        <w:t>.</w:t>
      </w:r>
    </w:p>
  </w:footnote>
  <w:footnote w:id="195">
    <w:p w14:paraId="65D0143F" w14:textId="4FD6159B" w:rsidR="00E119F3" w:rsidRDefault="00E119F3">
      <w:pPr>
        <w:pStyle w:val="FootnoteText"/>
      </w:pPr>
      <w:r>
        <w:rPr>
          <w:rStyle w:val="FootnoteReference"/>
        </w:rPr>
        <w:footnoteRef/>
      </w:r>
      <w:r>
        <w:t xml:space="preserve"> </w:t>
      </w:r>
      <w:r w:rsidR="00916ED3" w:rsidRPr="00016D23">
        <w:t xml:space="preserve">Reply Comments </w:t>
      </w:r>
      <w:r w:rsidR="00916ED3">
        <w:t>o</w:t>
      </w:r>
      <w:r w:rsidR="00916ED3" w:rsidRPr="00016D23">
        <w:t xml:space="preserve">f Small Business Utility Advocates </w:t>
      </w:r>
      <w:r w:rsidR="00916ED3">
        <w:t>on the</w:t>
      </w:r>
      <w:r w:rsidR="00916ED3" w:rsidRPr="00016D23">
        <w:t xml:space="preserve"> Proposed Decision</w:t>
      </w:r>
      <w:r w:rsidR="00916ED3">
        <w:t xml:space="preserve"> </w:t>
      </w:r>
      <w:r w:rsidR="00016D23">
        <w:t>a</w:t>
      </w:r>
      <w:r w:rsidR="009F3DDC">
        <w:t>t 1-3</w:t>
      </w:r>
      <w:r w:rsidR="00916ED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w:t>
    </w:r>
    <w:proofErr w:type="gramStart"/>
    <w:r>
      <w:t>XXX  ^</w:t>
    </w:r>
    <w:proofErr w:type="gramEnd"/>
    <w:r>
      <w:t>^^/^^^/^^^</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1BC0" w14:textId="2DB98518" w:rsidR="00F92385" w:rsidRPr="00F92385" w:rsidRDefault="00F9238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2EDE83DD" w:rsidR="00E23CBB" w:rsidRDefault="003E5AEF" w:rsidP="00EE4315">
    <w:pPr>
      <w:pStyle w:val="Header"/>
      <w:tabs>
        <w:tab w:val="clear" w:pos="4680"/>
      </w:tabs>
      <w:ind w:firstLine="0"/>
      <w:rPr>
        <w:b/>
      </w:rPr>
    </w:pPr>
    <w:r>
      <w:t>A.25-05-011 et al.  ALJ/EF1</w:t>
    </w:r>
    <w:r w:rsidR="007E065A">
      <w:t>/</w:t>
    </w:r>
    <w:proofErr w:type="spellStart"/>
    <w:r w:rsidR="007E065A">
      <w:t>smt</w:t>
    </w:r>
    <w:proofErr w:type="spellEnd"/>
    <w:r w:rsidR="00E23CBB">
      <w:tab/>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F5D2" w14:textId="559B646E" w:rsidR="00542ABD" w:rsidRPr="00585390" w:rsidRDefault="00542ABD" w:rsidP="00A93519">
    <w:pPr>
      <w:pStyle w:val="Header"/>
      <w:tabs>
        <w:tab w:val="clear" w:pos="4680"/>
      </w:tabs>
      <w:ind w:firstLine="0"/>
      <w:jc w:val="center"/>
      <w:rPr>
        <w:b/>
      </w:rPr>
    </w:pPr>
    <w:r>
      <w:t>A.25-05-011 et al.  ALJ/EF1/</w:t>
    </w:r>
    <w:proofErr w:type="spellStart"/>
    <w:r>
      <w:t>smt</w:t>
    </w:r>
    <w:proofErr w:type="spellEnd"/>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D2F2" w14:textId="1B826D02" w:rsidR="00E57ECC" w:rsidRDefault="00E57ECC" w:rsidP="00E57ECC">
    <w:pPr>
      <w:pStyle w:val="Header"/>
      <w:tabs>
        <w:tab w:val="clear" w:pos="4680"/>
      </w:tabs>
      <w:ind w:firstLine="0"/>
      <w:rPr>
        <w:b/>
      </w:rPr>
    </w:pPr>
    <w:r>
      <w:t>A.25-05-011 et al.  ALJ/EF1/</w:t>
    </w:r>
    <w:proofErr w:type="spellStart"/>
    <w:r>
      <w:t>smt</w:t>
    </w:r>
    <w:proofErr w:type="spellEnd"/>
    <w:r>
      <w:tab/>
    </w:r>
  </w:p>
  <w:p w14:paraId="7181E432" w14:textId="77777777" w:rsidR="00542ABD" w:rsidRPr="00F92385" w:rsidRDefault="00542ABD" w:rsidP="00F92385">
    <w:pPr>
      <w:pStyle w:val="Header"/>
      <w:ind w:firstLine="0"/>
      <w:rPr>
        <w:i/>
        <w:color w:val="FF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5D604497" w:rsidR="00FE2351" w:rsidRDefault="007E065A" w:rsidP="00EE4315">
    <w:pPr>
      <w:pStyle w:val="Header"/>
      <w:tabs>
        <w:tab w:val="clear" w:pos="4680"/>
      </w:tabs>
      <w:ind w:firstLine="0"/>
      <w:rPr>
        <w:b/>
      </w:rPr>
    </w:pPr>
    <w:r>
      <w:t>R.20-05-</w:t>
    </w:r>
    <w:proofErr w:type="gramStart"/>
    <w:r>
      <w:t>012  COM</w:t>
    </w:r>
    <w:proofErr w:type="gramEnd"/>
    <w:r>
      <w:t>/KDL/</w:t>
    </w:r>
    <w:proofErr w:type="spellStart"/>
    <w:r>
      <w:t>smt</w:t>
    </w:r>
    <w:proofErr w:type="spellEnd"/>
    <w:r w:rsidR="00FE2351">
      <w:tab/>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A7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6" w15:restartNumberingAfterBreak="0">
    <w:nsid w:val="4EC34E12"/>
    <w:multiLevelType w:val="hybridMultilevel"/>
    <w:tmpl w:val="CCE29F7A"/>
    <w:lvl w:ilvl="0" w:tplc="29D09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D042D7"/>
    <w:multiLevelType w:val="multilevel"/>
    <w:tmpl w:val="18F4A5AC"/>
    <w:numStyleLink w:val="FoFCoLOP"/>
  </w:abstractNum>
  <w:abstractNum w:abstractNumId="8"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75F20B34"/>
    <w:multiLevelType w:val="hybridMultilevel"/>
    <w:tmpl w:val="CCE29F7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89A0AFE"/>
    <w:multiLevelType w:val="multilevel"/>
    <w:tmpl w:val="18F4A5AC"/>
    <w:numStyleLink w:val="FoFCoLOP"/>
  </w:abstractNum>
  <w:num w:numId="1" w16cid:durableId="820655111">
    <w:abstractNumId w:val="3"/>
  </w:num>
  <w:num w:numId="2" w16cid:durableId="413281586">
    <w:abstractNumId w:val="7"/>
  </w:num>
  <w:num w:numId="3" w16cid:durableId="826634333">
    <w:abstractNumId w:val="4"/>
  </w:num>
  <w:num w:numId="4" w16cid:durableId="1927229188">
    <w:abstractNumId w:val="10"/>
  </w:num>
  <w:num w:numId="5" w16cid:durableId="2045787441">
    <w:abstractNumId w:val="5"/>
  </w:num>
  <w:num w:numId="6" w16cid:durableId="1583024760">
    <w:abstractNumId w:val="0"/>
  </w:num>
  <w:num w:numId="7" w16cid:durableId="2061173597">
    <w:abstractNumId w:val="8"/>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2"/>
  </w:num>
  <w:num w:numId="9" w16cid:durableId="1714382259">
    <w:abstractNumId w:val="8"/>
  </w:num>
  <w:num w:numId="10" w16cid:durableId="97676259">
    <w:abstractNumId w:val="1"/>
  </w:num>
  <w:num w:numId="11" w16cid:durableId="1354526949">
    <w:abstractNumId w:val="8"/>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8"/>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8"/>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8"/>
  </w:num>
  <w:num w:numId="15" w16cid:durableId="1562055052">
    <w:abstractNumId w:val="8"/>
    <w:lvlOverride w:ilvl="0"/>
    <w:lvlOverride w:ilvl="1"/>
    <w:lvlOverride w:ilvl="2"/>
    <w:lvlOverride w:ilvl="3"/>
    <w:lvlOverride w:ilvl="4"/>
    <w:lvlOverride w:ilvl="5"/>
    <w:lvlOverride w:ilvl="6"/>
    <w:lvlOverride w:ilvl="7"/>
    <w:lvlOverride w:ilvl="8"/>
  </w:num>
  <w:num w:numId="16" w16cid:durableId="657921400">
    <w:abstractNumId w:val="8"/>
  </w:num>
  <w:num w:numId="17" w16cid:durableId="220018952">
    <w:abstractNumId w:val="6"/>
  </w:num>
  <w:num w:numId="18" w16cid:durableId="414984118">
    <w:abstractNumId w:val="8"/>
  </w:num>
  <w:num w:numId="19" w16cid:durableId="1260794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7748804">
    <w:abstractNumId w:val="9"/>
  </w:num>
  <w:num w:numId="21" w16cid:durableId="1817335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DDB"/>
    <w:rsid w:val="000039BA"/>
    <w:rsid w:val="00004941"/>
    <w:rsid w:val="00005802"/>
    <w:rsid w:val="000078A7"/>
    <w:rsid w:val="00011260"/>
    <w:rsid w:val="000119FD"/>
    <w:rsid w:val="0001382A"/>
    <w:rsid w:val="000147FB"/>
    <w:rsid w:val="00014EC1"/>
    <w:rsid w:val="00015BA5"/>
    <w:rsid w:val="00015C4F"/>
    <w:rsid w:val="0001691B"/>
    <w:rsid w:val="00016D23"/>
    <w:rsid w:val="00017AFB"/>
    <w:rsid w:val="000200E1"/>
    <w:rsid w:val="00020C2B"/>
    <w:rsid w:val="000210A2"/>
    <w:rsid w:val="00021F1A"/>
    <w:rsid w:val="000220A9"/>
    <w:rsid w:val="000247E4"/>
    <w:rsid w:val="00025FA3"/>
    <w:rsid w:val="00027446"/>
    <w:rsid w:val="000275CF"/>
    <w:rsid w:val="00030BD8"/>
    <w:rsid w:val="00033D78"/>
    <w:rsid w:val="0003592F"/>
    <w:rsid w:val="00036C4F"/>
    <w:rsid w:val="000415DB"/>
    <w:rsid w:val="00041A32"/>
    <w:rsid w:val="00044563"/>
    <w:rsid w:val="000446F7"/>
    <w:rsid w:val="00045027"/>
    <w:rsid w:val="00047660"/>
    <w:rsid w:val="00051420"/>
    <w:rsid w:val="00053581"/>
    <w:rsid w:val="000569DD"/>
    <w:rsid w:val="00060227"/>
    <w:rsid w:val="00060D8D"/>
    <w:rsid w:val="000638BF"/>
    <w:rsid w:val="00063EA7"/>
    <w:rsid w:val="000641FD"/>
    <w:rsid w:val="000657F6"/>
    <w:rsid w:val="00065DC0"/>
    <w:rsid w:val="0006708D"/>
    <w:rsid w:val="00067C67"/>
    <w:rsid w:val="0007115A"/>
    <w:rsid w:val="00072131"/>
    <w:rsid w:val="0007273A"/>
    <w:rsid w:val="00073E8A"/>
    <w:rsid w:val="00074856"/>
    <w:rsid w:val="000768B6"/>
    <w:rsid w:val="00077464"/>
    <w:rsid w:val="00077D08"/>
    <w:rsid w:val="00077E37"/>
    <w:rsid w:val="0008155C"/>
    <w:rsid w:val="00081C88"/>
    <w:rsid w:val="00083264"/>
    <w:rsid w:val="00085043"/>
    <w:rsid w:val="0008623C"/>
    <w:rsid w:val="0008701A"/>
    <w:rsid w:val="00092EB4"/>
    <w:rsid w:val="0009397A"/>
    <w:rsid w:val="00093C6E"/>
    <w:rsid w:val="00094008"/>
    <w:rsid w:val="000940C7"/>
    <w:rsid w:val="00094B9A"/>
    <w:rsid w:val="0009564C"/>
    <w:rsid w:val="00096C5D"/>
    <w:rsid w:val="000973C8"/>
    <w:rsid w:val="00097DD5"/>
    <w:rsid w:val="00097ED4"/>
    <w:rsid w:val="000A0A78"/>
    <w:rsid w:val="000A2AA9"/>
    <w:rsid w:val="000A3009"/>
    <w:rsid w:val="000A37A7"/>
    <w:rsid w:val="000A39F9"/>
    <w:rsid w:val="000A3FBD"/>
    <w:rsid w:val="000A4A34"/>
    <w:rsid w:val="000A4ED6"/>
    <w:rsid w:val="000A56F2"/>
    <w:rsid w:val="000A5FF9"/>
    <w:rsid w:val="000A63C3"/>
    <w:rsid w:val="000A6E05"/>
    <w:rsid w:val="000A7238"/>
    <w:rsid w:val="000A7253"/>
    <w:rsid w:val="000A74C4"/>
    <w:rsid w:val="000A7777"/>
    <w:rsid w:val="000B12FA"/>
    <w:rsid w:val="000B160A"/>
    <w:rsid w:val="000B1D3C"/>
    <w:rsid w:val="000B1E64"/>
    <w:rsid w:val="000B2FDB"/>
    <w:rsid w:val="000B4AB6"/>
    <w:rsid w:val="000B5570"/>
    <w:rsid w:val="000B5BF6"/>
    <w:rsid w:val="000C08BF"/>
    <w:rsid w:val="000C1784"/>
    <w:rsid w:val="000C2A18"/>
    <w:rsid w:val="000C3415"/>
    <w:rsid w:val="000C3B9A"/>
    <w:rsid w:val="000C3CF1"/>
    <w:rsid w:val="000C55A8"/>
    <w:rsid w:val="000C6B85"/>
    <w:rsid w:val="000D09EA"/>
    <w:rsid w:val="000D0ABD"/>
    <w:rsid w:val="000D25A8"/>
    <w:rsid w:val="000D41F4"/>
    <w:rsid w:val="000D5E50"/>
    <w:rsid w:val="000D74F0"/>
    <w:rsid w:val="000E04E2"/>
    <w:rsid w:val="000E07E9"/>
    <w:rsid w:val="000E1990"/>
    <w:rsid w:val="000E270A"/>
    <w:rsid w:val="000E2D3A"/>
    <w:rsid w:val="000E3732"/>
    <w:rsid w:val="000E3E86"/>
    <w:rsid w:val="000E4C53"/>
    <w:rsid w:val="000E625E"/>
    <w:rsid w:val="000E76E1"/>
    <w:rsid w:val="000E78B0"/>
    <w:rsid w:val="000F1807"/>
    <w:rsid w:val="000F181D"/>
    <w:rsid w:val="000F31F4"/>
    <w:rsid w:val="000F37F8"/>
    <w:rsid w:val="000F3CA3"/>
    <w:rsid w:val="000F3CBE"/>
    <w:rsid w:val="000F529E"/>
    <w:rsid w:val="000F5749"/>
    <w:rsid w:val="000F65BF"/>
    <w:rsid w:val="000F6C7D"/>
    <w:rsid w:val="000F784F"/>
    <w:rsid w:val="000F791E"/>
    <w:rsid w:val="001018E3"/>
    <w:rsid w:val="001019F2"/>
    <w:rsid w:val="00102401"/>
    <w:rsid w:val="001031D8"/>
    <w:rsid w:val="00104310"/>
    <w:rsid w:val="00105128"/>
    <w:rsid w:val="0010514D"/>
    <w:rsid w:val="00105FD6"/>
    <w:rsid w:val="00106FAE"/>
    <w:rsid w:val="0011008F"/>
    <w:rsid w:val="00111B1C"/>
    <w:rsid w:val="00111EE7"/>
    <w:rsid w:val="00121089"/>
    <w:rsid w:val="0012268E"/>
    <w:rsid w:val="00123098"/>
    <w:rsid w:val="00124368"/>
    <w:rsid w:val="00130466"/>
    <w:rsid w:val="0013075C"/>
    <w:rsid w:val="001318FF"/>
    <w:rsid w:val="00133E32"/>
    <w:rsid w:val="0013733A"/>
    <w:rsid w:val="00137B86"/>
    <w:rsid w:val="001402A7"/>
    <w:rsid w:val="00142EFF"/>
    <w:rsid w:val="00144F1C"/>
    <w:rsid w:val="00145C33"/>
    <w:rsid w:val="00151804"/>
    <w:rsid w:val="00153E98"/>
    <w:rsid w:val="00154E72"/>
    <w:rsid w:val="001573AC"/>
    <w:rsid w:val="001612BF"/>
    <w:rsid w:val="001618F2"/>
    <w:rsid w:val="00161D24"/>
    <w:rsid w:val="001628F4"/>
    <w:rsid w:val="00163EBE"/>
    <w:rsid w:val="00164CE8"/>
    <w:rsid w:val="001654D3"/>
    <w:rsid w:val="00165F69"/>
    <w:rsid w:val="00166183"/>
    <w:rsid w:val="001662E3"/>
    <w:rsid w:val="0016779D"/>
    <w:rsid w:val="00167D04"/>
    <w:rsid w:val="0017190A"/>
    <w:rsid w:val="00173585"/>
    <w:rsid w:val="00173C20"/>
    <w:rsid w:val="001754C5"/>
    <w:rsid w:val="001807D3"/>
    <w:rsid w:val="001824D7"/>
    <w:rsid w:val="00183D45"/>
    <w:rsid w:val="00186499"/>
    <w:rsid w:val="001868D2"/>
    <w:rsid w:val="00186DDE"/>
    <w:rsid w:val="001905CF"/>
    <w:rsid w:val="001940DC"/>
    <w:rsid w:val="001973AC"/>
    <w:rsid w:val="001A3AE7"/>
    <w:rsid w:val="001A5D79"/>
    <w:rsid w:val="001A75EB"/>
    <w:rsid w:val="001B0498"/>
    <w:rsid w:val="001B1011"/>
    <w:rsid w:val="001B1D09"/>
    <w:rsid w:val="001B31AF"/>
    <w:rsid w:val="001B5E38"/>
    <w:rsid w:val="001B6D62"/>
    <w:rsid w:val="001C1D30"/>
    <w:rsid w:val="001C2FBB"/>
    <w:rsid w:val="001C303D"/>
    <w:rsid w:val="001C363F"/>
    <w:rsid w:val="001C3756"/>
    <w:rsid w:val="001C3780"/>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B07"/>
    <w:rsid w:val="001E4204"/>
    <w:rsid w:val="001E467E"/>
    <w:rsid w:val="001E51F7"/>
    <w:rsid w:val="001E5D9C"/>
    <w:rsid w:val="001E7D46"/>
    <w:rsid w:val="001F2819"/>
    <w:rsid w:val="001F3EB3"/>
    <w:rsid w:val="001F45A0"/>
    <w:rsid w:val="001F47E6"/>
    <w:rsid w:val="001F5A9F"/>
    <w:rsid w:val="001F63A6"/>
    <w:rsid w:val="001F69CD"/>
    <w:rsid w:val="0020371D"/>
    <w:rsid w:val="00203C3B"/>
    <w:rsid w:val="002043EC"/>
    <w:rsid w:val="00205BFE"/>
    <w:rsid w:val="00206698"/>
    <w:rsid w:val="00206C09"/>
    <w:rsid w:val="002072E7"/>
    <w:rsid w:val="002079DB"/>
    <w:rsid w:val="00207D41"/>
    <w:rsid w:val="002109CE"/>
    <w:rsid w:val="00210FB9"/>
    <w:rsid w:val="00213CD1"/>
    <w:rsid w:val="002152BC"/>
    <w:rsid w:val="00220A06"/>
    <w:rsid w:val="00222BA0"/>
    <w:rsid w:val="00222D60"/>
    <w:rsid w:val="00223583"/>
    <w:rsid w:val="002237FF"/>
    <w:rsid w:val="002277A2"/>
    <w:rsid w:val="0023089A"/>
    <w:rsid w:val="0023243F"/>
    <w:rsid w:val="0023279C"/>
    <w:rsid w:val="00232CC6"/>
    <w:rsid w:val="002349B5"/>
    <w:rsid w:val="00237F7C"/>
    <w:rsid w:val="00243157"/>
    <w:rsid w:val="0024386F"/>
    <w:rsid w:val="00243DC0"/>
    <w:rsid w:val="00244C1C"/>
    <w:rsid w:val="0024564D"/>
    <w:rsid w:val="00247477"/>
    <w:rsid w:val="0024753B"/>
    <w:rsid w:val="00250CF0"/>
    <w:rsid w:val="0025250F"/>
    <w:rsid w:val="00254A5B"/>
    <w:rsid w:val="00256276"/>
    <w:rsid w:val="002562BF"/>
    <w:rsid w:val="00256639"/>
    <w:rsid w:val="00256E6B"/>
    <w:rsid w:val="0025716C"/>
    <w:rsid w:val="00257A6E"/>
    <w:rsid w:val="0025D257"/>
    <w:rsid w:val="002607AC"/>
    <w:rsid w:val="002607DF"/>
    <w:rsid w:val="0026082B"/>
    <w:rsid w:val="00262714"/>
    <w:rsid w:val="00263EF7"/>
    <w:rsid w:val="00265C6C"/>
    <w:rsid w:val="00267BBB"/>
    <w:rsid w:val="00270440"/>
    <w:rsid w:val="00270CA8"/>
    <w:rsid w:val="0027111A"/>
    <w:rsid w:val="002715DD"/>
    <w:rsid w:val="00271AFD"/>
    <w:rsid w:val="0027220D"/>
    <w:rsid w:val="00272688"/>
    <w:rsid w:val="002727E9"/>
    <w:rsid w:val="002732B3"/>
    <w:rsid w:val="00273F38"/>
    <w:rsid w:val="0027439A"/>
    <w:rsid w:val="00275B06"/>
    <w:rsid w:val="00275B30"/>
    <w:rsid w:val="00281E87"/>
    <w:rsid w:val="002852B5"/>
    <w:rsid w:val="002856E7"/>
    <w:rsid w:val="002872C0"/>
    <w:rsid w:val="00287435"/>
    <w:rsid w:val="00287BC5"/>
    <w:rsid w:val="00290014"/>
    <w:rsid w:val="00291596"/>
    <w:rsid w:val="00291945"/>
    <w:rsid w:val="00293DEE"/>
    <w:rsid w:val="00294296"/>
    <w:rsid w:val="00295294"/>
    <w:rsid w:val="002973DA"/>
    <w:rsid w:val="002A0B02"/>
    <w:rsid w:val="002A0B5D"/>
    <w:rsid w:val="002A189A"/>
    <w:rsid w:val="002A4EB8"/>
    <w:rsid w:val="002A69A5"/>
    <w:rsid w:val="002B15AE"/>
    <w:rsid w:val="002B1A14"/>
    <w:rsid w:val="002B3A2C"/>
    <w:rsid w:val="002B6C2E"/>
    <w:rsid w:val="002B6D56"/>
    <w:rsid w:val="002B72FF"/>
    <w:rsid w:val="002C16FB"/>
    <w:rsid w:val="002C2C2B"/>
    <w:rsid w:val="002C3E9E"/>
    <w:rsid w:val="002C57B1"/>
    <w:rsid w:val="002C6429"/>
    <w:rsid w:val="002C7FE9"/>
    <w:rsid w:val="002D0DC5"/>
    <w:rsid w:val="002D167C"/>
    <w:rsid w:val="002D48F1"/>
    <w:rsid w:val="002D4C65"/>
    <w:rsid w:val="002D4CD1"/>
    <w:rsid w:val="002D4EFD"/>
    <w:rsid w:val="002D5DB2"/>
    <w:rsid w:val="002D70EE"/>
    <w:rsid w:val="002D71AA"/>
    <w:rsid w:val="002E0E74"/>
    <w:rsid w:val="002E11EC"/>
    <w:rsid w:val="002E158A"/>
    <w:rsid w:val="002E18D0"/>
    <w:rsid w:val="002E25D2"/>
    <w:rsid w:val="002E3E33"/>
    <w:rsid w:val="002E72E5"/>
    <w:rsid w:val="002E792B"/>
    <w:rsid w:val="002E7DBE"/>
    <w:rsid w:val="002F0852"/>
    <w:rsid w:val="002F1E1D"/>
    <w:rsid w:val="002F2070"/>
    <w:rsid w:val="002F2437"/>
    <w:rsid w:val="002F40DF"/>
    <w:rsid w:val="002F6156"/>
    <w:rsid w:val="002F64CE"/>
    <w:rsid w:val="002F6CC9"/>
    <w:rsid w:val="003000F0"/>
    <w:rsid w:val="003009F3"/>
    <w:rsid w:val="003047F2"/>
    <w:rsid w:val="0030709A"/>
    <w:rsid w:val="00310679"/>
    <w:rsid w:val="00310BCB"/>
    <w:rsid w:val="003127C8"/>
    <w:rsid w:val="00315A97"/>
    <w:rsid w:val="00315E01"/>
    <w:rsid w:val="00316071"/>
    <w:rsid w:val="0031746F"/>
    <w:rsid w:val="00325F91"/>
    <w:rsid w:val="00326989"/>
    <w:rsid w:val="003270CB"/>
    <w:rsid w:val="00330CB0"/>
    <w:rsid w:val="0033137D"/>
    <w:rsid w:val="00337284"/>
    <w:rsid w:val="00337E70"/>
    <w:rsid w:val="00340509"/>
    <w:rsid w:val="00343E5C"/>
    <w:rsid w:val="00344FB8"/>
    <w:rsid w:val="00345C3E"/>
    <w:rsid w:val="00345D71"/>
    <w:rsid w:val="00346BE7"/>
    <w:rsid w:val="00346CB8"/>
    <w:rsid w:val="00353E17"/>
    <w:rsid w:val="0035451B"/>
    <w:rsid w:val="00355275"/>
    <w:rsid w:val="003579CD"/>
    <w:rsid w:val="0036017B"/>
    <w:rsid w:val="00362755"/>
    <w:rsid w:val="003629E0"/>
    <w:rsid w:val="00362E81"/>
    <w:rsid w:val="003641CD"/>
    <w:rsid w:val="0036465E"/>
    <w:rsid w:val="00365749"/>
    <w:rsid w:val="003661D2"/>
    <w:rsid w:val="00370D7C"/>
    <w:rsid w:val="003712DA"/>
    <w:rsid w:val="003713F0"/>
    <w:rsid w:val="003725DD"/>
    <w:rsid w:val="00372DE2"/>
    <w:rsid w:val="00373A70"/>
    <w:rsid w:val="00373B93"/>
    <w:rsid w:val="00375B48"/>
    <w:rsid w:val="00376A5A"/>
    <w:rsid w:val="00380CD1"/>
    <w:rsid w:val="00381B72"/>
    <w:rsid w:val="0038211E"/>
    <w:rsid w:val="00383089"/>
    <w:rsid w:val="003845F6"/>
    <w:rsid w:val="00384D7B"/>
    <w:rsid w:val="00385152"/>
    <w:rsid w:val="00385B6B"/>
    <w:rsid w:val="003861E3"/>
    <w:rsid w:val="00386478"/>
    <w:rsid w:val="0038767D"/>
    <w:rsid w:val="00391752"/>
    <w:rsid w:val="00391B19"/>
    <w:rsid w:val="003922F7"/>
    <w:rsid w:val="0039430E"/>
    <w:rsid w:val="00394590"/>
    <w:rsid w:val="00395548"/>
    <w:rsid w:val="00395A24"/>
    <w:rsid w:val="003A1E32"/>
    <w:rsid w:val="003A2E5C"/>
    <w:rsid w:val="003A38F0"/>
    <w:rsid w:val="003A73FD"/>
    <w:rsid w:val="003A7A38"/>
    <w:rsid w:val="003B1E27"/>
    <w:rsid w:val="003B2148"/>
    <w:rsid w:val="003B43E6"/>
    <w:rsid w:val="003B5549"/>
    <w:rsid w:val="003B5642"/>
    <w:rsid w:val="003C02B7"/>
    <w:rsid w:val="003C28B6"/>
    <w:rsid w:val="003C2BA5"/>
    <w:rsid w:val="003C391E"/>
    <w:rsid w:val="003D0D70"/>
    <w:rsid w:val="003D112F"/>
    <w:rsid w:val="003D1384"/>
    <w:rsid w:val="003D28A5"/>
    <w:rsid w:val="003E0223"/>
    <w:rsid w:val="003E4646"/>
    <w:rsid w:val="003E55A3"/>
    <w:rsid w:val="003E5AEF"/>
    <w:rsid w:val="003E5FFB"/>
    <w:rsid w:val="003E7746"/>
    <w:rsid w:val="003E78B1"/>
    <w:rsid w:val="003E799D"/>
    <w:rsid w:val="003F069A"/>
    <w:rsid w:val="003F08F1"/>
    <w:rsid w:val="003F1C9D"/>
    <w:rsid w:val="003F3B9F"/>
    <w:rsid w:val="003F4329"/>
    <w:rsid w:val="003F5B80"/>
    <w:rsid w:val="003F61A5"/>
    <w:rsid w:val="003F6F87"/>
    <w:rsid w:val="003F7A84"/>
    <w:rsid w:val="004003B8"/>
    <w:rsid w:val="004011EC"/>
    <w:rsid w:val="0040478D"/>
    <w:rsid w:val="00404AB0"/>
    <w:rsid w:val="004067E0"/>
    <w:rsid w:val="00406B10"/>
    <w:rsid w:val="00410127"/>
    <w:rsid w:val="0041091A"/>
    <w:rsid w:val="00410EE5"/>
    <w:rsid w:val="00411ACD"/>
    <w:rsid w:val="00412293"/>
    <w:rsid w:val="00412534"/>
    <w:rsid w:val="00412C83"/>
    <w:rsid w:val="004147EB"/>
    <w:rsid w:val="00415467"/>
    <w:rsid w:val="004154A1"/>
    <w:rsid w:val="004204E6"/>
    <w:rsid w:val="00420E9B"/>
    <w:rsid w:val="004215F8"/>
    <w:rsid w:val="00421AB7"/>
    <w:rsid w:val="00421B97"/>
    <w:rsid w:val="00421D9B"/>
    <w:rsid w:val="00426014"/>
    <w:rsid w:val="00427A4E"/>
    <w:rsid w:val="0043257D"/>
    <w:rsid w:val="00432D51"/>
    <w:rsid w:val="00432D72"/>
    <w:rsid w:val="004332DE"/>
    <w:rsid w:val="0043562F"/>
    <w:rsid w:val="00436D2B"/>
    <w:rsid w:val="00437A73"/>
    <w:rsid w:val="00440F17"/>
    <w:rsid w:val="0044617E"/>
    <w:rsid w:val="00450AC6"/>
    <w:rsid w:val="0045172C"/>
    <w:rsid w:val="0045203E"/>
    <w:rsid w:val="00452580"/>
    <w:rsid w:val="004540F1"/>
    <w:rsid w:val="004548CE"/>
    <w:rsid w:val="00455157"/>
    <w:rsid w:val="0045663C"/>
    <w:rsid w:val="0046012D"/>
    <w:rsid w:val="00460B7D"/>
    <w:rsid w:val="00460DBB"/>
    <w:rsid w:val="00460EE8"/>
    <w:rsid w:val="00461BAE"/>
    <w:rsid w:val="004620DE"/>
    <w:rsid w:val="00462957"/>
    <w:rsid w:val="00463290"/>
    <w:rsid w:val="00463C9A"/>
    <w:rsid w:val="00464361"/>
    <w:rsid w:val="00464F74"/>
    <w:rsid w:val="0046562B"/>
    <w:rsid w:val="00466104"/>
    <w:rsid w:val="004662DA"/>
    <w:rsid w:val="0046711E"/>
    <w:rsid w:val="004675F6"/>
    <w:rsid w:val="004707C7"/>
    <w:rsid w:val="004727E0"/>
    <w:rsid w:val="00472FEA"/>
    <w:rsid w:val="00473576"/>
    <w:rsid w:val="004737B3"/>
    <w:rsid w:val="00474D75"/>
    <w:rsid w:val="00475976"/>
    <w:rsid w:val="00475FB6"/>
    <w:rsid w:val="004767D0"/>
    <w:rsid w:val="00480CB0"/>
    <w:rsid w:val="004811A7"/>
    <w:rsid w:val="004811AD"/>
    <w:rsid w:val="004817C8"/>
    <w:rsid w:val="00486EAF"/>
    <w:rsid w:val="00487914"/>
    <w:rsid w:val="00491B0E"/>
    <w:rsid w:val="00495500"/>
    <w:rsid w:val="004A00C9"/>
    <w:rsid w:val="004A094A"/>
    <w:rsid w:val="004A2C16"/>
    <w:rsid w:val="004A2FE9"/>
    <w:rsid w:val="004A45FC"/>
    <w:rsid w:val="004A4C9F"/>
    <w:rsid w:val="004A622A"/>
    <w:rsid w:val="004A6E2F"/>
    <w:rsid w:val="004B03CB"/>
    <w:rsid w:val="004B27E3"/>
    <w:rsid w:val="004B2DC1"/>
    <w:rsid w:val="004B34E9"/>
    <w:rsid w:val="004B34EA"/>
    <w:rsid w:val="004B5494"/>
    <w:rsid w:val="004B5972"/>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112C"/>
    <w:rsid w:val="004D273D"/>
    <w:rsid w:val="004D2DD1"/>
    <w:rsid w:val="004D312E"/>
    <w:rsid w:val="004D3412"/>
    <w:rsid w:val="004D3A0D"/>
    <w:rsid w:val="004D5C02"/>
    <w:rsid w:val="004D7F6F"/>
    <w:rsid w:val="004E0345"/>
    <w:rsid w:val="004E19CC"/>
    <w:rsid w:val="004E259D"/>
    <w:rsid w:val="004E3D37"/>
    <w:rsid w:val="004E486C"/>
    <w:rsid w:val="004E562C"/>
    <w:rsid w:val="004E5D03"/>
    <w:rsid w:val="004E6642"/>
    <w:rsid w:val="004E7F41"/>
    <w:rsid w:val="004F0B5B"/>
    <w:rsid w:val="004F0DA9"/>
    <w:rsid w:val="004F1875"/>
    <w:rsid w:val="004F3F8D"/>
    <w:rsid w:val="004F50D2"/>
    <w:rsid w:val="004F52AC"/>
    <w:rsid w:val="004F563A"/>
    <w:rsid w:val="004F5A83"/>
    <w:rsid w:val="004F68A4"/>
    <w:rsid w:val="004F73E4"/>
    <w:rsid w:val="005003FF"/>
    <w:rsid w:val="0050104F"/>
    <w:rsid w:val="005018A8"/>
    <w:rsid w:val="005024A5"/>
    <w:rsid w:val="00503739"/>
    <w:rsid w:val="005039DA"/>
    <w:rsid w:val="00503A68"/>
    <w:rsid w:val="00503BC6"/>
    <w:rsid w:val="00504460"/>
    <w:rsid w:val="00504748"/>
    <w:rsid w:val="005054BA"/>
    <w:rsid w:val="00505A39"/>
    <w:rsid w:val="005071BA"/>
    <w:rsid w:val="00510116"/>
    <w:rsid w:val="005108EE"/>
    <w:rsid w:val="0051352A"/>
    <w:rsid w:val="0051536C"/>
    <w:rsid w:val="00517D02"/>
    <w:rsid w:val="00521B79"/>
    <w:rsid w:val="00522CD5"/>
    <w:rsid w:val="005238AF"/>
    <w:rsid w:val="005240BF"/>
    <w:rsid w:val="00527344"/>
    <w:rsid w:val="00527A57"/>
    <w:rsid w:val="0053134B"/>
    <w:rsid w:val="00531805"/>
    <w:rsid w:val="0053219F"/>
    <w:rsid w:val="00534D10"/>
    <w:rsid w:val="005355F8"/>
    <w:rsid w:val="00536D10"/>
    <w:rsid w:val="00537720"/>
    <w:rsid w:val="0054087A"/>
    <w:rsid w:val="00542588"/>
    <w:rsid w:val="00542A5D"/>
    <w:rsid w:val="00542ABD"/>
    <w:rsid w:val="00543858"/>
    <w:rsid w:val="00543E96"/>
    <w:rsid w:val="005457F7"/>
    <w:rsid w:val="00547E53"/>
    <w:rsid w:val="005507E8"/>
    <w:rsid w:val="0055088F"/>
    <w:rsid w:val="00551AFE"/>
    <w:rsid w:val="00553F84"/>
    <w:rsid w:val="005546BD"/>
    <w:rsid w:val="0055661A"/>
    <w:rsid w:val="00560F50"/>
    <w:rsid w:val="005611FC"/>
    <w:rsid w:val="00564527"/>
    <w:rsid w:val="00564D38"/>
    <w:rsid w:val="00565009"/>
    <w:rsid w:val="00565932"/>
    <w:rsid w:val="0057191D"/>
    <w:rsid w:val="00571D1B"/>
    <w:rsid w:val="0057387E"/>
    <w:rsid w:val="00573BA7"/>
    <w:rsid w:val="00574F70"/>
    <w:rsid w:val="005752B9"/>
    <w:rsid w:val="005753B9"/>
    <w:rsid w:val="0057575D"/>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6DA"/>
    <w:rsid w:val="005939A5"/>
    <w:rsid w:val="005966A6"/>
    <w:rsid w:val="00596E49"/>
    <w:rsid w:val="00597AB6"/>
    <w:rsid w:val="005A0570"/>
    <w:rsid w:val="005A148C"/>
    <w:rsid w:val="005A3353"/>
    <w:rsid w:val="005A41CF"/>
    <w:rsid w:val="005A4341"/>
    <w:rsid w:val="005A58BD"/>
    <w:rsid w:val="005A5DB9"/>
    <w:rsid w:val="005A6218"/>
    <w:rsid w:val="005A62FF"/>
    <w:rsid w:val="005A695F"/>
    <w:rsid w:val="005B085F"/>
    <w:rsid w:val="005B0F9E"/>
    <w:rsid w:val="005B1D40"/>
    <w:rsid w:val="005B1E55"/>
    <w:rsid w:val="005B227A"/>
    <w:rsid w:val="005B4778"/>
    <w:rsid w:val="005B47E9"/>
    <w:rsid w:val="005B5AB1"/>
    <w:rsid w:val="005B61E0"/>
    <w:rsid w:val="005B6631"/>
    <w:rsid w:val="005B7C1C"/>
    <w:rsid w:val="005C2BBB"/>
    <w:rsid w:val="005C3483"/>
    <w:rsid w:val="005C41D3"/>
    <w:rsid w:val="005C58FA"/>
    <w:rsid w:val="005C5AE9"/>
    <w:rsid w:val="005C5D96"/>
    <w:rsid w:val="005C6B38"/>
    <w:rsid w:val="005C7787"/>
    <w:rsid w:val="005D2DAE"/>
    <w:rsid w:val="005D4638"/>
    <w:rsid w:val="005D46BF"/>
    <w:rsid w:val="005D485A"/>
    <w:rsid w:val="005E1E46"/>
    <w:rsid w:val="005E21C3"/>
    <w:rsid w:val="005E40CD"/>
    <w:rsid w:val="005E46E8"/>
    <w:rsid w:val="005E4859"/>
    <w:rsid w:val="005E4BE9"/>
    <w:rsid w:val="005E5C3E"/>
    <w:rsid w:val="005E6600"/>
    <w:rsid w:val="005E76C7"/>
    <w:rsid w:val="005E7CDE"/>
    <w:rsid w:val="005F237D"/>
    <w:rsid w:val="005F282F"/>
    <w:rsid w:val="005F2B38"/>
    <w:rsid w:val="005F4F4F"/>
    <w:rsid w:val="005F5F38"/>
    <w:rsid w:val="005F7AD7"/>
    <w:rsid w:val="006008BA"/>
    <w:rsid w:val="00600FEE"/>
    <w:rsid w:val="006011E9"/>
    <w:rsid w:val="006015D8"/>
    <w:rsid w:val="00601C5E"/>
    <w:rsid w:val="00604434"/>
    <w:rsid w:val="00605E18"/>
    <w:rsid w:val="006062A6"/>
    <w:rsid w:val="00607F5E"/>
    <w:rsid w:val="0061061F"/>
    <w:rsid w:val="006119B3"/>
    <w:rsid w:val="006120F0"/>
    <w:rsid w:val="006132F3"/>
    <w:rsid w:val="00613A9C"/>
    <w:rsid w:val="00613B0F"/>
    <w:rsid w:val="006147C0"/>
    <w:rsid w:val="00614808"/>
    <w:rsid w:val="006150DB"/>
    <w:rsid w:val="00615EB1"/>
    <w:rsid w:val="00616683"/>
    <w:rsid w:val="00616DA7"/>
    <w:rsid w:val="00622844"/>
    <w:rsid w:val="00623ABB"/>
    <w:rsid w:val="006256F4"/>
    <w:rsid w:val="00625BDF"/>
    <w:rsid w:val="006270B7"/>
    <w:rsid w:val="00627EAB"/>
    <w:rsid w:val="00632207"/>
    <w:rsid w:val="00632627"/>
    <w:rsid w:val="00632DB1"/>
    <w:rsid w:val="00633282"/>
    <w:rsid w:val="006341E5"/>
    <w:rsid w:val="0063491C"/>
    <w:rsid w:val="00634B08"/>
    <w:rsid w:val="006359FC"/>
    <w:rsid w:val="00635C3C"/>
    <w:rsid w:val="00640224"/>
    <w:rsid w:val="006434C4"/>
    <w:rsid w:val="006438A6"/>
    <w:rsid w:val="006447A8"/>
    <w:rsid w:val="00645EDA"/>
    <w:rsid w:val="006500CE"/>
    <w:rsid w:val="0065063B"/>
    <w:rsid w:val="00650B80"/>
    <w:rsid w:val="00650CAF"/>
    <w:rsid w:val="00650E25"/>
    <w:rsid w:val="00650E32"/>
    <w:rsid w:val="006526B1"/>
    <w:rsid w:val="0065331B"/>
    <w:rsid w:val="00653721"/>
    <w:rsid w:val="006547F5"/>
    <w:rsid w:val="00655119"/>
    <w:rsid w:val="00657060"/>
    <w:rsid w:val="00657C8F"/>
    <w:rsid w:val="006603D4"/>
    <w:rsid w:val="00660DA0"/>
    <w:rsid w:val="00661598"/>
    <w:rsid w:val="0066169E"/>
    <w:rsid w:val="00661AFE"/>
    <w:rsid w:val="00661FD4"/>
    <w:rsid w:val="00662EA2"/>
    <w:rsid w:val="00664C14"/>
    <w:rsid w:val="006652AD"/>
    <w:rsid w:val="006666CE"/>
    <w:rsid w:val="0066762C"/>
    <w:rsid w:val="00672516"/>
    <w:rsid w:val="006763A9"/>
    <w:rsid w:val="00680092"/>
    <w:rsid w:val="00680F19"/>
    <w:rsid w:val="006817B3"/>
    <w:rsid w:val="006823DB"/>
    <w:rsid w:val="00686FA6"/>
    <w:rsid w:val="00687964"/>
    <w:rsid w:val="006929F6"/>
    <w:rsid w:val="00692BBF"/>
    <w:rsid w:val="00692D7C"/>
    <w:rsid w:val="0069351D"/>
    <w:rsid w:val="006936C7"/>
    <w:rsid w:val="006A1183"/>
    <w:rsid w:val="006A2886"/>
    <w:rsid w:val="006A37EB"/>
    <w:rsid w:val="006A3AD5"/>
    <w:rsid w:val="006A4666"/>
    <w:rsid w:val="006A6CAC"/>
    <w:rsid w:val="006A70E3"/>
    <w:rsid w:val="006A79E0"/>
    <w:rsid w:val="006B1A62"/>
    <w:rsid w:val="006B1B1F"/>
    <w:rsid w:val="006B3522"/>
    <w:rsid w:val="006B371D"/>
    <w:rsid w:val="006B6C6C"/>
    <w:rsid w:val="006C0526"/>
    <w:rsid w:val="006C1451"/>
    <w:rsid w:val="006C1F10"/>
    <w:rsid w:val="006C2A26"/>
    <w:rsid w:val="006C4B2D"/>
    <w:rsid w:val="006C57BE"/>
    <w:rsid w:val="006C7EDC"/>
    <w:rsid w:val="006D1536"/>
    <w:rsid w:val="006D1A90"/>
    <w:rsid w:val="006E003D"/>
    <w:rsid w:val="006E0179"/>
    <w:rsid w:val="006E3493"/>
    <w:rsid w:val="006E34A4"/>
    <w:rsid w:val="006E3B7F"/>
    <w:rsid w:val="006E5E28"/>
    <w:rsid w:val="006E6574"/>
    <w:rsid w:val="006E66DD"/>
    <w:rsid w:val="006F2381"/>
    <w:rsid w:val="006F3621"/>
    <w:rsid w:val="006F547B"/>
    <w:rsid w:val="006F7C52"/>
    <w:rsid w:val="00700FF7"/>
    <w:rsid w:val="00705063"/>
    <w:rsid w:val="007057A4"/>
    <w:rsid w:val="00705949"/>
    <w:rsid w:val="00705D8B"/>
    <w:rsid w:val="00705F57"/>
    <w:rsid w:val="00705FF5"/>
    <w:rsid w:val="00711A1D"/>
    <w:rsid w:val="007122DC"/>
    <w:rsid w:val="007126A4"/>
    <w:rsid w:val="00712707"/>
    <w:rsid w:val="00714CF2"/>
    <w:rsid w:val="007156B9"/>
    <w:rsid w:val="0071590B"/>
    <w:rsid w:val="00715D11"/>
    <w:rsid w:val="0071644C"/>
    <w:rsid w:val="00720817"/>
    <w:rsid w:val="007218B1"/>
    <w:rsid w:val="00722850"/>
    <w:rsid w:val="00724A19"/>
    <w:rsid w:val="00724A37"/>
    <w:rsid w:val="0072528A"/>
    <w:rsid w:val="007261C8"/>
    <w:rsid w:val="007265E6"/>
    <w:rsid w:val="007278EF"/>
    <w:rsid w:val="00732D6C"/>
    <w:rsid w:val="007332AD"/>
    <w:rsid w:val="0073353F"/>
    <w:rsid w:val="00734630"/>
    <w:rsid w:val="00735A91"/>
    <w:rsid w:val="00735FEA"/>
    <w:rsid w:val="007365C7"/>
    <w:rsid w:val="0073662E"/>
    <w:rsid w:val="0074230E"/>
    <w:rsid w:val="0074252B"/>
    <w:rsid w:val="007428AC"/>
    <w:rsid w:val="00742E45"/>
    <w:rsid w:val="007447AF"/>
    <w:rsid w:val="00745BE5"/>
    <w:rsid w:val="007464B1"/>
    <w:rsid w:val="00746B6A"/>
    <w:rsid w:val="0074718A"/>
    <w:rsid w:val="0075066D"/>
    <w:rsid w:val="00750816"/>
    <w:rsid w:val="00751C1C"/>
    <w:rsid w:val="00753B99"/>
    <w:rsid w:val="0075420F"/>
    <w:rsid w:val="00754755"/>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6679"/>
    <w:rsid w:val="0078704E"/>
    <w:rsid w:val="007877FF"/>
    <w:rsid w:val="00787EF8"/>
    <w:rsid w:val="00790B1C"/>
    <w:rsid w:val="00791298"/>
    <w:rsid w:val="007918A3"/>
    <w:rsid w:val="00791EC1"/>
    <w:rsid w:val="00793028"/>
    <w:rsid w:val="00793C0A"/>
    <w:rsid w:val="00797B4B"/>
    <w:rsid w:val="007A0151"/>
    <w:rsid w:val="007A03F4"/>
    <w:rsid w:val="007A1DF5"/>
    <w:rsid w:val="007A373B"/>
    <w:rsid w:val="007A406D"/>
    <w:rsid w:val="007A5186"/>
    <w:rsid w:val="007A62B0"/>
    <w:rsid w:val="007B1595"/>
    <w:rsid w:val="007B3AC9"/>
    <w:rsid w:val="007B64A1"/>
    <w:rsid w:val="007B71DD"/>
    <w:rsid w:val="007B75FA"/>
    <w:rsid w:val="007B79DA"/>
    <w:rsid w:val="007B7B42"/>
    <w:rsid w:val="007C0CA2"/>
    <w:rsid w:val="007C2A76"/>
    <w:rsid w:val="007C42CA"/>
    <w:rsid w:val="007C4C34"/>
    <w:rsid w:val="007C4FBD"/>
    <w:rsid w:val="007C5A0C"/>
    <w:rsid w:val="007C64E0"/>
    <w:rsid w:val="007D07B2"/>
    <w:rsid w:val="007D1719"/>
    <w:rsid w:val="007D23B7"/>
    <w:rsid w:val="007D31FF"/>
    <w:rsid w:val="007D51B2"/>
    <w:rsid w:val="007D7D86"/>
    <w:rsid w:val="007D7FED"/>
    <w:rsid w:val="007E01C0"/>
    <w:rsid w:val="007E065A"/>
    <w:rsid w:val="007E0D50"/>
    <w:rsid w:val="007E0FEE"/>
    <w:rsid w:val="007E11C3"/>
    <w:rsid w:val="007E2E58"/>
    <w:rsid w:val="007E57D9"/>
    <w:rsid w:val="007E6AF9"/>
    <w:rsid w:val="007F01ED"/>
    <w:rsid w:val="007F0A5D"/>
    <w:rsid w:val="007F1A57"/>
    <w:rsid w:val="007F2017"/>
    <w:rsid w:val="007F2A05"/>
    <w:rsid w:val="007F3322"/>
    <w:rsid w:val="007F3670"/>
    <w:rsid w:val="007F45B4"/>
    <w:rsid w:val="007F4ACF"/>
    <w:rsid w:val="007F570B"/>
    <w:rsid w:val="007F5B50"/>
    <w:rsid w:val="007F6AAE"/>
    <w:rsid w:val="007F7615"/>
    <w:rsid w:val="008003AC"/>
    <w:rsid w:val="00800783"/>
    <w:rsid w:val="00801819"/>
    <w:rsid w:val="00803735"/>
    <w:rsid w:val="008044AB"/>
    <w:rsid w:val="00807196"/>
    <w:rsid w:val="0080793E"/>
    <w:rsid w:val="00810C43"/>
    <w:rsid w:val="0081375F"/>
    <w:rsid w:val="008159CF"/>
    <w:rsid w:val="00816E05"/>
    <w:rsid w:val="008174BE"/>
    <w:rsid w:val="00817FB5"/>
    <w:rsid w:val="00821B30"/>
    <w:rsid w:val="008233EA"/>
    <w:rsid w:val="00823D69"/>
    <w:rsid w:val="0082499F"/>
    <w:rsid w:val="00824CA5"/>
    <w:rsid w:val="00826416"/>
    <w:rsid w:val="00827C8D"/>
    <w:rsid w:val="00830797"/>
    <w:rsid w:val="00830B82"/>
    <w:rsid w:val="008316FB"/>
    <w:rsid w:val="008319B7"/>
    <w:rsid w:val="00832613"/>
    <w:rsid w:val="008326E7"/>
    <w:rsid w:val="008329B4"/>
    <w:rsid w:val="0083398C"/>
    <w:rsid w:val="008339BB"/>
    <w:rsid w:val="00834A14"/>
    <w:rsid w:val="00834B30"/>
    <w:rsid w:val="00835697"/>
    <w:rsid w:val="00836E5C"/>
    <w:rsid w:val="00837BBA"/>
    <w:rsid w:val="008401DA"/>
    <w:rsid w:val="00840DDE"/>
    <w:rsid w:val="008419C6"/>
    <w:rsid w:val="00842C2A"/>
    <w:rsid w:val="00843691"/>
    <w:rsid w:val="008450C9"/>
    <w:rsid w:val="00845378"/>
    <w:rsid w:val="008471E0"/>
    <w:rsid w:val="00847F59"/>
    <w:rsid w:val="00850ABC"/>
    <w:rsid w:val="00850F66"/>
    <w:rsid w:val="00851DFA"/>
    <w:rsid w:val="00852AD7"/>
    <w:rsid w:val="00855B4B"/>
    <w:rsid w:val="008600A1"/>
    <w:rsid w:val="008605A1"/>
    <w:rsid w:val="00861E84"/>
    <w:rsid w:val="008621D3"/>
    <w:rsid w:val="00862E50"/>
    <w:rsid w:val="00863A8B"/>
    <w:rsid w:val="0086419A"/>
    <w:rsid w:val="008644F7"/>
    <w:rsid w:val="00864667"/>
    <w:rsid w:val="00864958"/>
    <w:rsid w:val="00864D07"/>
    <w:rsid w:val="008655CB"/>
    <w:rsid w:val="00865E21"/>
    <w:rsid w:val="00866E64"/>
    <w:rsid w:val="00867845"/>
    <w:rsid w:val="0087023B"/>
    <w:rsid w:val="00871AA3"/>
    <w:rsid w:val="008756F2"/>
    <w:rsid w:val="0087707D"/>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4336"/>
    <w:rsid w:val="0089531A"/>
    <w:rsid w:val="0089532E"/>
    <w:rsid w:val="008955DD"/>
    <w:rsid w:val="00895A03"/>
    <w:rsid w:val="00897DB4"/>
    <w:rsid w:val="008A0842"/>
    <w:rsid w:val="008A1059"/>
    <w:rsid w:val="008A179F"/>
    <w:rsid w:val="008A24E0"/>
    <w:rsid w:val="008A40F6"/>
    <w:rsid w:val="008A47E6"/>
    <w:rsid w:val="008A4F35"/>
    <w:rsid w:val="008B01F2"/>
    <w:rsid w:val="008B01FC"/>
    <w:rsid w:val="008B0864"/>
    <w:rsid w:val="008B1CFC"/>
    <w:rsid w:val="008B2FC8"/>
    <w:rsid w:val="008B3BE0"/>
    <w:rsid w:val="008B42DF"/>
    <w:rsid w:val="008B5FE6"/>
    <w:rsid w:val="008B7871"/>
    <w:rsid w:val="008B7BC6"/>
    <w:rsid w:val="008B7F61"/>
    <w:rsid w:val="008C026F"/>
    <w:rsid w:val="008C4FD6"/>
    <w:rsid w:val="008C58E2"/>
    <w:rsid w:val="008C71C4"/>
    <w:rsid w:val="008C7413"/>
    <w:rsid w:val="008D0DD5"/>
    <w:rsid w:val="008D15B4"/>
    <w:rsid w:val="008D16B7"/>
    <w:rsid w:val="008D4460"/>
    <w:rsid w:val="008D734B"/>
    <w:rsid w:val="008E21AD"/>
    <w:rsid w:val="008E3186"/>
    <w:rsid w:val="008E41A0"/>
    <w:rsid w:val="008E6AE6"/>
    <w:rsid w:val="008F0116"/>
    <w:rsid w:val="008F0316"/>
    <w:rsid w:val="008F0F1B"/>
    <w:rsid w:val="008F0FC0"/>
    <w:rsid w:val="008F143D"/>
    <w:rsid w:val="008F34A8"/>
    <w:rsid w:val="008F5423"/>
    <w:rsid w:val="008F67F5"/>
    <w:rsid w:val="008F7529"/>
    <w:rsid w:val="0090013A"/>
    <w:rsid w:val="00901199"/>
    <w:rsid w:val="00903EE0"/>
    <w:rsid w:val="0090420B"/>
    <w:rsid w:val="009042A8"/>
    <w:rsid w:val="00905F1B"/>
    <w:rsid w:val="009061EB"/>
    <w:rsid w:val="009070B7"/>
    <w:rsid w:val="009134DD"/>
    <w:rsid w:val="00913D9C"/>
    <w:rsid w:val="0091409F"/>
    <w:rsid w:val="00914DC2"/>
    <w:rsid w:val="00916ED3"/>
    <w:rsid w:val="00917E7A"/>
    <w:rsid w:val="009200A9"/>
    <w:rsid w:val="00922371"/>
    <w:rsid w:val="00922E69"/>
    <w:rsid w:val="00925F21"/>
    <w:rsid w:val="00931D4E"/>
    <w:rsid w:val="00931DC7"/>
    <w:rsid w:val="00932865"/>
    <w:rsid w:val="00933C29"/>
    <w:rsid w:val="00933DC0"/>
    <w:rsid w:val="009344B3"/>
    <w:rsid w:val="00934DA1"/>
    <w:rsid w:val="0093525A"/>
    <w:rsid w:val="00935F12"/>
    <w:rsid w:val="00936138"/>
    <w:rsid w:val="0093637D"/>
    <w:rsid w:val="00944786"/>
    <w:rsid w:val="009464D9"/>
    <w:rsid w:val="009467EE"/>
    <w:rsid w:val="0094688B"/>
    <w:rsid w:val="00952756"/>
    <w:rsid w:val="00953611"/>
    <w:rsid w:val="00956F36"/>
    <w:rsid w:val="00960110"/>
    <w:rsid w:val="0096388B"/>
    <w:rsid w:val="00964C97"/>
    <w:rsid w:val="0097060F"/>
    <w:rsid w:val="00970DC2"/>
    <w:rsid w:val="00970E0E"/>
    <w:rsid w:val="00971ABC"/>
    <w:rsid w:val="009732F1"/>
    <w:rsid w:val="00974E54"/>
    <w:rsid w:val="00975CAD"/>
    <w:rsid w:val="009765F8"/>
    <w:rsid w:val="00976F89"/>
    <w:rsid w:val="00977D27"/>
    <w:rsid w:val="0098070B"/>
    <w:rsid w:val="00980A37"/>
    <w:rsid w:val="0098138E"/>
    <w:rsid w:val="0098317E"/>
    <w:rsid w:val="0098453E"/>
    <w:rsid w:val="00984B59"/>
    <w:rsid w:val="00985E1B"/>
    <w:rsid w:val="0098655A"/>
    <w:rsid w:val="00993923"/>
    <w:rsid w:val="00993B16"/>
    <w:rsid w:val="00995205"/>
    <w:rsid w:val="00996177"/>
    <w:rsid w:val="00996936"/>
    <w:rsid w:val="00996BE8"/>
    <w:rsid w:val="00997A09"/>
    <w:rsid w:val="00997C02"/>
    <w:rsid w:val="00997F1C"/>
    <w:rsid w:val="00997FBD"/>
    <w:rsid w:val="009A1B1D"/>
    <w:rsid w:val="009A5F7E"/>
    <w:rsid w:val="009A69A6"/>
    <w:rsid w:val="009A7420"/>
    <w:rsid w:val="009B51F3"/>
    <w:rsid w:val="009B55EF"/>
    <w:rsid w:val="009B630B"/>
    <w:rsid w:val="009B64E9"/>
    <w:rsid w:val="009B6715"/>
    <w:rsid w:val="009C02EB"/>
    <w:rsid w:val="009C398D"/>
    <w:rsid w:val="009C6312"/>
    <w:rsid w:val="009C6FEB"/>
    <w:rsid w:val="009C76C6"/>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769"/>
    <w:rsid w:val="009E7C7F"/>
    <w:rsid w:val="009E7CBB"/>
    <w:rsid w:val="009F0097"/>
    <w:rsid w:val="009F3DDC"/>
    <w:rsid w:val="009F5B0F"/>
    <w:rsid w:val="009F5B6F"/>
    <w:rsid w:val="00A00605"/>
    <w:rsid w:val="00A0086C"/>
    <w:rsid w:val="00A02EE0"/>
    <w:rsid w:val="00A03107"/>
    <w:rsid w:val="00A03E65"/>
    <w:rsid w:val="00A047BB"/>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273C7"/>
    <w:rsid w:val="00A3028E"/>
    <w:rsid w:val="00A31287"/>
    <w:rsid w:val="00A314B9"/>
    <w:rsid w:val="00A31B98"/>
    <w:rsid w:val="00A33C4F"/>
    <w:rsid w:val="00A35118"/>
    <w:rsid w:val="00A366AC"/>
    <w:rsid w:val="00A37183"/>
    <w:rsid w:val="00A4163D"/>
    <w:rsid w:val="00A42306"/>
    <w:rsid w:val="00A42AFE"/>
    <w:rsid w:val="00A43F2C"/>
    <w:rsid w:val="00A4420E"/>
    <w:rsid w:val="00A44600"/>
    <w:rsid w:val="00A44D96"/>
    <w:rsid w:val="00A44E8D"/>
    <w:rsid w:val="00A46EA8"/>
    <w:rsid w:val="00A50019"/>
    <w:rsid w:val="00A51453"/>
    <w:rsid w:val="00A5195C"/>
    <w:rsid w:val="00A51C6E"/>
    <w:rsid w:val="00A51EB0"/>
    <w:rsid w:val="00A52661"/>
    <w:rsid w:val="00A52682"/>
    <w:rsid w:val="00A52D94"/>
    <w:rsid w:val="00A53C4F"/>
    <w:rsid w:val="00A54E87"/>
    <w:rsid w:val="00A5596F"/>
    <w:rsid w:val="00A55A5F"/>
    <w:rsid w:val="00A55ACD"/>
    <w:rsid w:val="00A56EBA"/>
    <w:rsid w:val="00A61E81"/>
    <w:rsid w:val="00A62964"/>
    <w:rsid w:val="00A640A4"/>
    <w:rsid w:val="00A64319"/>
    <w:rsid w:val="00A65EC2"/>
    <w:rsid w:val="00A660E4"/>
    <w:rsid w:val="00A7186A"/>
    <w:rsid w:val="00A72BEC"/>
    <w:rsid w:val="00A72E16"/>
    <w:rsid w:val="00A7310D"/>
    <w:rsid w:val="00A73438"/>
    <w:rsid w:val="00A73C7A"/>
    <w:rsid w:val="00A75569"/>
    <w:rsid w:val="00A761D4"/>
    <w:rsid w:val="00A77299"/>
    <w:rsid w:val="00A82FAF"/>
    <w:rsid w:val="00A834BB"/>
    <w:rsid w:val="00A85D27"/>
    <w:rsid w:val="00A86254"/>
    <w:rsid w:val="00A904F5"/>
    <w:rsid w:val="00A90CE7"/>
    <w:rsid w:val="00A90E8D"/>
    <w:rsid w:val="00A910F5"/>
    <w:rsid w:val="00A916F2"/>
    <w:rsid w:val="00A9340B"/>
    <w:rsid w:val="00A93519"/>
    <w:rsid w:val="00A94867"/>
    <w:rsid w:val="00A94C31"/>
    <w:rsid w:val="00AA057D"/>
    <w:rsid w:val="00AA1023"/>
    <w:rsid w:val="00AA65B0"/>
    <w:rsid w:val="00AA70FD"/>
    <w:rsid w:val="00AA7FA2"/>
    <w:rsid w:val="00AB0A20"/>
    <w:rsid w:val="00AB0BDC"/>
    <w:rsid w:val="00AB10CE"/>
    <w:rsid w:val="00AB3CE9"/>
    <w:rsid w:val="00AB4D46"/>
    <w:rsid w:val="00AB58A6"/>
    <w:rsid w:val="00AB731F"/>
    <w:rsid w:val="00AB736C"/>
    <w:rsid w:val="00AB7875"/>
    <w:rsid w:val="00AC06A2"/>
    <w:rsid w:val="00AC2368"/>
    <w:rsid w:val="00AC60BB"/>
    <w:rsid w:val="00AC68EE"/>
    <w:rsid w:val="00AC7E9E"/>
    <w:rsid w:val="00AD3D88"/>
    <w:rsid w:val="00AD44DF"/>
    <w:rsid w:val="00AD4AEA"/>
    <w:rsid w:val="00AD58CB"/>
    <w:rsid w:val="00AD5C31"/>
    <w:rsid w:val="00AD5EB4"/>
    <w:rsid w:val="00AD60F7"/>
    <w:rsid w:val="00AE0FCD"/>
    <w:rsid w:val="00AE1905"/>
    <w:rsid w:val="00AE2870"/>
    <w:rsid w:val="00AE293B"/>
    <w:rsid w:val="00AE293D"/>
    <w:rsid w:val="00AE3AEF"/>
    <w:rsid w:val="00AE4390"/>
    <w:rsid w:val="00AE520E"/>
    <w:rsid w:val="00AE6D91"/>
    <w:rsid w:val="00AE7F05"/>
    <w:rsid w:val="00AF11AF"/>
    <w:rsid w:val="00AF46E4"/>
    <w:rsid w:val="00AF4864"/>
    <w:rsid w:val="00AF5718"/>
    <w:rsid w:val="00AF6189"/>
    <w:rsid w:val="00AF6367"/>
    <w:rsid w:val="00AF6413"/>
    <w:rsid w:val="00AF7387"/>
    <w:rsid w:val="00AF7CC1"/>
    <w:rsid w:val="00B00776"/>
    <w:rsid w:val="00B01BF3"/>
    <w:rsid w:val="00B01F7E"/>
    <w:rsid w:val="00B02269"/>
    <w:rsid w:val="00B03174"/>
    <w:rsid w:val="00B03481"/>
    <w:rsid w:val="00B0361F"/>
    <w:rsid w:val="00B036D4"/>
    <w:rsid w:val="00B04AE2"/>
    <w:rsid w:val="00B05DDD"/>
    <w:rsid w:val="00B06BE5"/>
    <w:rsid w:val="00B07845"/>
    <w:rsid w:val="00B10C46"/>
    <w:rsid w:val="00B1222C"/>
    <w:rsid w:val="00B1313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274BC"/>
    <w:rsid w:val="00B30581"/>
    <w:rsid w:val="00B3087D"/>
    <w:rsid w:val="00B322DA"/>
    <w:rsid w:val="00B32794"/>
    <w:rsid w:val="00B338CF"/>
    <w:rsid w:val="00B33949"/>
    <w:rsid w:val="00B34794"/>
    <w:rsid w:val="00B34D8F"/>
    <w:rsid w:val="00B35A8B"/>
    <w:rsid w:val="00B40B34"/>
    <w:rsid w:val="00B40E64"/>
    <w:rsid w:val="00B41F1F"/>
    <w:rsid w:val="00B427FA"/>
    <w:rsid w:val="00B42CE2"/>
    <w:rsid w:val="00B45312"/>
    <w:rsid w:val="00B4648D"/>
    <w:rsid w:val="00B47808"/>
    <w:rsid w:val="00B538F3"/>
    <w:rsid w:val="00B55CD4"/>
    <w:rsid w:val="00B60421"/>
    <w:rsid w:val="00B60CC7"/>
    <w:rsid w:val="00B61FF4"/>
    <w:rsid w:val="00B62988"/>
    <w:rsid w:val="00B64FCC"/>
    <w:rsid w:val="00B65619"/>
    <w:rsid w:val="00B71E4B"/>
    <w:rsid w:val="00B737E6"/>
    <w:rsid w:val="00B75BFF"/>
    <w:rsid w:val="00B80A19"/>
    <w:rsid w:val="00B80AA6"/>
    <w:rsid w:val="00B814C6"/>
    <w:rsid w:val="00B8175A"/>
    <w:rsid w:val="00B81EB6"/>
    <w:rsid w:val="00B83D18"/>
    <w:rsid w:val="00B83F4E"/>
    <w:rsid w:val="00B840A7"/>
    <w:rsid w:val="00B84718"/>
    <w:rsid w:val="00B8769D"/>
    <w:rsid w:val="00B87DB5"/>
    <w:rsid w:val="00B920F4"/>
    <w:rsid w:val="00B93A51"/>
    <w:rsid w:val="00B940E8"/>
    <w:rsid w:val="00B945BB"/>
    <w:rsid w:val="00B945D9"/>
    <w:rsid w:val="00B95709"/>
    <w:rsid w:val="00BA05DF"/>
    <w:rsid w:val="00BA080C"/>
    <w:rsid w:val="00BA11A5"/>
    <w:rsid w:val="00BA1EB8"/>
    <w:rsid w:val="00BA2298"/>
    <w:rsid w:val="00BA2496"/>
    <w:rsid w:val="00BA3B05"/>
    <w:rsid w:val="00BA6BAF"/>
    <w:rsid w:val="00BA70FD"/>
    <w:rsid w:val="00BA71AC"/>
    <w:rsid w:val="00BA74DD"/>
    <w:rsid w:val="00BA7C74"/>
    <w:rsid w:val="00BA7E95"/>
    <w:rsid w:val="00BB0243"/>
    <w:rsid w:val="00BB245C"/>
    <w:rsid w:val="00BB3BED"/>
    <w:rsid w:val="00BB5231"/>
    <w:rsid w:val="00BB5364"/>
    <w:rsid w:val="00BB5F01"/>
    <w:rsid w:val="00BB6BED"/>
    <w:rsid w:val="00BB7709"/>
    <w:rsid w:val="00BC2E68"/>
    <w:rsid w:val="00BC3EF9"/>
    <w:rsid w:val="00BC5E10"/>
    <w:rsid w:val="00BC5E2C"/>
    <w:rsid w:val="00BD0A58"/>
    <w:rsid w:val="00BD1060"/>
    <w:rsid w:val="00BD1D9D"/>
    <w:rsid w:val="00BD2746"/>
    <w:rsid w:val="00BD311F"/>
    <w:rsid w:val="00BD41A8"/>
    <w:rsid w:val="00BD4393"/>
    <w:rsid w:val="00BD48E9"/>
    <w:rsid w:val="00BD5093"/>
    <w:rsid w:val="00BD717F"/>
    <w:rsid w:val="00BD7F2A"/>
    <w:rsid w:val="00BE0479"/>
    <w:rsid w:val="00BE04F7"/>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4E58"/>
    <w:rsid w:val="00BF6D75"/>
    <w:rsid w:val="00BF7C07"/>
    <w:rsid w:val="00C0008E"/>
    <w:rsid w:val="00C02575"/>
    <w:rsid w:val="00C03798"/>
    <w:rsid w:val="00C039C5"/>
    <w:rsid w:val="00C04333"/>
    <w:rsid w:val="00C04D97"/>
    <w:rsid w:val="00C059CE"/>
    <w:rsid w:val="00C06426"/>
    <w:rsid w:val="00C0643F"/>
    <w:rsid w:val="00C06B8E"/>
    <w:rsid w:val="00C106B0"/>
    <w:rsid w:val="00C10B5F"/>
    <w:rsid w:val="00C118A7"/>
    <w:rsid w:val="00C11A4C"/>
    <w:rsid w:val="00C1267D"/>
    <w:rsid w:val="00C13688"/>
    <w:rsid w:val="00C14557"/>
    <w:rsid w:val="00C14C73"/>
    <w:rsid w:val="00C14D56"/>
    <w:rsid w:val="00C16E3F"/>
    <w:rsid w:val="00C17118"/>
    <w:rsid w:val="00C21069"/>
    <w:rsid w:val="00C22044"/>
    <w:rsid w:val="00C25494"/>
    <w:rsid w:val="00C25889"/>
    <w:rsid w:val="00C26405"/>
    <w:rsid w:val="00C2691D"/>
    <w:rsid w:val="00C31260"/>
    <w:rsid w:val="00C3149C"/>
    <w:rsid w:val="00C31ADB"/>
    <w:rsid w:val="00C32808"/>
    <w:rsid w:val="00C33402"/>
    <w:rsid w:val="00C3550E"/>
    <w:rsid w:val="00C36DA1"/>
    <w:rsid w:val="00C378B7"/>
    <w:rsid w:val="00C40662"/>
    <w:rsid w:val="00C440E6"/>
    <w:rsid w:val="00C441E8"/>
    <w:rsid w:val="00C45003"/>
    <w:rsid w:val="00C45647"/>
    <w:rsid w:val="00C45C17"/>
    <w:rsid w:val="00C47A15"/>
    <w:rsid w:val="00C5428A"/>
    <w:rsid w:val="00C54766"/>
    <w:rsid w:val="00C55AAB"/>
    <w:rsid w:val="00C57285"/>
    <w:rsid w:val="00C57295"/>
    <w:rsid w:val="00C6221D"/>
    <w:rsid w:val="00C62C7C"/>
    <w:rsid w:val="00C70766"/>
    <w:rsid w:val="00C7166B"/>
    <w:rsid w:val="00C74C58"/>
    <w:rsid w:val="00C76505"/>
    <w:rsid w:val="00C765F1"/>
    <w:rsid w:val="00C77A6E"/>
    <w:rsid w:val="00C80676"/>
    <w:rsid w:val="00C80865"/>
    <w:rsid w:val="00C81044"/>
    <w:rsid w:val="00C821F9"/>
    <w:rsid w:val="00C82CC5"/>
    <w:rsid w:val="00C84697"/>
    <w:rsid w:val="00C84DF7"/>
    <w:rsid w:val="00C84F93"/>
    <w:rsid w:val="00C864DC"/>
    <w:rsid w:val="00C86A5B"/>
    <w:rsid w:val="00C878D5"/>
    <w:rsid w:val="00C879B4"/>
    <w:rsid w:val="00C9033B"/>
    <w:rsid w:val="00C910D0"/>
    <w:rsid w:val="00C913A1"/>
    <w:rsid w:val="00C92067"/>
    <w:rsid w:val="00C92D5F"/>
    <w:rsid w:val="00C92D60"/>
    <w:rsid w:val="00C92F18"/>
    <w:rsid w:val="00C9350C"/>
    <w:rsid w:val="00C94028"/>
    <w:rsid w:val="00C95309"/>
    <w:rsid w:val="00C956DD"/>
    <w:rsid w:val="00CA0034"/>
    <w:rsid w:val="00CA2A4F"/>
    <w:rsid w:val="00CA2AE8"/>
    <w:rsid w:val="00CA63FC"/>
    <w:rsid w:val="00CA7933"/>
    <w:rsid w:val="00CB085C"/>
    <w:rsid w:val="00CB64B8"/>
    <w:rsid w:val="00CB7460"/>
    <w:rsid w:val="00CB755E"/>
    <w:rsid w:val="00CC44B6"/>
    <w:rsid w:val="00CC4D97"/>
    <w:rsid w:val="00CC594B"/>
    <w:rsid w:val="00CC6231"/>
    <w:rsid w:val="00CC6A99"/>
    <w:rsid w:val="00CC7541"/>
    <w:rsid w:val="00CD0BCA"/>
    <w:rsid w:val="00CD2BD4"/>
    <w:rsid w:val="00CD48C5"/>
    <w:rsid w:val="00CD5A62"/>
    <w:rsid w:val="00CD5A91"/>
    <w:rsid w:val="00CD6F79"/>
    <w:rsid w:val="00CD7038"/>
    <w:rsid w:val="00CD79EF"/>
    <w:rsid w:val="00CE1478"/>
    <w:rsid w:val="00CE2087"/>
    <w:rsid w:val="00CE2384"/>
    <w:rsid w:val="00CE37C9"/>
    <w:rsid w:val="00CE41D8"/>
    <w:rsid w:val="00CE47A5"/>
    <w:rsid w:val="00CE4B27"/>
    <w:rsid w:val="00CE60D3"/>
    <w:rsid w:val="00CE6DFF"/>
    <w:rsid w:val="00CF0F7F"/>
    <w:rsid w:val="00CF3E1A"/>
    <w:rsid w:val="00CF69D4"/>
    <w:rsid w:val="00CF6F4A"/>
    <w:rsid w:val="00CF7017"/>
    <w:rsid w:val="00D00AA3"/>
    <w:rsid w:val="00D00B0B"/>
    <w:rsid w:val="00D01058"/>
    <w:rsid w:val="00D01CC1"/>
    <w:rsid w:val="00D02396"/>
    <w:rsid w:val="00D02979"/>
    <w:rsid w:val="00D029E2"/>
    <w:rsid w:val="00D0477E"/>
    <w:rsid w:val="00D0504E"/>
    <w:rsid w:val="00D07F73"/>
    <w:rsid w:val="00D123B0"/>
    <w:rsid w:val="00D12623"/>
    <w:rsid w:val="00D14844"/>
    <w:rsid w:val="00D156AC"/>
    <w:rsid w:val="00D1604A"/>
    <w:rsid w:val="00D16123"/>
    <w:rsid w:val="00D16181"/>
    <w:rsid w:val="00D16DC9"/>
    <w:rsid w:val="00D2041C"/>
    <w:rsid w:val="00D20E41"/>
    <w:rsid w:val="00D21437"/>
    <w:rsid w:val="00D24A2F"/>
    <w:rsid w:val="00D2517B"/>
    <w:rsid w:val="00D25ADE"/>
    <w:rsid w:val="00D26FBD"/>
    <w:rsid w:val="00D3184B"/>
    <w:rsid w:val="00D31B2B"/>
    <w:rsid w:val="00D35BFE"/>
    <w:rsid w:val="00D3600B"/>
    <w:rsid w:val="00D36B2B"/>
    <w:rsid w:val="00D371BA"/>
    <w:rsid w:val="00D37D9B"/>
    <w:rsid w:val="00D40121"/>
    <w:rsid w:val="00D40769"/>
    <w:rsid w:val="00D40CC0"/>
    <w:rsid w:val="00D42AA5"/>
    <w:rsid w:val="00D43297"/>
    <w:rsid w:val="00D4401A"/>
    <w:rsid w:val="00D449D6"/>
    <w:rsid w:val="00D44DB6"/>
    <w:rsid w:val="00D44E09"/>
    <w:rsid w:val="00D45E3E"/>
    <w:rsid w:val="00D469A7"/>
    <w:rsid w:val="00D500B7"/>
    <w:rsid w:val="00D50119"/>
    <w:rsid w:val="00D504D9"/>
    <w:rsid w:val="00D517A2"/>
    <w:rsid w:val="00D51A5E"/>
    <w:rsid w:val="00D520B5"/>
    <w:rsid w:val="00D52A5B"/>
    <w:rsid w:val="00D52E7D"/>
    <w:rsid w:val="00D52E9D"/>
    <w:rsid w:val="00D55A66"/>
    <w:rsid w:val="00D56516"/>
    <w:rsid w:val="00D566B5"/>
    <w:rsid w:val="00D605E1"/>
    <w:rsid w:val="00D60C7B"/>
    <w:rsid w:val="00D63D80"/>
    <w:rsid w:val="00D641FE"/>
    <w:rsid w:val="00D66F00"/>
    <w:rsid w:val="00D67B59"/>
    <w:rsid w:val="00D70B6B"/>
    <w:rsid w:val="00D70BEB"/>
    <w:rsid w:val="00D73556"/>
    <w:rsid w:val="00D737A5"/>
    <w:rsid w:val="00D764F6"/>
    <w:rsid w:val="00D766FC"/>
    <w:rsid w:val="00D76848"/>
    <w:rsid w:val="00D803CF"/>
    <w:rsid w:val="00D81A32"/>
    <w:rsid w:val="00D81AD0"/>
    <w:rsid w:val="00D82A43"/>
    <w:rsid w:val="00D82C00"/>
    <w:rsid w:val="00D84F2E"/>
    <w:rsid w:val="00D8571C"/>
    <w:rsid w:val="00D874CC"/>
    <w:rsid w:val="00D91754"/>
    <w:rsid w:val="00D928F8"/>
    <w:rsid w:val="00D92F60"/>
    <w:rsid w:val="00D93FE0"/>
    <w:rsid w:val="00D96222"/>
    <w:rsid w:val="00D97251"/>
    <w:rsid w:val="00DA2D70"/>
    <w:rsid w:val="00DA2D83"/>
    <w:rsid w:val="00DA4446"/>
    <w:rsid w:val="00DA5328"/>
    <w:rsid w:val="00DA6C74"/>
    <w:rsid w:val="00DA795A"/>
    <w:rsid w:val="00DA7B5D"/>
    <w:rsid w:val="00DB1E1A"/>
    <w:rsid w:val="00DB2CE1"/>
    <w:rsid w:val="00DB34BD"/>
    <w:rsid w:val="00DB366C"/>
    <w:rsid w:val="00DB4A8E"/>
    <w:rsid w:val="00DB6CA2"/>
    <w:rsid w:val="00DC106F"/>
    <w:rsid w:val="00DC3A8D"/>
    <w:rsid w:val="00DC40EC"/>
    <w:rsid w:val="00DD0E45"/>
    <w:rsid w:val="00DD3336"/>
    <w:rsid w:val="00DD5D30"/>
    <w:rsid w:val="00DD679D"/>
    <w:rsid w:val="00DD7B1A"/>
    <w:rsid w:val="00DE0B68"/>
    <w:rsid w:val="00DE1B51"/>
    <w:rsid w:val="00DE2DBA"/>
    <w:rsid w:val="00DE6111"/>
    <w:rsid w:val="00DE6CBE"/>
    <w:rsid w:val="00DE75AA"/>
    <w:rsid w:val="00DF1FF7"/>
    <w:rsid w:val="00DF23DF"/>
    <w:rsid w:val="00DF2998"/>
    <w:rsid w:val="00DF3D15"/>
    <w:rsid w:val="00DF4C17"/>
    <w:rsid w:val="00DF58E7"/>
    <w:rsid w:val="00DF6A08"/>
    <w:rsid w:val="00DF7140"/>
    <w:rsid w:val="00DF72FD"/>
    <w:rsid w:val="00E00130"/>
    <w:rsid w:val="00E005E9"/>
    <w:rsid w:val="00E006A7"/>
    <w:rsid w:val="00E02AAE"/>
    <w:rsid w:val="00E04F01"/>
    <w:rsid w:val="00E06F4A"/>
    <w:rsid w:val="00E102DE"/>
    <w:rsid w:val="00E11876"/>
    <w:rsid w:val="00E119F3"/>
    <w:rsid w:val="00E11DBF"/>
    <w:rsid w:val="00E1367B"/>
    <w:rsid w:val="00E15514"/>
    <w:rsid w:val="00E15802"/>
    <w:rsid w:val="00E20858"/>
    <w:rsid w:val="00E20A78"/>
    <w:rsid w:val="00E20AE7"/>
    <w:rsid w:val="00E23CBB"/>
    <w:rsid w:val="00E24113"/>
    <w:rsid w:val="00E258A3"/>
    <w:rsid w:val="00E30DB6"/>
    <w:rsid w:val="00E30ECB"/>
    <w:rsid w:val="00E332CA"/>
    <w:rsid w:val="00E356DA"/>
    <w:rsid w:val="00E35D43"/>
    <w:rsid w:val="00E37B59"/>
    <w:rsid w:val="00E42C73"/>
    <w:rsid w:val="00E43987"/>
    <w:rsid w:val="00E43DF2"/>
    <w:rsid w:val="00E43FEC"/>
    <w:rsid w:val="00E45FDD"/>
    <w:rsid w:val="00E46087"/>
    <w:rsid w:val="00E47FF5"/>
    <w:rsid w:val="00E5038F"/>
    <w:rsid w:val="00E505AB"/>
    <w:rsid w:val="00E510E7"/>
    <w:rsid w:val="00E5216F"/>
    <w:rsid w:val="00E52964"/>
    <w:rsid w:val="00E53438"/>
    <w:rsid w:val="00E53E15"/>
    <w:rsid w:val="00E54C7E"/>
    <w:rsid w:val="00E556D3"/>
    <w:rsid w:val="00E5705D"/>
    <w:rsid w:val="00E57ECC"/>
    <w:rsid w:val="00E60663"/>
    <w:rsid w:val="00E6084D"/>
    <w:rsid w:val="00E608EF"/>
    <w:rsid w:val="00E61910"/>
    <w:rsid w:val="00E619BA"/>
    <w:rsid w:val="00E63B7C"/>
    <w:rsid w:val="00E65512"/>
    <w:rsid w:val="00E67540"/>
    <w:rsid w:val="00E725FC"/>
    <w:rsid w:val="00E74BB1"/>
    <w:rsid w:val="00E75550"/>
    <w:rsid w:val="00E75680"/>
    <w:rsid w:val="00E77A7E"/>
    <w:rsid w:val="00E80CD1"/>
    <w:rsid w:val="00E81F33"/>
    <w:rsid w:val="00E82ABA"/>
    <w:rsid w:val="00E83B88"/>
    <w:rsid w:val="00E8484A"/>
    <w:rsid w:val="00E905F4"/>
    <w:rsid w:val="00E908A8"/>
    <w:rsid w:val="00E91840"/>
    <w:rsid w:val="00E91A23"/>
    <w:rsid w:val="00E93281"/>
    <w:rsid w:val="00E95326"/>
    <w:rsid w:val="00E95463"/>
    <w:rsid w:val="00E96D0D"/>
    <w:rsid w:val="00E97745"/>
    <w:rsid w:val="00EA10C7"/>
    <w:rsid w:val="00EA1A55"/>
    <w:rsid w:val="00EA25D5"/>
    <w:rsid w:val="00EA2B08"/>
    <w:rsid w:val="00EA36C6"/>
    <w:rsid w:val="00EA3F4B"/>
    <w:rsid w:val="00EA63C7"/>
    <w:rsid w:val="00EA6675"/>
    <w:rsid w:val="00EA6AAD"/>
    <w:rsid w:val="00EA7F70"/>
    <w:rsid w:val="00EB1EB3"/>
    <w:rsid w:val="00EB2ABC"/>
    <w:rsid w:val="00EB36FB"/>
    <w:rsid w:val="00EB3767"/>
    <w:rsid w:val="00EB3E92"/>
    <w:rsid w:val="00EB61CB"/>
    <w:rsid w:val="00EB67A0"/>
    <w:rsid w:val="00EB7723"/>
    <w:rsid w:val="00EB7873"/>
    <w:rsid w:val="00EC195D"/>
    <w:rsid w:val="00EC2539"/>
    <w:rsid w:val="00EC30F9"/>
    <w:rsid w:val="00EC3FE3"/>
    <w:rsid w:val="00EC56FC"/>
    <w:rsid w:val="00EC6765"/>
    <w:rsid w:val="00EC6892"/>
    <w:rsid w:val="00EC6B9C"/>
    <w:rsid w:val="00EC75BC"/>
    <w:rsid w:val="00ED1D85"/>
    <w:rsid w:val="00ED2093"/>
    <w:rsid w:val="00ED43B7"/>
    <w:rsid w:val="00ED5374"/>
    <w:rsid w:val="00ED5725"/>
    <w:rsid w:val="00ED7031"/>
    <w:rsid w:val="00EE082B"/>
    <w:rsid w:val="00EE120C"/>
    <w:rsid w:val="00EE1349"/>
    <w:rsid w:val="00EE200D"/>
    <w:rsid w:val="00EE27AE"/>
    <w:rsid w:val="00EE3060"/>
    <w:rsid w:val="00EE35DE"/>
    <w:rsid w:val="00EE3D7F"/>
    <w:rsid w:val="00EE4315"/>
    <w:rsid w:val="00EE47B2"/>
    <w:rsid w:val="00EE4938"/>
    <w:rsid w:val="00EE59E2"/>
    <w:rsid w:val="00EE67E2"/>
    <w:rsid w:val="00EF1AD1"/>
    <w:rsid w:val="00EF2C77"/>
    <w:rsid w:val="00EF339C"/>
    <w:rsid w:val="00EF3558"/>
    <w:rsid w:val="00EF5C45"/>
    <w:rsid w:val="00EF6267"/>
    <w:rsid w:val="00EF6925"/>
    <w:rsid w:val="00EF7197"/>
    <w:rsid w:val="00EF74BA"/>
    <w:rsid w:val="00EF760F"/>
    <w:rsid w:val="00F02D0C"/>
    <w:rsid w:val="00F03A9D"/>
    <w:rsid w:val="00F06858"/>
    <w:rsid w:val="00F06ACA"/>
    <w:rsid w:val="00F06ADF"/>
    <w:rsid w:val="00F1090A"/>
    <w:rsid w:val="00F10A9E"/>
    <w:rsid w:val="00F10CF1"/>
    <w:rsid w:val="00F10F7D"/>
    <w:rsid w:val="00F116B9"/>
    <w:rsid w:val="00F11B4A"/>
    <w:rsid w:val="00F1212E"/>
    <w:rsid w:val="00F134D8"/>
    <w:rsid w:val="00F1433E"/>
    <w:rsid w:val="00F145B7"/>
    <w:rsid w:val="00F146C5"/>
    <w:rsid w:val="00F14B43"/>
    <w:rsid w:val="00F1665C"/>
    <w:rsid w:val="00F20E57"/>
    <w:rsid w:val="00F23B1B"/>
    <w:rsid w:val="00F249DC"/>
    <w:rsid w:val="00F25580"/>
    <w:rsid w:val="00F25E62"/>
    <w:rsid w:val="00F26ED3"/>
    <w:rsid w:val="00F30CBD"/>
    <w:rsid w:val="00F313CA"/>
    <w:rsid w:val="00F3255A"/>
    <w:rsid w:val="00F344CA"/>
    <w:rsid w:val="00F34CBE"/>
    <w:rsid w:val="00F35234"/>
    <w:rsid w:val="00F3572C"/>
    <w:rsid w:val="00F35CF7"/>
    <w:rsid w:val="00F35D26"/>
    <w:rsid w:val="00F35F4C"/>
    <w:rsid w:val="00F3664F"/>
    <w:rsid w:val="00F41AC8"/>
    <w:rsid w:val="00F420B6"/>
    <w:rsid w:val="00F42E3D"/>
    <w:rsid w:val="00F44EEC"/>
    <w:rsid w:val="00F45448"/>
    <w:rsid w:val="00F51A61"/>
    <w:rsid w:val="00F52A90"/>
    <w:rsid w:val="00F559FA"/>
    <w:rsid w:val="00F55B9A"/>
    <w:rsid w:val="00F568E7"/>
    <w:rsid w:val="00F61661"/>
    <w:rsid w:val="00F617B5"/>
    <w:rsid w:val="00F6252F"/>
    <w:rsid w:val="00F62B7A"/>
    <w:rsid w:val="00F6397D"/>
    <w:rsid w:val="00F64A30"/>
    <w:rsid w:val="00F64D3E"/>
    <w:rsid w:val="00F65541"/>
    <w:rsid w:val="00F7137C"/>
    <w:rsid w:val="00F714E6"/>
    <w:rsid w:val="00F72001"/>
    <w:rsid w:val="00F725BD"/>
    <w:rsid w:val="00F72623"/>
    <w:rsid w:val="00F7293E"/>
    <w:rsid w:val="00F72B76"/>
    <w:rsid w:val="00F73D9C"/>
    <w:rsid w:val="00F7541A"/>
    <w:rsid w:val="00F75D47"/>
    <w:rsid w:val="00F76650"/>
    <w:rsid w:val="00F81E73"/>
    <w:rsid w:val="00F84D53"/>
    <w:rsid w:val="00F8648F"/>
    <w:rsid w:val="00F86518"/>
    <w:rsid w:val="00F87FFE"/>
    <w:rsid w:val="00F9045B"/>
    <w:rsid w:val="00F90EA5"/>
    <w:rsid w:val="00F9187B"/>
    <w:rsid w:val="00F918A1"/>
    <w:rsid w:val="00F92051"/>
    <w:rsid w:val="00F92385"/>
    <w:rsid w:val="00F92954"/>
    <w:rsid w:val="00F92D2D"/>
    <w:rsid w:val="00F93778"/>
    <w:rsid w:val="00F949C0"/>
    <w:rsid w:val="00F94FF1"/>
    <w:rsid w:val="00F95033"/>
    <w:rsid w:val="00F961A0"/>
    <w:rsid w:val="00F968E0"/>
    <w:rsid w:val="00F969BD"/>
    <w:rsid w:val="00F97961"/>
    <w:rsid w:val="00FA0B2D"/>
    <w:rsid w:val="00FA1B4F"/>
    <w:rsid w:val="00FA288F"/>
    <w:rsid w:val="00FA29C4"/>
    <w:rsid w:val="00FA3E73"/>
    <w:rsid w:val="00FA5FA5"/>
    <w:rsid w:val="00FA6546"/>
    <w:rsid w:val="00FA6EC9"/>
    <w:rsid w:val="00FA7DAA"/>
    <w:rsid w:val="00FB2AF7"/>
    <w:rsid w:val="00FB3640"/>
    <w:rsid w:val="00FB4D03"/>
    <w:rsid w:val="00FB4D0A"/>
    <w:rsid w:val="00FB504A"/>
    <w:rsid w:val="00FB531D"/>
    <w:rsid w:val="00FB624F"/>
    <w:rsid w:val="00FC00E3"/>
    <w:rsid w:val="00FC02E9"/>
    <w:rsid w:val="00FC13C8"/>
    <w:rsid w:val="00FC259D"/>
    <w:rsid w:val="00FC39E6"/>
    <w:rsid w:val="00FC47F9"/>
    <w:rsid w:val="00FC76FD"/>
    <w:rsid w:val="00FD151C"/>
    <w:rsid w:val="00FD3373"/>
    <w:rsid w:val="00FD6DA8"/>
    <w:rsid w:val="00FD7B5C"/>
    <w:rsid w:val="00FE1139"/>
    <w:rsid w:val="00FE2351"/>
    <w:rsid w:val="00FE2F01"/>
    <w:rsid w:val="00FE337D"/>
    <w:rsid w:val="00FE3DFC"/>
    <w:rsid w:val="00FE5580"/>
    <w:rsid w:val="00FE61E5"/>
    <w:rsid w:val="00FE63AA"/>
    <w:rsid w:val="00FE68F1"/>
    <w:rsid w:val="00FE7C35"/>
    <w:rsid w:val="00FF0ADE"/>
    <w:rsid w:val="00FF110C"/>
    <w:rsid w:val="00FF14E1"/>
    <w:rsid w:val="00FF15F1"/>
    <w:rsid w:val="00FF1F90"/>
    <w:rsid w:val="00FF2AB8"/>
    <w:rsid w:val="00FF2CF3"/>
    <w:rsid w:val="00FF39CE"/>
    <w:rsid w:val="00FF5261"/>
    <w:rsid w:val="00FF682C"/>
    <w:rsid w:val="0159EBCD"/>
    <w:rsid w:val="021E3D1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BA05B131-B010-49B3-9352-1F75A0555D2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18"/>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8"/>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semiHidden/>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0">
    <w:name w:val="standard Char"/>
    <w:link w:val="standard0"/>
    <w:locked/>
    <w:rsid w:val="003E5AEF"/>
    <w:rPr>
      <w:rFonts w:ascii="Book Antiqua" w:hAnsi="Book Antiqua"/>
      <w:sz w:val="26"/>
    </w:rPr>
  </w:style>
  <w:style w:type="paragraph" w:customStyle="1" w:styleId="standard0">
    <w:name w:val="standard"/>
    <w:basedOn w:val="Normal"/>
    <w:link w:val="standardChar0"/>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59">
    <w:name w:val="xl38359"/>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0">
    <w:name w:val="xl3836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5">
    <w:name w:val="xl38365"/>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8">
    <w:name w:val="xl38368"/>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9">
    <w:name w:val="xl38369"/>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70">
    <w:name w:val="xl38370"/>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StandardChar">
    <w:name w:val="Standard Char"/>
    <w:basedOn w:val="DefaultParagraphFont"/>
    <w:link w:val="Standard"/>
    <w:rsid w:val="00F92954"/>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77</ap:Pages>
  <ap:Words>15664</ap:Words>
  <ap:Characters>89291</ap:Characters>
  <ap:Application>Microsoft Office Word</ap:Application>
  <ap:DocSecurity>0</ap:DocSecurity>
  <ap:Lines>744</ap:Lines>
  <ap:Paragraphs>209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104746</ap:CharactersWithSpaces>
  <ap:SharedDoc>false</ap:SharedDoc>
  <ap:HLinks>
    <vt:vector baseType="variant" size="468">
      <vt:variant>
        <vt:i4>7536718</vt:i4>
      </vt:variant>
      <vt:variant>
        <vt:i4>465</vt:i4>
      </vt:variant>
      <vt:variant>
        <vt:i4>0</vt:i4>
      </vt:variant>
      <vt:variant>
        <vt:i4>5</vt:i4>
      </vt:variant>
      <vt:variant>
        <vt:lpwstr>C:\Users\EF1\AppData\Local\Microsoft\Windows\INetCache\Content.MSO\7E937D41.xlsx</vt:lpwstr>
      </vt:variant>
      <vt:variant>
        <vt:lpwstr>RANGE!#REF!</vt:lpwstr>
      </vt:variant>
      <vt:variant>
        <vt:i4>7536718</vt:i4>
      </vt:variant>
      <vt:variant>
        <vt:i4>462</vt:i4>
      </vt:variant>
      <vt:variant>
        <vt:i4>0</vt:i4>
      </vt:variant>
      <vt:variant>
        <vt:i4>5</vt:i4>
      </vt:variant>
      <vt:variant>
        <vt:lpwstr>C:\Users\EF1\AppData\Local\Microsoft\Windows\INetCache\Content.MSO\7E937D41.xlsx</vt:lpwstr>
      </vt:variant>
      <vt:variant>
        <vt:lpwstr>RANGE!#REF!</vt:lpwstr>
      </vt:variant>
      <vt:variant>
        <vt:i4>2031669</vt:i4>
      </vt:variant>
      <vt:variant>
        <vt:i4>452</vt:i4>
      </vt:variant>
      <vt:variant>
        <vt:i4>0</vt:i4>
      </vt:variant>
      <vt:variant>
        <vt:i4>5</vt:i4>
      </vt:variant>
      <vt:variant>
        <vt:lpwstr/>
      </vt:variant>
      <vt:variant>
        <vt:lpwstr>_Toc213233780</vt:lpwstr>
      </vt:variant>
      <vt:variant>
        <vt:i4>1048629</vt:i4>
      </vt:variant>
      <vt:variant>
        <vt:i4>446</vt:i4>
      </vt:variant>
      <vt:variant>
        <vt:i4>0</vt:i4>
      </vt:variant>
      <vt:variant>
        <vt:i4>5</vt:i4>
      </vt:variant>
      <vt:variant>
        <vt:lpwstr/>
      </vt:variant>
      <vt:variant>
        <vt:lpwstr>_Toc213233779</vt:lpwstr>
      </vt:variant>
      <vt:variant>
        <vt:i4>1048629</vt:i4>
      </vt:variant>
      <vt:variant>
        <vt:i4>440</vt:i4>
      </vt:variant>
      <vt:variant>
        <vt:i4>0</vt:i4>
      </vt:variant>
      <vt:variant>
        <vt:i4>5</vt:i4>
      </vt:variant>
      <vt:variant>
        <vt:lpwstr/>
      </vt:variant>
      <vt:variant>
        <vt:lpwstr>_Toc213233778</vt:lpwstr>
      </vt:variant>
      <vt:variant>
        <vt:i4>1048629</vt:i4>
      </vt:variant>
      <vt:variant>
        <vt:i4>434</vt:i4>
      </vt:variant>
      <vt:variant>
        <vt:i4>0</vt:i4>
      </vt:variant>
      <vt:variant>
        <vt:i4>5</vt:i4>
      </vt:variant>
      <vt:variant>
        <vt:lpwstr/>
      </vt:variant>
      <vt:variant>
        <vt:lpwstr>_Toc213233777</vt:lpwstr>
      </vt:variant>
      <vt:variant>
        <vt:i4>1048629</vt:i4>
      </vt:variant>
      <vt:variant>
        <vt:i4>428</vt:i4>
      </vt:variant>
      <vt:variant>
        <vt:i4>0</vt:i4>
      </vt:variant>
      <vt:variant>
        <vt:i4>5</vt:i4>
      </vt:variant>
      <vt:variant>
        <vt:lpwstr/>
      </vt:variant>
      <vt:variant>
        <vt:lpwstr>_Toc213233776</vt:lpwstr>
      </vt:variant>
      <vt:variant>
        <vt:i4>1048629</vt:i4>
      </vt:variant>
      <vt:variant>
        <vt:i4>422</vt:i4>
      </vt:variant>
      <vt:variant>
        <vt:i4>0</vt:i4>
      </vt:variant>
      <vt:variant>
        <vt:i4>5</vt:i4>
      </vt:variant>
      <vt:variant>
        <vt:lpwstr/>
      </vt:variant>
      <vt:variant>
        <vt:lpwstr>_Toc213233775</vt:lpwstr>
      </vt:variant>
      <vt:variant>
        <vt:i4>1048629</vt:i4>
      </vt:variant>
      <vt:variant>
        <vt:i4>416</vt:i4>
      </vt:variant>
      <vt:variant>
        <vt:i4>0</vt:i4>
      </vt:variant>
      <vt:variant>
        <vt:i4>5</vt:i4>
      </vt:variant>
      <vt:variant>
        <vt:lpwstr/>
      </vt:variant>
      <vt:variant>
        <vt:lpwstr>_Toc213233774</vt:lpwstr>
      </vt:variant>
      <vt:variant>
        <vt:i4>1048629</vt:i4>
      </vt:variant>
      <vt:variant>
        <vt:i4>410</vt:i4>
      </vt:variant>
      <vt:variant>
        <vt:i4>0</vt:i4>
      </vt:variant>
      <vt:variant>
        <vt:i4>5</vt:i4>
      </vt:variant>
      <vt:variant>
        <vt:lpwstr/>
      </vt:variant>
      <vt:variant>
        <vt:lpwstr>_Toc213233773</vt:lpwstr>
      </vt:variant>
      <vt:variant>
        <vt:i4>1048629</vt:i4>
      </vt:variant>
      <vt:variant>
        <vt:i4>404</vt:i4>
      </vt:variant>
      <vt:variant>
        <vt:i4>0</vt:i4>
      </vt:variant>
      <vt:variant>
        <vt:i4>5</vt:i4>
      </vt:variant>
      <vt:variant>
        <vt:lpwstr/>
      </vt:variant>
      <vt:variant>
        <vt:lpwstr>_Toc213233772</vt:lpwstr>
      </vt:variant>
      <vt:variant>
        <vt:i4>1048629</vt:i4>
      </vt:variant>
      <vt:variant>
        <vt:i4>398</vt:i4>
      </vt:variant>
      <vt:variant>
        <vt:i4>0</vt:i4>
      </vt:variant>
      <vt:variant>
        <vt:i4>5</vt:i4>
      </vt:variant>
      <vt:variant>
        <vt:lpwstr/>
      </vt:variant>
      <vt:variant>
        <vt:lpwstr>_Toc213233771</vt:lpwstr>
      </vt:variant>
      <vt:variant>
        <vt:i4>1048629</vt:i4>
      </vt:variant>
      <vt:variant>
        <vt:i4>392</vt:i4>
      </vt:variant>
      <vt:variant>
        <vt:i4>0</vt:i4>
      </vt:variant>
      <vt:variant>
        <vt:i4>5</vt:i4>
      </vt:variant>
      <vt:variant>
        <vt:lpwstr/>
      </vt:variant>
      <vt:variant>
        <vt:lpwstr>_Toc213233770</vt:lpwstr>
      </vt:variant>
      <vt:variant>
        <vt:i4>1114165</vt:i4>
      </vt:variant>
      <vt:variant>
        <vt:i4>386</vt:i4>
      </vt:variant>
      <vt:variant>
        <vt:i4>0</vt:i4>
      </vt:variant>
      <vt:variant>
        <vt:i4>5</vt:i4>
      </vt:variant>
      <vt:variant>
        <vt:lpwstr/>
      </vt:variant>
      <vt:variant>
        <vt:lpwstr>_Toc213233769</vt:lpwstr>
      </vt:variant>
      <vt:variant>
        <vt:i4>1114165</vt:i4>
      </vt:variant>
      <vt:variant>
        <vt:i4>380</vt:i4>
      </vt:variant>
      <vt:variant>
        <vt:i4>0</vt:i4>
      </vt:variant>
      <vt:variant>
        <vt:i4>5</vt:i4>
      </vt:variant>
      <vt:variant>
        <vt:lpwstr/>
      </vt:variant>
      <vt:variant>
        <vt:lpwstr>_Toc213233768</vt:lpwstr>
      </vt:variant>
      <vt:variant>
        <vt:i4>1114165</vt:i4>
      </vt:variant>
      <vt:variant>
        <vt:i4>374</vt:i4>
      </vt:variant>
      <vt:variant>
        <vt:i4>0</vt:i4>
      </vt:variant>
      <vt:variant>
        <vt:i4>5</vt:i4>
      </vt:variant>
      <vt:variant>
        <vt:lpwstr/>
      </vt:variant>
      <vt:variant>
        <vt:lpwstr>_Toc213233767</vt:lpwstr>
      </vt:variant>
      <vt:variant>
        <vt:i4>1114165</vt:i4>
      </vt:variant>
      <vt:variant>
        <vt:i4>368</vt:i4>
      </vt:variant>
      <vt:variant>
        <vt:i4>0</vt:i4>
      </vt:variant>
      <vt:variant>
        <vt:i4>5</vt:i4>
      </vt:variant>
      <vt:variant>
        <vt:lpwstr/>
      </vt:variant>
      <vt:variant>
        <vt:lpwstr>_Toc213233766</vt:lpwstr>
      </vt:variant>
      <vt:variant>
        <vt:i4>1114165</vt:i4>
      </vt:variant>
      <vt:variant>
        <vt:i4>362</vt:i4>
      </vt:variant>
      <vt:variant>
        <vt:i4>0</vt:i4>
      </vt:variant>
      <vt:variant>
        <vt:i4>5</vt:i4>
      </vt:variant>
      <vt:variant>
        <vt:lpwstr/>
      </vt:variant>
      <vt:variant>
        <vt:lpwstr>_Toc213233765</vt:lpwstr>
      </vt:variant>
      <vt:variant>
        <vt:i4>1114165</vt:i4>
      </vt:variant>
      <vt:variant>
        <vt:i4>356</vt:i4>
      </vt:variant>
      <vt:variant>
        <vt:i4>0</vt:i4>
      </vt:variant>
      <vt:variant>
        <vt:i4>5</vt:i4>
      </vt:variant>
      <vt:variant>
        <vt:lpwstr/>
      </vt:variant>
      <vt:variant>
        <vt:lpwstr>_Toc213233764</vt:lpwstr>
      </vt:variant>
      <vt:variant>
        <vt:i4>1114165</vt:i4>
      </vt:variant>
      <vt:variant>
        <vt:i4>350</vt:i4>
      </vt:variant>
      <vt:variant>
        <vt:i4>0</vt:i4>
      </vt:variant>
      <vt:variant>
        <vt:i4>5</vt:i4>
      </vt:variant>
      <vt:variant>
        <vt:lpwstr/>
      </vt:variant>
      <vt:variant>
        <vt:lpwstr>_Toc213233763</vt:lpwstr>
      </vt:variant>
      <vt:variant>
        <vt:i4>1114165</vt:i4>
      </vt:variant>
      <vt:variant>
        <vt:i4>344</vt:i4>
      </vt:variant>
      <vt:variant>
        <vt:i4>0</vt:i4>
      </vt:variant>
      <vt:variant>
        <vt:i4>5</vt:i4>
      </vt:variant>
      <vt:variant>
        <vt:lpwstr/>
      </vt:variant>
      <vt:variant>
        <vt:lpwstr>_Toc213233762</vt:lpwstr>
      </vt:variant>
      <vt:variant>
        <vt:i4>1114165</vt:i4>
      </vt:variant>
      <vt:variant>
        <vt:i4>338</vt:i4>
      </vt:variant>
      <vt:variant>
        <vt:i4>0</vt:i4>
      </vt:variant>
      <vt:variant>
        <vt:i4>5</vt:i4>
      </vt:variant>
      <vt:variant>
        <vt:lpwstr/>
      </vt:variant>
      <vt:variant>
        <vt:lpwstr>_Toc213233761</vt:lpwstr>
      </vt:variant>
      <vt:variant>
        <vt:i4>1114165</vt:i4>
      </vt:variant>
      <vt:variant>
        <vt:i4>332</vt:i4>
      </vt:variant>
      <vt:variant>
        <vt:i4>0</vt:i4>
      </vt:variant>
      <vt:variant>
        <vt:i4>5</vt:i4>
      </vt:variant>
      <vt:variant>
        <vt:lpwstr/>
      </vt:variant>
      <vt:variant>
        <vt:lpwstr>_Toc213233760</vt:lpwstr>
      </vt:variant>
      <vt:variant>
        <vt:i4>1179701</vt:i4>
      </vt:variant>
      <vt:variant>
        <vt:i4>326</vt:i4>
      </vt:variant>
      <vt:variant>
        <vt:i4>0</vt:i4>
      </vt:variant>
      <vt:variant>
        <vt:i4>5</vt:i4>
      </vt:variant>
      <vt:variant>
        <vt:lpwstr/>
      </vt:variant>
      <vt:variant>
        <vt:lpwstr>_Toc213233759</vt:lpwstr>
      </vt:variant>
      <vt:variant>
        <vt:i4>1179701</vt:i4>
      </vt:variant>
      <vt:variant>
        <vt:i4>320</vt:i4>
      </vt:variant>
      <vt:variant>
        <vt:i4>0</vt:i4>
      </vt:variant>
      <vt:variant>
        <vt:i4>5</vt:i4>
      </vt:variant>
      <vt:variant>
        <vt:lpwstr/>
      </vt:variant>
      <vt:variant>
        <vt:lpwstr>_Toc213233758</vt:lpwstr>
      </vt:variant>
      <vt:variant>
        <vt:i4>1179701</vt:i4>
      </vt:variant>
      <vt:variant>
        <vt:i4>314</vt:i4>
      </vt:variant>
      <vt:variant>
        <vt:i4>0</vt:i4>
      </vt:variant>
      <vt:variant>
        <vt:i4>5</vt:i4>
      </vt:variant>
      <vt:variant>
        <vt:lpwstr/>
      </vt:variant>
      <vt:variant>
        <vt:lpwstr>_Toc213233757</vt:lpwstr>
      </vt:variant>
      <vt:variant>
        <vt:i4>1179701</vt:i4>
      </vt:variant>
      <vt:variant>
        <vt:i4>308</vt:i4>
      </vt:variant>
      <vt:variant>
        <vt:i4>0</vt:i4>
      </vt:variant>
      <vt:variant>
        <vt:i4>5</vt:i4>
      </vt:variant>
      <vt:variant>
        <vt:lpwstr/>
      </vt:variant>
      <vt:variant>
        <vt:lpwstr>_Toc213233756</vt:lpwstr>
      </vt:variant>
      <vt:variant>
        <vt:i4>1179701</vt:i4>
      </vt:variant>
      <vt:variant>
        <vt:i4>302</vt:i4>
      </vt:variant>
      <vt:variant>
        <vt:i4>0</vt:i4>
      </vt:variant>
      <vt:variant>
        <vt:i4>5</vt:i4>
      </vt:variant>
      <vt:variant>
        <vt:lpwstr/>
      </vt:variant>
      <vt:variant>
        <vt:lpwstr>_Toc213233755</vt:lpwstr>
      </vt:variant>
      <vt:variant>
        <vt:i4>1179701</vt:i4>
      </vt:variant>
      <vt:variant>
        <vt:i4>296</vt:i4>
      </vt:variant>
      <vt:variant>
        <vt:i4>0</vt:i4>
      </vt:variant>
      <vt:variant>
        <vt:i4>5</vt:i4>
      </vt:variant>
      <vt:variant>
        <vt:lpwstr/>
      </vt:variant>
      <vt:variant>
        <vt:lpwstr>_Toc213233754</vt:lpwstr>
      </vt:variant>
      <vt:variant>
        <vt:i4>1179701</vt:i4>
      </vt:variant>
      <vt:variant>
        <vt:i4>290</vt:i4>
      </vt:variant>
      <vt:variant>
        <vt:i4>0</vt:i4>
      </vt:variant>
      <vt:variant>
        <vt:i4>5</vt:i4>
      </vt:variant>
      <vt:variant>
        <vt:lpwstr/>
      </vt:variant>
      <vt:variant>
        <vt:lpwstr>_Toc213233753</vt:lpwstr>
      </vt:variant>
      <vt:variant>
        <vt:i4>1179701</vt:i4>
      </vt:variant>
      <vt:variant>
        <vt:i4>284</vt:i4>
      </vt:variant>
      <vt:variant>
        <vt:i4>0</vt:i4>
      </vt:variant>
      <vt:variant>
        <vt:i4>5</vt:i4>
      </vt:variant>
      <vt:variant>
        <vt:lpwstr/>
      </vt:variant>
      <vt:variant>
        <vt:lpwstr>_Toc213233752</vt:lpwstr>
      </vt:variant>
      <vt:variant>
        <vt:i4>1179701</vt:i4>
      </vt:variant>
      <vt:variant>
        <vt:i4>278</vt:i4>
      </vt:variant>
      <vt:variant>
        <vt:i4>0</vt:i4>
      </vt:variant>
      <vt:variant>
        <vt:i4>5</vt:i4>
      </vt:variant>
      <vt:variant>
        <vt:lpwstr/>
      </vt:variant>
      <vt:variant>
        <vt:lpwstr>_Toc213233751</vt:lpwstr>
      </vt:variant>
      <vt:variant>
        <vt:i4>1179701</vt:i4>
      </vt:variant>
      <vt:variant>
        <vt:i4>272</vt:i4>
      </vt:variant>
      <vt:variant>
        <vt:i4>0</vt:i4>
      </vt:variant>
      <vt:variant>
        <vt:i4>5</vt:i4>
      </vt:variant>
      <vt:variant>
        <vt:lpwstr/>
      </vt:variant>
      <vt:variant>
        <vt:lpwstr>_Toc213233750</vt:lpwstr>
      </vt:variant>
      <vt:variant>
        <vt:i4>1245237</vt:i4>
      </vt:variant>
      <vt:variant>
        <vt:i4>266</vt:i4>
      </vt:variant>
      <vt:variant>
        <vt:i4>0</vt:i4>
      </vt:variant>
      <vt:variant>
        <vt:i4>5</vt:i4>
      </vt:variant>
      <vt:variant>
        <vt:lpwstr/>
      </vt:variant>
      <vt:variant>
        <vt:lpwstr>_Toc213233749</vt:lpwstr>
      </vt:variant>
      <vt:variant>
        <vt:i4>1245237</vt:i4>
      </vt:variant>
      <vt:variant>
        <vt:i4>260</vt:i4>
      </vt:variant>
      <vt:variant>
        <vt:i4>0</vt:i4>
      </vt:variant>
      <vt:variant>
        <vt:i4>5</vt:i4>
      </vt:variant>
      <vt:variant>
        <vt:lpwstr/>
      </vt:variant>
      <vt:variant>
        <vt:lpwstr>_Toc213233748</vt:lpwstr>
      </vt:variant>
      <vt:variant>
        <vt:i4>1245237</vt:i4>
      </vt:variant>
      <vt:variant>
        <vt:i4>254</vt:i4>
      </vt:variant>
      <vt:variant>
        <vt:i4>0</vt:i4>
      </vt:variant>
      <vt:variant>
        <vt:i4>5</vt:i4>
      </vt:variant>
      <vt:variant>
        <vt:lpwstr/>
      </vt:variant>
      <vt:variant>
        <vt:lpwstr>_Toc213233747</vt:lpwstr>
      </vt:variant>
      <vt:variant>
        <vt:i4>1245237</vt:i4>
      </vt:variant>
      <vt:variant>
        <vt:i4>248</vt:i4>
      </vt:variant>
      <vt:variant>
        <vt:i4>0</vt:i4>
      </vt:variant>
      <vt:variant>
        <vt:i4>5</vt:i4>
      </vt:variant>
      <vt:variant>
        <vt:lpwstr/>
      </vt:variant>
      <vt:variant>
        <vt:lpwstr>_Toc213233746</vt:lpwstr>
      </vt:variant>
      <vt:variant>
        <vt:i4>1245237</vt:i4>
      </vt:variant>
      <vt:variant>
        <vt:i4>242</vt:i4>
      </vt:variant>
      <vt:variant>
        <vt:i4>0</vt:i4>
      </vt:variant>
      <vt:variant>
        <vt:i4>5</vt:i4>
      </vt:variant>
      <vt:variant>
        <vt:lpwstr/>
      </vt:variant>
      <vt:variant>
        <vt:lpwstr>_Toc213233745</vt:lpwstr>
      </vt:variant>
      <vt:variant>
        <vt:i4>1245237</vt:i4>
      </vt:variant>
      <vt:variant>
        <vt:i4>236</vt:i4>
      </vt:variant>
      <vt:variant>
        <vt:i4>0</vt:i4>
      </vt:variant>
      <vt:variant>
        <vt:i4>5</vt:i4>
      </vt:variant>
      <vt:variant>
        <vt:lpwstr/>
      </vt:variant>
      <vt:variant>
        <vt:lpwstr>_Toc213233744</vt:lpwstr>
      </vt:variant>
      <vt:variant>
        <vt:i4>1245237</vt:i4>
      </vt:variant>
      <vt:variant>
        <vt:i4>230</vt:i4>
      </vt:variant>
      <vt:variant>
        <vt:i4>0</vt:i4>
      </vt:variant>
      <vt:variant>
        <vt:i4>5</vt:i4>
      </vt:variant>
      <vt:variant>
        <vt:lpwstr/>
      </vt:variant>
      <vt:variant>
        <vt:lpwstr>_Toc213233743</vt:lpwstr>
      </vt:variant>
      <vt:variant>
        <vt:i4>1245237</vt:i4>
      </vt:variant>
      <vt:variant>
        <vt:i4>224</vt:i4>
      </vt:variant>
      <vt:variant>
        <vt:i4>0</vt:i4>
      </vt:variant>
      <vt:variant>
        <vt:i4>5</vt:i4>
      </vt:variant>
      <vt:variant>
        <vt:lpwstr/>
      </vt:variant>
      <vt:variant>
        <vt:lpwstr>_Toc213233742</vt:lpwstr>
      </vt:variant>
      <vt:variant>
        <vt:i4>1245237</vt:i4>
      </vt:variant>
      <vt:variant>
        <vt:i4>218</vt:i4>
      </vt:variant>
      <vt:variant>
        <vt:i4>0</vt:i4>
      </vt:variant>
      <vt:variant>
        <vt:i4>5</vt:i4>
      </vt:variant>
      <vt:variant>
        <vt:lpwstr/>
      </vt:variant>
      <vt:variant>
        <vt:lpwstr>_Toc213233741</vt:lpwstr>
      </vt:variant>
      <vt:variant>
        <vt:i4>1245237</vt:i4>
      </vt:variant>
      <vt:variant>
        <vt:i4>212</vt:i4>
      </vt:variant>
      <vt:variant>
        <vt:i4>0</vt:i4>
      </vt:variant>
      <vt:variant>
        <vt:i4>5</vt:i4>
      </vt:variant>
      <vt:variant>
        <vt:lpwstr/>
      </vt:variant>
      <vt:variant>
        <vt:lpwstr>_Toc213233740</vt:lpwstr>
      </vt:variant>
      <vt:variant>
        <vt:i4>1310773</vt:i4>
      </vt:variant>
      <vt:variant>
        <vt:i4>206</vt:i4>
      </vt:variant>
      <vt:variant>
        <vt:i4>0</vt:i4>
      </vt:variant>
      <vt:variant>
        <vt:i4>5</vt:i4>
      </vt:variant>
      <vt:variant>
        <vt:lpwstr/>
      </vt:variant>
      <vt:variant>
        <vt:lpwstr>_Toc213233739</vt:lpwstr>
      </vt:variant>
      <vt:variant>
        <vt:i4>1310773</vt:i4>
      </vt:variant>
      <vt:variant>
        <vt:i4>200</vt:i4>
      </vt:variant>
      <vt:variant>
        <vt:i4>0</vt:i4>
      </vt:variant>
      <vt:variant>
        <vt:i4>5</vt:i4>
      </vt:variant>
      <vt:variant>
        <vt:lpwstr/>
      </vt:variant>
      <vt:variant>
        <vt:lpwstr>_Toc213233738</vt:lpwstr>
      </vt:variant>
      <vt:variant>
        <vt:i4>1310773</vt:i4>
      </vt:variant>
      <vt:variant>
        <vt:i4>194</vt:i4>
      </vt:variant>
      <vt:variant>
        <vt:i4>0</vt:i4>
      </vt:variant>
      <vt:variant>
        <vt:i4>5</vt:i4>
      </vt:variant>
      <vt:variant>
        <vt:lpwstr/>
      </vt:variant>
      <vt:variant>
        <vt:lpwstr>_Toc213233737</vt:lpwstr>
      </vt:variant>
      <vt:variant>
        <vt:i4>1310773</vt:i4>
      </vt:variant>
      <vt:variant>
        <vt:i4>188</vt:i4>
      </vt:variant>
      <vt:variant>
        <vt:i4>0</vt:i4>
      </vt:variant>
      <vt:variant>
        <vt:i4>5</vt:i4>
      </vt:variant>
      <vt:variant>
        <vt:lpwstr/>
      </vt:variant>
      <vt:variant>
        <vt:lpwstr>_Toc213233736</vt:lpwstr>
      </vt:variant>
      <vt:variant>
        <vt:i4>1310773</vt:i4>
      </vt:variant>
      <vt:variant>
        <vt:i4>182</vt:i4>
      </vt:variant>
      <vt:variant>
        <vt:i4>0</vt:i4>
      </vt:variant>
      <vt:variant>
        <vt:i4>5</vt:i4>
      </vt:variant>
      <vt:variant>
        <vt:lpwstr/>
      </vt:variant>
      <vt:variant>
        <vt:lpwstr>_Toc213233735</vt:lpwstr>
      </vt:variant>
      <vt:variant>
        <vt:i4>1310773</vt:i4>
      </vt:variant>
      <vt:variant>
        <vt:i4>176</vt:i4>
      </vt:variant>
      <vt:variant>
        <vt:i4>0</vt:i4>
      </vt:variant>
      <vt:variant>
        <vt:i4>5</vt:i4>
      </vt:variant>
      <vt:variant>
        <vt:lpwstr/>
      </vt:variant>
      <vt:variant>
        <vt:lpwstr>_Toc213233734</vt:lpwstr>
      </vt:variant>
      <vt:variant>
        <vt:i4>1310773</vt:i4>
      </vt:variant>
      <vt:variant>
        <vt:i4>170</vt:i4>
      </vt:variant>
      <vt:variant>
        <vt:i4>0</vt:i4>
      </vt:variant>
      <vt:variant>
        <vt:i4>5</vt:i4>
      </vt:variant>
      <vt:variant>
        <vt:lpwstr/>
      </vt:variant>
      <vt:variant>
        <vt:lpwstr>_Toc213233733</vt:lpwstr>
      </vt:variant>
      <vt:variant>
        <vt:i4>1310773</vt:i4>
      </vt:variant>
      <vt:variant>
        <vt:i4>164</vt:i4>
      </vt:variant>
      <vt:variant>
        <vt:i4>0</vt:i4>
      </vt:variant>
      <vt:variant>
        <vt:i4>5</vt:i4>
      </vt:variant>
      <vt:variant>
        <vt:lpwstr/>
      </vt:variant>
      <vt:variant>
        <vt:lpwstr>_Toc213233732</vt:lpwstr>
      </vt:variant>
      <vt:variant>
        <vt:i4>1310773</vt:i4>
      </vt:variant>
      <vt:variant>
        <vt:i4>158</vt:i4>
      </vt:variant>
      <vt:variant>
        <vt:i4>0</vt:i4>
      </vt:variant>
      <vt:variant>
        <vt:i4>5</vt:i4>
      </vt:variant>
      <vt:variant>
        <vt:lpwstr/>
      </vt:variant>
      <vt:variant>
        <vt:lpwstr>_Toc213233731</vt:lpwstr>
      </vt:variant>
      <vt:variant>
        <vt:i4>1310773</vt:i4>
      </vt:variant>
      <vt:variant>
        <vt:i4>152</vt:i4>
      </vt:variant>
      <vt:variant>
        <vt:i4>0</vt:i4>
      </vt:variant>
      <vt:variant>
        <vt:i4>5</vt:i4>
      </vt:variant>
      <vt:variant>
        <vt:lpwstr/>
      </vt:variant>
      <vt:variant>
        <vt:lpwstr>_Toc213233730</vt:lpwstr>
      </vt:variant>
      <vt:variant>
        <vt:i4>1376309</vt:i4>
      </vt:variant>
      <vt:variant>
        <vt:i4>146</vt:i4>
      </vt:variant>
      <vt:variant>
        <vt:i4>0</vt:i4>
      </vt:variant>
      <vt:variant>
        <vt:i4>5</vt:i4>
      </vt:variant>
      <vt:variant>
        <vt:lpwstr/>
      </vt:variant>
      <vt:variant>
        <vt:lpwstr>_Toc213233729</vt:lpwstr>
      </vt:variant>
      <vt:variant>
        <vt:i4>1376309</vt:i4>
      </vt:variant>
      <vt:variant>
        <vt:i4>140</vt:i4>
      </vt:variant>
      <vt:variant>
        <vt:i4>0</vt:i4>
      </vt:variant>
      <vt:variant>
        <vt:i4>5</vt:i4>
      </vt:variant>
      <vt:variant>
        <vt:lpwstr/>
      </vt:variant>
      <vt:variant>
        <vt:lpwstr>_Toc213233728</vt:lpwstr>
      </vt:variant>
      <vt:variant>
        <vt:i4>1376309</vt:i4>
      </vt:variant>
      <vt:variant>
        <vt:i4>134</vt:i4>
      </vt:variant>
      <vt:variant>
        <vt:i4>0</vt:i4>
      </vt:variant>
      <vt:variant>
        <vt:i4>5</vt:i4>
      </vt:variant>
      <vt:variant>
        <vt:lpwstr/>
      </vt:variant>
      <vt:variant>
        <vt:lpwstr>_Toc213233727</vt:lpwstr>
      </vt:variant>
      <vt:variant>
        <vt:i4>1376309</vt:i4>
      </vt:variant>
      <vt:variant>
        <vt:i4>128</vt:i4>
      </vt:variant>
      <vt:variant>
        <vt:i4>0</vt:i4>
      </vt:variant>
      <vt:variant>
        <vt:i4>5</vt:i4>
      </vt:variant>
      <vt:variant>
        <vt:lpwstr/>
      </vt:variant>
      <vt:variant>
        <vt:lpwstr>_Toc213233726</vt:lpwstr>
      </vt:variant>
      <vt:variant>
        <vt:i4>1376309</vt:i4>
      </vt:variant>
      <vt:variant>
        <vt:i4>122</vt:i4>
      </vt:variant>
      <vt:variant>
        <vt:i4>0</vt:i4>
      </vt:variant>
      <vt:variant>
        <vt:i4>5</vt:i4>
      </vt:variant>
      <vt:variant>
        <vt:lpwstr/>
      </vt:variant>
      <vt:variant>
        <vt:lpwstr>_Toc213233725</vt:lpwstr>
      </vt:variant>
      <vt:variant>
        <vt:i4>1376309</vt:i4>
      </vt:variant>
      <vt:variant>
        <vt:i4>116</vt:i4>
      </vt:variant>
      <vt:variant>
        <vt:i4>0</vt:i4>
      </vt:variant>
      <vt:variant>
        <vt:i4>5</vt:i4>
      </vt:variant>
      <vt:variant>
        <vt:lpwstr/>
      </vt:variant>
      <vt:variant>
        <vt:lpwstr>_Toc213233724</vt:lpwstr>
      </vt:variant>
      <vt:variant>
        <vt:i4>1376309</vt:i4>
      </vt:variant>
      <vt:variant>
        <vt:i4>110</vt:i4>
      </vt:variant>
      <vt:variant>
        <vt:i4>0</vt:i4>
      </vt:variant>
      <vt:variant>
        <vt:i4>5</vt:i4>
      </vt:variant>
      <vt:variant>
        <vt:lpwstr/>
      </vt:variant>
      <vt:variant>
        <vt:lpwstr>_Toc213233723</vt:lpwstr>
      </vt:variant>
      <vt:variant>
        <vt:i4>1376309</vt:i4>
      </vt:variant>
      <vt:variant>
        <vt:i4>104</vt:i4>
      </vt:variant>
      <vt:variant>
        <vt:i4>0</vt:i4>
      </vt:variant>
      <vt:variant>
        <vt:i4>5</vt:i4>
      </vt:variant>
      <vt:variant>
        <vt:lpwstr/>
      </vt:variant>
      <vt:variant>
        <vt:lpwstr>_Toc213233722</vt:lpwstr>
      </vt:variant>
      <vt:variant>
        <vt:i4>1376309</vt:i4>
      </vt:variant>
      <vt:variant>
        <vt:i4>98</vt:i4>
      </vt:variant>
      <vt:variant>
        <vt:i4>0</vt:i4>
      </vt:variant>
      <vt:variant>
        <vt:i4>5</vt:i4>
      </vt:variant>
      <vt:variant>
        <vt:lpwstr/>
      </vt:variant>
      <vt:variant>
        <vt:lpwstr>_Toc213233721</vt:lpwstr>
      </vt:variant>
      <vt:variant>
        <vt:i4>1376309</vt:i4>
      </vt:variant>
      <vt:variant>
        <vt:i4>92</vt:i4>
      </vt:variant>
      <vt:variant>
        <vt:i4>0</vt:i4>
      </vt:variant>
      <vt:variant>
        <vt:i4>5</vt:i4>
      </vt:variant>
      <vt:variant>
        <vt:lpwstr/>
      </vt:variant>
      <vt:variant>
        <vt:lpwstr>_Toc213233720</vt:lpwstr>
      </vt:variant>
      <vt:variant>
        <vt:i4>1441845</vt:i4>
      </vt:variant>
      <vt:variant>
        <vt:i4>86</vt:i4>
      </vt:variant>
      <vt:variant>
        <vt:i4>0</vt:i4>
      </vt:variant>
      <vt:variant>
        <vt:i4>5</vt:i4>
      </vt:variant>
      <vt:variant>
        <vt:lpwstr/>
      </vt:variant>
      <vt:variant>
        <vt:lpwstr>_Toc213233719</vt:lpwstr>
      </vt:variant>
      <vt:variant>
        <vt:i4>1441845</vt:i4>
      </vt:variant>
      <vt:variant>
        <vt:i4>80</vt:i4>
      </vt:variant>
      <vt:variant>
        <vt:i4>0</vt:i4>
      </vt:variant>
      <vt:variant>
        <vt:i4>5</vt:i4>
      </vt:variant>
      <vt:variant>
        <vt:lpwstr/>
      </vt:variant>
      <vt:variant>
        <vt:lpwstr>_Toc213233718</vt:lpwstr>
      </vt:variant>
      <vt:variant>
        <vt:i4>1441845</vt:i4>
      </vt:variant>
      <vt:variant>
        <vt:i4>74</vt:i4>
      </vt:variant>
      <vt:variant>
        <vt:i4>0</vt:i4>
      </vt:variant>
      <vt:variant>
        <vt:i4>5</vt:i4>
      </vt:variant>
      <vt:variant>
        <vt:lpwstr/>
      </vt:variant>
      <vt:variant>
        <vt:lpwstr>_Toc213233717</vt:lpwstr>
      </vt:variant>
      <vt:variant>
        <vt:i4>1441845</vt:i4>
      </vt:variant>
      <vt:variant>
        <vt:i4>68</vt:i4>
      </vt:variant>
      <vt:variant>
        <vt:i4>0</vt:i4>
      </vt:variant>
      <vt:variant>
        <vt:i4>5</vt:i4>
      </vt:variant>
      <vt:variant>
        <vt:lpwstr/>
      </vt:variant>
      <vt:variant>
        <vt:lpwstr>_Toc213233716</vt:lpwstr>
      </vt:variant>
      <vt:variant>
        <vt:i4>1441845</vt:i4>
      </vt:variant>
      <vt:variant>
        <vt:i4>62</vt:i4>
      </vt:variant>
      <vt:variant>
        <vt:i4>0</vt:i4>
      </vt:variant>
      <vt:variant>
        <vt:i4>5</vt:i4>
      </vt:variant>
      <vt:variant>
        <vt:lpwstr/>
      </vt:variant>
      <vt:variant>
        <vt:lpwstr>_Toc213233715</vt:lpwstr>
      </vt:variant>
      <vt:variant>
        <vt:i4>1441845</vt:i4>
      </vt:variant>
      <vt:variant>
        <vt:i4>56</vt:i4>
      </vt:variant>
      <vt:variant>
        <vt:i4>0</vt:i4>
      </vt:variant>
      <vt:variant>
        <vt:i4>5</vt:i4>
      </vt:variant>
      <vt:variant>
        <vt:lpwstr/>
      </vt:variant>
      <vt:variant>
        <vt:lpwstr>_Toc213233714</vt:lpwstr>
      </vt:variant>
      <vt:variant>
        <vt:i4>1441845</vt:i4>
      </vt:variant>
      <vt:variant>
        <vt:i4>50</vt:i4>
      </vt:variant>
      <vt:variant>
        <vt:i4>0</vt:i4>
      </vt:variant>
      <vt:variant>
        <vt:i4>5</vt:i4>
      </vt:variant>
      <vt:variant>
        <vt:lpwstr/>
      </vt:variant>
      <vt:variant>
        <vt:lpwstr>_Toc213233713</vt:lpwstr>
      </vt:variant>
      <vt:variant>
        <vt:i4>1441845</vt:i4>
      </vt:variant>
      <vt:variant>
        <vt:i4>44</vt:i4>
      </vt:variant>
      <vt:variant>
        <vt:i4>0</vt:i4>
      </vt:variant>
      <vt:variant>
        <vt:i4>5</vt:i4>
      </vt:variant>
      <vt:variant>
        <vt:lpwstr/>
      </vt:variant>
      <vt:variant>
        <vt:lpwstr>_Toc213233712</vt:lpwstr>
      </vt:variant>
      <vt:variant>
        <vt:i4>1441845</vt:i4>
      </vt:variant>
      <vt:variant>
        <vt:i4>38</vt:i4>
      </vt:variant>
      <vt:variant>
        <vt:i4>0</vt:i4>
      </vt:variant>
      <vt:variant>
        <vt:i4>5</vt:i4>
      </vt:variant>
      <vt:variant>
        <vt:lpwstr/>
      </vt:variant>
      <vt:variant>
        <vt:lpwstr>_Toc213233711</vt:lpwstr>
      </vt:variant>
      <vt:variant>
        <vt:i4>1441845</vt:i4>
      </vt:variant>
      <vt:variant>
        <vt:i4>32</vt:i4>
      </vt:variant>
      <vt:variant>
        <vt:i4>0</vt:i4>
      </vt:variant>
      <vt:variant>
        <vt:i4>5</vt:i4>
      </vt:variant>
      <vt:variant>
        <vt:lpwstr/>
      </vt:variant>
      <vt:variant>
        <vt:lpwstr>_Toc213233710</vt:lpwstr>
      </vt:variant>
      <vt:variant>
        <vt:i4>1507381</vt:i4>
      </vt:variant>
      <vt:variant>
        <vt:i4>26</vt:i4>
      </vt:variant>
      <vt:variant>
        <vt:i4>0</vt:i4>
      </vt:variant>
      <vt:variant>
        <vt:i4>5</vt:i4>
      </vt:variant>
      <vt:variant>
        <vt:lpwstr/>
      </vt:variant>
      <vt:variant>
        <vt:lpwstr>_Toc213233709</vt:lpwstr>
      </vt:variant>
      <vt:variant>
        <vt:i4>1507381</vt:i4>
      </vt:variant>
      <vt:variant>
        <vt:i4>20</vt:i4>
      </vt:variant>
      <vt:variant>
        <vt:i4>0</vt:i4>
      </vt:variant>
      <vt:variant>
        <vt:i4>5</vt:i4>
      </vt:variant>
      <vt:variant>
        <vt:lpwstr/>
      </vt:variant>
      <vt:variant>
        <vt:lpwstr>_Toc213233708</vt:lpwstr>
      </vt:variant>
      <vt:variant>
        <vt:i4>1507381</vt:i4>
      </vt:variant>
      <vt:variant>
        <vt:i4>14</vt:i4>
      </vt:variant>
      <vt:variant>
        <vt:i4>0</vt:i4>
      </vt:variant>
      <vt:variant>
        <vt:i4>5</vt:i4>
      </vt:variant>
      <vt:variant>
        <vt:lpwstr/>
      </vt:variant>
      <vt:variant>
        <vt:lpwstr>_Toc213233707</vt:lpwstr>
      </vt:variant>
      <vt:variant>
        <vt:i4>1507381</vt:i4>
      </vt:variant>
      <vt:variant>
        <vt:i4>8</vt:i4>
      </vt:variant>
      <vt:variant>
        <vt:i4>0</vt:i4>
      </vt:variant>
      <vt:variant>
        <vt:i4>5</vt:i4>
      </vt:variant>
      <vt:variant>
        <vt:lpwstr/>
      </vt:variant>
      <vt:variant>
        <vt:lpwstr>_Toc213233706</vt:lpwstr>
      </vt:variant>
      <vt:variant>
        <vt:i4>1507381</vt:i4>
      </vt:variant>
      <vt:variant>
        <vt:i4>2</vt:i4>
      </vt:variant>
      <vt:variant>
        <vt:i4>0</vt:i4>
      </vt:variant>
      <vt:variant>
        <vt:i4>5</vt:i4>
      </vt:variant>
      <vt:variant>
        <vt:lpwstr/>
      </vt:variant>
      <vt:variant>
        <vt:lpwstr>_Toc213233704</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2025-11-21T16:24:00Z</cp:lastPrinted>
  <dcterms:created xsi:type="dcterms:W3CDTF">2025-12-23T12:38:05Z</dcterms:created>
  <dcterms:modified xsi:type="dcterms:W3CDTF">2025-12-23T12:38:05Z</dcterms:modified>
</cp:coreProperties>
</file>