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480A" w:rsidR="4A3BDD87" w:rsidP="00F0480A" w:rsidRDefault="00A76F4A" w14:paraId="79263473" w14:textId="448C380B">
      <w:pPr>
        <w:spacing w:after="0" w:line="240" w:lineRule="auto"/>
        <w:rPr>
          <w:rFonts w:ascii="Helvetica" w:hAnsi="Helvetica" w:eastAsia="Times New Roman" w:cs="Helvetica"/>
          <w:b/>
          <w:bCs/>
          <w:spacing w:val="20"/>
          <w:kern w:val="0"/>
          <w:sz w:val="26"/>
          <w:szCs w:val="20"/>
          <w14:ligatures w14:val="none"/>
        </w:rPr>
      </w:pPr>
      <w:r w:rsidRPr="00DD2C68">
        <w:rPr>
          <w:rFonts w:ascii="Helvetica" w:hAnsi="Helvetica" w:eastAsia="Times New Roman" w:cs="Helvetica"/>
          <w:b/>
          <w:bCs/>
          <w:spacing w:val="20"/>
          <w:kern w:val="0"/>
          <w:sz w:val="26"/>
          <w:szCs w:val="26"/>
          <w14:ligatures w14:val="none"/>
        </w:rPr>
        <w:t>PUBLIC UTILITIES COMMISSION OF THE STATE OF CALIFORNIA</w:t>
      </w:r>
    </w:p>
    <w:p w:rsidR="00A76F4A" w:rsidP="005F6DE1" w:rsidRDefault="00F0480A" w14:paraId="0FBCB87A" w14:textId="38804CEB">
      <w:pPr>
        <w:tabs>
          <w:tab w:val="right" w:pos="8827"/>
        </w:tabs>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ab/>
      </w:r>
    </w:p>
    <w:p w:rsidRPr="00DD2C68" w:rsidR="005F6DE1" w:rsidP="005F6DE1" w:rsidRDefault="005F6DE1" w14:paraId="1100E237" w14:textId="77777777">
      <w:pPr>
        <w:tabs>
          <w:tab w:val="right" w:pos="8827"/>
        </w:tabs>
        <w:spacing w:after="0" w:line="240" w:lineRule="auto"/>
        <w:rPr>
          <w:rFonts w:ascii="Palatino Linotype" w:hAnsi="Palatino Linotype" w:eastAsia="Palatino Linotype" w:cs="Times New Roman"/>
          <w:b/>
          <w:bCs/>
        </w:rPr>
      </w:pPr>
    </w:p>
    <w:p w:rsidRPr="00DD2C68" w:rsidR="00A76F4A" w:rsidP="00F0480A" w:rsidRDefault="00204B1B" w14:paraId="097CE738" w14:textId="73261CE2">
      <w:pPr>
        <w:tabs>
          <w:tab w:val="right" w:pos="8827"/>
        </w:tabs>
        <w:spacing w:after="0" w:line="240" w:lineRule="auto"/>
        <w:ind w:left="540"/>
        <w:rPr>
          <w:rFonts w:ascii="Palatino Linotype" w:hAnsi="Palatino Linotype" w:eastAsia="Palatino Linotype" w:cs="Times New Roman"/>
          <w:b/>
          <w:bCs/>
          <w:kern w:val="0"/>
          <w:highlight w:val="yellow"/>
          <w14:ligatures w14:val="none"/>
        </w:rPr>
      </w:pPr>
      <w:r w:rsidRPr="00DD2C68">
        <w:rPr>
          <w:rFonts w:ascii="Palatino Linotype" w:hAnsi="Palatino Linotype" w:eastAsia="Palatino Linotype" w:cs="Times New Roman"/>
          <w:b/>
          <w:bCs/>
          <w:kern w:val="0"/>
          <w14:ligatures w14:val="none"/>
        </w:rPr>
        <w:t>ENERGY DIVISION</w:t>
      </w:r>
      <w:r w:rsidRPr="00DD2C68" w:rsidR="00A76F4A">
        <w:rPr>
          <w:rFonts w:ascii="Palatino Linotype" w:hAnsi="Palatino Linotype" w:eastAsia="Times New Roman" w:cs="Times New Roman"/>
          <w:b/>
          <w:kern w:val="0"/>
          <w14:ligatures w14:val="none"/>
        </w:rPr>
        <w:tab/>
      </w:r>
      <w:r w:rsidRPr="00DD2C68" w:rsidR="00A76F4A">
        <w:rPr>
          <w:rFonts w:ascii="Palatino Linotype" w:hAnsi="Palatino Linotype" w:eastAsia="Palatino Linotype" w:cs="Times New Roman"/>
          <w:b/>
          <w:bCs/>
        </w:rPr>
        <w:t>RESOLUTION E-</w:t>
      </w:r>
      <w:r w:rsidRPr="00DD2C68" w:rsidR="00063A9D">
        <w:rPr>
          <w:rFonts w:ascii="Palatino Linotype" w:hAnsi="Palatino Linotype" w:eastAsia="Palatino Linotype" w:cs="Times New Roman"/>
          <w:b/>
          <w:bCs/>
        </w:rPr>
        <w:t>5413</w:t>
      </w:r>
    </w:p>
    <w:p w:rsidRPr="00DD2C68" w:rsidR="19A587A6" w:rsidP="00F0480A" w:rsidRDefault="00F0480A" w14:paraId="42781516" w14:textId="339D1E22">
      <w:pPr>
        <w:tabs>
          <w:tab w:val="right" w:pos="8820"/>
        </w:tabs>
        <w:spacing w:after="0" w:line="240" w:lineRule="auto"/>
        <w:ind w:left="5040"/>
        <w:rPr>
          <w:rFonts w:ascii="Palatino Linotype" w:hAnsi="Palatino Linotype" w:eastAsia="Times New Roman" w:cs="Times New Roman"/>
          <w:b/>
          <w:bCs/>
        </w:rPr>
      </w:pPr>
      <w:r>
        <w:rPr>
          <w:rFonts w:ascii="Palatino Linotype" w:hAnsi="Palatino Linotype" w:eastAsia="Times New Roman" w:cs="Times New Roman"/>
          <w:b/>
          <w:bCs/>
        </w:rPr>
        <w:tab/>
      </w:r>
      <w:r w:rsidRPr="00DD2C68" w:rsidR="00D21F54">
        <w:rPr>
          <w:rFonts w:ascii="Palatino Linotype" w:hAnsi="Palatino Linotype" w:eastAsia="Times New Roman" w:cs="Times New Roman"/>
          <w:b/>
          <w:bCs/>
        </w:rPr>
        <w:t>December</w:t>
      </w:r>
      <w:r w:rsidRPr="00DD2C68" w:rsidR="19A587A6">
        <w:rPr>
          <w:rFonts w:ascii="Palatino Linotype" w:hAnsi="Palatino Linotype" w:eastAsia="Times New Roman" w:cs="Times New Roman"/>
          <w:b/>
          <w:bCs/>
        </w:rPr>
        <w:t xml:space="preserve"> </w:t>
      </w:r>
      <w:r w:rsidR="00BE3738">
        <w:rPr>
          <w:rFonts w:ascii="Palatino Linotype" w:hAnsi="Palatino Linotype" w:eastAsia="Times New Roman" w:cs="Times New Roman"/>
          <w:b/>
          <w:bCs/>
        </w:rPr>
        <w:t>18</w:t>
      </w:r>
      <w:r w:rsidRPr="00DD2C68" w:rsidR="19A587A6">
        <w:rPr>
          <w:rFonts w:ascii="Palatino Linotype" w:hAnsi="Palatino Linotype" w:eastAsia="Times New Roman" w:cs="Times New Roman"/>
          <w:b/>
          <w:bCs/>
        </w:rPr>
        <w:t>, 2025</w:t>
      </w:r>
    </w:p>
    <w:p w:rsidRPr="00DD2C68" w:rsidR="4A3BDD87" w:rsidP="4A3BDD87" w:rsidRDefault="4A3BDD87" w14:paraId="7F4813FC" w14:textId="79F6348C">
      <w:pPr>
        <w:tabs>
          <w:tab w:val="right" w:pos="8820"/>
        </w:tabs>
        <w:spacing w:after="0" w:line="240" w:lineRule="auto"/>
        <w:ind w:left="5040"/>
        <w:rPr>
          <w:rFonts w:ascii="Palatino Linotype" w:hAnsi="Palatino Linotype" w:eastAsia="Times New Roman" w:cs="Times New Roman"/>
          <w:b/>
          <w:bCs/>
          <w:highlight w:val="yellow"/>
        </w:rPr>
      </w:pPr>
    </w:p>
    <w:p w:rsidRPr="00DD2C68" w:rsidR="00A76F4A" w:rsidP="4A3BDD87" w:rsidRDefault="00A76F4A" w14:paraId="4767E366" w14:textId="54259CF1">
      <w:pPr>
        <w:keepNext/>
        <w:spacing w:after="0" w:line="240" w:lineRule="auto"/>
        <w:jc w:val="center"/>
        <w:rPr>
          <w:rFonts w:ascii="Helvetica" w:hAnsi="Helvetica" w:eastAsia="Times New Roman" w:cs="Helvetica"/>
          <w:b/>
          <w:bCs/>
          <w:spacing w:val="120"/>
          <w:kern w:val="0"/>
          <w:sz w:val="26"/>
          <w:szCs w:val="26"/>
          <w:u w:val="single"/>
          <w14:ligatures w14:val="none"/>
        </w:rPr>
      </w:pPr>
      <w:bookmarkStart w:name="_Ref404993683" w:id="0"/>
      <w:r w:rsidRPr="00DD2C68">
        <w:rPr>
          <w:rFonts w:ascii="Helvetica" w:hAnsi="Helvetica" w:eastAsia="Times New Roman" w:cs="Helvetica"/>
          <w:b/>
          <w:bCs/>
          <w:spacing w:val="120"/>
          <w:kern w:val="0"/>
          <w:sz w:val="26"/>
          <w:szCs w:val="26"/>
          <w:u w:val="single"/>
          <w14:ligatures w14:val="none"/>
        </w:rPr>
        <w:t>RESOLUTION</w:t>
      </w:r>
    </w:p>
    <w:p w:rsidRPr="00DD2C68" w:rsidR="4A3BDD87" w:rsidP="4A3BDD87" w:rsidRDefault="4A3BDD87" w14:paraId="7E24375F" w14:textId="4202A497">
      <w:pPr>
        <w:spacing w:after="0" w:line="240" w:lineRule="auto"/>
        <w:ind w:left="720" w:right="720"/>
        <w:rPr>
          <w:rFonts w:ascii="Palatino Linotype" w:hAnsi="Palatino Linotype" w:eastAsia="Times New Roman" w:cs="Times New Roman"/>
        </w:rPr>
      </w:pPr>
    </w:p>
    <w:p w:rsidRPr="00DD2C68" w:rsidR="00A76F4A" w:rsidP="00A76F4A" w:rsidRDefault="00A76F4A" w14:paraId="400F09B6" w14:textId="417AF5EB">
      <w:pPr>
        <w:spacing w:after="0" w:line="240" w:lineRule="auto"/>
        <w:ind w:left="720" w:right="720"/>
        <w:rPr>
          <w:rFonts w:ascii="Palatino Linotype" w:hAnsi="Palatino Linotype" w:eastAsia="Times New Roman" w:cs="Times New Roman"/>
          <w:kern w:val="0"/>
          <w14:ligatures w14:val="none"/>
        </w:rPr>
      </w:pPr>
      <w:r w:rsidRPr="00DD2C68">
        <w:rPr>
          <w:rFonts w:ascii="Palatino Linotype" w:hAnsi="Palatino Linotype" w:eastAsia="Times New Roman" w:cs="Times New Roman"/>
          <w:kern w:val="0"/>
          <w14:ligatures w14:val="none"/>
        </w:rPr>
        <w:t>Resolution E-</w:t>
      </w:r>
      <w:r w:rsidRPr="00DD2C68" w:rsidR="00063A9D">
        <w:rPr>
          <w:rFonts w:ascii="Palatino Linotype" w:hAnsi="Palatino Linotype" w:eastAsia="Times New Roman" w:cs="Times New Roman"/>
          <w:kern w:val="0"/>
          <w14:ligatures w14:val="none"/>
        </w:rPr>
        <w:t>5413</w:t>
      </w:r>
      <w:r w:rsidRPr="00DD2C68">
        <w:rPr>
          <w:rFonts w:ascii="Palatino Linotype" w:hAnsi="Palatino Linotype" w:eastAsia="Times New Roman" w:cs="Times New Roman"/>
          <w:kern w:val="0"/>
          <w14:ligatures w14:val="none"/>
        </w:rPr>
        <w:t xml:space="preserve">.  </w:t>
      </w:r>
      <w:r w:rsidRPr="00DD2C68" w:rsidR="7FF4EA66">
        <w:rPr>
          <w:rFonts w:ascii="Palatino Linotype" w:hAnsi="Palatino Linotype" w:eastAsia="Times New Roman" w:cs="Times New Roman"/>
          <w:kern w:val="0"/>
          <w14:ligatures w14:val="none"/>
        </w:rPr>
        <w:t>Pacific Gas and Electric, Southern California Edison, and San Diego Gas and Electric</w:t>
      </w:r>
      <w:r w:rsidRPr="00DD2C68" w:rsidR="60303B1A">
        <w:rPr>
          <w:rFonts w:ascii="Palatino Linotype" w:hAnsi="Palatino Linotype" w:eastAsia="Times New Roman" w:cs="Times New Roman"/>
          <w:kern w:val="0"/>
          <w14:ligatures w14:val="none"/>
        </w:rPr>
        <w:t xml:space="preserve"> </w:t>
      </w:r>
      <w:r w:rsidRPr="00DD2C68" w:rsidR="1AD0B3C1">
        <w:rPr>
          <w:rFonts w:ascii="Palatino Linotype" w:hAnsi="Palatino Linotype" w:eastAsia="Times New Roman" w:cs="Times New Roman"/>
        </w:rPr>
        <w:t>establish and use</w:t>
      </w:r>
      <w:r w:rsidRPr="00DD2C68" w:rsidR="00CB5EAB">
        <w:rPr>
          <w:rFonts w:ascii="Palatino Linotype" w:hAnsi="Palatino Linotype" w:eastAsia="Times New Roman" w:cs="Times New Roman"/>
        </w:rPr>
        <w:t xml:space="preserve"> a</w:t>
      </w:r>
      <w:r w:rsidRPr="00DD2C68" w:rsidR="1AD0B3C1">
        <w:rPr>
          <w:rFonts w:ascii="Palatino Linotype" w:hAnsi="Palatino Linotype" w:eastAsia="Times New Roman" w:cs="Times New Roman"/>
        </w:rPr>
        <w:t xml:space="preserve"> </w:t>
      </w:r>
      <w:r w:rsidRPr="00DD2C68" w:rsidR="64E54DFA">
        <w:rPr>
          <w:rFonts w:ascii="Palatino Linotype" w:hAnsi="Palatino Linotype" w:eastAsia="Times New Roman" w:cs="Times New Roman"/>
        </w:rPr>
        <w:t>p</w:t>
      </w:r>
      <w:r w:rsidRPr="00DD2C68" w:rsidR="1AD0B3C1">
        <w:rPr>
          <w:rFonts w:ascii="Palatino Linotype" w:hAnsi="Palatino Linotype" w:eastAsia="Times New Roman" w:cs="Times New Roman"/>
        </w:rPr>
        <w:t xml:space="preserve">ending </w:t>
      </w:r>
      <w:r w:rsidRPr="00DD2C68" w:rsidR="4DF420D8">
        <w:rPr>
          <w:rFonts w:ascii="Palatino Linotype" w:hAnsi="Palatino Linotype" w:eastAsia="Times New Roman" w:cs="Times New Roman"/>
        </w:rPr>
        <w:t>l</w:t>
      </w:r>
      <w:r w:rsidRPr="00DD2C68" w:rsidR="1AD0B3C1">
        <w:rPr>
          <w:rFonts w:ascii="Palatino Linotype" w:hAnsi="Palatino Linotype" w:eastAsia="Times New Roman" w:cs="Times New Roman"/>
        </w:rPr>
        <w:t>oads category to inform grid upgrades in the</w:t>
      </w:r>
      <w:r w:rsidRPr="00DD2C68" w:rsidR="66F5954C">
        <w:rPr>
          <w:rFonts w:ascii="Palatino Linotype" w:hAnsi="Palatino Linotype" w:eastAsia="Times New Roman" w:cs="Times New Roman"/>
        </w:rPr>
        <w:t xml:space="preserve"> </w:t>
      </w:r>
      <w:r w:rsidRPr="00DD2C68" w:rsidR="1AD0B3C1">
        <w:rPr>
          <w:rFonts w:ascii="Palatino Linotype" w:hAnsi="Palatino Linotype" w:eastAsia="Times New Roman" w:cs="Times New Roman"/>
        </w:rPr>
        <w:t>distribution planning process.</w:t>
      </w:r>
      <w:r w:rsidRPr="00DD2C68">
        <w:rPr>
          <w:rFonts w:ascii="Palatino Linotype" w:hAnsi="Palatino Linotype" w:eastAsia="Times New Roman" w:cs="Times New Roman"/>
          <w:kern w:val="0"/>
          <w14:ligatures w14:val="none"/>
        </w:rPr>
        <w:t xml:space="preserve"> </w:t>
      </w:r>
    </w:p>
    <w:p w:rsidRPr="00DD2C68" w:rsidR="4A3BDD87" w:rsidP="4A3BDD87" w:rsidRDefault="4A3BDD87" w14:paraId="0E6C23A2" w14:textId="25390E3E">
      <w:pPr>
        <w:spacing w:after="0" w:line="240" w:lineRule="auto"/>
        <w:ind w:left="720" w:right="720"/>
        <w:rPr>
          <w:rFonts w:ascii="Palatino Linotype" w:hAnsi="Palatino Linotype" w:eastAsia="Palatino Linotype" w:cs="Times New Roman"/>
        </w:rPr>
      </w:pPr>
    </w:p>
    <w:p w:rsidRPr="00DD2C68" w:rsidR="00A76F4A" w:rsidP="4A3BDD87" w:rsidRDefault="00A76F4A" w14:paraId="3DE3512A" w14:textId="18E41A25">
      <w:pPr>
        <w:spacing w:after="0" w:line="240" w:lineRule="auto"/>
        <w:ind w:left="720" w:right="720"/>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 xml:space="preserve">PROPOSED OUTCOME: </w:t>
      </w:r>
    </w:p>
    <w:p w:rsidRPr="00DD2C68" w:rsidR="76A68DED" w:rsidP="007A761B" w:rsidRDefault="76A68DED" w14:paraId="361789FC" w14:textId="3F685CEC">
      <w:pPr>
        <w:numPr>
          <w:ilvl w:val="0"/>
          <w:numId w:val="3"/>
        </w:numPr>
        <w:spacing w:after="0" w:line="240" w:lineRule="auto"/>
        <w:ind w:right="720"/>
        <w:rPr>
          <w:rFonts w:ascii="Palatino Linotype" w:hAnsi="Palatino Linotype" w:eastAsia="Times New Roman" w:cs="Times New Roman"/>
        </w:rPr>
      </w:pPr>
      <w:r w:rsidRPr="00DD2C68">
        <w:rPr>
          <w:rFonts w:ascii="Palatino Linotype" w:hAnsi="Palatino Linotype" w:eastAsia="Times New Roman" w:cs="Times New Roman"/>
        </w:rPr>
        <w:t>Approves, with modification, the jointly filed proposals of Pacific Gas and Electric</w:t>
      </w:r>
      <w:r w:rsidRPr="00DD2C68" w:rsidR="00EF17A8">
        <w:rPr>
          <w:rFonts w:ascii="Palatino Linotype" w:hAnsi="Palatino Linotype" w:eastAsia="Times New Roman" w:cs="Times New Roman"/>
        </w:rPr>
        <w:t xml:space="preserve"> Company</w:t>
      </w:r>
      <w:r w:rsidRPr="00DD2C68" w:rsidR="00CC0913">
        <w:rPr>
          <w:rFonts w:ascii="Palatino Linotype" w:hAnsi="Palatino Linotype" w:eastAsia="Times New Roman" w:cs="Times New Roman"/>
        </w:rPr>
        <w:t xml:space="preserve"> (PG&amp;E)</w:t>
      </w:r>
      <w:r w:rsidRPr="00DD2C68">
        <w:rPr>
          <w:rFonts w:ascii="Palatino Linotype" w:hAnsi="Palatino Linotype" w:eastAsia="Times New Roman" w:cs="Times New Roman"/>
        </w:rPr>
        <w:t>, Southern California Edison</w:t>
      </w:r>
      <w:r w:rsidRPr="00DD2C68" w:rsidR="00CC0913">
        <w:rPr>
          <w:rFonts w:ascii="Palatino Linotype" w:hAnsi="Palatino Linotype" w:eastAsia="Times New Roman" w:cs="Times New Roman"/>
        </w:rPr>
        <w:t xml:space="preserve"> </w:t>
      </w:r>
      <w:r w:rsidRPr="00DD2C68" w:rsidR="00EF17A8">
        <w:rPr>
          <w:rFonts w:ascii="Palatino Linotype" w:hAnsi="Palatino Linotype" w:eastAsia="Times New Roman" w:cs="Times New Roman"/>
        </w:rPr>
        <w:t xml:space="preserve">Company </w:t>
      </w:r>
      <w:r w:rsidRPr="00DD2C68" w:rsidR="00CC0913">
        <w:rPr>
          <w:rFonts w:ascii="Palatino Linotype" w:hAnsi="Palatino Linotype" w:eastAsia="Times New Roman" w:cs="Times New Roman"/>
        </w:rPr>
        <w:t>(SCE)</w:t>
      </w:r>
      <w:r w:rsidRPr="00DD2C68">
        <w:rPr>
          <w:rFonts w:ascii="Palatino Linotype" w:hAnsi="Palatino Linotype" w:eastAsia="Times New Roman" w:cs="Times New Roman"/>
        </w:rPr>
        <w:t xml:space="preserve">, and </w:t>
      </w:r>
      <w:r w:rsidRPr="00DD2C68" w:rsidR="00EC2C92">
        <w:rPr>
          <w:rFonts w:ascii="Palatino Linotype" w:hAnsi="Palatino Linotype" w:eastAsia="Times New Roman" w:cs="Times New Roman"/>
        </w:rPr>
        <w:t>San Diego</w:t>
      </w:r>
      <w:r w:rsidRPr="00DD2C68">
        <w:rPr>
          <w:rFonts w:ascii="Palatino Linotype" w:hAnsi="Palatino Linotype" w:eastAsia="Times New Roman" w:cs="Times New Roman"/>
        </w:rPr>
        <w:t xml:space="preserve"> Gas </w:t>
      </w:r>
      <w:r w:rsidRPr="00DD2C68" w:rsidR="00EF17A8">
        <w:rPr>
          <w:rFonts w:ascii="Palatino Linotype" w:hAnsi="Palatino Linotype" w:eastAsia="Times New Roman" w:cs="Times New Roman"/>
        </w:rPr>
        <w:t>&amp;</w:t>
      </w:r>
      <w:r w:rsidRPr="00DD2C68">
        <w:rPr>
          <w:rFonts w:ascii="Palatino Linotype" w:hAnsi="Palatino Linotype" w:eastAsia="Times New Roman" w:cs="Times New Roman"/>
        </w:rPr>
        <w:t xml:space="preserve"> Electric</w:t>
      </w:r>
      <w:r w:rsidRPr="00DD2C68" w:rsidR="00EF17A8">
        <w:rPr>
          <w:rFonts w:ascii="Palatino Linotype" w:hAnsi="Palatino Linotype" w:eastAsia="Times New Roman" w:cs="Times New Roman"/>
        </w:rPr>
        <w:t xml:space="preserve"> Company</w:t>
      </w:r>
      <w:r w:rsidRPr="00DD2C68" w:rsidR="00CC0913">
        <w:rPr>
          <w:rFonts w:ascii="Palatino Linotype" w:hAnsi="Palatino Linotype" w:eastAsia="Times New Roman" w:cs="Times New Roman"/>
        </w:rPr>
        <w:t xml:space="preserve"> (SDG&amp;E)</w:t>
      </w:r>
      <w:r w:rsidRPr="00DD2C68">
        <w:rPr>
          <w:rFonts w:ascii="Palatino Linotype" w:hAnsi="Palatino Linotype" w:eastAsia="Times New Roman" w:cs="Times New Roman"/>
        </w:rPr>
        <w:t xml:space="preserve"> </w:t>
      </w:r>
      <w:r w:rsidRPr="00DD2C68" w:rsidR="56598F44">
        <w:rPr>
          <w:rFonts w:ascii="Palatino Linotype" w:hAnsi="Palatino Linotype" w:eastAsia="Times New Roman" w:cs="Times New Roman"/>
        </w:rPr>
        <w:t>concerning</w:t>
      </w:r>
      <w:r w:rsidRPr="00DD2C68">
        <w:rPr>
          <w:rFonts w:ascii="Palatino Linotype" w:hAnsi="Palatino Linotype" w:eastAsia="Times New Roman" w:cs="Times New Roman"/>
        </w:rPr>
        <w:t xml:space="preserve"> the establishment and use of the pending loads category in the distribution planning pro</w:t>
      </w:r>
      <w:r w:rsidRPr="00DD2C68" w:rsidR="0488D712">
        <w:rPr>
          <w:rFonts w:ascii="Palatino Linotype" w:hAnsi="Palatino Linotype" w:eastAsia="Times New Roman" w:cs="Times New Roman"/>
        </w:rPr>
        <w:t>c</w:t>
      </w:r>
      <w:r w:rsidRPr="00DD2C68">
        <w:rPr>
          <w:rFonts w:ascii="Palatino Linotype" w:hAnsi="Palatino Linotype" w:eastAsia="Times New Roman" w:cs="Times New Roman"/>
        </w:rPr>
        <w:t>ess</w:t>
      </w:r>
      <w:r w:rsidRPr="00DD2C68" w:rsidR="00A6580B">
        <w:rPr>
          <w:rFonts w:ascii="Palatino Linotype" w:hAnsi="Palatino Linotype" w:eastAsia="Times New Roman" w:cs="Times New Roman"/>
        </w:rPr>
        <w:t xml:space="preserve"> pursuant to </w:t>
      </w:r>
      <w:r w:rsidRPr="00DD2C68" w:rsidR="00844530">
        <w:rPr>
          <w:rFonts w:ascii="Palatino Linotype" w:hAnsi="Palatino Linotype" w:eastAsia="Times New Roman" w:cs="Times New Roman"/>
        </w:rPr>
        <w:t xml:space="preserve">ordering paragraph (OP) </w:t>
      </w:r>
      <w:r w:rsidRPr="00DD2C68" w:rsidR="00741796">
        <w:rPr>
          <w:rFonts w:ascii="Palatino Linotype" w:hAnsi="Palatino Linotype" w:eastAsia="Times New Roman" w:cs="Times New Roman"/>
        </w:rPr>
        <w:t>12</w:t>
      </w:r>
      <w:r w:rsidRPr="00DD2C68" w:rsidR="00844530">
        <w:rPr>
          <w:rFonts w:ascii="Palatino Linotype" w:hAnsi="Palatino Linotype" w:eastAsia="Times New Roman" w:cs="Times New Roman"/>
        </w:rPr>
        <w:t xml:space="preserve"> of Decision 24-10-030 filed in </w:t>
      </w:r>
      <w:r w:rsidRPr="00DD2C68" w:rsidR="00A6580B">
        <w:rPr>
          <w:rFonts w:ascii="Palatino Linotype" w:hAnsi="Palatino Linotype" w:eastAsia="Times New Roman" w:cs="Times New Roman"/>
        </w:rPr>
        <w:t xml:space="preserve">the joint Advice Letter (AL) </w:t>
      </w:r>
      <w:r w:rsidRPr="00DD2C68" w:rsidR="00785080">
        <w:rPr>
          <w:rFonts w:ascii="Palatino Linotype" w:hAnsi="Palatino Linotype" w:eastAsia="Times New Roman" w:cs="Times New Roman"/>
        </w:rPr>
        <w:t xml:space="preserve">SCE AL 5567-E, SDG&amp;E AL 4676-E, and PG&amp;E </w:t>
      </w:r>
      <w:r w:rsidR="005F6DE1">
        <w:rPr>
          <w:rFonts w:ascii="Palatino Linotype" w:hAnsi="Palatino Linotype" w:eastAsia="Times New Roman" w:cs="Times New Roman"/>
        </w:rPr>
        <w:br/>
      </w:r>
      <w:r w:rsidRPr="00DD2C68" w:rsidR="00785080">
        <w:rPr>
          <w:rFonts w:ascii="Palatino Linotype" w:hAnsi="Palatino Linotype" w:eastAsia="Times New Roman" w:cs="Times New Roman"/>
        </w:rPr>
        <w:t>AL</w:t>
      </w:r>
      <w:r w:rsidR="005F6DE1">
        <w:rPr>
          <w:rFonts w:ascii="Palatino Linotype" w:hAnsi="Palatino Linotype" w:eastAsia="Times New Roman" w:cs="Times New Roman"/>
        </w:rPr>
        <w:t xml:space="preserve"> </w:t>
      </w:r>
      <w:r w:rsidRPr="00DD2C68" w:rsidR="00785080">
        <w:rPr>
          <w:rFonts w:ascii="Palatino Linotype" w:hAnsi="Palatino Linotype" w:eastAsia="Times New Roman" w:cs="Times New Roman"/>
        </w:rPr>
        <w:t>7630-E</w:t>
      </w:r>
      <w:r w:rsidRPr="00DD2C68">
        <w:rPr>
          <w:rFonts w:ascii="Palatino Linotype" w:hAnsi="Palatino Linotype" w:eastAsia="Times New Roman" w:cs="Times New Roman"/>
        </w:rPr>
        <w:t>.</w:t>
      </w:r>
      <w:r w:rsidRPr="00DD2C68" w:rsidR="46F89C03">
        <w:rPr>
          <w:rFonts w:ascii="Palatino Linotype" w:hAnsi="Palatino Linotype" w:eastAsia="Times New Roman" w:cs="Times New Roman"/>
        </w:rPr>
        <w:t xml:space="preserve"> </w:t>
      </w:r>
    </w:p>
    <w:p w:rsidRPr="00DD2C68" w:rsidR="00A76F4A" w:rsidP="4A3BDD87" w:rsidRDefault="00A76F4A" w14:paraId="1CA49169" w14:textId="39D5CF70">
      <w:pPr>
        <w:spacing w:after="0" w:line="240" w:lineRule="auto"/>
        <w:ind w:left="720" w:right="720"/>
        <w:rPr>
          <w:rFonts w:ascii="Palatino Linotype" w:hAnsi="Palatino Linotype" w:eastAsia="Palatino Linotype" w:cs="Times New Roman"/>
        </w:rPr>
      </w:pPr>
    </w:p>
    <w:p w:rsidRPr="00DD2C68" w:rsidR="00A76F4A" w:rsidP="4A3BDD87" w:rsidRDefault="00A76F4A" w14:paraId="4FCDC265" w14:textId="5A83BD8C">
      <w:pPr>
        <w:spacing w:after="0" w:line="240" w:lineRule="auto"/>
        <w:ind w:right="720" w:firstLine="720"/>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SAFETY CONSIDERATIONS:</w:t>
      </w:r>
    </w:p>
    <w:p w:rsidRPr="00DD2C68" w:rsidR="00A76F4A" w:rsidP="007A761B" w:rsidRDefault="00A76F4A" w14:paraId="74DF69B6" w14:textId="0B0B971A">
      <w:pPr>
        <w:numPr>
          <w:ilvl w:val="0"/>
          <w:numId w:val="2"/>
        </w:numPr>
        <w:spacing w:after="0" w:line="240" w:lineRule="auto"/>
        <w:ind w:right="720"/>
        <w:rPr>
          <w:rFonts w:ascii="Palatino Linotype" w:hAnsi="Palatino Linotype" w:eastAsia="Times New Roman" w:cs="Times New Roman"/>
          <w:kern w:val="0"/>
          <w14:ligatures w14:val="none"/>
        </w:rPr>
      </w:pPr>
      <w:r w:rsidRPr="00DD2C68">
        <w:rPr>
          <w:rFonts w:ascii="Palatino Linotype" w:hAnsi="Palatino Linotype" w:eastAsia="Times New Roman" w:cs="Times New Roman"/>
          <w:kern w:val="0"/>
          <w14:ligatures w14:val="none"/>
        </w:rPr>
        <w:t xml:space="preserve">There </w:t>
      </w:r>
      <w:proofErr w:type="gramStart"/>
      <w:r w:rsidRPr="00DD2C68">
        <w:rPr>
          <w:rFonts w:ascii="Palatino Linotype" w:hAnsi="Palatino Linotype" w:eastAsia="Times New Roman" w:cs="Times New Roman"/>
          <w:kern w:val="0"/>
          <w14:ligatures w14:val="none"/>
        </w:rPr>
        <w:t>are</w:t>
      </w:r>
      <w:proofErr w:type="gramEnd"/>
      <w:r w:rsidRPr="00DD2C68">
        <w:rPr>
          <w:rFonts w:ascii="Palatino Linotype" w:hAnsi="Palatino Linotype" w:eastAsia="Times New Roman" w:cs="Times New Roman"/>
          <w:kern w:val="0"/>
          <w14:ligatures w14:val="none"/>
        </w:rPr>
        <w:t xml:space="preserve"> no safety considerations associated with this resolution.</w:t>
      </w:r>
    </w:p>
    <w:p w:rsidRPr="00DD2C68" w:rsidR="4A3BDD87" w:rsidP="4A3BDD87" w:rsidRDefault="4A3BDD87" w14:paraId="1A30C2A6" w14:textId="56B081DB">
      <w:pPr>
        <w:spacing w:after="0" w:line="240" w:lineRule="auto"/>
        <w:ind w:left="1440" w:right="720"/>
        <w:rPr>
          <w:rFonts w:ascii="Palatino Linotype" w:hAnsi="Palatino Linotype" w:eastAsia="Times New Roman" w:cs="Times New Roman"/>
        </w:rPr>
      </w:pPr>
    </w:p>
    <w:p w:rsidRPr="00DD2C68" w:rsidR="00A76F4A" w:rsidP="00A76F4A" w:rsidRDefault="00A76F4A" w14:paraId="6B0D0B8E" w14:textId="4C729E5A">
      <w:pPr>
        <w:spacing w:after="0" w:line="240" w:lineRule="auto"/>
        <w:ind w:left="720" w:right="720"/>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 xml:space="preserve">ESTIMATED COST:  </w:t>
      </w:r>
    </w:p>
    <w:p w:rsidRPr="00DD2C68" w:rsidR="00A76F4A" w:rsidP="007A761B" w:rsidRDefault="00A76F4A" w14:paraId="0ADF6FD2" w14:textId="49636101">
      <w:pPr>
        <w:numPr>
          <w:ilvl w:val="0"/>
          <w:numId w:val="2"/>
        </w:numPr>
        <w:spacing w:after="0" w:line="240" w:lineRule="auto"/>
        <w:ind w:right="720"/>
        <w:rPr>
          <w:rFonts w:ascii="Palatino Linotype" w:hAnsi="Palatino Linotype" w:eastAsia="Times New Roman" w:cs="Times New Roman"/>
          <w:kern w:val="0"/>
          <w14:ligatures w14:val="none"/>
        </w:rPr>
      </w:pPr>
      <w:r w:rsidRPr="00DD2C68">
        <w:rPr>
          <w:rFonts w:ascii="Palatino Linotype" w:hAnsi="Palatino Linotype" w:eastAsia="Times New Roman" w:cs="Times New Roman"/>
          <w:kern w:val="0"/>
          <w14:ligatures w14:val="none"/>
        </w:rPr>
        <w:t>There are no costs associated with this resolution.</w:t>
      </w:r>
      <w:r w:rsidRPr="00DD2C68" w:rsidR="000A0CE3">
        <w:rPr>
          <w:rFonts w:ascii="Palatino Linotype" w:hAnsi="Palatino Linotype" w:eastAsia="Times New Roman" w:cs="Times New Roman"/>
          <w:kern w:val="0"/>
          <w14:ligatures w14:val="none"/>
        </w:rPr>
        <w:t xml:space="preserve"> The implementation of this Resolution may impact costs in the future.</w:t>
      </w:r>
    </w:p>
    <w:p w:rsidRPr="00DD2C68" w:rsidR="00A76F4A" w:rsidP="00A76F4A" w:rsidRDefault="00A76F4A" w14:paraId="38D179E5" w14:textId="048D3317">
      <w:pPr>
        <w:spacing w:after="0" w:line="240" w:lineRule="auto"/>
        <w:ind w:left="720" w:right="720"/>
        <w:rPr>
          <w:rFonts w:ascii="Palatino Linotype" w:hAnsi="Palatino Linotype" w:eastAsia="Palatino Linotype" w:cs="Times New Roman"/>
          <w:kern w:val="0"/>
          <w14:ligatures w14:val="none"/>
        </w:rPr>
      </w:pPr>
    </w:p>
    <w:p w:rsidRPr="00DD2C68" w:rsidR="00A76F4A" w:rsidP="00A76F4A" w:rsidRDefault="00A76F4A" w14:paraId="573E1F48" w14:textId="25C41993">
      <w:pPr>
        <w:spacing w:after="0" w:line="240" w:lineRule="auto"/>
        <w:ind w:left="720" w:right="720"/>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 xml:space="preserve">By Advice Letter </w:t>
      </w:r>
      <w:r w:rsidRPr="00DD2C68" w:rsidR="00CC0913">
        <w:rPr>
          <w:rFonts w:ascii="Palatino Linotype" w:hAnsi="Palatino Linotype" w:eastAsia="Palatino Linotype" w:cs="Times New Roman"/>
          <w:kern w:val="0"/>
          <w14:ligatures w14:val="none"/>
        </w:rPr>
        <w:t>5567-E</w:t>
      </w:r>
      <w:r w:rsidR="00BE3738">
        <w:rPr>
          <w:rFonts w:ascii="Palatino Linotype" w:hAnsi="Palatino Linotype" w:eastAsia="Palatino Linotype" w:cs="Times New Roman"/>
          <w:kern w:val="0"/>
          <w14:ligatures w14:val="none"/>
        </w:rPr>
        <w:t xml:space="preserve"> et al.</w:t>
      </w:r>
      <w:r w:rsidRPr="00DD2C68">
        <w:rPr>
          <w:rFonts w:ascii="Palatino Linotype" w:hAnsi="Palatino Linotype" w:eastAsia="Palatino Linotype" w:cs="Times New Roman"/>
          <w:kern w:val="0"/>
          <w14:ligatures w14:val="none"/>
        </w:rPr>
        <w:t xml:space="preserve">, Filed on </w:t>
      </w:r>
      <w:r w:rsidRPr="00DD2C68" w:rsidR="33D394C0">
        <w:rPr>
          <w:rFonts w:ascii="Palatino Linotype" w:hAnsi="Palatino Linotype" w:eastAsia="Palatino Linotype" w:cs="Times New Roman"/>
          <w:kern w:val="0"/>
          <w14:ligatures w14:val="none"/>
        </w:rPr>
        <w:t xml:space="preserve">June </w:t>
      </w:r>
      <w:r w:rsidRPr="00DD2C68" w:rsidR="00CC0913">
        <w:rPr>
          <w:rFonts w:ascii="Palatino Linotype" w:hAnsi="Palatino Linotype" w:eastAsia="Palatino Linotype" w:cs="Times New Roman"/>
          <w:kern w:val="0"/>
          <w14:ligatures w14:val="none"/>
        </w:rPr>
        <w:t>27</w:t>
      </w:r>
      <w:r w:rsidRPr="00DD2C68" w:rsidR="33D394C0">
        <w:rPr>
          <w:rFonts w:ascii="Palatino Linotype" w:hAnsi="Palatino Linotype" w:eastAsia="Palatino Linotype" w:cs="Times New Roman"/>
          <w:kern w:val="0"/>
          <w14:ligatures w14:val="none"/>
        </w:rPr>
        <w:t>, 2025</w:t>
      </w:r>
      <w:r w:rsidRPr="00DD2C68">
        <w:rPr>
          <w:rFonts w:ascii="Palatino Linotype" w:hAnsi="Palatino Linotype" w:eastAsia="Palatino Linotype" w:cs="Times New Roman"/>
          <w:kern w:val="0"/>
          <w14:ligatures w14:val="none"/>
        </w:rPr>
        <w:t xml:space="preserve">. </w:t>
      </w:r>
    </w:p>
    <w:p w:rsidRPr="00DD2C68" w:rsidR="00A76F4A" w:rsidP="00A76F4A" w:rsidRDefault="00A76F4A" w14:paraId="0542E5E0" w14:textId="309EB32A">
      <w:pPr>
        <w:spacing w:after="0" w:line="240" w:lineRule="auto"/>
        <w:jc w:val="center"/>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__________________________________________________________</w:t>
      </w:r>
    </w:p>
    <w:p w:rsidRPr="00DD2C68" w:rsidR="00A76F4A" w:rsidP="00A76F4A" w:rsidRDefault="00A76F4A" w14:paraId="7279783F" w14:textId="534C16AB">
      <w:pPr>
        <w:spacing w:after="0" w:line="240" w:lineRule="auto"/>
        <w:rPr>
          <w:rFonts w:ascii="Palatino Linotype" w:hAnsi="Palatino Linotype" w:eastAsia="Palatino Linotype" w:cs="Times New Roman"/>
          <w:b/>
          <w:kern w:val="0"/>
          <w14:ligatures w14:val="none"/>
        </w:rPr>
      </w:pPr>
    </w:p>
    <w:p w:rsidRPr="00DD2C68" w:rsidR="4A3BDD87" w:rsidP="004B7C15" w:rsidRDefault="00A76F4A" w14:paraId="65A4A3D9" w14:textId="0C303FFA">
      <w:pPr>
        <w:keepNext/>
        <w:spacing w:before="120" w:after="240" w:line="240" w:lineRule="auto"/>
        <w:outlineLvl w:val="0"/>
        <w:rPr>
          <w:rFonts w:ascii="Palatino Linotype" w:hAnsi="Palatino Linotype" w:eastAsia="Palatino Linotype" w:cs="Times New Roman"/>
          <w:b/>
          <w:caps/>
          <w:kern w:val="28"/>
          <w:u w:val="single"/>
          <w14:ligatures w14:val="none"/>
        </w:rPr>
      </w:pPr>
      <w:r w:rsidRPr="00DD2C68">
        <w:rPr>
          <w:rFonts w:ascii="Palatino Linotype" w:hAnsi="Palatino Linotype" w:eastAsia="Palatino Linotype" w:cs="Times New Roman"/>
          <w:b/>
          <w:bCs/>
          <w:caps/>
          <w:kern w:val="28"/>
          <w:u w:val="single"/>
          <w14:ligatures w14:val="none"/>
        </w:rPr>
        <w:t>Summary</w:t>
      </w:r>
      <w:bookmarkEnd w:id="0"/>
    </w:p>
    <w:p w:rsidRPr="00DD2C68" w:rsidR="00A76F4A" w:rsidP="4A3BDD87" w:rsidRDefault="00A76F4A" w14:paraId="06CF09BA" w14:textId="595227A9">
      <w:pPr>
        <w:spacing w:after="0" w:line="240" w:lineRule="auto"/>
        <w:rPr>
          <w:rFonts w:ascii="Palatino Linotype" w:hAnsi="Palatino Linotype" w:eastAsia="Times New Roman" w:cs="Times New Roman"/>
        </w:rPr>
      </w:pPr>
      <w:r w:rsidRPr="00DD2C68">
        <w:rPr>
          <w:rFonts w:ascii="Palatino Linotype" w:hAnsi="Palatino Linotype" w:eastAsia="Times New Roman" w:cs="Times New Roman"/>
          <w:kern w:val="0"/>
          <w14:ligatures w14:val="none"/>
        </w:rPr>
        <w:t xml:space="preserve">This Resolution </w:t>
      </w:r>
      <w:r w:rsidRPr="00DD2C68" w:rsidR="410EAAA5">
        <w:rPr>
          <w:rFonts w:ascii="Palatino Linotype" w:hAnsi="Palatino Linotype" w:eastAsia="Times New Roman" w:cs="Times New Roman"/>
          <w:kern w:val="0"/>
          <w14:ligatures w14:val="none"/>
        </w:rPr>
        <w:t>adopts, with modifications, the proposals of Pacific Gas and Electric</w:t>
      </w:r>
      <w:r w:rsidRPr="00DD2C68" w:rsidR="0069393B">
        <w:rPr>
          <w:rFonts w:ascii="Palatino Linotype" w:hAnsi="Palatino Linotype" w:eastAsia="Times New Roman" w:cs="Times New Roman"/>
          <w:kern w:val="0"/>
          <w14:ligatures w14:val="none"/>
        </w:rPr>
        <w:t xml:space="preserve"> Company</w:t>
      </w:r>
      <w:r w:rsidRPr="00DD2C68" w:rsidR="410EAAA5">
        <w:rPr>
          <w:rFonts w:ascii="Palatino Linotype" w:hAnsi="Palatino Linotype" w:eastAsia="Times New Roman" w:cs="Times New Roman"/>
          <w:kern w:val="0"/>
          <w14:ligatures w14:val="none"/>
        </w:rPr>
        <w:t xml:space="preserve"> (PG&amp;E), Southern California Edison</w:t>
      </w:r>
      <w:r w:rsidRPr="00DD2C68" w:rsidR="0069393B">
        <w:rPr>
          <w:rFonts w:ascii="Palatino Linotype" w:hAnsi="Palatino Linotype" w:eastAsia="Times New Roman" w:cs="Times New Roman"/>
          <w:kern w:val="0"/>
          <w14:ligatures w14:val="none"/>
        </w:rPr>
        <w:t xml:space="preserve"> Company</w:t>
      </w:r>
      <w:r w:rsidRPr="00DD2C68" w:rsidR="410EAAA5">
        <w:rPr>
          <w:rFonts w:ascii="Palatino Linotype" w:hAnsi="Palatino Linotype" w:eastAsia="Times New Roman" w:cs="Times New Roman"/>
          <w:kern w:val="0"/>
          <w14:ligatures w14:val="none"/>
        </w:rPr>
        <w:t xml:space="preserve"> (SCE), and San Diego Gas </w:t>
      </w:r>
      <w:r w:rsidRPr="00DD2C68" w:rsidR="0069393B">
        <w:rPr>
          <w:rFonts w:ascii="Palatino Linotype" w:hAnsi="Palatino Linotype" w:eastAsia="Times New Roman" w:cs="Times New Roman"/>
          <w:kern w:val="0"/>
          <w14:ligatures w14:val="none"/>
        </w:rPr>
        <w:t>&amp;</w:t>
      </w:r>
      <w:r w:rsidRPr="00DD2C68" w:rsidR="410EAAA5">
        <w:rPr>
          <w:rFonts w:ascii="Palatino Linotype" w:hAnsi="Palatino Linotype" w:eastAsia="Times New Roman" w:cs="Times New Roman"/>
          <w:kern w:val="0"/>
          <w14:ligatures w14:val="none"/>
        </w:rPr>
        <w:t xml:space="preserve"> Electric</w:t>
      </w:r>
      <w:r w:rsidRPr="00DD2C68" w:rsidR="0069393B">
        <w:rPr>
          <w:rFonts w:ascii="Palatino Linotype" w:hAnsi="Palatino Linotype" w:eastAsia="Times New Roman" w:cs="Times New Roman"/>
          <w:kern w:val="0"/>
          <w14:ligatures w14:val="none"/>
        </w:rPr>
        <w:t xml:space="preserve"> Company</w:t>
      </w:r>
      <w:r w:rsidRPr="00DD2C68" w:rsidR="410EAAA5">
        <w:rPr>
          <w:rFonts w:ascii="Palatino Linotype" w:hAnsi="Palatino Linotype" w:eastAsia="Times New Roman" w:cs="Times New Roman"/>
          <w:kern w:val="0"/>
          <w14:ligatures w14:val="none"/>
        </w:rPr>
        <w:t xml:space="preserve"> (SDG&amp;E)</w:t>
      </w:r>
      <w:r w:rsidRPr="00DD2C68" w:rsidR="6DD0AA1D">
        <w:rPr>
          <w:rFonts w:ascii="Palatino Linotype" w:hAnsi="Palatino Linotype" w:eastAsia="Times New Roman" w:cs="Times New Roman"/>
          <w:kern w:val="0"/>
          <w14:ligatures w14:val="none"/>
        </w:rPr>
        <w:t>, together referred to as the “joint utilities,”</w:t>
      </w:r>
      <w:r w:rsidRPr="00DD2C68" w:rsidR="410EAAA5">
        <w:rPr>
          <w:rFonts w:ascii="Palatino Linotype" w:hAnsi="Palatino Linotype" w:eastAsia="Times New Roman" w:cs="Times New Roman"/>
          <w:kern w:val="0"/>
          <w14:ligatures w14:val="none"/>
        </w:rPr>
        <w:t xml:space="preserve"> to establish a pending loads category in the </w:t>
      </w:r>
      <w:r w:rsidRPr="00DD2C68" w:rsidR="47A34667">
        <w:rPr>
          <w:rFonts w:ascii="Palatino Linotype" w:hAnsi="Palatino Linotype" w:eastAsia="Times New Roman" w:cs="Times New Roman"/>
          <w:kern w:val="0"/>
          <w14:ligatures w14:val="none"/>
        </w:rPr>
        <w:t>utility</w:t>
      </w:r>
      <w:r w:rsidRPr="00DD2C68" w:rsidR="771938FC">
        <w:rPr>
          <w:rFonts w:ascii="Palatino Linotype" w:hAnsi="Palatino Linotype" w:eastAsia="Times New Roman" w:cs="Times New Roman"/>
          <w:kern w:val="0"/>
          <w14:ligatures w14:val="none"/>
        </w:rPr>
        <w:t xml:space="preserve"> </w:t>
      </w:r>
      <w:r w:rsidRPr="00DD2C68" w:rsidR="410EAAA5">
        <w:rPr>
          <w:rFonts w:ascii="Palatino Linotype" w:hAnsi="Palatino Linotype" w:eastAsia="Times New Roman" w:cs="Times New Roman"/>
          <w:kern w:val="0"/>
          <w14:ligatures w14:val="none"/>
        </w:rPr>
        <w:t>distribution planning process</w:t>
      </w:r>
      <w:r w:rsidRPr="00DD2C68" w:rsidR="00893C7E">
        <w:rPr>
          <w:rFonts w:ascii="Palatino Linotype" w:hAnsi="Palatino Linotype" w:eastAsia="Times New Roman" w:cs="Times New Roman"/>
          <w:kern w:val="0"/>
          <w14:ligatures w14:val="none"/>
        </w:rPr>
        <w:t xml:space="preserve">, </w:t>
      </w:r>
      <w:r w:rsidRPr="00DD2C68" w:rsidR="000C669F">
        <w:rPr>
          <w:rFonts w:ascii="Palatino Linotype" w:hAnsi="Palatino Linotype" w:eastAsia="Times New Roman" w:cs="Times New Roman"/>
          <w:kern w:val="0"/>
          <w14:ligatures w14:val="none"/>
        </w:rPr>
        <w:t xml:space="preserve">pursuant to decision </w:t>
      </w:r>
      <w:r w:rsidRPr="00DD2C68" w:rsidR="001805B7">
        <w:rPr>
          <w:rFonts w:ascii="Palatino Linotype" w:hAnsi="Palatino Linotype" w:eastAsia="Times New Roman" w:cs="Times New Roman"/>
          <w:kern w:val="0"/>
          <w14:ligatures w14:val="none"/>
        </w:rPr>
        <w:t>D.24-10-030.</w:t>
      </w:r>
      <w:r w:rsidRPr="00DD2C68" w:rsidR="410EAAA5">
        <w:rPr>
          <w:rFonts w:ascii="Palatino Linotype" w:hAnsi="Palatino Linotype" w:eastAsia="Times New Roman" w:cs="Times New Roman"/>
          <w:kern w:val="0"/>
          <w14:ligatures w14:val="none"/>
        </w:rPr>
        <w:t xml:space="preserve"> </w:t>
      </w:r>
      <w:r w:rsidRPr="00DD2C68" w:rsidR="2928B3B9">
        <w:rPr>
          <w:rFonts w:ascii="Palatino Linotype" w:hAnsi="Palatino Linotype" w:eastAsia="Times New Roman" w:cs="Times New Roman"/>
          <w:kern w:val="0"/>
          <w14:ligatures w14:val="none"/>
        </w:rPr>
        <w:t xml:space="preserve">Advice Letter </w:t>
      </w:r>
      <w:r w:rsidRPr="00DD2C68" w:rsidR="00CB5EAB">
        <w:rPr>
          <w:rFonts w:ascii="Palatino Linotype" w:hAnsi="Palatino Linotype" w:eastAsia="Times New Roman" w:cs="Times New Roman"/>
        </w:rPr>
        <w:t>5567-E</w:t>
      </w:r>
      <w:r w:rsidRPr="00DD2C68" w:rsidR="2928B3B9">
        <w:rPr>
          <w:rFonts w:ascii="Palatino Linotype" w:hAnsi="Palatino Linotype" w:eastAsia="Times New Roman" w:cs="Times New Roman"/>
        </w:rPr>
        <w:t xml:space="preserve"> contains separate proposals from each of the joint utilities on </w:t>
      </w:r>
      <w:r w:rsidRPr="00DD2C68" w:rsidR="2C5D7C88">
        <w:rPr>
          <w:rFonts w:ascii="Palatino Linotype" w:hAnsi="Palatino Linotype" w:eastAsia="Times New Roman" w:cs="Times New Roman"/>
        </w:rPr>
        <w:t xml:space="preserve">the information and sources that will inform the pending load category, the </w:t>
      </w:r>
      <w:r w:rsidRPr="00DD2C68" w:rsidR="2C5D7C88">
        <w:rPr>
          <w:rFonts w:ascii="Palatino Linotype" w:hAnsi="Palatino Linotype" w:eastAsia="Times New Roman" w:cs="Times New Roman"/>
        </w:rPr>
        <w:lastRenderedPageBreak/>
        <w:t>classification of each of these sources into subcate</w:t>
      </w:r>
      <w:r w:rsidRPr="00DD2C68" w:rsidR="0AA20E49">
        <w:rPr>
          <w:rFonts w:ascii="Palatino Linotype" w:hAnsi="Palatino Linotype" w:eastAsia="Times New Roman" w:cs="Times New Roman"/>
        </w:rPr>
        <w:t xml:space="preserve">gories within the pending loads category, and how each subcategory will be used in the distribution planning process. </w:t>
      </w:r>
      <w:r w:rsidRPr="00DD2C68" w:rsidR="5CB8B91C">
        <w:rPr>
          <w:rFonts w:ascii="Palatino Linotype" w:hAnsi="Palatino Linotype" w:eastAsia="Times New Roman" w:cs="Times New Roman"/>
        </w:rPr>
        <w:t>This resolution addresses each proposal separately</w:t>
      </w:r>
      <w:r w:rsidRPr="00DD2C68" w:rsidR="76F744EE">
        <w:rPr>
          <w:rFonts w:ascii="Palatino Linotype" w:hAnsi="Palatino Linotype" w:eastAsia="Times New Roman" w:cs="Times New Roman"/>
        </w:rPr>
        <w:t xml:space="preserve"> </w:t>
      </w:r>
      <w:r w:rsidRPr="00DD2C68" w:rsidR="004176F3">
        <w:rPr>
          <w:rFonts w:ascii="Palatino Linotype" w:hAnsi="Palatino Linotype" w:eastAsia="Times New Roman" w:cs="Times New Roman"/>
        </w:rPr>
        <w:t>while</w:t>
      </w:r>
      <w:r w:rsidRPr="00DD2C68" w:rsidR="76F744EE">
        <w:rPr>
          <w:rFonts w:ascii="Palatino Linotype" w:hAnsi="Palatino Linotype" w:eastAsia="Times New Roman" w:cs="Times New Roman"/>
        </w:rPr>
        <w:t xml:space="preserve"> direct</w:t>
      </w:r>
      <w:r w:rsidRPr="00DD2C68" w:rsidR="0060688D">
        <w:rPr>
          <w:rFonts w:ascii="Palatino Linotype" w:hAnsi="Palatino Linotype" w:eastAsia="Times New Roman" w:cs="Times New Roman"/>
        </w:rPr>
        <w:t>ing a</w:t>
      </w:r>
      <w:r w:rsidRPr="00DD2C68" w:rsidR="2798917E">
        <w:rPr>
          <w:rFonts w:ascii="Palatino Linotype" w:hAnsi="Palatino Linotype" w:eastAsia="Times New Roman" w:cs="Times New Roman"/>
        </w:rPr>
        <w:t xml:space="preserve"> </w:t>
      </w:r>
      <w:r w:rsidRPr="00DD2C68" w:rsidR="76F744EE">
        <w:rPr>
          <w:rFonts w:ascii="Palatino Linotype" w:hAnsi="Palatino Linotype" w:eastAsia="Times New Roman" w:cs="Times New Roman"/>
        </w:rPr>
        <w:t>common approach for all three IOUs</w:t>
      </w:r>
      <w:r w:rsidRPr="00DD2C68" w:rsidR="000C11DD">
        <w:rPr>
          <w:rFonts w:ascii="Palatino Linotype" w:hAnsi="Palatino Linotype" w:eastAsia="Times New Roman" w:cs="Times New Roman"/>
        </w:rPr>
        <w:t xml:space="preserve"> starting with the </w:t>
      </w:r>
      <w:r w:rsidRPr="00DD2C68" w:rsidR="00D66989">
        <w:rPr>
          <w:rFonts w:ascii="Palatino Linotype" w:hAnsi="Palatino Linotype" w:eastAsia="Times New Roman" w:cs="Times New Roman"/>
        </w:rPr>
        <w:t xml:space="preserve">2025-2026 Distribution Planning and </w:t>
      </w:r>
      <w:r w:rsidRPr="00DD2C68" w:rsidR="00D83C05">
        <w:rPr>
          <w:rFonts w:ascii="Palatino Linotype" w:hAnsi="Palatino Linotype" w:eastAsia="Times New Roman" w:cs="Times New Roman"/>
        </w:rPr>
        <w:t>Execution Process (DPEP</w:t>
      </w:r>
      <w:r w:rsidRPr="00DD2C68" w:rsidR="37E9AD77">
        <w:rPr>
          <w:rFonts w:ascii="Palatino Linotype" w:hAnsi="Palatino Linotype" w:eastAsia="Times New Roman" w:cs="Times New Roman"/>
        </w:rPr>
        <w:t>)</w:t>
      </w:r>
      <w:r w:rsidRPr="00DD2C68" w:rsidR="00D83C05">
        <w:rPr>
          <w:rFonts w:ascii="Palatino Linotype" w:hAnsi="Palatino Linotype" w:eastAsia="Times New Roman" w:cs="Times New Roman"/>
        </w:rPr>
        <w:t xml:space="preserve"> cycle</w:t>
      </w:r>
      <w:r w:rsidRPr="00DD2C68" w:rsidR="44E8823A">
        <w:rPr>
          <w:rFonts w:ascii="Palatino Linotype" w:hAnsi="Palatino Linotype" w:eastAsia="Times New Roman" w:cs="Times New Roman"/>
        </w:rPr>
        <w:t>.</w:t>
      </w:r>
    </w:p>
    <w:p w:rsidRPr="00DD2C68" w:rsidR="4A3BDD87" w:rsidP="4A3BDD87" w:rsidRDefault="4A3BDD87" w14:paraId="4DE9E518" w14:textId="3FC85310">
      <w:pPr>
        <w:spacing w:after="0" w:line="240" w:lineRule="auto"/>
        <w:rPr>
          <w:rFonts w:ascii="Palatino Linotype" w:hAnsi="Palatino Linotype" w:eastAsia="Times New Roman" w:cs="Times New Roman"/>
        </w:rPr>
      </w:pPr>
    </w:p>
    <w:p w:rsidRPr="00DD2C68" w:rsidR="00F07201" w:rsidP="4A3BDD87" w:rsidRDefault="00165EA3" w14:paraId="408261A1" w14:textId="2E661692">
      <w:pPr>
        <w:spacing w:after="0" w:line="240" w:lineRule="auto"/>
        <w:rPr>
          <w:rFonts w:ascii="Palatino Linotype" w:hAnsi="Palatino Linotype" w:eastAsia="Times New Roman" w:cs="Times New Roman"/>
        </w:rPr>
      </w:pPr>
      <w:r w:rsidRPr="00DD2C68">
        <w:rPr>
          <w:rFonts w:ascii="Palatino Linotype" w:hAnsi="Palatino Linotype" w:eastAsia="Times New Roman" w:cs="Times New Roman"/>
        </w:rPr>
        <w:t xml:space="preserve">This Resolution </w:t>
      </w:r>
      <w:r w:rsidRPr="00DD2C68" w:rsidR="00E31FD8">
        <w:rPr>
          <w:rFonts w:ascii="Palatino Linotype" w:hAnsi="Palatino Linotype" w:eastAsia="Times New Roman" w:cs="Times New Roman"/>
        </w:rPr>
        <w:t xml:space="preserve">adopts </w:t>
      </w:r>
      <w:r w:rsidRPr="00DD2C68" w:rsidR="00E93859">
        <w:rPr>
          <w:rFonts w:ascii="Palatino Linotype" w:hAnsi="Palatino Linotype" w:eastAsia="Times New Roman" w:cs="Times New Roman"/>
        </w:rPr>
        <w:t xml:space="preserve">a </w:t>
      </w:r>
      <w:r w:rsidRPr="00DD2C68" w:rsidR="00E31FD8">
        <w:rPr>
          <w:rFonts w:ascii="Palatino Linotype" w:hAnsi="Palatino Linotype" w:eastAsia="Times New Roman" w:cs="Times New Roman"/>
        </w:rPr>
        <w:t xml:space="preserve">uniform pending loads </w:t>
      </w:r>
      <w:r w:rsidRPr="00DD2C68" w:rsidR="005C5620">
        <w:rPr>
          <w:rFonts w:ascii="Palatino Linotype" w:hAnsi="Palatino Linotype" w:eastAsia="Times New Roman" w:cs="Times New Roman"/>
        </w:rPr>
        <w:t>framework that allows for individual differences in the sources of input data to identify pending load</w:t>
      </w:r>
      <w:r w:rsidRPr="00DD2C68" w:rsidR="00523044">
        <w:rPr>
          <w:rFonts w:ascii="Palatino Linotype" w:hAnsi="Palatino Linotype" w:eastAsia="Times New Roman" w:cs="Times New Roman"/>
        </w:rPr>
        <w:t xml:space="preserve"> projects</w:t>
      </w:r>
      <w:r w:rsidRPr="00DD2C68" w:rsidR="005C5620">
        <w:rPr>
          <w:rFonts w:ascii="Palatino Linotype" w:hAnsi="Palatino Linotype" w:eastAsia="Times New Roman" w:cs="Times New Roman"/>
        </w:rPr>
        <w:t xml:space="preserve"> and hot spots</w:t>
      </w:r>
      <w:r w:rsidRPr="00DD2C68" w:rsidR="00C6028E">
        <w:rPr>
          <w:rFonts w:ascii="Palatino Linotype" w:hAnsi="Palatino Linotype" w:eastAsia="Times New Roman" w:cs="Times New Roman"/>
        </w:rPr>
        <w:t xml:space="preserve">, which are </w:t>
      </w:r>
      <w:r w:rsidRPr="00DD2C68" w:rsidR="00062F30">
        <w:rPr>
          <w:rFonts w:ascii="Palatino Linotype" w:hAnsi="Palatino Linotype" w:eastAsia="Times New Roman" w:cs="Times New Roman"/>
        </w:rPr>
        <w:t>geographic areas with high load growth and</w:t>
      </w:r>
      <w:r w:rsidRPr="00DD2C68" w:rsidR="00C6028E">
        <w:rPr>
          <w:rFonts w:ascii="Palatino Linotype" w:hAnsi="Palatino Linotype" w:eastAsia="Times New Roman" w:cs="Times New Roman"/>
        </w:rPr>
        <w:t xml:space="preserve"> </w:t>
      </w:r>
      <w:r w:rsidRPr="00DD2C68" w:rsidR="00C11365">
        <w:rPr>
          <w:rFonts w:ascii="Palatino Linotype" w:hAnsi="Palatino Linotype" w:eastAsia="Times New Roman" w:cs="Times New Roman"/>
        </w:rPr>
        <w:t>capacity constraints</w:t>
      </w:r>
      <w:r w:rsidRPr="00DD2C68" w:rsidR="005C5620">
        <w:rPr>
          <w:rFonts w:ascii="Palatino Linotype" w:hAnsi="Palatino Linotype" w:eastAsia="Times New Roman" w:cs="Times New Roman"/>
        </w:rPr>
        <w:t xml:space="preserve">. </w:t>
      </w:r>
      <w:r w:rsidRPr="00DD2C68" w:rsidR="00657C59">
        <w:rPr>
          <w:rFonts w:ascii="Palatino Linotype" w:hAnsi="Palatino Linotype" w:eastAsia="Times New Roman" w:cs="Times New Roman"/>
        </w:rPr>
        <w:t xml:space="preserve">The pending loads framework </w:t>
      </w:r>
      <w:r w:rsidRPr="00DD2C68" w:rsidR="00054071">
        <w:rPr>
          <w:rFonts w:ascii="Palatino Linotype" w:hAnsi="Palatino Linotype" w:eastAsia="Times New Roman" w:cs="Times New Roman"/>
        </w:rPr>
        <w:t>consists of four pending loads categories</w:t>
      </w:r>
      <w:r w:rsidRPr="00DD2C68" w:rsidR="00052ADD">
        <w:rPr>
          <w:rFonts w:ascii="Palatino Linotype" w:hAnsi="Palatino Linotype" w:eastAsia="Times New Roman" w:cs="Times New Roman"/>
        </w:rPr>
        <w:t xml:space="preserve"> depending on factors including </w:t>
      </w:r>
      <w:r w:rsidRPr="00DD2C68" w:rsidR="001A4160">
        <w:rPr>
          <w:rFonts w:ascii="Palatino Linotype" w:hAnsi="Palatino Linotype" w:eastAsia="Times New Roman" w:cs="Times New Roman"/>
        </w:rPr>
        <w:t xml:space="preserve">the </w:t>
      </w:r>
      <w:r w:rsidRPr="00DD2C68" w:rsidR="004C2DD7">
        <w:rPr>
          <w:rFonts w:ascii="Palatino Linotype" w:hAnsi="Palatino Linotype" w:eastAsia="Times New Roman" w:cs="Times New Roman"/>
        </w:rPr>
        <w:t>type</w:t>
      </w:r>
      <w:r w:rsidRPr="00DD2C68" w:rsidR="001A11AF">
        <w:rPr>
          <w:rFonts w:ascii="Palatino Linotype" w:hAnsi="Palatino Linotype" w:eastAsia="Times New Roman" w:cs="Times New Roman"/>
        </w:rPr>
        <w:t xml:space="preserve">, </w:t>
      </w:r>
      <w:r w:rsidRPr="00DD2C68" w:rsidR="001A4160">
        <w:rPr>
          <w:rFonts w:ascii="Palatino Linotype" w:hAnsi="Palatino Linotype" w:eastAsia="Times New Roman" w:cs="Times New Roman"/>
        </w:rPr>
        <w:t xml:space="preserve">completeness of the </w:t>
      </w:r>
      <w:r w:rsidRPr="00DD2C68" w:rsidR="00430120">
        <w:rPr>
          <w:rFonts w:ascii="Palatino Linotype" w:hAnsi="Palatino Linotype" w:eastAsia="Times New Roman" w:cs="Times New Roman"/>
        </w:rPr>
        <w:t>input data</w:t>
      </w:r>
      <w:r w:rsidRPr="00DD2C68" w:rsidR="001A11AF">
        <w:rPr>
          <w:rFonts w:ascii="Palatino Linotype" w:hAnsi="Palatino Linotype" w:eastAsia="Times New Roman" w:cs="Times New Roman"/>
        </w:rPr>
        <w:t xml:space="preserve">, and whether </w:t>
      </w:r>
      <w:r w:rsidRPr="00DD2C68" w:rsidR="00D27F46">
        <w:rPr>
          <w:rFonts w:ascii="Palatino Linotype" w:hAnsi="Palatino Linotype" w:eastAsia="Times New Roman" w:cs="Times New Roman"/>
        </w:rPr>
        <w:t>the pending loads fall within an identified hot spot</w:t>
      </w:r>
      <w:r w:rsidRPr="00DD2C68" w:rsidR="00052ADD">
        <w:rPr>
          <w:rFonts w:ascii="Palatino Linotype" w:hAnsi="Palatino Linotype" w:eastAsia="Times New Roman" w:cs="Times New Roman"/>
        </w:rPr>
        <w:t>.</w:t>
      </w:r>
      <w:r w:rsidRPr="00DD2C68" w:rsidR="004A5DF5">
        <w:rPr>
          <w:rFonts w:ascii="Palatino Linotype" w:hAnsi="Palatino Linotype" w:eastAsia="Times New Roman" w:cs="Times New Roman"/>
        </w:rPr>
        <w:t xml:space="preserve"> </w:t>
      </w:r>
    </w:p>
    <w:p w:rsidRPr="00DD2C68" w:rsidR="00C11365" w:rsidP="4A3BDD87" w:rsidRDefault="00C11365" w14:paraId="5E894935" w14:textId="1D7CB5CF">
      <w:pPr>
        <w:spacing w:after="0" w:line="240" w:lineRule="auto"/>
        <w:rPr>
          <w:rFonts w:ascii="Palatino Linotype" w:hAnsi="Palatino Linotype" w:eastAsia="Times New Roman" w:cs="Times New Roman"/>
        </w:rPr>
      </w:pPr>
    </w:p>
    <w:p w:rsidRPr="00DD2C68" w:rsidR="00FE2ACD" w:rsidP="4A3BDD87" w:rsidRDefault="00D276D6" w14:paraId="0047DE1C" w14:textId="04E3533D">
      <w:pPr>
        <w:spacing w:after="0" w:line="240" w:lineRule="auto"/>
        <w:rPr>
          <w:rFonts w:ascii="Palatino Linotype" w:hAnsi="Palatino Linotype" w:eastAsia="Times New Roman" w:cs="Times New Roman"/>
        </w:rPr>
      </w:pPr>
      <w:r w:rsidRPr="00DD2C68">
        <w:rPr>
          <w:rFonts w:ascii="Palatino Linotype" w:hAnsi="Palatino Linotype" w:eastAsia="Times New Roman" w:cs="Times New Roman"/>
        </w:rPr>
        <w:t xml:space="preserve">All utilities will be required to report data on all pending loads included in the distribution planning cycle in </w:t>
      </w:r>
      <w:r w:rsidRPr="00DD2C68" w:rsidR="00CB1307">
        <w:rPr>
          <w:rFonts w:ascii="Palatino Linotype" w:hAnsi="Palatino Linotype" w:eastAsia="Times New Roman" w:cs="Times New Roman"/>
        </w:rPr>
        <w:t xml:space="preserve">the </w:t>
      </w:r>
      <w:r w:rsidRPr="00DD2C68" w:rsidR="00D87310">
        <w:rPr>
          <w:rFonts w:ascii="Palatino Linotype" w:hAnsi="Palatino Linotype" w:eastAsia="Times New Roman" w:cs="Times New Roman"/>
        </w:rPr>
        <w:t>ann</w:t>
      </w:r>
      <w:r w:rsidRPr="00DD2C68" w:rsidR="00B97F1A">
        <w:rPr>
          <w:rFonts w:ascii="Palatino Linotype" w:hAnsi="Palatino Linotype" w:eastAsia="Times New Roman" w:cs="Times New Roman"/>
        </w:rPr>
        <w:t>u</w:t>
      </w:r>
      <w:r w:rsidRPr="00DD2C68" w:rsidR="00D87310">
        <w:rPr>
          <w:rFonts w:ascii="Palatino Linotype" w:hAnsi="Palatino Linotype" w:eastAsia="Times New Roman" w:cs="Times New Roman"/>
        </w:rPr>
        <w:t xml:space="preserve">al </w:t>
      </w:r>
      <w:r w:rsidRPr="00DD2C68" w:rsidR="00BE58A7">
        <w:rPr>
          <w:rFonts w:ascii="Palatino Linotype" w:hAnsi="Palatino Linotype" w:eastAsia="Times New Roman" w:cs="Times New Roman"/>
        </w:rPr>
        <w:t>Grid Needs Assessment (</w:t>
      </w:r>
      <w:r w:rsidRPr="00DD2C68" w:rsidR="00D87310">
        <w:rPr>
          <w:rFonts w:ascii="Palatino Linotype" w:hAnsi="Palatino Linotype" w:eastAsia="Times New Roman" w:cs="Times New Roman"/>
        </w:rPr>
        <w:t>GNA</w:t>
      </w:r>
      <w:r w:rsidRPr="00DD2C68" w:rsidR="00BE58A7">
        <w:rPr>
          <w:rFonts w:ascii="Palatino Linotype" w:hAnsi="Palatino Linotype" w:eastAsia="Times New Roman" w:cs="Times New Roman"/>
        </w:rPr>
        <w:t>) and Distribution Upgrade Project Report (</w:t>
      </w:r>
      <w:r w:rsidRPr="00DD2C68" w:rsidR="00D87310">
        <w:rPr>
          <w:rFonts w:ascii="Palatino Linotype" w:hAnsi="Palatino Linotype" w:eastAsia="Times New Roman" w:cs="Times New Roman"/>
        </w:rPr>
        <w:t>DUPR</w:t>
      </w:r>
      <w:r w:rsidRPr="00DD2C68" w:rsidR="00BE58A7">
        <w:rPr>
          <w:rFonts w:ascii="Palatino Linotype" w:hAnsi="Palatino Linotype" w:eastAsia="Times New Roman" w:cs="Times New Roman"/>
        </w:rPr>
        <w:t>)</w:t>
      </w:r>
      <w:r w:rsidRPr="00DD2C68" w:rsidR="00D87310">
        <w:rPr>
          <w:rFonts w:ascii="Palatino Linotype" w:hAnsi="Palatino Linotype" w:eastAsia="Times New Roman" w:cs="Times New Roman"/>
        </w:rPr>
        <w:t xml:space="preserve"> filings</w:t>
      </w:r>
      <w:r w:rsidRPr="00DD2C68" w:rsidR="000F2143">
        <w:rPr>
          <w:rFonts w:ascii="Palatino Linotype" w:hAnsi="Palatino Linotype" w:eastAsia="Times New Roman" w:cs="Times New Roman"/>
        </w:rPr>
        <w:t xml:space="preserve">. The utilities will also include data on the hot spots that were identified and utilized in </w:t>
      </w:r>
      <w:r w:rsidRPr="5FB9B0AE" w:rsidR="3EEF8E3F">
        <w:rPr>
          <w:rFonts w:ascii="Palatino Linotype" w:hAnsi="Palatino Linotype" w:eastAsia="Times New Roman" w:cs="Times New Roman"/>
        </w:rPr>
        <w:t>e</w:t>
      </w:r>
      <w:r w:rsidRPr="5FB9B0AE" w:rsidR="07697395">
        <w:rPr>
          <w:rFonts w:ascii="Palatino Linotype" w:hAnsi="Palatino Linotype" w:eastAsia="Times New Roman" w:cs="Times New Roman"/>
        </w:rPr>
        <w:t>ach</w:t>
      </w:r>
      <w:r w:rsidRPr="00DD2C68" w:rsidR="000F2143">
        <w:rPr>
          <w:rFonts w:ascii="Palatino Linotype" w:hAnsi="Palatino Linotype" w:eastAsia="Times New Roman" w:cs="Times New Roman"/>
        </w:rPr>
        <w:t xml:space="preserve"> GNA/DUPR</w:t>
      </w:r>
      <w:r w:rsidRPr="00DD2C68" w:rsidR="00D63255">
        <w:rPr>
          <w:rFonts w:ascii="Palatino Linotype" w:hAnsi="Palatino Linotype" w:eastAsia="Times New Roman" w:cs="Times New Roman"/>
        </w:rPr>
        <w:t xml:space="preserve"> cycle</w:t>
      </w:r>
      <w:r w:rsidRPr="00DD2C68" w:rsidR="000F2143">
        <w:rPr>
          <w:rFonts w:ascii="Palatino Linotype" w:hAnsi="Palatino Linotype" w:eastAsia="Times New Roman" w:cs="Times New Roman"/>
        </w:rPr>
        <w:t xml:space="preserve">. </w:t>
      </w:r>
      <w:r w:rsidRPr="00DD2C68" w:rsidR="007C7530">
        <w:rPr>
          <w:rFonts w:ascii="Palatino Linotype" w:hAnsi="Palatino Linotype" w:eastAsia="Times New Roman" w:cs="Times New Roman"/>
        </w:rPr>
        <w:t xml:space="preserve">Each utility will also describe how </w:t>
      </w:r>
      <w:r w:rsidRPr="00DD2C68" w:rsidR="00427D4A">
        <w:rPr>
          <w:rFonts w:ascii="Palatino Linotype" w:hAnsi="Palatino Linotype" w:eastAsia="Times New Roman" w:cs="Times New Roman"/>
        </w:rPr>
        <w:t xml:space="preserve">grid needs and </w:t>
      </w:r>
      <w:r w:rsidRPr="00DD2C68" w:rsidR="00E71508">
        <w:rPr>
          <w:rFonts w:ascii="Palatino Linotype" w:hAnsi="Palatino Linotype" w:eastAsia="Times New Roman" w:cs="Times New Roman"/>
        </w:rPr>
        <w:t xml:space="preserve">planned investments </w:t>
      </w:r>
      <w:r w:rsidRPr="00DD2C68" w:rsidR="00D967F7">
        <w:rPr>
          <w:rFonts w:ascii="Palatino Linotype" w:hAnsi="Palatino Linotype" w:eastAsia="Times New Roman" w:cs="Times New Roman"/>
        </w:rPr>
        <w:t xml:space="preserve">are re-evaluated every distribution planning cycle </w:t>
      </w:r>
      <w:r w:rsidRPr="00DD2C68" w:rsidR="00D74244">
        <w:rPr>
          <w:rFonts w:ascii="Palatino Linotype" w:hAnsi="Palatino Linotype" w:eastAsia="Times New Roman" w:cs="Times New Roman"/>
        </w:rPr>
        <w:t xml:space="preserve">based on changes </w:t>
      </w:r>
      <w:r w:rsidRPr="00DD2C68" w:rsidR="00F33568">
        <w:rPr>
          <w:rFonts w:ascii="Palatino Linotype" w:hAnsi="Palatino Linotype" w:eastAsia="Times New Roman" w:cs="Times New Roman"/>
        </w:rPr>
        <w:t>in pending load</w:t>
      </w:r>
      <w:r w:rsidRPr="00DD2C68" w:rsidR="00F96080">
        <w:rPr>
          <w:rFonts w:ascii="Palatino Linotype" w:hAnsi="Palatino Linotype" w:eastAsia="Times New Roman" w:cs="Times New Roman"/>
        </w:rPr>
        <w:t>s.</w:t>
      </w:r>
      <w:r w:rsidRPr="00DD2C68" w:rsidR="00D47177">
        <w:rPr>
          <w:rFonts w:ascii="Palatino Linotype" w:hAnsi="Palatino Linotype" w:eastAsia="Times New Roman" w:cs="Times New Roman"/>
        </w:rPr>
        <w:t xml:space="preserve"> </w:t>
      </w:r>
      <w:r w:rsidRPr="00DD2C68" w:rsidR="009E0C6E">
        <w:rPr>
          <w:rFonts w:ascii="Palatino Linotype" w:hAnsi="Palatino Linotype" w:eastAsia="Times New Roman" w:cs="Times New Roman"/>
        </w:rPr>
        <w:t xml:space="preserve">Per Decision </w:t>
      </w:r>
      <w:r w:rsidR="00CB1F90">
        <w:rPr>
          <w:rFonts w:ascii="Palatino Linotype" w:hAnsi="Palatino Linotype" w:eastAsia="Times New Roman" w:cs="Times New Roman"/>
        </w:rPr>
        <w:br/>
      </w:r>
      <w:r w:rsidRPr="00DD2C68" w:rsidR="00626456">
        <w:rPr>
          <w:rFonts w:ascii="Palatino Linotype" w:hAnsi="Palatino Linotype" w:eastAsia="Times New Roman" w:cs="Times New Roman"/>
        </w:rPr>
        <w:t>(</w:t>
      </w:r>
      <w:r w:rsidRPr="00DD2C68" w:rsidR="009E0C6E">
        <w:rPr>
          <w:rFonts w:ascii="Palatino Linotype" w:hAnsi="Palatino Linotype" w:eastAsia="Times New Roman" w:cs="Times New Roman"/>
        </w:rPr>
        <w:t>D.</w:t>
      </w:r>
      <w:r w:rsidRPr="00DD2C68" w:rsidR="00626456">
        <w:rPr>
          <w:rFonts w:ascii="Palatino Linotype" w:hAnsi="Palatino Linotype" w:eastAsia="Times New Roman" w:cs="Times New Roman"/>
        </w:rPr>
        <w:t>)</w:t>
      </w:r>
      <w:r w:rsidRPr="00DD2C68" w:rsidR="009E0C6E">
        <w:rPr>
          <w:rFonts w:ascii="Palatino Linotype" w:hAnsi="Palatino Linotype" w:eastAsia="Times New Roman" w:cs="Times New Roman"/>
        </w:rPr>
        <w:t xml:space="preserve">24-10-030, each utility will collect data for the 2027 pending load evaluation </w:t>
      </w:r>
      <w:r w:rsidRPr="00DD2C68" w:rsidR="008867BE">
        <w:rPr>
          <w:rFonts w:ascii="Palatino Linotype" w:hAnsi="Palatino Linotype" w:eastAsia="Times New Roman" w:cs="Times New Roman"/>
        </w:rPr>
        <w:t xml:space="preserve">workshop and advice letter. </w:t>
      </w:r>
    </w:p>
    <w:p w:rsidRPr="00DD2C68" w:rsidR="00277932" w:rsidP="4A3BDD87" w:rsidRDefault="00277932" w14:paraId="26310F3A" w14:textId="3E54E4B7">
      <w:pPr>
        <w:spacing w:after="0" w:line="240" w:lineRule="auto"/>
        <w:rPr>
          <w:rFonts w:ascii="Palatino Linotype" w:hAnsi="Palatino Linotype" w:eastAsia="Times New Roman" w:cs="Times New Roman"/>
        </w:rPr>
      </w:pPr>
    </w:p>
    <w:p w:rsidRPr="00DD2C68" w:rsidR="4A3BDD87" w:rsidP="00D33F03" w:rsidRDefault="00A76F4A" w14:paraId="0174DFE4" w14:textId="2B7B7493">
      <w:pPr>
        <w:keepNext/>
        <w:spacing w:before="120" w:after="240" w:line="240" w:lineRule="auto"/>
        <w:outlineLvl w:val="0"/>
        <w:rPr>
          <w:rFonts w:ascii="Palatino Linotype" w:hAnsi="Palatino Linotype" w:eastAsia="Palatino Linotype" w:cs="Times New Roman"/>
          <w:b/>
          <w:caps/>
          <w:kern w:val="28"/>
          <w:u w:val="single"/>
          <w14:ligatures w14:val="none"/>
        </w:rPr>
      </w:pPr>
      <w:r w:rsidRPr="00DD2C68">
        <w:rPr>
          <w:rFonts w:ascii="Palatino Linotype" w:hAnsi="Palatino Linotype" w:eastAsia="Palatino Linotype" w:cs="Times New Roman"/>
          <w:b/>
          <w:caps/>
          <w:kern w:val="28"/>
          <w:u w:val="single"/>
          <w14:ligatures w14:val="none"/>
        </w:rPr>
        <w:t>Background</w:t>
      </w:r>
    </w:p>
    <w:p w:rsidRPr="00DD2C68" w:rsidR="3786E232" w:rsidP="00116DB1" w:rsidRDefault="3786E232" w14:paraId="7C622239" w14:textId="189C73F0">
      <w:pPr>
        <w:spacing w:after="0" w:line="240" w:lineRule="auto"/>
        <w:rPr>
          <w:rFonts w:ascii="Palatino Linotype" w:hAnsi="Palatino Linotype" w:eastAsia="Times New Roman" w:cs="Times New Roman"/>
        </w:rPr>
      </w:pPr>
      <w:r w:rsidRPr="00DD2C68">
        <w:rPr>
          <w:rFonts w:ascii="Palatino Linotype" w:hAnsi="Palatino Linotype" w:eastAsia="Times New Roman" w:cs="Times New Roman"/>
        </w:rPr>
        <w:t xml:space="preserve">This Resolution disposes of Advice Letter </w:t>
      </w:r>
      <w:r w:rsidRPr="00DD2C68" w:rsidR="00CB5EAB">
        <w:rPr>
          <w:rFonts w:ascii="Palatino Linotype" w:hAnsi="Palatino Linotype" w:eastAsia="Times New Roman" w:cs="Times New Roman"/>
        </w:rPr>
        <w:t>5567-E</w:t>
      </w:r>
      <w:r w:rsidRPr="00DD2C68">
        <w:rPr>
          <w:rFonts w:ascii="Palatino Linotype" w:hAnsi="Palatino Linotype" w:eastAsia="Times New Roman" w:cs="Times New Roman"/>
        </w:rPr>
        <w:t xml:space="preserve"> as ordered by D</w:t>
      </w:r>
      <w:r w:rsidRPr="00DD2C68" w:rsidR="6027EABC">
        <w:rPr>
          <w:rFonts w:ascii="Palatino Linotype" w:hAnsi="Palatino Linotype" w:eastAsia="Times New Roman" w:cs="Times New Roman"/>
        </w:rPr>
        <w:t>.24-10-030</w:t>
      </w:r>
      <w:r w:rsidRPr="00DD2C68" w:rsidR="00B93499">
        <w:rPr>
          <w:rFonts w:ascii="Palatino Linotype" w:hAnsi="Palatino Linotype" w:eastAsia="Times New Roman" w:cs="Times New Roman"/>
        </w:rPr>
        <w:t xml:space="preserve"> (the Decision)</w:t>
      </w:r>
      <w:r w:rsidRPr="00DD2C68" w:rsidR="6027EABC">
        <w:rPr>
          <w:rFonts w:ascii="Palatino Linotype" w:hAnsi="Palatino Linotype" w:eastAsia="Times New Roman" w:cs="Times New Roman"/>
        </w:rPr>
        <w:t>, issued on 10/23/2024.</w:t>
      </w:r>
      <w:r w:rsidRPr="00DD2C68" w:rsidR="7F887FD9">
        <w:rPr>
          <w:rFonts w:ascii="Palatino Linotype" w:hAnsi="Palatino Linotype" w:eastAsia="Times New Roman" w:cs="Times New Roman"/>
        </w:rPr>
        <w:t xml:space="preserve"> The </w:t>
      </w:r>
      <w:r w:rsidRPr="00DD2C68" w:rsidR="00A64237">
        <w:rPr>
          <w:rFonts w:ascii="Palatino Linotype" w:hAnsi="Palatino Linotype" w:eastAsia="Times New Roman" w:cs="Times New Roman"/>
        </w:rPr>
        <w:t>D</w:t>
      </w:r>
      <w:r w:rsidRPr="00DD2C68" w:rsidR="7F887FD9">
        <w:rPr>
          <w:rFonts w:ascii="Palatino Linotype" w:hAnsi="Palatino Linotype" w:eastAsia="Times New Roman" w:cs="Times New Roman"/>
        </w:rPr>
        <w:t xml:space="preserve">ecision directed the joint utilities to develop and implement a pending loads category in their </w:t>
      </w:r>
      <w:r w:rsidRPr="00DD2C68" w:rsidR="007E33B2">
        <w:rPr>
          <w:rFonts w:ascii="Palatino Linotype" w:hAnsi="Palatino Linotype" w:eastAsia="Times New Roman" w:cs="Times New Roman"/>
        </w:rPr>
        <w:t xml:space="preserve">2025-2026 </w:t>
      </w:r>
      <w:r w:rsidRPr="00DD2C68" w:rsidR="7F887FD9">
        <w:rPr>
          <w:rFonts w:ascii="Palatino Linotype" w:hAnsi="Palatino Linotype" w:eastAsia="Times New Roman" w:cs="Times New Roman"/>
        </w:rPr>
        <w:t xml:space="preserve">Distribution Planning </w:t>
      </w:r>
      <w:r w:rsidRPr="00DD2C68" w:rsidR="00C2521A">
        <w:rPr>
          <w:rFonts w:ascii="Palatino Linotype" w:hAnsi="Palatino Linotype" w:eastAsia="Times New Roman" w:cs="Times New Roman"/>
        </w:rPr>
        <w:t xml:space="preserve">and Execution </w:t>
      </w:r>
      <w:r w:rsidRPr="00DD2C68" w:rsidR="7F887FD9">
        <w:rPr>
          <w:rFonts w:ascii="Palatino Linotype" w:hAnsi="Palatino Linotype" w:eastAsia="Times New Roman" w:cs="Times New Roman"/>
        </w:rPr>
        <w:t>Process (DP</w:t>
      </w:r>
      <w:r w:rsidRPr="00DD2C68" w:rsidR="00C2521A">
        <w:rPr>
          <w:rFonts w:ascii="Palatino Linotype" w:hAnsi="Palatino Linotype" w:eastAsia="Times New Roman" w:cs="Times New Roman"/>
        </w:rPr>
        <w:t>E</w:t>
      </w:r>
      <w:r w:rsidRPr="00DD2C68" w:rsidR="7F887FD9">
        <w:rPr>
          <w:rFonts w:ascii="Palatino Linotype" w:hAnsi="Palatino Linotype" w:eastAsia="Times New Roman" w:cs="Times New Roman"/>
        </w:rPr>
        <w:t xml:space="preserve">P) that would be informed by existing coordination efforts, planning programs, and an aggregation of publicly available information. </w:t>
      </w:r>
      <w:r w:rsidRPr="00DD2C68" w:rsidR="00A859F0">
        <w:rPr>
          <w:rFonts w:ascii="Palatino Linotype" w:hAnsi="Palatino Linotype" w:eastAsia="Times New Roman" w:cs="Times New Roman"/>
        </w:rPr>
        <w:t xml:space="preserve">As the </w:t>
      </w:r>
      <w:r w:rsidRPr="00DD2C68" w:rsidR="006963CB">
        <w:rPr>
          <w:rFonts w:ascii="Palatino Linotype" w:hAnsi="Palatino Linotype" w:eastAsia="Times New Roman" w:cs="Times New Roman"/>
        </w:rPr>
        <w:t>D</w:t>
      </w:r>
      <w:r w:rsidRPr="00DD2C68" w:rsidR="00A859F0">
        <w:rPr>
          <w:rFonts w:ascii="Palatino Linotype" w:hAnsi="Palatino Linotype" w:eastAsia="Times New Roman" w:cs="Times New Roman"/>
        </w:rPr>
        <w:t>ecision explains, p</w:t>
      </w:r>
      <w:r w:rsidRPr="00DD2C68" w:rsidR="7F887FD9">
        <w:rPr>
          <w:rFonts w:ascii="Palatino Linotype" w:hAnsi="Palatino Linotype" w:eastAsia="Times New Roman" w:cs="Times New Roman"/>
        </w:rPr>
        <w:t>ending loads are less certain than a known load (e.g., a customer request for service) but more certain than economic disaggregation of the</w:t>
      </w:r>
      <w:r w:rsidRPr="00DD2C68" w:rsidR="000D5E99">
        <w:rPr>
          <w:rFonts w:ascii="Palatino Linotype" w:hAnsi="Palatino Linotype" w:eastAsia="Times New Roman" w:cs="Times New Roman"/>
        </w:rPr>
        <w:t xml:space="preserve"> California Energy Commission’s Integrated Energy</w:t>
      </w:r>
      <w:r w:rsidRPr="00DD2C68" w:rsidR="006963CB">
        <w:rPr>
          <w:rFonts w:ascii="Palatino Linotype" w:hAnsi="Palatino Linotype" w:eastAsia="Times New Roman" w:cs="Times New Roman"/>
        </w:rPr>
        <w:t xml:space="preserve"> Policy Report</w:t>
      </w:r>
      <w:r w:rsidRPr="00DD2C68" w:rsidR="7F887FD9">
        <w:rPr>
          <w:rFonts w:ascii="Palatino Linotype" w:hAnsi="Palatino Linotype" w:eastAsia="Times New Roman" w:cs="Times New Roman"/>
        </w:rPr>
        <w:t xml:space="preserve"> </w:t>
      </w:r>
      <w:r w:rsidRPr="00DD2C68" w:rsidR="006963CB">
        <w:rPr>
          <w:rFonts w:ascii="Palatino Linotype" w:hAnsi="Palatino Linotype" w:eastAsia="Times New Roman" w:cs="Times New Roman"/>
        </w:rPr>
        <w:t>(</w:t>
      </w:r>
      <w:r w:rsidRPr="00DD2C68" w:rsidR="7F887FD9">
        <w:rPr>
          <w:rFonts w:ascii="Palatino Linotype" w:hAnsi="Palatino Linotype" w:eastAsia="Times New Roman" w:cs="Times New Roman"/>
        </w:rPr>
        <w:t>IEPR</w:t>
      </w:r>
      <w:r w:rsidRPr="00DD2C68" w:rsidR="006963CB">
        <w:rPr>
          <w:rFonts w:ascii="Palatino Linotype" w:hAnsi="Palatino Linotype" w:eastAsia="Times New Roman" w:cs="Times New Roman"/>
        </w:rPr>
        <w:t>)</w:t>
      </w:r>
      <w:r w:rsidRPr="00DD2C68" w:rsidR="7F887FD9">
        <w:rPr>
          <w:rFonts w:ascii="Palatino Linotype" w:hAnsi="Palatino Linotype" w:eastAsia="Times New Roman" w:cs="Times New Roman"/>
        </w:rPr>
        <w:t xml:space="preserve"> forecast based on trends</w:t>
      </w:r>
      <w:r w:rsidRPr="00DD2C68" w:rsidR="00FC1F0B">
        <w:rPr>
          <w:rFonts w:ascii="Palatino Linotype" w:hAnsi="Palatino Linotype" w:eastAsia="Times New Roman" w:cs="Times New Roman"/>
        </w:rPr>
        <w:t>. The purpose of pending loads is to improve forecast certainty</w:t>
      </w:r>
      <w:r w:rsidRPr="00DD2C68" w:rsidR="00E548E9">
        <w:rPr>
          <w:rFonts w:ascii="Palatino Linotype" w:hAnsi="Palatino Linotype" w:eastAsia="Times New Roman" w:cs="Times New Roman"/>
        </w:rPr>
        <w:t xml:space="preserve"> in the </w:t>
      </w:r>
      <w:r w:rsidRPr="00DD2C68" w:rsidR="00535E85">
        <w:rPr>
          <w:rFonts w:ascii="Palatino Linotype" w:hAnsi="Palatino Linotype" w:eastAsia="Times New Roman" w:cs="Times New Roman"/>
        </w:rPr>
        <w:t xml:space="preserve">medium-term of the forecast </w:t>
      </w:r>
      <w:r w:rsidRPr="00DD2C68" w:rsidR="001D64DF">
        <w:rPr>
          <w:rFonts w:ascii="Palatino Linotype" w:hAnsi="Palatino Linotype" w:eastAsia="Times New Roman" w:cs="Times New Roman"/>
        </w:rPr>
        <w:t xml:space="preserve">to support </w:t>
      </w:r>
      <w:r w:rsidRPr="00DD2C68" w:rsidR="00C74005">
        <w:rPr>
          <w:rFonts w:ascii="Palatino Linotype" w:hAnsi="Palatino Linotype" w:eastAsia="Times New Roman" w:cs="Times New Roman"/>
        </w:rPr>
        <w:t>proactive investments</w:t>
      </w:r>
      <w:r w:rsidRPr="00DD2C68" w:rsidR="00115889">
        <w:rPr>
          <w:rFonts w:ascii="Palatino Linotype" w:hAnsi="Palatino Linotype" w:eastAsia="Times New Roman" w:cs="Times New Roman"/>
        </w:rPr>
        <w:t xml:space="preserve"> with the goal of </w:t>
      </w:r>
      <w:r w:rsidRPr="00DD2C68" w:rsidR="00116DB1">
        <w:rPr>
          <w:rFonts w:ascii="Palatino Linotype" w:hAnsi="Palatino Linotype" w:eastAsia="Times New Roman" w:cs="Times New Roman"/>
        </w:rPr>
        <w:t>meeting electric demand growth while balancing the risk of overinvestment. The Deci</w:t>
      </w:r>
      <w:r w:rsidRPr="00DD2C68" w:rsidR="000608B3">
        <w:rPr>
          <w:rFonts w:ascii="Palatino Linotype" w:hAnsi="Palatino Linotype" w:eastAsia="Times New Roman" w:cs="Times New Roman"/>
        </w:rPr>
        <w:t>sion state</w:t>
      </w:r>
      <w:r w:rsidRPr="00DD2C68" w:rsidR="00B93499">
        <w:rPr>
          <w:rFonts w:ascii="Palatino Linotype" w:hAnsi="Palatino Linotype" w:eastAsia="Times New Roman" w:cs="Times New Roman"/>
        </w:rPr>
        <w:t>d</w:t>
      </w:r>
      <w:r w:rsidRPr="00DD2C68" w:rsidR="000608B3">
        <w:rPr>
          <w:rFonts w:ascii="Palatino Linotype" w:hAnsi="Palatino Linotype" w:eastAsia="Times New Roman" w:cs="Times New Roman"/>
        </w:rPr>
        <w:t xml:space="preserve"> that c</w:t>
      </w:r>
      <w:r w:rsidRPr="00DD2C68" w:rsidR="7F887FD9">
        <w:rPr>
          <w:rFonts w:ascii="Palatino Linotype" w:hAnsi="Palatino Linotype" w:eastAsia="Times New Roman" w:cs="Times New Roman"/>
        </w:rPr>
        <w:t xml:space="preserve">reating a pending loads category will inform scenario planning and increase utility awareness of where loads will likely appear in the mid-term years (i.e., </w:t>
      </w:r>
      <w:r w:rsidRPr="00DD2C68" w:rsidR="00C64841">
        <w:rPr>
          <w:rFonts w:ascii="Palatino Linotype" w:hAnsi="Palatino Linotype" w:eastAsia="Times New Roman" w:cs="Times New Roman"/>
        </w:rPr>
        <w:t xml:space="preserve">approximately </w:t>
      </w:r>
      <w:r w:rsidRPr="00DD2C68" w:rsidR="7F887FD9">
        <w:rPr>
          <w:rFonts w:ascii="Palatino Linotype" w:hAnsi="Palatino Linotype" w:eastAsia="Times New Roman" w:cs="Times New Roman"/>
        </w:rPr>
        <w:t>year two through year five) of the DP</w:t>
      </w:r>
      <w:r w:rsidRPr="00DD2C68" w:rsidR="00BE58A7">
        <w:rPr>
          <w:rFonts w:ascii="Palatino Linotype" w:hAnsi="Palatino Linotype" w:eastAsia="Times New Roman" w:cs="Times New Roman"/>
        </w:rPr>
        <w:t>E</w:t>
      </w:r>
      <w:r w:rsidRPr="00DD2C68" w:rsidR="7F887FD9">
        <w:rPr>
          <w:rFonts w:ascii="Palatino Linotype" w:hAnsi="Palatino Linotype" w:eastAsia="Times New Roman" w:cs="Times New Roman"/>
        </w:rPr>
        <w:t>P.</w:t>
      </w:r>
      <w:r w:rsidRPr="00DD2C68" w:rsidR="7E13A517">
        <w:rPr>
          <w:rFonts w:ascii="Palatino Linotype" w:hAnsi="Palatino Linotype" w:eastAsia="Times New Roman" w:cs="Times New Roman"/>
        </w:rPr>
        <w:t xml:space="preserve"> </w:t>
      </w:r>
    </w:p>
    <w:p w:rsidRPr="00DD2C68" w:rsidR="4A3BDD87" w:rsidP="4A3BDD87" w:rsidRDefault="4A3BDD87" w14:paraId="4D7AD1D8" w14:textId="45188884">
      <w:pPr>
        <w:spacing w:after="0" w:line="240" w:lineRule="auto"/>
        <w:rPr>
          <w:rFonts w:ascii="Palatino Linotype" w:hAnsi="Palatino Linotype" w:eastAsia="Times New Roman" w:cs="Times New Roman"/>
        </w:rPr>
      </w:pPr>
    </w:p>
    <w:p w:rsidRPr="00DD2C68" w:rsidR="7E13A517" w:rsidP="4A3BDD87" w:rsidRDefault="58FAB69B" w14:paraId="3F026BE7" w14:textId="342C7E5A">
      <w:pPr>
        <w:spacing w:after="0" w:line="240" w:lineRule="auto"/>
        <w:rPr>
          <w:rFonts w:ascii="Palatino Linotype" w:hAnsi="Palatino Linotype" w:eastAsia="Palatino Linotype" w:cs="Palatino Linotype"/>
        </w:rPr>
      </w:pPr>
      <w:r w:rsidRPr="00DD2C68">
        <w:rPr>
          <w:rFonts w:ascii="Palatino Linotype" w:hAnsi="Palatino Linotype" w:eastAsia="Times New Roman" w:cs="Times New Roman"/>
        </w:rPr>
        <w:lastRenderedPageBreak/>
        <w:t>To fu</w:t>
      </w:r>
      <w:r w:rsidRPr="00DD2C68" w:rsidR="3B661D34">
        <w:rPr>
          <w:rFonts w:ascii="Palatino Linotype" w:hAnsi="Palatino Linotype" w:eastAsia="Times New Roman" w:cs="Times New Roman"/>
        </w:rPr>
        <w:t xml:space="preserve">rther develop the details of the pending loads category, the Decision </w:t>
      </w:r>
      <w:r w:rsidRPr="00DD2C68" w:rsidR="735A9043">
        <w:rPr>
          <w:rFonts w:ascii="Palatino Linotype" w:hAnsi="Palatino Linotype" w:eastAsia="Times New Roman" w:cs="Times New Roman"/>
        </w:rPr>
        <w:t>r</w:t>
      </w:r>
      <w:r w:rsidRPr="00DD2C68" w:rsidR="3B661D34">
        <w:rPr>
          <w:rFonts w:ascii="Palatino Linotype" w:hAnsi="Palatino Linotype" w:eastAsia="Times New Roman" w:cs="Times New Roman"/>
        </w:rPr>
        <w:t xml:space="preserve">equired </w:t>
      </w:r>
      <w:r w:rsidRPr="00DD2C68" w:rsidR="3B661D34">
        <w:rPr>
          <w:rFonts w:ascii="Palatino Linotype" w:hAnsi="Palatino Linotype" w:eastAsia="Palatino Linotype" w:cs="Palatino Linotype"/>
        </w:rPr>
        <w:t xml:space="preserve">a utility-facilitated public workshop to discuss two objectives: (1) how to gather energization plans from customers; and (2) how to formalize a process to utilize energization plans to plan and build infrastructure in advance of energization requests, while being mindful of cost considerations and impacts to ratepayers. This workshop was held </w:t>
      </w:r>
      <w:r w:rsidRPr="00DD2C68" w:rsidR="10000B62">
        <w:rPr>
          <w:rFonts w:ascii="Palatino Linotype" w:hAnsi="Palatino Linotype" w:eastAsia="Palatino Linotype" w:cs="Palatino Linotype"/>
        </w:rPr>
        <w:t xml:space="preserve">virtually </w:t>
      </w:r>
      <w:r w:rsidRPr="00DD2C68" w:rsidR="3B661D34">
        <w:rPr>
          <w:rFonts w:ascii="Palatino Linotype" w:hAnsi="Palatino Linotype" w:eastAsia="Palatino Linotype" w:cs="Palatino Linotype"/>
        </w:rPr>
        <w:t xml:space="preserve">on March </w:t>
      </w:r>
      <w:r w:rsidRPr="00DD2C68" w:rsidR="2E5011E4">
        <w:rPr>
          <w:rFonts w:ascii="Palatino Linotype" w:hAnsi="Palatino Linotype" w:eastAsia="Palatino Linotype" w:cs="Palatino Linotype"/>
        </w:rPr>
        <w:t>14, 2025, from 9:00 AM to 3:30 PM</w:t>
      </w:r>
      <w:r w:rsidRPr="00DD2C68" w:rsidR="09761D64">
        <w:rPr>
          <w:rFonts w:ascii="Palatino Linotype" w:hAnsi="Palatino Linotype" w:eastAsia="Palatino Linotype" w:cs="Palatino Linotype"/>
        </w:rPr>
        <w:t xml:space="preserve">. As directed by the Decision, following the workshop, the joint utilities filed a Pending Loads Workshop Report on </w:t>
      </w:r>
      <w:r w:rsidRPr="00DD2C68" w:rsidR="71CCD87E">
        <w:rPr>
          <w:rFonts w:ascii="Palatino Linotype" w:hAnsi="Palatino Linotype" w:eastAsia="Palatino Linotype" w:cs="Palatino Linotype"/>
        </w:rPr>
        <w:t xml:space="preserve">April </w:t>
      </w:r>
      <w:r w:rsidRPr="00DD2C68" w:rsidR="09761D64">
        <w:rPr>
          <w:rFonts w:ascii="Palatino Linotype" w:hAnsi="Palatino Linotype" w:eastAsia="Palatino Linotype" w:cs="Palatino Linotype"/>
        </w:rPr>
        <w:t>1, 2025</w:t>
      </w:r>
      <w:r w:rsidRPr="00DD2C68" w:rsidR="001F2863">
        <w:rPr>
          <w:rStyle w:val="FootnoteReference"/>
          <w:rFonts w:ascii="Palatino Linotype" w:hAnsi="Palatino Linotype" w:eastAsia="Palatino Linotype" w:cs="Palatino Linotype"/>
        </w:rPr>
        <w:footnoteReference w:id="2"/>
      </w:r>
      <w:r w:rsidRPr="00DD2C68" w:rsidR="09761D64">
        <w:rPr>
          <w:rFonts w:ascii="Palatino Linotype" w:hAnsi="Palatino Linotype" w:eastAsia="Palatino Linotype" w:cs="Palatino Linotype"/>
        </w:rPr>
        <w:t xml:space="preserve">. </w:t>
      </w:r>
      <w:r w:rsidRPr="00DD2C68" w:rsidR="339C9C9E">
        <w:rPr>
          <w:rFonts w:ascii="Palatino Linotype" w:hAnsi="Palatino Linotype" w:eastAsia="Palatino Linotype" w:cs="Palatino Linotype"/>
        </w:rPr>
        <w:t xml:space="preserve">The Decision allowed </w:t>
      </w:r>
      <w:r w:rsidRPr="00DD2C68" w:rsidR="55EC8F44">
        <w:rPr>
          <w:rFonts w:ascii="Palatino Linotype" w:hAnsi="Palatino Linotype" w:eastAsia="Palatino Linotype" w:cs="Palatino Linotype"/>
        </w:rPr>
        <w:t>for parties to submit informal comments to the workshop report by May 1, 2025, that the joint utilities were r</w:t>
      </w:r>
      <w:r w:rsidRPr="00DD2C68" w:rsidR="11B96E52">
        <w:rPr>
          <w:rFonts w:ascii="Palatino Linotype" w:hAnsi="Palatino Linotype" w:eastAsia="Palatino Linotype" w:cs="Palatino Linotype"/>
        </w:rPr>
        <w:t>equired to consider and discuss in the Tier 3 Advice Letter</w:t>
      </w:r>
      <w:r w:rsidRPr="00DD2C68" w:rsidR="55EC8F44">
        <w:rPr>
          <w:rFonts w:ascii="Palatino Linotype" w:hAnsi="Palatino Linotype" w:eastAsia="Palatino Linotype" w:cs="Palatino Linotype"/>
        </w:rPr>
        <w:t xml:space="preserve">. </w:t>
      </w:r>
      <w:r w:rsidRPr="00DD2C68" w:rsidR="69E0C334">
        <w:rPr>
          <w:rFonts w:ascii="Palatino Linotype" w:hAnsi="Palatino Linotype" w:eastAsia="Palatino Linotype" w:cs="Palatino Linotype"/>
        </w:rPr>
        <w:t>Informal c</w:t>
      </w:r>
      <w:r w:rsidRPr="00DD2C68" w:rsidR="55EC8F44">
        <w:rPr>
          <w:rFonts w:ascii="Palatino Linotype" w:hAnsi="Palatino Linotype" w:eastAsia="Palatino Linotype" w:cs="Palatino Linotype"/>
        </w:rPr>
        <w:t xml:space="preserve">omments were received </w:t>
      </w:r>
      <w:r w:rsidRPr="00DD2C68" w:rsidR="1F039CD1">
        <w:rPr>
          <w:rFonts w:ascii="Palatino Linotype" w:hAnsi="Palatino Linotype" w:eastAsia="Palatino Linotype" w:cs="Palatino Linotype"/>
        </w:rPr>
        <w:t>from</w:t>
      </w:r>
      <w:r w:rsidRPr="00DD2C68" w:rsidR="55EC8F44">
        <w:rPr>
          <w:rFonts w:ascii="Palatino Linotype" w:hAnsi="Palatino Linotype" w:eastAsia="Palatino Linotype" w:cs="Palatino Linotype"/>
        </w:rPr>
        <w:t xml:space="preserve"> </w:t>
      </w:r>
      <w:r w:rsidRPr="00DD2C68" w:rsidR="4E871576">
        <w:rPr>
          <w:rFonts w:ascii="Palatino Linotype" w:hAnsi="Palatino Linotype" w:eastAsia="Palatino Linotype" w:cs="Palatino Linotype"/>
        </w:rPr>
        <w:t xml:space="preserve">The Utility Reform Network (TURN), the Public Advocates Office (PAO), the California Community Choice Association (CalCCA), </w:t>
      </w:r>
      <w:r w:rsidRPr="00DD2C68" w:rsidR="6D192A94">
        <w:rPr>
          <w:rFonts w:ascii="Palatino Linotype" w:hAnsi="Palatino Linotype" w:eastAsia="Palatino Linotype" w:cs="Palatino Linotype"/>
        </w:rPr>
        <w:t xml:space="preserve">CALSTART, INC., and Powering </w:t>
      </w:r>
      <w:r w:rsidR="007E5D4D">
        <w:rPr>
          <w:rFonts w:ascii="Palatino Linotype" w:hAnsi="Palatino Linotype" w:eastAsia="Palatino Linotype" w:cs="Palatino Linotype"/>
        </w:rPr>
        <w:br/>
      </w:r>
      <w:r w:rsidRPr="00DD2C68" w:rsidR="6D192A94">
        <w:rPr>
          <w:rFonts w:ascii="Palatino Linotype" w:hAnsi="Palatino Linotype" w:eastAsia="Palatino Linotype" w:cs="Palatino Linotype"/>
        </w:rPr>
        <w:t xml:space="preserve">America’s Commercial Transportation (PACT). </w:t>
      </w:r>
    </w:p>
    <w:p w:rsidRPr="00DD2C68" w:rsidR="4A3BDD87" w:rsidP="4A3BDD87" w:rsidRDefault="4A3BDD87" w14:paraId="767946F4" w14:textId="29F815CB">
      <w:pPr>
        <w:spacing w:after="0" w:line="240" w:lineRule="auto"/>
        <w:rPr>
          <w:rFonts w:ascii="Palatino Linotype" w:hAnsi="Palatino Linotype" w:eastAsia="Palatino Linotype" w:cs="Palatino Linotype"/>
        </w:rPr>
      </w:pPr>
    </w:p>
    <w:p w:rsidRPr="00DD2C68" w:rsidR="7E13A517" w:rsidP="4A3BDD87" w:rsidRDefault="7E13A517" w14:paraId="04EB52FE" w14:textId="463DFEF9">
      <w:p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The Decision directed the joint utilities to submit a Tier 3 Advice Letter proposing the method for developing the pending loads category and incorporating the category into the DP</w:t>
      </w:r>
      <w:r w:rsidRPr="00DD2C68" w:rsidR="00C86E76">
        <w:rPr>
          <w:rFonts w:ascii="Palatino Linotype" w:hAnsi="Palatino Linotype" w:eastAsia="Palatino Linotype" w:cs="Palatino Linotype"/>
        </w:rPr>
        <w:t>E</w:t>
      </w:r>
      <w:r w:rsidRPr="00DD2C68">
        <w:rPr>
          <w:rFonts w:ascii="Palatino Linotype" w:hAnsi="Palatino Linotype" w:eastAsia="Palatino Linotype" w:cs="Palatino Linotype"/>
        </w:rPr>
        <w:t>P, defining the types of information considered in the pending loads category and the general criteria applied to each category, and discussing the risk of pending loads that do not materialize and how to mitigate the risk.</w:t>
      </w:r>
      <w:r w:rsidRPr="00DD2C68" w:rsidR="6E2D6BC4">
        <w:rPr>
          <w:rFonts w:ascii="Palatino Linotype" w:hAnsi="Palatino Linotype" w:eastAsia="Palatino Linotype" w:cs="Palatino Linotype"/>
        </w:rPr>
        <w:t xml:space="preserve"> Additionally, the Advice Letter was required to address how the</w:t>
      </w:r>
      <w:r w:rsidRPr="00DD2C68" w:rsidR="567A6A9E">
        <w:rPr>
          <w:rFonts w:ascii="Palatino Linotype" w:hAnsi="Palatino Linotype" w:eastAsia="Palatino Linotype" w:cs="Palatino Linotype"/>
        </w:rPr>
        <w:t xml:space="preserve"> information gathered at the Pending Loads Workshop and the</w:t>
      </w:r>
      <w:r w:rsidRPr="00DD2C68" w:rsidR="6E2D6BC4">
        <w:rPr>
          <w:rFonts w:ascii="Palatino Linotype" w:hAnsi="Palatino Linotype" w:eastAsia="Palatino Linotype" w:cs="Palatino Linotype"/>
        </w:rPr>
        <w:t xml:space="preserve"> informal comments to the Pending Loads Wor</w:t>
      </w:r>
      <w:r w:rsidRPr="00DD2C68" w:rsidR="1E15FF5F">
        <w:rPr>
          <w:rFonts w:ascii="Palatino Linotype" w:hAnsi="Palatino Linotype" w:eastAsia="Palatino Linotype" w:cs="Palatino Linotype"/>
        </w:rPr>
        <w:t xml:space="preserve">kshop Report influenced the </w:t>
      </w:r>
      <w:r w:rsidRPr="00DD2C68" w:rsidR="0E06F378">
        <w:rPr>
          <w:rFonts w:ascii="Palatino Linotype" w:hAnsi="Palatino Linotype" w:eastAsia="Palatino Linotype" w:cs="Palatino Linotype"/>
        </w:rPr>
        <w:t xml:space="preserve">utility </w:t>
      </w:r>
      <w:r w:rsidRPr="00DD2C68" w:rsidR="1E15FF5F">
        <w:rPr>
          <w:rFonts w:ascii="Palatino Linotype" w:hAnsi="Palatino Linotype" w:eastAsia="Palatino Linotype" w:cs="Palatino Linotype"/>
        </w:rPr>
        <w:t>proposal</w:t>
      </w:r>
      <w:r w:rsidRPr="00DD2C68" w:rsidR="4A267539">
        <w:rPr>
          <w:rFonts w:ascii="Palatino Linotype" w:hAnsi="Palatino Linotype" w:eastAsia="Palatino Linotype" w:cs="Palatino Linotype"/>
        </w:rPr>
        <w:t>s</w:t>
      </w:r>
      <w:r w:rsidRPr="00DD2C68" w:rsidR="1E15FF5F">
        <w:rPr>
          <w:rFonts w:ascii="Palatino Linotype" w:hAnsi="Palatino Linotype" w:eastAsia="Palatino Linotype" w:cs="Palatino Linotype"/>
        </w:rPr>
        <w:t>.</w:t>
      </w:r>
    </w:p>
    <w:p w:rsidRPr="00DD2C68" w:rsidR="00303C12" w:rsidP="4A3BDD87" w:rsidRDefault="00303C12" w14:paraId="1D71C3DF" w14:textId="536B80DB">
      <w:pPr>
        <w:spacing w:after="0" w:line="240" w:lineRule="auto"/>
        <w:rPr>
          <w:rFonts w:ascii="Palatino Linotype" w:hAnsi="Palatino Linotype" w:eastAsia="Palatino Linotype" w:cs="Palatino Linotype"/>
        </w:rPr>
      </w:pPr>
    </w:p>
    <w:p w:rsidRPr="00DD2C68" w:rsidR="00303C12" w:rsidP="4A3BDD87" w:rsidRDefault="00303C12" w14:paraId="70775636" w14:textId="40414F6F">
      <w:p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 xml:space="preserve">On June 27, 2025, SCE submitted a joint Advice Letter SCE AL 5567-E et al. to propose the implementation and use of the pending loads category in distribution planning. PG&amp;E, SDG&amp;E, and SCE </w:t>
      </w:r>
      <w:r w:rsidRPr="00DD2C68" w:rsidR="7068055F">
        <w:rPr>
          <w:rFonts w:ascii="Palatino Linotype" w:hAnsi="Palatino Linotype" w:eastAsia="Palatino Linotype" w:cs="Palatino Linotype"/>
        </w:rPr>
        <w:t xml:space="preserve">each </w:t>
      </w:r>
      <w:r w:rsidRPr="00DD2C68">
        <w:rPr>
          <w:rFonts w:ascii="Palatino Linotype" w:hAnsi="Palatino Linotype" w:eastAsia="Palatino Linotype" w:cs="Palatino Linotype"/>
        </w:rPr>
        <w:t xml:space="preserve">proposed its own pending loads implementation in Attachments A, B, and C respectively. </w:t>
      </w:r>
      <w:r w:rsidRPr="00DD2C68" w:rsidR="00630629">
        <w:rPr>
          <w:rFonts w:ascii="Palatino Linotype" w:hAnsi="Palatino Linotype" w:eastAsia="Palatino Linotype" w:cs="Palatino Linotype"/>
        </w:rPr>
        <w:t xml:space="preserve">This Resolution </w:t>
      </w:r>
      <w:r w:rsidRPr="00DD2C68" w:rsidR="468ACB1A">
        <w:rPr>
          <w:rFonts w:ascii="Palatino Linotype" w:hAnsi="Palatino Linotype" w:eastAsia="Palatino Linotype" w:cs="Palatino Linotype"/>
        </w:rPr>
        <w:t>evaluate</w:t>
      </w:r>
      <w:r w:rsidRPr="00DD2C68" w:rsidR="5FA0FD0A">
        <w:rPr>
          <w:rFonts w:ascii="Palatino Linotype" w:hAnsi="Palatino Linotype" w:eastAsia="Palatino Linotype" w:cs="Palatino Linotype"/>
        </w:rPr>
        <w:t>s</w:t>
      </w:r>
      <w:r w:rsidRPr="00DD2C68" w:rsidR="00630629">
        <w:rPr>
          <w:rFonts w:ascii="Palatino Linotype" w:hAnsi="Palatino Linotype" w:eastAsia="Palatino Linotype" w:cs="Palatino Linotype"/>
        </w:rPr>
        <w:t xml:space="preserve"> each utility proposal independently within the context of the proposals of each other utility. </w:t>
      </w:r>
    </w:p>
    <w:p w:rsidRPr="00DD2C68" w:rsidR="00630629" w:rsidP="4A3BDD87" w:rsidRDefault="00630629" w14:paraId="1ECEBD22" w14:textId="24911F21">
      <w:pPr>
        <w:spacing w:after="0" w:line="240" w:lineRule="auto"/>
        <w:rPr>
          <w:rFonts w:ascii="Palatino Linotype" w:hAnsi="Palatino Linotype" w:eastAsia="Palatino Linotype" w:cs="Palatino Linotype"/>
        </w:rPr>
      </w:pPr>
    </w:p>
    <w:p w:rsidRPr="00DD2C68" w:rsidR="00A651C0" w:rsidP="00912D97" w:rsidRDefault="00630629" w14:paraId="6CE65A6E" w14:textId="4D18727F">
      <w:p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PG&amp;</w:t>
      </w:r>
      <w:r w:rsidRPr="00DD2C68" w:rsidR="00912D97">
        <w:rPr>
          <w:rFonts w:ascii="Palatino Linotype" w:hAnsi="Palatino Linotype" w:eastAsia="Palatino Linotype" w:cs="Palatino Linotype"/>
        </w:rPr>
        <w:t>E’s proposal include</w:t>
      </w:r>
      <w:r w:rsidRPr="00DD2C68" w:rsidR="00804E8B">
        <w:rPr>
          <w:rFonts w:ascii="Palatino Linotype" w:hAnsi="Palatino Linotype" w:eastAsia="Palatino Linotype" w:cs="Palatino Linotype"/>
        </w:rPr>
        <w:t>s</w:t>
      </w:r>
      <w:r w:rsidRPr="00DD2C68" w:rsidR="0078394F">
        <w:rPr>
          <w:rFonts w:ascii="Palatino Linotype" w:hAnsi="Palatino Linotype" w:eastAsia="Palatino Linotype" w:cs="Palatino Linotype"/>
        </w:rPr>
        <w:t>:</w:t>
      </w:r>
      <w:r w:rsidRPr="00DD2C68">
        <w:rPr>
          <w:rFonts w:ascii="Palatino Linotype" w:hAnsi="Palatino Linotype" w:eastAsia="Palatino Linotype" w:cs="Palatino Linotype"/>
        </w:rPr>
        <w:t xml:space="preserve"> </w:t>
      </w:r>
    </w:p>
    <w:p w:rsidRPr="00DD2C68" w:rsidR="00A651C0" w:rsidP="007A761B" w:rsidRDefault="00781FB0" w14:paraId="7229FB62" w14:textId="7229D7D2">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S</w:t>
      </w:r>
      <w:r w:rsidRPr="00DD2C68" w:rsidR="00912D97">
        <w:rPr>
          <w:rFonts w:ascii="Palatino Linotype" w:hAnsi="Palatino Linotype" w:eastAsia="Palatino Linotype" w:cs="Palatino Linotype"/>
        </w:rPr>
        <w:t>ources of</w:t>
      </w:r>
      <w:r w:rsidRPr="00DD2C68" w:rsidR="0078394F">
        <w:rPr>
          <w:rFonts w:ascii="Palatino Linotype" w:hAnsi="Palatino Linotype" w:eastAsia="Palatino Linotype" w:cs="Palatino Linotype"/>
        </w:rPr>
        <w:t xml:space="preserve"> pending loads from direct customer engagement, community plans, studies, and regulatory agencies</w:t>
      </w:r>
      <w:r w:rsidRPr="00DD2C68">
        <w:rPr>
          <w:rFonts w:ascii="Palatino Linotype" w:hAnsi="Palatino Linotype" w:eastAsia="Palatino Linotype" w:cs="Palatino Linotype"/>
        </w:rPr>
        <w:t>.</w:t>
      </w:r>
      <w:r w:rsidRPr="00DD2C68" w:rsidR="0078394F">
        <w:rPr>
          <w:rFonts w:ascii="Palatino Linotype" w:hAnsi="Palatino Linotype" w:eastAsia="Palatino Linotype" w:cs="Palatino Linotype"/>
        </w:rPr>
        <w:t xml:space="preserve"> </w:t>
      </w:r>
    </w:p>
    <w:p w:rsidRPr="00DD2C68" w:rsidR="00A651C0" w:rsidP="007A761B" w:rsidRDefault="00781FB0" w14:paraId="74711974" w14:textId="2D2CEC66">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C</w:t>
      </w:r>
      <w:r w:rsidRPr="00DD2C68" w:rsidR="00912D97">
        <w:rPr>
          <w:rFonts w:ascii="Palatino Linotype" w:hAnsi="Palatino Linotype" w:eastAsia="Palatino Linotype" w:cs="Palatino Linotype"/>
        </w:rPr>
        <w:t xml:space="preserve">ategories of </w:t>
      </w:r>
      <w:r w:rsidRPr="00DD2C68" w:rsidR="0078394F">
        <w:rPr>
          <w:rFonts w:ascii="Palatino Linotype" w:hAnsi="Palatino Linotype" w:eastAsia="Palatino Linotype" w:cs="Palatino Linotype"/>
        </w:rPr>
        <w:t xml:space="preserve">pending </w:t>
      </w:r>
      <w:proofErr w:type="gramStart"/>
      <w:r w:rsidRPr="00DD2C68" w:rsidR="0078394F">
        <w:rPr>
          <w:rFonts w:ascii="Palatino Linotype" w:hAnsi="Palatino Linotype" w:eastAsia="Palatino Linotype" w:cs="Palatino Linotype"/>
        </w:rPr>
        <w:t>loads</w:t>
      </w:r>
      <w:proofErr w:type="gramEnd"/>
      <w:r w:rsidRPr="00DD2C68" w:rsidR="0078394F">
        <w:rPr>
          <w:rFonts w:ascii="Palatino Linotype" w:hAnsi="Palatino Linotype" w:eastAsia="Palatino Linotype" w:cs="Palatino Linotype"/>
        </w:rPr>
        <w:t xml:space="preserve"> </w:t>
      </w:r>
      <w:r w:rsidRPr="00DD2C68" w:rsidR="00912D97">
        <w:rPr>
          <w:rFonts w:ascii="Palatino Linotype" w:hAnsi="Palatino Linotype" w:eastAsia="Palatino Linotype" w:cs="Palatino Linotype"/>
        </w:rPr>
        <w:t>as</w:t>
      </w:r>
      <w:r w:rsidRPr="00DD2C68" w:rsidR="0078394F">
        <w:rPr>
          <w:rFonts w:ascii="Palatino Linotype" w:hAnsi="Palatino Linotype" w:eastAsia="Palatino Linotype" w:cs="Palatino Linotype"/>
        </w:rPr>
        <w:t xml:space="preserve"> Category A (high confidence customer and community feedback with specific project information), Category B (medium confidence </w:t>
      </w:r>
      <w:r w:rsidRPr="00DD2C68" w:rsidR="004B3845">
        <w:rPr>
          <w:rFonts w:ascii="Palatino Linotype" w:hAnsi="Palatino Linotype" w:eastAsia="Palatino Linotype" w:cs="Palatino Linotype"/>
        </w:rPr>
        <w:t xml:space="preserve">customer-based plans and regulatory compliance-based studies/trends), and Category C (low confidence </w:t>
      </w:r>
      <w:r w:rsidRPr="00DD2C68" w:rsidR="00912D97">
        <w:rPr>
          <w:rFonts w:ascii="Palatino Linotype" w:hAnsi="Palatino Linotype" w:eastAsia="Palatino Linotype" w:cs="Palatino Linotype"/>
        </w:rPr>
        <w:t>preliminary customer plans and trends and non-customer-based studies)</w:t>
      </w:r>
      <w:r w:rsidRPr="00DD2C68">
        <w:rPr>
          <w:rFonts w:ascii="Palatino Linotype" w:hAnsi="Palatino Linotype" w:eastAsia="Palatino Linotype" w:cs="Palatino Linotype"/>
        </w:rPr>
        <w:t>.</w:t>
      </w:r>
    </w:p>
    <w:p w:rsidRPr="00DD2C68" w:rsidR="00A651C0" w:rsidP="007A761B" w:rsidRDefault="00781FB0" w14:paraId="0784843D" w14:textId="7D34F934">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lastRenderedPageBreak/>
        <w:t>M</w:t>
      </w:r>
      <w:r w:rsidRPr="00DD2C68" w:rsidR="00912D97">
        <w:rPr>
          <w:rFonts w:ascii="Palatino Linotype" w:hAnsi="Palatino Linotype" w:eastAsia="Palatino Linotype" w:cs="Palatino Linotype"/>
        </w:rPr>
        <w:t>inimum criteria a pending load must reach to be classified in each category</w:t>
      </w:r>
      <w:r w:rsidRPr="00DD2C68">
        <w:rPr>
          <w:rFonts w:ascii="Palatino Linotype" w:hAnsi="Palatino Linotype" w:eastAsia="Palatino Linotype" w:cs="Palatino Linotype"/>
        </w:rPr>
        <w:t>.</w:t>
      </w:r>
    </w:p>
    <w:p w:rsidRPr="00DD2C68" w:rsidR="00A651C0" w:rsidP="007A761B" w:rsidRDefault="00781FB0" w14:paraId="69279641" w14:textId="40ED1EA8">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T</w:t>
      </w:r>
      <w:r w:rsidRPr="00DD2C68" w:rsidR="00912D97">
        <w:rPr>
          <w:rFonts w:ascii="Palatino Linotype" w:hAnsi="Palatino Linotype" w:eastAsia="Palatino Linotype" w:cs="Palatino Linotype"/>
        </w:rPr>
        <w:t>reatment of each category of pending loads in the distribution planning process,</w:t>
      </w:r>
      <w:r w:rsidRPr="00DD2C68" w:rsidR="0031488B">
        <w:rPr>
          <w:rFonts w:ascii="Palatino Linotype" w:hAnsi="Palatino Linotype" w:eastAsia="Palatino Linotype" w:cs="Palatino Linotype"/>
        </w:rPr>
        <w:t xml:space="preserve"> included how they will inform investment planning</w:t>
      </w:r>
      <w:r w:rsidRPr="00DD2C68">
        <w:rPr>
          <w:rFonts w:ascii="Palatino Linotype" w:hAnsi="Palatino Linotype" w:eastAsia="Palatino Linotype" w:cs="Palatino Linotype"/>
        </w:rPr>
        <w:t>.</w:t>
      </w:r>
      <w:r w:rsidRPr="00DD2C68" w:rsidR="00912D97">
        <w:rPr>
          <w:rFonts w:ascii="Palatino Linotype" w:hAnsi="Palatino Linotype" w:eastAsia="Palatino Linotype" w:cs="Palatino Linotype"/>
        </w:rPr>
        <w:t xml:space="preserve"> </w:t>
      </w:r>
    </w:p>
    <w:p w:rsidRPr="00DD2C68" w:rsidR="00A651C0" w:rsidP="007A761B" w:rsidRDefault="00781FB0" w14:paraId="044D20C1" w14:textId="1CDCD5A7">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912D97">
        <w:rPr>
          <w:rFonts w:ascii="Palatino Linotype" w:hAnsi="Palatino Linotype" w:eastAsia="Palatino Linotype" w:cs="Palatino Linotype"/>
        </w:rPr>
        <w:t>iscussion of guardrails for pending loads</w:t>
      </w:r>
      <w:r w:rsidRPr="00DD2C68" w:rsidR="0031488B">
        <w:rPr>
          <w:rFonts w:ascii="Palatino Linotype" w:hAnsi="Palatino Linotype" w:eastAsia="Palatino Linotype" w:cs="Palatino Linotype"/>
        </w:rPr>
        <w:t>, including how pending loads will be reconciled with the IEPR forecast</w:t>
      </w:r>
      <w:r w:rsidRPr="00DD2C68">
        <w:rPr>
          <w:rFonts w:ascii="Palatino Linotype" w:hAnsi="Palatino Linotype" w:eastAsia="Palatino Linotype" w:cs="Palatino Linotype"/>
        </w:rPr>
        <w:t>.</w:t>
      </w:r>
      <w:r w:rsidRPr="00DD2C68" w:rsidR="00912D97">
        <w:rPr>
          <w:rFonts w:ascii="Palatino Linotype" w:hAnsi="Palatino Linotype" w:eastAsia="Palatino Linotype" w:cs="Palatino Linotype"/>
        </w:rPr>
        <w:t xml:space="preserve"> </w:t>
      </w:r>
    </w:p>
    <w:p w:rsidRPr="00DD2C68" w:rsidR="00A651C0" w:rsidP="007A761B" w:rsidRDefault="000A6B84" w14:paraId="57ED96D2" w14:textId="3A9FC595">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912D97">
        <w:rPr>
          <w:rFonts w:ascii="Palatino Linotype" w:hAnsi="Palatino Linotype" w:eastAsia="Palatino Linotype" w:cs="Palatino Linotype"/>
        </w:rPr>
        <w:t>ata to be reported in the 2027 Pending Loads Evaluation Advice Letter</w:t>
      </w:r>
      <w:r w:rsidRPr="00DD2C68" w:rsidR="008D0DD3">
        <w:rPr>
          <w:rFonts w:ascii="Palatino Linotype" w:hAnsi="Palatino Linotype" w:eastAsia="Palatino Linotype" w:cs="Palatino Linotype"/>
        </w:rPr>
        <w:t>.</w:t>
      </w:r>
      <w:r w:rsidRPr="00DD2C68" w:rsidR="0031488B">
        <w:rPr>
          <w:rFonts w:ascii="Palatino Linotype" w:hAnsi="Palatino Linotype" w:eastAsia="Palatino Linotype" w:cs="Palatino Linotype"/>
        </w:rPr>
        <w:t xml:space="preserve"> </w:t>
      </w:r>
    </w:p>
    <w:p w:rsidRPr="00DD2C68" w:rsidR="00A651C0" w:rsidP="007A761B" w:rsidRDefault="002A6584" w14:paraId="69FC4F85" w14:textId="42BCA39F">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H</w:t>
      </w:r>
      <w:r w:rsidRPr="00DD2C68" w:rsidR="0031488B">
        <w:rPr>
          <w:rFonts w:ascii="Palatino Linotype" w:hAnsi="Palatino Linotype" w:eastAsia="Palatino Linotype" w:cs="Palatino Linotype"/>
        </w:rPr>
        <w:t xml:space="preserve">ow future updates to the pending loads category will be </w:t>
      </w:r>
      <w:proofErr w:type="gramStart"/>
      <w:r w:rsidRPr="00DD2C68" w:rsidR="00094837">
        <w:rPr>
          <w:rFonts w:ascii="Palatino Linotype" w:hAnsi="Palatino Linotype" w:eastAsia="Palatino Linotype" w:cs="Palatino Linotype"/>
        </w:rPr>
        <w:t>implemented</w:t>
      </w:r>
      <w:r w:rsidRPr="00DD2C68" w:rsidR="0031488B">
        <w:rPr>
          <w:rFonts w:ascii="Palatino Linotype" w:hAnsi="Palatino Linotype" w:eastAsia="Palatino Linotype" w:cs="Palatino Linotype"/>
        </w:rPr>
        <w:t>;</w:t>
      </w:r>
      <w:proofErr w:type="gramEnd"/>
      <w:r w:rsidRPr="00DD2C68" w:rsidR="0031488B">
        <w:rPr>
          <w:rFonts w:ascii="Palatino Linotype" w:hAnsi="Palatino Linotype" w:eastAsia="Palatino Linotype" w:cs="Palatino Linotype"/>
        </w:rPr>
        <w:t xml:space="preserve"> alignment of pending loads with other planning processes</w:t>
      </w:r>
      <w:r w:rsidRPr="00DD2C68" w:rsidR="00794838">
        <w:rPr>
          <w:rFonts w:ascii="Palatino Linotype" w:hAnsi="Palatino Linotype" w:eastAsia="Palatino Linotype" w:cs="Palatino Linotype"/>
        </w:rPr>
        <w:t>.</w:t>
      </w:r>
    </w:p>
    <w:p w:rsidRPr="00DD2C68" w:rsidR="00912D97" w:rsidP="007A761B" w:rsidRDefault="00875A81" w14:paraId="00AE8C0A" w14:textId="4D8C8516">
      <w:pPr>
        <w:pStyle w:val="ListParagraph"/>
        <w:numPr>
          <w:ilvl w:val="0"/>
          <w:numId w:val="2"/>
        </w:numPr>
        <w:spacing w:after="0" w:line="240" w:lineRule="auto"/>
        <w:ind w:left="720"/>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31488B">
        <w:rPr>
          <w:rFonts w:ascii="Palatino Linotype" w:hAnsi="Palatino Linotype" w:eastAsia="Palatino Linotype" w:cs="Palatino Linotype"/>
        </w:rPr>
        <w:t xml:space="preserve">escription of how informal party comments to the Pending Loads Workshop Report influenced the proposal. </w:t>
      </w:r>
    </w:p>
    <w:p w:rsidRPr="00DD2C68" w:rsidR="6AB8386F" w:rsidP="6AB8386F" w:rsidRDefault="6AB8386F" w14:paraId="2E66460B" w14:textId="22DA7B54">
      <w:pPr>
        <w:spacing w:after="0" w:line="240" w:lineRule="auto"/>
        <w:rPr>
          <w:rFonts w:ascii="Palatino Linotype" w:hAnsi="Palatino Linotype" w:eastAsia="Palatino Linotype" w:cs="Palatino Linotype"/>
        </w:rPr>
      </w:pPr>
    </w:p>
    <w:p w:rsidRPr="00DD2C68" w:rsidR="00A651C0" w:rsidP="00912D97" w:rsidRDefault="00912D97" w14:paraId="45431ABC" w14:textId="2782EC8E">
      <w:p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 xml:space="preserve">SDG&amp;E’s proposal included: </w:t>
      </w:r>
    </w:p>
    <w:p w:rsidRPr="00DD2C68" w:rsidR="00A651C0" w:rsidP="007A761B" w:rsidRDefault="009D39BC" w14:paraId="5933224A" w14:textId="653BBC50">
      <w:pPr>
        <w:pStyle w:val="ListParagraph"/>
        <w:numPr>
          <w:ilvl w:val="0"/>
          <w:numId w:val="5"/>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R</w:t>
      </w:r>
      <w:r w:rsidRPr="00DD2C68" w:rsidR="00912D97">
        <w:rPr>
          <w:rFonts w:ascii="Palatino Linotype" w:hAnsi="Palatino Linotype" w:eastAsia="Palatino Linotype" w:cs="Palatino Linotype"/>
        </w:rPr>
        <w:t>eference to the Pending Loads Implementation Workshop Report as the description of the source of pending loads</w:t>
      </w:r>
      <w:r w:rsidRPr="00DD2C68">
        <w:rPr>
          <w:rFonts w:ascii="Palatino Linotype" w:hAnsi="Palatino Linotype" w:eastAsia="Palatino Linotype" w:cs="Palatino Linotype"/>
        </w:rPr>
        <w:t>.</w:t>
      </w:r>
    </w:p>
    <w:p w:rsidRPr="00DD2C68" w:rsidR="00A651C0" w:rsidP="007A761B" w:rsidRDefault="009D39BC" w14:paraId="2B15E636" w14:textId="5A804DFD">
      <w:pPr>
        <w:pStyle w:val="ListParagraph"/>
        <w:numPr>
          <w:ilvl w:val="0"/>
          <w:numId w:val="5"/>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912D97">
        <w:rPr>
          <w:rFonts w:ascii="Palatino Linotype" w:hAnsi="Palatino Linotype" w:eastAsia="Palatino Linotype" w:cs="Palatino Linotype"/>
        </w:rPr>
        <w:t>escription of SDG&amp;E’s MD/HD TE load forecast methodology that serves as the basis for SDG&amp;E’s pending loads category</w:t>
      </w:r>
      <w:r w:rsidRPr="00DD2C68">
        <w:rPr>
          <w:rFonts w:ascii="Palatino Linotype" w:hAnsi="Palatino Linotype" w:eastAsia="Palatino Linotype" w:cs="Palatino Linotype"/>
        </w:rPr>
        <w:t>.</w:t>
      </w:r>
      <w:r w:rsidRPr="00DD2C68" w:rsidR="0031488B">
        <w:rPr>
          <w:rFonts w:ascii="Palatino Linotype" w:hAnsi="Palatino Linotype" w:eastAsia="Palatino Linotype" w:cs="Palatino Linotype"/>
        </w:rPr>
        <w:t xml:space="preserve"> </w:t>
      </w:r>
    </w:p>
    <w:p w:rsidRPr="00DD2C68" w:rsidR="00A651C0" w:rsidP="007A761B" w:rsidRDefault="009D39BC" w14:paraId="25BEE5D8" w14:textId="62641986">
      <w:pPr>
        <w:pStyle w:val="ListParagraph"/>
        <w:numPr>
          <w:ilvl w:val="0"/>
          <w:numId w:val="5"/>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I</w:t>
      </w:r>
      <w:r w:rsidRPr="00DD2C68" w:rsidR="0031488B">
        <w:rPr>
          <w:rFonts w:ascii="Palatino Linotype" w:hAnsi="Palatino Linotype" w:eastAsia="Palatino Linotype" w:cs="Palatino Linotype"/>
        </w:rPr>
        <w:t>ndication of how the MD/HD TE load forecast will be updated in future cycles and how additional bottom-up load forecasts could serve as pending load sources in the future</w:t>
      </w:r>
      <w:r w:rsidRPr="00DD2C68">
        <w:rPr>
          <w:rFonts w:ascii="Palatino Linotype" w:hAnsi="Palatino Linotype" w:eastAsia="Palatino Linotype" w:cs="Palatino Linotype"/>
        </w:rPr>
        <w:t>.</w:t>
      </w:r>
    </w:p>
    <w:p w:rsidRPr="00DD2C68" w:rsidR="00A651C0" w:rsidP="007A761B" w:rsidRDefault="00D80EE7" w14:paraId="191A3A4E" w14:textId="2C9DD4D9">
      <w:pPr>
        <w:pStyle w:val="ListParagraph"/>
        <w:numPr>
          <w:ilvl w:val="0"/>
          <w:numId w:val="5"/>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A</w:t>
      </w:r>
      <w:r w:rsidRPr="00DD2C68" w:rsidR="0031488B">
        <w:rPr>
          <w:rFonts w:ascii="Palatino Linotype" w:hAnsi="Palatino Linotype" w:eastAsia="Palatino Linotype" w:cs="Palatino Linotype"/>
        </w:rPr>
        <w:t>lternate proposal for pending loads evaluation reporting than the one included in D.24-10-030</w:t>
      </w:r>
      <w:r w:rsidRPr="00DD2C68">
        <w:rPr>
          <w:rFonts w:ascii="Palatino Linotype" w:hAnsi="Palatino Linotype" w:eastAsia="Palatino Linotype" w:cs="Palatino Linotype"/>
        </w:rPr>
        <w:t>.</w:t>
      </w:r>
    </w:p>
    <w:p w:rsidRPr="00DD2C68" w:rsidR="6AB8386F" w:rsidP="00276DF6" w:rsidRDefault="002D2190" w14:paraId="6AB78E24" w14:textId="177AC470">
      <w:pPr>
        <w:pStyle w:val="ListParagraph"/>
        <w:numPr>
          <w:ilvl w:val="0"/>
          <w:numId w:val="5"/>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R</w:t>
      </w:r>
      <w:r w:rsidRPr="00DD2C68" w:rsidR="0031488B">
        <w:rPr>
          <w:rFonts w:ascii="Palatino Linotype" w:hAnsi="Palatino Linotype" w:eastAsia="Palatino Linotype" w:cs="Palatino Linotype"/>
        </w:rPr>
        <w:t>esponses to informal party comments on the Pending Loads Workshop Report.</w:t>
      </w:r>
      <w:r w:rsidRPr="00DD2C68" w:rsidR="00912D97">
        <w:rPr>
          <w:rFonts w:ascii="Palatino Linotype" w:hAnsi="Palatino Linotype" w:eastAsia="Palatino Linotype" w:cs="Palatino Linotype"/>
        </w:rPr>
        <w:cr/>
      </w:r>
    </w:p>
    <w:p w:rsidRPr="00DD2C68" w:rsidR="00A651C0" w:rsidP="00912D97" w:rsidRDefault="0031488B" w14:paraId="6D485A05" w14:textId="32CBC044">
      <w:p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 xml:space="preserve">SCE’s proposal included: </w:t>
      </w:r>
    </w:p>
    <w:p w:rsidRPr="00DD2C68" w:rsidR="00A651C0" w:rsidP="007A761B" w:rsidRDefault="00CB6428" w14:paraId="33E8A673" w14:textId="763603F5">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P</w:t>
      </w:r>
      <w:r w:rsidRPr="00DD2C68" w:rsidR="00094837">
        <w:rPr>
          <w:rFonts w:ascii="Palatino Linotype" w:hAnsi="Palatino Linotype" w:eastAsia="Palatino Linotype" w:cs="Palatino Linotype"/>
        </w:rPr>
        <w:t>rocess for assessing the certainty of</w:t>
      </w:r>
      <w:r w:rsidRPr="00DD2C68" w:rsidR="3E0B16A2">
        <w:rPr>
          <w:rFonts w:ascii="Palatino Linotype" w:hAnsi="Palatino Linotype" w:eastAsia="Palatino Linotype" w:cs="Palatino Linotype"/>
        </w:rPr>
        <w:t xml:space="preserve"> and</w:t>
      </w:r>
      <w:r w:rsidRPr="00DD2C68" w:rsidR="00094837">
        <w:rPr>
          <w:rFonts w:ascii="Palatino Linotype" w:hAnsi="Palatino Linotype" w:eastAsia="Palatino Linotype" w:cs="Palatino Linotype"/>
        </w:rPr>
        <w:t xml:space="preserve"> classifying pending loads into Category A (high confidence customer loads), Category B1 (medium confidence customer loads), Category B2 (high confidence studies), and Category C (medium confidence studies)</w:t>
      </w:r>
      <w:r w:rsidRPr="00DD2C68" w:rsidR="00435CB5">
        <w:rPr>
          <w:rFonts w:ascii="Palatino Linotype" w:hAnsi="Palatino Linotype" w:eastAsia="Palatino Linotype" w:cs="Palatino Linotype"/>
        </w:rPr>
        <w:t>.</w:t>
      </w:r>
    </w:p>
    <w:p w:rsidRPr="00DD2C68" w:rsidR="00A651C0" w:rsidP="007A761B" w:rsidRDefault="004E30E5" w14:paraId="482C6FCE" w14:textId="53FBA351">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094837">
        <w:rPr>
          <w:rFonts w:ascii="Palatino Linotype" w:hAnsi="Palatino Linotype" w:eastAsia="Palatino Linotype" w:cs="Palatino Linotype"/>
        </w:rPr>
        <w:t>ata sources, treatment of, and alignment with the IEPR, for every pending load category</w:t>
      </w:r>
      <w:r w:rsidRPr="00DD2C68">
        <w:rPr>
          <w:rFonts w:ascii="Palatino Linotype" w:hAnsi="Palatino Linotype" w:eastAsia="Palatino Linotype" w:cs="Palatino Linotype"/>
        </w:rPr>
        <w:t>.</w:t>
      </w:r>
    </w:p>
    <w:p w:rsidRPr="00DD2C68" w:rsidR="00A651C0" w:rsidP="007A761B" w:rsidRDefault="004E30E5" w14:paraId="434B2535" w14:textId="4185A48B">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094837">
        <w:rPr>
          <w:rFonts w:ascii="Palatino Linotype" w:hAnsi="Palatino Linotype" w:eastAsia="Palatino Linotype" w:cs="Palatino Linotype"/>
        </w:rPr>
        <w:t>iscussion of the transparency of the pending loads proposal</w:t>
      </w:r>
      <w:r w:rsidRPr="00DD2C68">
        <w:rPr>
          <w:rFonts w:ascii="Palatino Linotype" w:hAnsi="Palatino Linotype" w:eastAsia="Palatino Linotype" w:cs="Palatino Linotype"/>
        </w:rPr>
        <w:t>.</w:t>
      </w:r>
    </w:p>
    <w:p w:rsidRPr="00DD2C68" w:rsidR="00A651C0" w:rsidP="007A761B" w:rsidRDefault="00735BB2" w14:paraId="443F2414" w14:textId="016C18A5">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D</w:t>
      </w:r>
      <w:r w:rsidRPr="00DD2C68" w:rsidR="00094837">
        <w:rPr>
          <w:rFonts w:ascii="Palatino Linotype" w:hAnsi="Palatino Linotype" w:eastAsia="Palatino Linotype" w:cs="Palatino Linotype"/>
        </w:rPr>
        <w:t>iscussion of how the proposal minimizes risks to ratepayers</w:t>
      </w:r>
      <w:r w:rsidRPr="00DD2C68">
        <w:rPr>
          <w:rFonts w:ascii="Palatino Linotype" w:hAnsi="Palatino Linotype" w:eastAsia="Palatino Linotype" w:cs="Palatino Linotype"/>
        </w:rPr>
        <w:t>.</w:t>
      </w:r>
      <w:r w:rsidRPr="00DD2C68" w:rsidR="00094837">
        <w:rPr>
          <w:rFonts w:ascii="Palatino Linotype" w:hAnsi="Palatino Linotype" w:eastAsia="Palatino Linotype" w:cs="Palatino Linotype"/>
        </w:rPr>
        <w:t xml:space="preserve"> </w:t>
      </w:r>
    </w:p>
    <w:p w:rsidRPr="00DD2C68" w:rsidR="00A651C0" w:rsidP="007A761B" w:rsidRDefault="00735BB2" w14:paraId="58FC38CF" w14:textId="65440ACD">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H</w:t>
      </w:r>
      <w:r w:rsidRPr="00DD2C68" w:rsidR="00094837">
        <w:rPr>
          <w:rFonts w:ascii="Palatino Linotype" w:hAnsi="Palatino Linotype" w:eastAsia="Palatino Linotype" w:cs="Palatino Linotype"/>
        </w:rPr>
        <w:t>ow future updates to the pending loads category will be implemented and reported</w:t>
      </w:r>
      <w:r w:rsidRPr="00DD2C68">
        <w:rPr>
          <w:rFonts w:ascii="Palatino Linotype" w:hAnsi="Palatino Linotype" w:eastAsia="Palatino Linotype" w:cs="Palatino Linotype"/>
        </w:rPr>
        <w:t>.</w:t>
      </w:r>
      <w:r w:rsidRPr="00DD2C68" w:rsidR="00094837">
        <w:rPr>
          <w:rFonts w:ascii="Palatino Linotype" w:hAnsi="Palatino Linotype" w:eastAsia="Palatino Linotype" w:cs="Palatino Linotype"/>
        </w:rPr>
        <w:t xml:space="preserve"> </w:t>
      </w:r>
    </w:p>
    <w:p w:rsidRPr="00DD2C68" w:rsidR="00A651C0" w:rsidP="007A761B" w:rsidRDefault="009868F6" w14:paraId="5805517A" w14:textId="7D3DC802">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H</w:t>
      </w:r>
      <w:r w:rsidRPr="00DD2C68" w:rsidR="00094837">
        <w:rPr>
          <w:rFonts w:ascii="Palatino Linotype" w:hAnsi="Palatino Linotype" w:eastAsia="Palatino Linotype" w:cs="Palatino Linotype"/>
        </w:rPr>
        <w:t>ow SCE incorporated feedback from the Pending Loads Workshop and informal comments to the Pending Loads Workshop Report</w:t>
      </w:r>
      <w:r w:rsidRPr="00DD2C68">
        <w:rPr>
          <w:rFonts w:ascii="Palatino Linotype" w:hAnsi="Palatino Linotype" w:eastAsia="Palatino Linotype" w:cs="Palatino Linotype"/>
        </w:rPr>
        <w:t>.</w:t>
      </w:r>
      <w:r w:rsidRPr="00DD2C68" w:rsidR="00094837">
        <w:rPr>
          <w:rFonts w:ascii="Palatino Linotype" w:hAnsi="Palatino Linotype" w:eastAsia="Palatino Linotype" w:cs="Palatino Linotype"/>
        </w:rPr>
        <w:t xml:space="preserve"> </w:t>
      </w:r>
    </w:p>
    <w:p w:rsidRPr="00DD2C68" w:rsidR="0031488B" w:rsidP="007A761B" w:rsidRDefault="0046710B" w14:paraId="5C1D45BF" w14:textId="4EDA2BE4">
      <w:pPr>
        <w:pStyle w:val="ListParagraph"/>
        <w:numPr>
          <w:ilvl w:val="0"/>
          <w:numId w:val="6"/>
        </w:numPr>
        <w:spacing w:after="0" w:line="240" w:lineRule="auto"/>
        <w:rPr>
          <w:rFonts w:ascii="Palatino Linotype" w:hAnsi="Palatino Linotype" w:eastAsia="Palatino Linotype" w:cs="Palatino Linotype"/>
        </w:rPr>
      </w:pPr>
      <w:r w:rsidRPr="00DD2C68">
        <w:rPr>
          <w:rFonts w:ascii="Palatino Linotype" w:hAnsi="Palatino Linotype" w:eastAsia="Palatino Linotype" w:cs="Palatino Linotype"/>
        </w:rPr>
        <w:t>H</w:t>
      </w:r>
      <w:r w:rsidRPr="00DD2C68" w:rsidR="00094837">
        <w:rPr>
          <w:rFonts w:ascii="Palatino Linotype" w:hAnsi="Palatino Linotype" w:eastAsia="Palatino Linotype" w:cs="Palatino Linotype"/>
        </w:rPr>
        <w:t>ow the proposed pending loads framework remains flexible to respond to changing regulatory environments</w:t>
      </w:r>
      <w:r w:rsidRPr="00DD2C68" w:rsidDel="0046710B" w:rsidR="00094837">
        <w:rPr>
          <w:rFonts w:ascii="Palatino Linotype" w:hAnsi="Palatino Linotype" w:eastAsia="Palatino Linotype" w:cs="Palatino Linotype"/>
        </w:rPr>
        <w:t>.</w:t>
      </w:r>
      <w:r w:rsidRPr="00DD2C68" w:rsidR="00094837">
        <w:rPr>
          <w:rFonts w:ascii="Palatino Linotype" w:hAnsi="Palatino Linotype" w:eastAsia="Palatino Linotype" w:cs="Palatino Linotype"/>
        </w:rPr>
        <w:t xml:space="preserve"> </w:t>
      </w:r>
    </w:p>
    <w:p w:rsidRPr="00DD2C68" w:rsidR="00A76F4A" w:rsidP="00A76F4A" w:rsidRDefault="00A76F4A" w14:paraId="6B8C5E37" w14:textId="22D2A8C4">
      <w:pPr>
        <w:spacing w:after="0" w:line="240" w:lineRule="auto"/>
        <w:rPr>
          <w:rFonts w:ascii="Palatino Linotype" w:hAnsi="Palatino Linotype" w:eastAsia="Palatino Linotype" w:cs="Times New Roman"/>
          <w:b/>
          <w:kern w:val="0"/>
          <w:u w:val="single"/>
          <w14:ligatures w14:val="none"/>
        </w:rPr>
      </w:pPr>
    </w:p>
    <w:p w:rsidRPr="00DD2C68" w:rsidR="00A76F4A" w:rsidP="00A76F4A" w:rsidRDefault="00A76F4A" w14:paraId="030741A5" w14:textId="6E556DB3">
      <w:pPr>
        <w:keepNext/>
        <w:spacing w:before="120" w:after="240" w:line="240" w:lineRule="auto"/>
        <w:outlineLvl w:val="0"/>
        <w:rPr>
          <w:rFonts w:ascii="Palatino Linotype" w:hAnsi="Palatino Linotype" w:eastAsia="Palatino Linotype" w:cs="Times New Roman"/>
          <w:b/>
          <w:caps/>
          <w:kern w:val="28"/>
          <w:u w:val="single"/>
          <w14:ligatures w14:val="none"/>
        </w:rPr>
      </w:pPr>
      <w:r w:rsidRPr="00DD2C68">
        <w:rPr>
          <w:rFonts w:ascii="Palatino Linotype" w:hAnsi="Palatino Linotype" w:eastAsia="Palatino Linotype" w:cs="Times New Roman"/>
          <w:b/>
          <w:bCs/>
          <w:caps/>
          <w:kern w:val="28"/>
          <w:u w:val="single"/>
          <w14:ligatures w14:val="none"/>
        </w:rPr>
        <w:lastRenderedPageBreak/>
        <w:t>Notice</w:t>
      </w:r>
    </w:p>
    <w:p w:rsidRPr="00DD2C68" w:rsidR="00A76F4A" w:rsidP="00A76F4A" w:rsidRDefault="00A76F4A" w14:paraId="5E7465D3" w14:textId="22BC0539">
      <w:pPr>
        <w:spacing w:after="0" w:line="240" w:lineRule="auto"/>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 xml:space="preserve">Notice of AL </w:t>
      </w:r>
      <w:r w:rsidRPr="00DD2C68" w:rsidR="00CB5EAB">
        <w:rPr>
          <w:rFonts w:ascii="Palatino Linotype" w:hAnsi="Palatino Linotype" w:eastAsia="Palatino Linotype" w:cs="Times New Roman"/>
          <w:kern w:val="0"/>
          <w14:ligatures w14:val="none"/>
        </w:rPr>
        <w:t>5567-E</w:t>
      </w:r>
      <w:r w:rsidRPr="00DD2C68" w:rsidR="00D30A78">
        <w:rPr>
          <w:rFonts w:ascii="Palatino Linotype" w:hAnsi="Palatino Linotype" w:eastAsia="Palatino Linotype" w:cs="Times New Roman"/>
          <w:kern w:val="0"/>
          <w14:ligatures w14:val="none"/>
        </w:rPr>
        <w:t xml:space="preserve"> et al.</w:t>
      </w:r>
      <w:r w:rsidRPr="00DD2C68">
        <w:rPr>
          <w:rFonts w:ascii="Palatino Linotype" w:hAnsi="Palatino Linotype" w:eastAsia="Palatino Linotype" w:cs="Times New Roman"/>
          <w:kern w:val="0"/>
          <w14:ligatures w14:val="none"/>
        </w:rPr>
        <w:t xml:space="preserve"> was made by publication in the Commission’s Daily Calendar.  </w:t>
      </w:r>
      <w:r w:rsidRPr="00DD2C68" w:rsidR="00CB5EAB">
        <w:rPr>
          <w:rFonts w:ascii="Palatino Linotype" w:hAnsi="Palatino Linotype" w:eastAsia="Palatino Linotype" w:cs="Times New Roman"/>
          <w:kern w:val="0"/>
          <w14:ligatures w14:val="none"/>
        </w:rPr>
        <w:t>Southern California Edison</w:t>
      </w:r>
      <w:r w:rsidRPr="00DD2C68">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DD2C68" w:rsidR="00A76F4A" w:rsidP="00A76F4A" w:rsidRDefault="00A76F4A" w14:paraId="5A4FADB1" w14:textId="22211781">
      <w:pPr>
        <w:spacing w:after="0" w:line="240" w:lineRule="auto"/>
        <w:rPr>
          <w:rFonts w:ascii="Palatino Linotype" w:hAnsi="Palatino Linotype" w:eastAsia="Palatino Linotype" w:cs="Times New Roman"/>
          <w:kern w:val="0"/>
          <w14:ligatures w14:val="none"/>
        </w:rPr>
      </w:pPr>
    </w:p>
    <w:p w:rsidRPr="00DD2C68" w:rsidR="4A3BDD87" w:rsidP="00BD27E9" w:rsidRDefault="00A76F4A" w14:paraId="09EFFD36" w14:textId="199815A4">
      <w:pPr>
        <w:keepNext/>
        <w:spacing w:before="120" w:after="240" w:line="240" w:lineRule="auto"/>
        <w:outlineLvl w:val="0"/>
        <w:rPr>
          <w:rFonts w:ascii="Palatino Linotype" w:hAnsi="Palatino Linotype" w:eastAsia="Palatino Linotype" w:cs="Times New Roman"/>
          <w:b/>
          <w:bCs/>
          <w:caps/>
          <w:kern w:val="0"/>
          <w:u w:val="single"/>
          <w14:ligatures w14:val="none"/>
        </w:rPr>
      </w:pPr>
      <w:r w:rsidRPr="00DD2C68">
        <w:rPr>
          <w:rFonts w:ascii="Palatino Linotype" w:hAnsi="Palatino Linotype" w:eastAsia="Palatino Linotype" w:cs="Times New Roman"/>
          <w:b/>
          <w:bCs/>
          <w:caps/>
          <w:kern w:val="28"/>
          <w:u w:val="single"/>
          <w14:ligatures w14:val="none"/>
        </w:rPr>
        <w:t>Protests</w:t>
      </w:r>
    </w:p>
    <w:p w:rsidRPr="00DD2C68" w:rsidR="00FE5730" w:rsidP="005708DA" w:rsidRDefault="005708DA" w14:paraId="03B131BE" w14:textId="22B5A518">
      <w:pPr>
        <w:pStyle w:val="Header"/>
        <w:rPr>
          <w:rFonts w:ascii="Palatino Linotype" w:hAnsi="Palatino Linotype"/>
        </w:rPr>
      </w:pPr>
      <w:r w:rsidRPr="00DD2C68">
        <w:rPr>
          <w:rFonts w:ascii="Palatino Linotype" w:hAnsi="Palatino Linotype" w:eastAsia="Palatino Linotype" w:cs="Times New Roman"/>
        </w:rPr>
        <w:t>The Utilities</w:t>
      </w:r>
      <w:r w:rsidRPr="00DD2C68" w:rsidR="00BF7F83">
        <w:rPr>
          <w:rFonts w:ascii="Palatino Linotype" w:hAnsi="Palatino Linotype" w:eastAsia="Palatino Linotype" w:cs="Times New Roman"/>
        </w:rPr>
        <w:t>’</w:t>
      </w:r>
      <w:r w:rsidRPr="00DD2C68">
        <w:rPr>
          <w:rFonts w:ascii="Palatino Linotype" w:hAnsi="Palatino Linotype" w:eastAsia="Palatino Linotype" w:cs="Times New Roman"/>
        </w:rPr>
        <w:t xml:space="preserve"> Pending Load ALs (</w:t>
      </w:r>
      <w:r w:rsidRPr="00DD2C68">
        <w:rPr>
          <w:rFonts w:ascii="Palatino Linotype" w:hAnsi="Palatino Linotype"/>
        </w:rPr>
        <w:t>SCE AL 5567-E, SDG&amp;E AL 4647-E, PG&amp;E AL 7630-E) were protested. SCE AL 5567-E was timely protested</w:t>
      </w:r>
      <w:r w:rsidRPr="00DD2C68" w:rsidR="00BD27E9">
        <w:rPr>
          <w:rFonts w:ascii="Palatino Linotype" w:hAnsi="Palatino Linotype"/>
        </w:rPr>
        <w:t>, following an extension of the protest period to July 22, 2025,</w:t>
      </w:r>
      <w:r w:rsidRPr="00DD2C68" w:rsidR="00A8495B">
        <w:rPr>
          <w:rFonts w:ascii="Palatino Linotype" w:hAnsi="Palatino Linotype"/>
        </w:rPr>
        <w:t xml:space="preserve"> on July 22, 2025</w:t>
      </w:r>
      <w:r w:rsidRPr="00DD2C68" w:rsidR="00E04242">
        <w:rPr>
          <w:rFonts w:ascii="Palatino Linotype" w:hAnsi="Palatino Linotype"/>
        </w:rPr>
        <w:t>,</w:t>
      </w:r>
      <w:r w:rsidRPr="00DD2C68">
        <w:rPr>
          <w:rFonts w:ascii="Palatino Linotype" w:hAnsi="Palatino Linotype"/>
        </w:rPr>
        <w:t xml:space="preserve"> by </w:t>
      </w:r>
      <w:r w:rsidRPr="00DD2C68" w:rsidR="00D33F03">
        <w:rPr>
          <w:rFonts w:ascii="Palatino Linotype" w:hAnsi="Palatino Linotype"/>
        </w:rPr>
        <w:t>Cal Advocates, CalCCA, EDF</w:t>
      </w:r>
      <w:r w:rsidRPr="00DD2C68" w:rsidR="00FE7355">
        <w:rPr>
          <w:rFonts w:ascii="Palatino Linotype" w:hAnsi="Palatino Linotype"/>
        </w:rPr>
        <w:t>/</w:t>
      </w:r>
      <w:r w:rsidRPr="00DD2C68" w:rsidR="00D33F03">
        <w:rPr>
          <w:rFonts w:ascii="Palatino Linotype" w:hAnsi="Palatino Linotype"/>
        </w:rPr>
        <w:t>NRDC, and TURN</w:t>
      </w:r>
      <w:r w:rsidRPr="00DD2C68" w:rsidR="00FE5730">
        <w:rPr>
          <w:rFonts w:ascii="Palatino Linotype" w:hAnsi="Palatino Linotype"/>
        </w:rPr>
        <w:t>. SCE AL 5567-E was timely</w:t>
      </w:r>
      <w:r w:rsidRPr="00DD2C68" w:rsidR="00A8495B">
        <w:rPr>
          <w:rFonts w:ascii="Palatino Linotype" w:hAnsi="Palatino Linotype"/>
        </w:rPr>
        <w:t xml:space="preserve"> responded to</w:t>
      </w:r>
      <w:r w:rsidRPr="00DD2C68" w:rsidR="00FE5730">
        <w:rPr>
          <w:rFonts w:ascii="Palatino Linotype" w:hAnsi="Palatino Linotype"/>
        </w:rPr>
        <w:t xml:space="preserve"> on July 22, 2025,</w:t>
      </w:r>
      <w:r w:rsidRPr="00DD2C68" w:rsidR="00A8495B">
        <w:rPr>
          <w:rFonts w:ascii="Palatino Linotype" w:hAnsi="Palatino Linotype"/>
        </w:rPr>
        <w:t xml:space="preserve"> by </w:t>
      </w:r>
      <w:r w:rsidRPr="00DD2C68" w:rsidR="00FE5730">
        <w:rPr>
          <w:rFonts w:ascii="Palatino Linotype" w:hAnsi="Palatino Linotype"/>
        </w:rPr>
        <w:t>CALSTART.</w:t>
      </w:r>
      <w:r w:rsidRPr="00DD2C68" w:rsidR="00375E0E">
        <w:rPr>
          <w:rFonts w:ascii="Palatino Linotype" w:hAnsi="Palatino Linotype"/>
        </w:rPr>
        <w:t xml:space="preserve"> </w:t>
      </w:r>
      <w:r w:rsidRPr="00DD2C68" w:rsidR="00FE5730">
        <w:rPr>
          <w:rFonts w:ascii="Palatino Linotype" w:hAnsi="Palatino Linotype"/>
        </w:rPr>
        <w:t>SDG&amp;E AL 4647-E was timely protested on July 22, 2025</w:t>
      </w:r>
      <w:r w:rsidRPr="00DD2C68" w:rsidR="0086747F">
        <w:rPr>
          <w:rFonts w:ascii="Palatino Linotype" w:hAnsi="Palatino Linotype"/>
        </w:rPr>
        <w:t>,</w:t>
      </w:r>
      <w:r w:rsidRPr="00DD2C68" w:rsidR="00FE5730">
        <w:rPr>
          <w:rFonts w:ascii="Palatino Linotype" w:hAnsi="Palatino Linotype"/>
        </w:rPr>
        <w:t xml:space="preserve"> by </w:t>
      </w:r>
      <w:r w:rsidRPr="00DD2C68" w:rsidR="002A18AB">
        <w:rPr>
          <w:rFonts w:ascii="Palatino Linotype" w:hAnsi="Palatino Linotype"/>
        </w:rPr>
        <w:t>Cal Advocates</w:t>
      </w:r>
      <w:r w:rsidRPr="00DD2C68" w:rsidR="00FE5730">
        <w:rPr>
          <w:rFonts w:ascii="Palatino Linotype" w:hAnsi="Palatino Linotype"/>
        </w:rPr>
        <w:t xml:space="preserve">, CalCCA, </w:t>
      </w:r>
      <w:r w:rsidRPr="00DD2C68" w:rsidR="00FE7355">
        <w:rPr>
          <w:rFonts w:ascii="Palatino Linotype" w:hAnsi="Palatino Linotype"/>
        </w:rPr>
        <w:t>EDF/NRDC</w:t>
      </w:r>
      <w:r w:rsidRPr="00DD2C68" w:rsidR="00FE5730">
        <w:rPr>
          <w:rFonts w:ascii="Palatino Linotype" w:hAnsi="Palatino Linotype"/>
        </w:rPr>
        <w:t>, TURN, and CALSTART.</w:t>
      </w:r>
      <w:r w:rsidRPr="00DD2C68" w:rsidR="00202ADE">
        <w:rPr>
          <w:rFonts w:ascii="Palatino Linotype" w:hAnsi="Palatino Linotype"/>
        </w:rPr>
        <w:t xml:space="preserve"> PG&amp;E AL 7630-E was timely protested on July 22, 2025</w:t>
      </w:r>
      <w:r w:rsidRPr="00DD2C68" w:rsidR="0086747F">
        <w:rPr>
          <w:rFonts w:ascii="Palatino Linotype" w:hAnsi="Palatino Linotype"/>
        </w:rPr>
        <w:t>,</w:t>
      </w:r>
      <w:r w:rsidRPr="00DD2C68" w:rsidR="00202ADE">
        <w:rPr>
          <w:rFonts w:ascii="Palatino Linotype" w:hAnsi="Palatino Linotype"/>
        </w:rPr>
        <w:t xml:space="preserve"> by </w:t>
      </w:r>
      <w:r w:rsidRPr="00DD2C68" w:rsidR="002A18AB">
        <w:rPr>
          <w:rFonts w:ascii="Palatino Linotype" w:hAnsi="Palatino Linotype"/>
        </w:rPr>
        <w:t xml:space="preserve">Cal Advocates, CalCCA, </w:t>
      </w:r>
      <w:r w:rsidRPr="00DD2C68" w:rsidR="00FE7355">
        <w:rPr>
          <w:rFonts w:ascii="Palatino Linotype" w:hAnsi="Palatino Linotype"/>
        </w:rPr>
        <w:t>EDF/</w:t>
      </w:r>
      <w:r w:rsidRPr="00DD2C68" w:rsidR="0086747F">
        <w:rPr>
          <w:rFonts w:ascii="Palatino Linotype" w:hAnsi="Palatino Linotype"/>
        </w:rPr>
        <w:t>NRDC,</w:t>
      </w:r>
      <w:r w:rsidRPr="00DD2C68" w:rsidR="002A18AB">
        <w:rPr>
          <w:rFonts w:ascii="Palatino Linotype" w:hAnsi="Palatino Linotype"/>
        </w:rPr>
        <w:t xml:space="preserve"> TURN, and CALSTART</w:t>
      </w:r>
      <w:r w:rsidRPr="00DD2C68" w:rsidR="008C08DC">
        <w:rPr>
          <w:rFonts w:ascii="Palatino Linotype" w:hAnsi="Palatino Linotype"/>
        </w:rPr>
        <w:t xml:space="preserve">. </w:t>
      </w:r>
    </w:p>
    <w:p w:rsidRPr="00DD2C68" w:rsidR="008E5197" w:rsidP="005708DA" w:rsidRDefault="008E5197" w14:paraId="2E9CECD7" w14:textId="2D8B431E">
      <w:pPr>
        <w:pStyle w:val="Header"/>
        <w:rPr>
          <w:rFonts w:ascii="Palatino Linotype" w:hAnsi="Palatino Linotype"/>
        </w:rPr>
      </w:pPr>
    </w:p>
    <w:p w:rsidRPr="00DD2C68" w:rsidR="00B24004" w:rsidP="005708DA" w:rsidRDefault="00B37EA3" w14:paraId="05A9F432" w14:textId="674B5AE5">
      <w:pPr>
        <w:pStyle w:val="Header"/>
        <w:rPr>
          <w:rFonts w:ascii="Palatino Linotype" w:hAnsi="Palatino Linotype"/>
        </w:rPr>
      </w:pPr>
      <w:r w:rsidRPr="00DD2C68">
        <w:rPr>
          <w:rFonts w:ascii="Palatino Linotype" w:hAnsi="Palatino Linotype"/>
        </w:rPr>
        <w:t xml:space="preserve">SCE, on behalf of </w:t>
      </w:r>
      <w:r w:rsidRPr="00DD2C68" w:rsidR="00B24004">
        <w:rPr>
          <w:rFonts w:ascii="Palatino Linotype" w:hAnsi="Palatino Linotype"/>
        </w:rPr>
        <w:t>SCE, SDG&amp;E, and PG&amp;E</w:t>
      </w:r>
      <w:r w:rsidRPr="00DD2C68">
        <w:rPr>
          <w:rFonts w:ascii="Palatino Linotype" w:hAnsi="Palatino Linotype"/>
        </w:rPr>
        <w:t>,</w:t>
      </w:r>
      <w:r w:rsidRPr="00DD2C68" w:rsidR="00B24004">
        <w:rPr>
          <w:rFonts w:ascii="Palatino Linotype" w:hAnsi="Palatino Linotype"/>
        </w:rPr>
        <w:t xml:space="preserve"> jointly filed reply comments to all protests </w:t>
      </w:r>
      <w:r w:rsidRPr="00DD2C68" w:rsidR="00266D85">
        <w:rPr>
          <w:rFonts w:ascii="Palatino Linotype" w:hAnsi="Palatino Linotype"/>
        </w:rPr>
        <w:t xml:space="preserve">and replies </w:t>
      </w:r>
      <w:r w:rsidRPr="00DD2C68" w:rsidR="00B24004">
        <w:rPr>
          <w:rFonts w:ascii="Palatino Linotype" w:hAnsi="Palatino Linotype"/>
        </w:rPr>
        <w:t>on July 2</w:t>
      </w:r>
      <w:r w:rsidRPr="00DD2C68" w:rsidR="00FA5ECE">
        <w:rPr>
          <w:rFonts w:ascii="Palatino Linotype" w:hAnsi="Palatino Linotype"/>
        </w:rPr>
        <w:t xml:space="preserve">9, 2025. </w:t>
      </w:r>
    </w:p>
    <w:p w:rsidRPr="00DD2C68" w:rsidR="008C08DC" w:rsidP="005708DA" w:rsidRDefault="008C08DC" w14:paraId="58E35703" w14:textId="50EAFFA6">
      <w:pPr>
        <w:pStyle w:val="Header"/>
        <w:rPr>
          <w:rFonts w:ascii="Palatino Linotype" w:hAnsi="Palatino Linotype"/>
        </w:rPr>
      </w:pPr>
    </w:p>
    <w:p w:rsidRPr="00DD2C68" w:rsidR="00B24004" w:rsidP="4A3BDD87" w:rsidRDefault="02E55603" w14:paraId="4C6B281C" w14:textId="577619A4">
      <w:pPr>
        <w:spacing w:after="0" w:line="240" w:lineRule="auto"/>
        <w:rPr>
          <w:rFonts w:ascii="Palatino Linotype" w:hAnsi="Palatino Linotype"/>
        </w:rPr>
      </w:pPr>
      <w:r w:rsidRPr="00DD2C68">
        <w:rPr>
          <w:rFonts w:ascii="Palatino Linotype" w:hAnsi="Palatino Linotype" w:eastAsia="Palatino Linotype" w:cs="Palatino Linotype"/>
        </w:rPr>
        <w:t>The following provides a summary of the major issues raised in the protests and the reply to each.</w:t>
      </w:r>
    </w:p>
    <w:p w:rsidRPr="00DD2C68" w:rsidR="02E55603" w:rsidP="00764D0E" w:rsidRDefault="00764D0E" w14:paraId="5E0DD363" w14:textId="0A45A6B5">
      <w:pPr>
        <w:pStyle w:val="Heading2"/>
        <w:rPr>
          <w:rFonts w:ascii="Palatino Linotype" w:hAnsi="Palatino Linotype" w:eastAsia="Palatino Linotype"/>
          <w:color w:val="auto"/>
        </w:rPr>
      </w:pPr>
      <w:r w:rsidRPr="00DD2C68">
        <w:rPr>
          <w:rFonts w:ascii="Palatino Linotype" w:hAnsi="Palatino Linotype" w:eastAsia="Palatino Linotype"/>
          <w:color w:val="auto"/>
        </w:rPr>
        <w:t>Pending Loads Definition and Framework</w:t>
      </w:r>
    </w:p>
    <w:p w:rsidRPr="00DD2C68" w:rsidR="00AF3BBB" w:rsidP="00AF3BBB" w:rsidRDefault="00B275C5" w14:paraId="35732805" w14:textId="39B3D989">
      <w:pPr>
        <w:pStyle w:val="Heading3"/>
        <w:rPr>
          <w:rFonts w:ascii="Palatino Linotype" w:hAnsi="Palatino Linotype"/>
          <w:i/>
          <w:iCs/>
          <w:color w:val="auto"/>
        </w:rPr>
      </w:pPr>
      <w:r w:rsidRPr="00DD2C68">
        <w:rPr>
          <w:rStyle w:val="Heading3Char"/>
          <w:rFonts w:ascii="Palatino Linotype" w:hAnsi="Palatino Linotype"/>
          <w:color w:val="auto"/>
        </w:rPr>
        <w:t>Pending Loads Scope</w:t>
      </w:r>
      <w:r w:rsidRPr="00DD2C68" w:rsidR="002A18AB">
        <w:rPr>
          <w:rFonts w:ascii="Palatino Linotype" w:hAnsi="Palatino Linotype"/>
          <w:i/>
          <w:iCs/>
          <w:color w:val="auto"/>
        </w:rPr>
        <w:t xml:space="preserve">: </w:t>
      </w:r>
    </w:p>
    <w:p w:rsidRPr="00DD2C68" w:rsidR="00764D0E" w:rsidP="00AF3BBB" w:rsidRDefault="00FA0A7C" w14:paraId="7373BEEF" w14:textId="3337DFDA">
      <w:pPr>
        <w:rPr>
          <w:rFonts w:ascii="Palatino Linotype" w:hAnsi="Palatino Linotype"/>
        </w:rPr>
      </w:pPr>
      <w:r w:rsidRPr="00DD2C68">
        <w:rPr>
          <w:rFonts w:ascii="Palatino Linotype" w:hAnsi="Palatino Linotype"/>
        </w:rPr>
        <w:t xml:space="preserve">CALSTART argues that PG&amp;E and SDG&amp;E propose pending loads frameworks </w:t>
      </w:r>
      <w:r w:rsidRPr="00DD2C68" w:rsidDel="00682473">
        <w:rPr>
          <w:rFonts w:ascii="Palatino Linotype" w:hAnsi="Palatino Linotype"/>
        </w:rPr>
        <w:t xml:space="preserve">that </w:t>
      </w:r>
      <w:r w:rsidRPr="00DD2C68">
        <w:rPr>
          <w:rFonts w:ascii="Palatino Linotype" w:hAnsi="Palatino Linotype"/>
        </w:rPr>
        <w:t>are too restrictive</w:t>
      </w:r>
      <w:r w:rsidRPr="00DD2C68" w:rsidR="00345DC1">
        <w:rPr>
          <w:rFonts w:ascii="Palatino Linotype" w:hAnsi="Palatino Linotype"/>
        </w:rPr>
        <w:t xml:space="preserve">. </w:t>
      </w:r>
      <w:r w:rsidRPr="00DD2C68" w:rsidR="001462C9">
        <w:rPr>
          <w:rFonts w:ascii="Palatino Linotype" w:hAnsi="Palatino Linotype"/>
        </w:rPr>
        <w:t xml:space="preserve">CALSTART claims </w:t>
      </w:r>
      <w:r w:rsidRPr="00DD2C68" w:rsidR="00345DC1">
        <w:rPr>
          <w:rFonts w:ascii="Palatino Linotype" w:hAnsi="Palatino Linotype"/>
        </w:rPr>
        <w:t>PG&amp;E’s proposal would</w:t>
      </w:r>
      <w:r w:rsidRPr="00DD2C68" w:rsidR="0023597E">
        <w:t xml:space="preserve"> </w:t>
      </w:r>
      <w:r w:rsidRPr="00DD2C68" w:rsidR="0023597E">
        <w:rPr>
          <w:rFonts w:ascii="Palatino Linotype" w:hAnsi="Palatino Linotype"/>
        </w:rPr>
        <w:t>requir</w:t>
      </w:r>
      <w:r w:rsidRPr="00DD2C68" w:rsidR="00345DC1">
        <w:rPr>
          <w:rFonts w:ascii="Palatino Linotype" w:hAnsi="Palatino Linotype"/>
        </w:rPr>
        <w:t>e</w:t>
      </w:r>
      <w:r w:rsidRPr="00DD2C68" w:rsidR="0023597E">
        <w:rPr>
          <w:rFonts w:ascii="Palatino Linotype" w:hAnsi="Palatino Linotype"/>
        </w:rPr>
        <w:t xml:space="preserve"> customers to invest heavily before their projects</w:t>
      </w:r>
      <w:r w:rsidRPr="00DD2C68" w:rsidR="00345DC1">
        <w:rPr>
          <w:rFonts w:ascii="Palatino Linotype" w:hAnsi="Palatino Linotype"/>
        </w:rPr>
        <w:t xml:space="preserve"> meet the Category A or B minimum requirements</w:t>
      </w:r>
      <w:r w:rsidRPr="00DD2C68" w:rsidR="00EC664B">
        <w:rPr>
          <w:rFonts w:ascii="Palatino Linotype" w:hAnsi="Palatino Linotype"/>
        </w:rPr>
        <w:t xml:space="preserve">, specifically </w:t>
      </w:r>
      <w:proofErr w:type="gramStart"/>
      <w:r w:rsidRPr="00DD2C68" w:rsidR="00EC664B">
        <w:rPr>
          <w:rFonts w:ascii="Palatino Linotype" w:hAnsi="Palatino Linotype"/>
        </w:rPr>
        <w:t>permitting and</w:t>
      </w:r>
      <w:proofErr w:type="gramEnd"/>
      <w:r w:rsidRPr="00DD2C68" w:rsidR="00EC664B">
        <w:rPr>
          <w:rFonts w:ascii="Palatino Linotype" w:hAnsi="Palatino Linotype"/>
        </w:rPr>
        <w:t xml:space="preserve"> construction progress milestones</w:t>
      </w:r>
      <w:r w:rsidRPr="00DD2C68" w:rsidR="00345DC1">
        <w:rPr>
          <w:rFonts w:ascii="Palatino Linotype" w:hAnsi="Palatino Linotype"/>
        </w:rPr>
        <w:t xml:space="preserve">, making it too difficult for PG&amp;E to build proactively to serve them. </w:t>
      </w:r>
      <w:r w:rsidRPr="00DD2C68" w:rsidR="000E7C0A">
        <w:rPr>
          <w:rFonts w:ascii="Palatino Linotype" w:hAnsi="Palatino Linotype"/>
        </w:rPr>
        <w:t>CALSTART claims that Medium Duty and Heavy Duty (M</w:t>
      </w:r>
      <w:r w:rsidRPr="00DD2C68" w:rsidR="00DF0E64">
        <w:rPr>
          <w:rFonts w:ascii="Palatino Linotype" w:hAnsi="Palatino Linotype"/>
        </w:rPr>
        <w:t>D</w:t>
      </w:r>
      <w:r w:rsidRPr="00DD2C68" w:rsidR="000E7C0A">
        <w:rPr>
          <w:rFonts w:ascii="Palatino Linotype" w:hAnsi="Palatino Linotype"/>
        </w:rPr>
        <w:t>/</w:t>
      </w:r>
      <w:r w:rsidRPr="00DD2C68" w:rsidR="00DF0E64">
        <w:rPr>
          <w:rFonts w:ascii="Palatino Linotype" w:hAnsi="Palatino Linotype"/>
        </w:rPr>
        <w:t>HD</w:t>
      </w:r>
      <w:r w:rsidRPr="00DD2C68" w:rsidR="000E7C0A">
        <w:rPr>
          <w:rFonts w:ascii="Palatino Linotype" w:hAnsi="Palatino Linotype"/>
        </w:rPr>
        <w:t>) electric vehicle (EV) customers will not invest in their projects until they are confident that infrastructure will be available, therefore not qualifying for Category A or B pending loads and preventing PG&amp;E from considering them in grid planning at the timelines needed to make the developer’s project economically viable.</w:t>
      </w:r>
      <w:r w:rsidRPr="00DD2C68" w:rsidR="008D1779">
        <w:rPr>
          <w:rFonts w:ascii="Palatino Linotype" w:hAnsi="Palatino Linotype"/>
        </w:rPr>
        <w:t xml:space="preserve"> </w:t>
      </w:r>
      <w:r w:rsidRPr="00DD2C68" w:rsidR="00FE7355">
        <w:rPr>
          <w:rFonts w:ascii="Palatino Linotype" w:hAnsi="Palatino Linotype"/>
        </w:rPr>
        <w:t>EDF/NRDC</w:t>
      </w:r>
      <w:r w:rsidRPr="00DD2C68" w:rsidR="00DC2105">
        <w:rPr>
          <w:rFonts w:ascii="Palatino Linotype" w:hAnsi="Palatino Linotype"/>
        </w:rPr>
        <w:t xml:space="preserve"> make the same argument, claiming that PG&amp;E’s minimum criteria may result in many legitimate, maturing projects</w:t>
      </w:r>
      <w:r w:rsidRPr="00DD2C68" w:rsidR="00960899">
        <w:rPr>
          <w:rFonts w:ascii="Palatino Linotype" w:hAnsi="Palatino Linotype"/>
        </w:rPr>
        <w:t xml:space="preserve"> </w:t>
      </w:r>
      <w:r w:rsidRPr="00DD2C68" w:rsidR="00E35F96">
        <w:rPr>
          <w:rFonts w:ascii="Palatino Linotype" w:hAnsi="Palatino Linotype"/>
        </w:rPr>
        <w:t>being excluded</w:t>
      </w:r>
      <w:r w:rsidRPr="00DD2C68" w:rsidR="00960899">
        <w:rPr>
          <w:rFonts w:ascii="Palatino Linotype" w:hAnsi="Palatino Linotype"/>
        </w:rPr>
        <w:t xml:space="preserve"> from Categories A and B.</w:t>
      </w:r>
      <w:r w:rsidRPr="00DD2C68" w:rsidR="000E7C0A">
        <w:rPr>
          <w:rFonts w:ascii="Palatino Linotype" w:hAnsi="Palatino Linotype"/>
        </w:rPr>
        <w:t xml:space="preserve"> </w:t>
      </w:r>
      <w:r w:rsidRPr="00DD2C68" w:rsidR="001462C9">
        <w:rPr>
          <w:rFonts w:ascii="Palatino Linotype" w:hAnsi="Palatino Linotype"/>
        </w:rPr>
        <w:lastRenderedPageBreak/>
        <w:t xml:space="preserve">CALSTART claims </w:t>
      </w:r>
      <w:r w:rsidRPr="00DD2C68" w:rsidR="00345DC1">
        <w:rPr>
          <w:rFonts w:ascii="Palatino Linotype" w:hAnsi="Palatino Linotype"/>
        </w:rPr>
        <w:t>SDG&amp;E’s pro</w:t>
      </w:r>
      <w:r w:rsidRPr="00DD2C68" w:rsidR="001462C9">
        <w:rPr>
          <w:rFonts w:ascii="Palatino Linotype" w:hAnsi="Palatino Linotype"/>
        </w:rPr>
        <w:t>posal</w:t>
      </w:r>
      <w:r w:rsidRPr="00DD2C68" w:rsidR="00D53AA6">
        <w:rPr>
          <w:rFonts w:ascii="Palatino Linotype" w:hAnsi="Palatino Linotype"/>
        </w:rPr>
        <w:t>, which only considers its MD</w:t>
      </w:r>
      <w:r w:rsidRPr="00DD2C68" w:rsidR="008F4158">
        <w:rPr>
          <w:rFonts w:ascii="Palatino Linotype" w:hAnsi="Palatino Linotype"/>
        </w:rPr>
        <w:t>/</w:t>
      </w:r>
      <w:r w:rsidRPr="00DD2C68" w:rsidR="00D53AA6">
        <w:rPr>
          <w:rFonts w:ascii="Palatino Linotype" w:hAnsi="Palatino Linotype"/>
        </w:rPr>
        <w:t xml:space="preserve">HD Transportation Electrification </w:t>
      </w:r>
      <w:r w:rsidRPr="00DD2C68" w:rsidR="008F4158">
        <w:rPr>
          <w:rFonts w:ascii="Palatino Linotype" w:hAnsi="Palatino Linotype"/>
        </w:rPr>
        <w:t>forecast,</w:t>
      </w:r>
      <w:r w:rsidRPr="00DD2C68" w:rsidR="001462C9">
        <w:rPr>
          <w:rFonts w:ascii="Palatino Linotype" w:hAnsi="Palatino Linotype"/>
        </w:rPr>
        <w:t xml:space="preserve"> </w:t>
      </w:r>
      <w:r w:rsidRPr="00DD2C68" w:rsidR="00D53AA6">
        <w:rPr>
          <w:rFonts w:ascii="Palatino Linotype" w:hAnsi="Palatino Linotype"/>
        </w:rPr>
        <w:t xml:space="preserve">fundamentally fails to provide a framework for ensuring that necessary sources of information are captured in pending loads. </w:t>
      </w:r>
      <w:r w:rsidRPr="00DD2C68" w:rsidR="00D34C7C">
        <w:rPr>
          <w:rFonts w:ascii="Palatino Linotype" w:hAnsi="Palatino Linotype"/>
        </w:rPr>
        <w:t xml:space="preserve">CALSTART </w:t>
      </w:r>
      <w:r w:rsidRPr="00DD2C68" w:rsidR="009738BC">
        <w:rPr>
          <w:rFonts w:ascii="Palatino Linotype" w:hAnsi="Palatino Linotype"/>
        </w:rPr>
        <w:t>did not protest SCE’s proposal</w:t>
      </w:r>
      <w:r w:rsidRPr="00DD2C68" w:rsidR="00AA0B74">
        <w:rPr>
          <w:rFonts w:ascii="Palatino Linotype" w:hAnsi="Palatino Linotype"/>
        </w:rPr>
        <w:t xml:space="preserve">, </w:t>
      </w:r>
      <w:r w:rsidRPr="00DD2C68" w:rsidR="009738BC">
        <w:rPr>
          <w:rFonts w:ascii="Palatino Linotype" w:hAnsi="Palatino Linotype"/>
        </w:rPr>
        <w:t>suggest</w:t>
      </w:r>
      <w:r w:rsidRPr="00DD2C68" w:rsidR="00317DC5">
        <w:rPr>
          <w:rFonts w:ascii="Palatino Linotype" w:hAnsi="Palatino Linotype"/>
        </w:rPr>
        <w:t>ing</w:t>
      </w:r>
      <w:r w:rsidRPr="00DD2C68" w:rsidR="009738BC">
        <w:rPr>
          <w:rFonts w:ascii="Palatino Linotype" w:hAnsi="Palatino Linotype"/>
        </w:rPr>
        <w:t xml:space="preserve"> that it</w:t>
      </w:r>
      <w:r w:rsidRPr="00DD2C68" w:rsidR="00AA0B74">
        <w:t xml:space="preserve"> </w:t>
      </w:r>
      <w:r w:rsidRPr="00DD2C68" w:rsidR="00AA0B74">
        <w:rPr>
          <w:rFonts w:ascii="Palatino Linotype" w:hAnsi="Palatino Linotype"/>
        </w:rPr>
        <w:t>appropriately balances the need to plan proactively with safeguards to prevent overbuilding, and urges the Commission to approve SCE’s pending loads advice letter</w:t>
      </w:r>
      <w:r w:rsidRPr="00DD2C68" w:rsidR="00E35F96">
        <w:rPr>
          <w:rFonts w:ascii="Palatino Linotype" w:hAnsi="Palatino Linotype"/>
        </w:rPr>
        <w:t xml:space="preserve">. </w:t>
      </w:r>
      <w:r w:rsidRPr="00DD2C68" w:rsidR="00FE7355">
        <w:rPr>
          <w:rFonts w:ascii="Palatino Linotype" w:hAnsi="Palatino Linotype"/>
        </w:rPr>
        <w:t>EDF/NRDC</w:t>
      </w:r>
      <w:r w:rsidRPr="00DD2C68" w:rsidR="00E35F96">
        <w:rPr>
          <w:rFonts w:ascii="Palatino Linotype" w:hAnsi="Palatino Linotype"/>
        </w:rPr>
        <w:t xml:space="preserve"> similarly </w:t>
      </w:r>
      <w:r w:rsidRPr="00DD2C68" w:rsidR="00A2696D">
        <w:rPr>
          <w:rFonts w:ascii="Palatino Linotype" w:hAnsi="Palatino Linotype"/>
        </w:rPr>
        <w:t xml:space="preserve">pose that </w:t>
      </w:r>
      <w:r w:rsidR="00721AD9">
        <w:rPr>
          <w:rFonts w:ascii="Palatino Linotype" w:hAnsi="Palatino Linotype"/>
        </w:rPr>
        <w:br/>
      </w:r>
      <w:r w:rsidRPr="00DD2C68" w:rsidR="00A2696D">
        <w:rPr>
          <w:rFonts w:ascii="Palatino Linotype" w:hAnsi="Palatino Linotype"/>
        </w:rPr>
        <w:t xml:space="preserve">SCE’s proposal could offer greater flexibility </w:t>
      </w:r>
      <w:r w:rsidRPr="00DD2C68" w:rsidR="00A54670">
        <w:rPr>
          <w:rFonts w:ascii="Palatino Linotype" w:hAnsi="Palatino Linotype"/>
        </w:rPr>
        <w:t xml:space="preserve">than other proposals </w:t>
      </w:r>
      <w:r w:rsidRPr="00DD2C68" w:rsidR="00A2696D">
        <w:rPr>
          <w:rFonts w:ascii="Palatino Linotype" w:hAnsi="Palatino Linotype"/>
        </w:rPr>
        <w:t xml:space="preserve">while still maintaining sufficient planning rigor. </w:t>
      </w:r>
    </w:p>
    <w:p w:rsidRPr="00DD2C68" w:rsidR="00974D4D" w:rsidP="00AF3BBB" w:rsidRDefault="00974D4D" w14:paraId="1734BCDA" w14:textId="72315893">
      <w:pPr>
        <w:rPr>
          <w:rFonts w:ascii="Palatino Linotype" w:hAnsi="Palatino Linotype"/>
        </w:rPr>
      </w:pPr>
      <w:r w:rsidRPr="00DD2C68">
        <w:rPr>
          <w:rFonts w:ascii="Palatino Linotype" w:hAnsi="Palatino Linotype"/>
          <w:b/>
          <w:bCs/>
          <w:i/>
          <w:iCs/>
        </w:rPr>
        <w:t>PG&amp;E Reply</w:t>
      </w:r>
      <w:r w:rsidRPr="00DD2C68">
        <w:rPr>
          <w:rFonts w:ascii="Palatino Linotype" w:hAnsi="Palatino Linotype"/>
          <w:i/>
          <w:iCs/>
        </w:rPr>
        <w:t>:</w:t>
      </w:r>
      <w:r w:rsidRPr="00DD2C68">
        <w:rPr>
          <w:rFonts w:ascii="Palatino Linotype" w:hAnsi="Palatino Linotype"/>
        </w:rPr>
        <w:t xml:space="preserve"> </w:t>
      </w:r>
      <w:r w:rsidRPr="00DD2C68" w:rsidR="005914C4">
        <w:rPr>
          <w:rFonts w:ascii="Palatino Linotype" w:hAnsi="Palatino Linotype"/>
        </w:rPr>
        <w:t xml:space="preserve">PG&amp;E agrees that its proposed confidence criteria for Category A and B customer </w:t>
      </w:r>
      <w:proofErr w:type="gramStart"/>
      <w:r w:rsidRPr="00DD2C68" w:rsidR="005914C4">
        <w:rPr>
          <w:rFonts w:ascii="Palatino Linotype" w:hAnsi="Palatino Linotype"/>
        </w:rPr>
        <w:t>plans risks</w:t>
      </w:r>
      <w:proofErr w:type="gramEnd"/>
      <w:r w:rsidRPr="00DD2C68" w:rsidR="005914C4">
        <w:rPr>
          <w:rFonts w:ascii="Palatino Linotype" w:hAnsi="Palatino Linotype"/>
        </w:rPr>
        <w:t xml:space="preserve"> insufficiently reflecting the likelihood that a load will materialize and require customers to spend potentially hundreds of thousands of dollars developing their project to meet the minimum criteria. In response, PG&amp;E proposes to update their minimum criteria to the following: </w:t>
      </w:r>
    </w:p>
    <w:tbl>
      <w:tblPr>
        <w:tblStyle w:val="TableGrid"/>
        <w:tblW w:w="0" w:type="auto"/>
        <w:jc w:val="center"/>
        <w:tblLook w:val="04A0" w:firstRow="1" w:lastRow="0" w:firstColumn="1" w:lastColumn="0" w:noHBand="0" w:noVBand="1"/>
      </w:tblPr>
      <w:tblGrid>
        <w:gridCol w:w="2880"/>
        <w:gridCol w:w="2880"/>
        <w:gridCol w:w="2880"/>
      </w:tblGrid>
      <w:tr w:rsidRPr="00DD2C68" w:rsidR="00DD2C68" w:rsidTr="4708E492" w14:paraId="4AC1245E" w14:textId="77777777">
        <w:trPr>
          <w:jc w:val="center"/>
        </w:trPr>
        <w:tc>
          <w:tcPr>
            <w:tcW w:w="2880" w:type="dxa"/>
            <w:shd w:val="clear" w:color="auto" w:fill="4C94D8" w:themeFill="text2" w:themeFillTint="80"/>
            <w:hideMark/>
          </w:tcPr>
          <w:p w:rsidRPr="00DD2C68" w:rsidR="00DF7E39" w:rsidP="00DF7E39" w:rsidRDefault="5BA521EC" w14:paraId="55C73373" w14:textId="28217AA2">
            <w:pPr>
              <w:rPr>
                <w:rFonts w:ascii="Palatino Linotype" w:hAnsi="Palatino Linotype"/>
                <w:sz w:val="20"/>
                <w:szCs w:val="20"/>
              </w:rPr>
            </w:pPr>
            <w:r w:rsidRPr="00DD2C68">
              <w:rPr>
                <w:rFonts w:ascii="Palatino Linotype" w:hAnsi="Palatino Linotype"/>
                <w:b/>
                <w:sz w:val="20"/>
                <w:szCs w:val="20"/>
              </w:rPr>
              <w:t>Category A</w:t>
            </w:r>
            <w:r w:rsidRPr="00DD2C68" w:rsidR="00DF7E39">
              <w:br/>
            </w:r>
            <w:r w:rsidRPr="00DD2C68">
              <w:rPr>
                <w:rFonts w:ascii="Palatino Linotype" w:hAnsi="Palatino Linotype"/>
                <w:b/>
                <w:sz w:val="20"/>
                <w:szCs w:val="20"/>
              </w:rPr>
              <w:t>Minimum Criteria</w:t>
            </w:r>
          </w:p>
        </w:tc>
        <w:tc>
          <w:tcPr>
            <w:tcW w:w="2880" w:type="dxa"/>
            <w:shd w:val="clear" w:color="auto" w:fill="4C94D8" w:themeFill="text2" w:themeFillTint="80"/>
            <w:hideMark/>
          </w:tcPr>
          <w:p w:rsidRPr="00DD2C68" w:rsidR="00DF7E39" w:rsidP="00DF7E39" w:rsidRDefault="00DF7E39" w14:paraId="560DA2B0" w14:textId="39D8A0CF">
            <w:pPr>
              <w:rPr>
                <w:rFonts w:ascii="Palatino Linotype" w:hAnsi="Palatino Linotype"/>
                <w:sz w:val="20"/>
                <w:szCs w:val="20"/>
              </w:rPr>
            </w:pPr>
            <w:r w:rsidRPr="00DD2C68">
              <w:rPr>
                <w:rFonts w:ascii="Palatino Linotype" w:hAnsi="Palatino Linotype"/>
                <w:b/>
                <w:sz w:val="20"/>
                <w:szCs w:val="20"/>
              </w:rPr>
              <w:t>Category B</w:t>
            </w:r>
            <w:r w:rsidRPr="00DD2C68">
              <w:rPr>
                <w:rFonts w:ascii="Palatino Linotype" w:hAnsi="Palatino Linotype"/>
                <w:b/>
                <w:sz w:val="20"/>
                <w:szCs w:val="20"/>
              </w:rPr>
              <w:br/>
              <w:t>Minimum Criteria</w:t>
            </w:r>
          </w:p>
        </w:tc>
        <w:tc>
          <w:tcPr>
            <w:tcW w:w="2880" w:type="dxa"/>
            <w:shd w:val="clear" w:color="auto" w:fill="4C94D8" w:themeFill="text2" w:themeFillTint="80"/>
            <w:hideMark/>
          </w:tcPr>
          <w:p w:rsidRPr="00DD2C68" w:rsidR="00DF7E39" w:rsidP="00DF7E39" w:rsidRDefault="00DF7E39" w14:paraId="64271799" w14:textId="366D92E2">
            <w:pPr>
              <w:rPr>
                <w:rFonts w:ascii="Palatino Linotype" w:hAnsi="Palatino Linotype"/>
                <w:sz w:val="20"/>
                <w:szCs w:val="20"/>
              </w:rPr>
            </w:pPr>
            <w:r w:rsidRPr="00DD2C68">
              <w:rPr>
                <w:rFonts w:ascii="Palatino Linotype" w:hAnsi="Palatino Linotype"/>
                <w:b/>
                <w:sz w:val="20"/>
                <w:szCs w:val="20"/>
              </w:rPr>
              <w:t>Category C</w:t>
            </w:r>
            <w:r w:rsidRPr="00DD2C68">
              <w:rPr>
                <w:rFonts w:ascii="Palatino Linotype" w:hAnsi="Palatino Linotype"/>
                <w:b/>
                <w:sz w:val="20"/>
                <w:szCs w:val="20"/>
              </w:rPr>
              <w:br/>
              <w:t>Minimum Criteria</w:t>
            </w:r>
          </w:p>
        </w:tc>
      </w:tr>
      <w:tr w:rsidRPr="00DD2C68" w:rsidR="00CC3933" w:rsidTr="4708E492" w14:paraId="2E06EF6A" w14:textId="77777777">
        <w:trPr>
          <w:jc w:val="center"/>
        </w:trPr>
        <w:tc>
          <w:tcPr>
            <w:tcW w:w="2880" w:type="dxa"/>
          </w:tcPr>
          <w:p w:rsidRPr="00DD2C68" w:rsidR="00CC3933" w:rsidP="007A761B" w:rsidRDefault="00CC3933" w14:paraId="26E2DA17" w14:textId="7817CCEB">
            <w:pPr>
              <w:pStyle w:val="ListParagraph"/>
              <w:numPr>
                <w:ilvl w:val="0"/>
                <w:numId w:val="8"/>
              </w:numPr>
              <w:rPr>
                <w:rFonts w:ascii="Palatino Linotype" w:hAnsi="Palatino Linotype"/>
                <w:sz w:val="20"/>
                <w:szCs w:val="20"/>
              </w:rPr>
            </w:pPr>
            <w:r w:rsidRPr="00DD2C68">
              <w:rPr>
                <w:rFonts w:ascii="Palatino Linotype" w:hAnsi="Palatino Linotype"/>
                <w:strike/>
                <w:sz w:val="20"/>
                <w:szCs w:val="20"/>
              </w:rPr>
              <w:t>Design is specific (e.g., single lines or preliminary electrical design complete, building or site development plans complete, approved city plan)</w:t>
            </w:r>
          </w:p>
          <w:p w:rsidRPr="00DD2C68" w:rsidR="00CC3933" w:rsidP="007A761B" w:rsidRDefault="00CC3933" w14:paraId="67D56B89" w14:textId="441D4962">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Preliminary Design is complete (e.g., high level single line, proposed building or site development plan, proposed city plan).</w:t>
            </w:r>
          </w:p>
          <w:p w:rsidRPr="00DD2C68" w:rsidR="00CC3933" w:rsidP="007A761B" w:rsidRDefault="00CC3933" w14:paraId="018B560B" w14:textId="329511BD">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Location is specific (e.g., latitude and longitude or specific parcel, or specific locations within a government or community plan).</w:t>
            </w:r>
          </w:p>
          <w:p w:rsidRPr="00DD2C68" w:rsidR="00CC3933" w:rsidP="007A761B" w:rsidRDefault="00CC3933" w14:paraId="59708D5B" w14:textId="1BD65109">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 xml:space="preserve">Electrical Demand (peak capacity and load type/profile) can </w:t>
            </w:r>
            <w:r w:rsidRPr="00DD2C68">
              <w:rPr>
                <w:rFonts w:ascii="Palatino Linotype" w:hAnsi="Palatino Linotype"/>
                <w:sz w:val="20"/>
                <w:szCs w:val="20"/>
              </w:rPr>
              <w:lastRenderedPageBreak/>
              <w:t>accurately be estimated (e.g., either electrical demand is provided, such as known square footage with load type).</w:t>
            </w:r>
          </w:p>
          <w:p w:rsidRPr="00DD2C68" w:rsidR="00CC3933" w:rsidP="007A761B" w:rsidRDefault="00CC3933" w14:paraId="4DEBC017" w14:textId="07EF83CA">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Interconnection year is specific and realistic based on the current development status and prior experience with similar requests.</w:t>
            </w:r>
          </w:p>
          <w:p w:rsidRPr="00DD2C68" w:rsidR="00CC3933" w:rsidP="007A761B" w:rsidRDefault="00CC3933" w14:paraId="6835041A" w14:textId="0A9F94BC">
            <w:pPr>
              <w:pStyle w:val="ListParagraph"/>
              <w:numPr>
                <w:ilvl w:val="0"/>
                <w:numId w:val="7"/>
              </w:numPr>
              <w:spacing w:after="160" w:line="278" w:lineRule="auto"/>
              <w:rPr>
                <w:rFonts w:ascii="Palatino Linotype" w:hAnsi="Palatino Linotype"/>
                <w:strike/>
                <w:sz w:val="20"/>
                <w:szCs w:val="20"/>
              </w:rPr>
            </w:pPr>
            <w:r w:rsidRPr="00DD2C68">
              <w:rPr>
                <w:rFonts w:ascii="Palatino Linotype" w:hAnsi="Palatino Linotype"/>
                <w:strike/>
                <w:sz w:val="20"/>
                <w:szCs w:val="20"/>
              </w:rPr>
              <w:t>Key permits are approved or in final state of submission (Environmental (CEQA), Caltrans, or Railroad Crossing permits, if required).</w:t>
            </w:r>
          </w:p>
          <w:p w:rsidRPr="00DD2C68" w:rsidR="00CC3933" w:rsidP="007A761B" w:rsidRDefault="00CC3933" w14:paraId="54EB39CD" w14:textId="27199430">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Key permits have been submitted (Environmental (CEQA), Caltrans, or Railroad Crossing permits if required).</w:t>
            </w:r>
          </w:p>
          <w:p w:rsidRPr="00DD2C68" w:rsidR="00CC3933" w:rsidP="007A761B" w:rsidRDefault="00CC3933" w14:paraId="5F155DF0" w14:textId="1B56CF81">
            <w:pPr>
              <w:pStyle w:val="ListParagraph"/>
              <w:numPr>
                <w:ilvl w:val="0"/>
                <w:numId w:val="7"/>
              </w:numPr>
              <w:spacing w:after="160" w:line="278" w:lineRule="auto"/>
              <w:rPr>
                <w:rFonts w:ascii="Palatino Linotype" w:hAnsi="Palatino Linotype"/>
                <w:strike/>
                <w:sz w:val="20"/>
                <w:szCs w:val="20"/>
              </w:rPr>
            </w:pPr>
            <w:r w:rsidRPr="00DD2C68">
              <w:rPr>
                <w:rFonts w:ascii="Palatino Linotype" w:hAnsi="Palatino Linotype"/>
                <w:strike/>
                <w:sz w:val="20"/>
                <w:szCs w:val="20"/>
              </w:rPr>
              <w:t>Funding is secured or project is in construction (e.g., Project has obtained funding or project/plan qualifies for a defined funding source such as a government plan or program).</w:t>
            </w:r>
          </w:p>
          <w:p w:rsidRPr="00DD2C68" w:rsidR="00CC3933" w:rsidP="007A761B" w:rsidRDefault="00CC3933" w14:paraId="3E8D1F91" w14:textId="37D0F44B">
            <w:pPr>
              <w:pStyle w:val="ListParagraph"/>
              <w:numPr>
                <w:ilvl w:val="0"/>
                <w:numId w:val="7"/>
              </w:numPr>
              <w:rPr>
                <w:rFonts w:ascii="Palatino Linotype" w:hAnsi="Palatino Linotype"/>
                <w:b/>
                <w:sz w:val="20"/>
                <w:szCs w:val="20"/>
              </w:rPr>
            </w:pPr>
            <w:r w:rsidRPr="00DD2C68">
              <w:rPr>
                <w:rFonts w:ascii="Palatino Linotype" w:hAnsi="Palatino Linotype"/>
                <w:sz w:val="20"/>
                <w:szCs w:val="20"/>
              </w:rPr>
              <w:t>Funding source is specified.</w:t>
            </w:r>
          </w:p>
        </w:tc>
        <w:tc>
          <w:tcPr>
            <w:tcW w:w="2880" w:type="dxa"/>
          </w:tcPr>
          <w:p w:rsidRPr="00DD2C68" w:rsidR="00CC3933" w:rsidP="007A761B" w:rsidRDefault="00CC3933" w14:paraId="0EF085AB" w14:textId="6638B098">
            <w:pPr>
              <w:pStyle w:val="ListParagraph"/>
              <w:numPr>
                <w:ilvl w:val="0"/>
                <w:numId w:val="7"/>
              </w:numPr>
              <w:rPr>
                <w:rFonts w:ascii="Palatino Linotype" w:hAnsi="Palatino Linotype"/>
                <w:strike/>
                <w:sz w:val="20"/>
                <w:szCs w:val="20"/>
              </w:rPr>
            </w:pPr>
            <w:r w:rsidRPr="00DD2C68">
              <w:rPr>
                <w:rFonts w:ascii="Palatino Linotype" w:hAnsi="Palatino Linotype"/>
                <w:strike/>
                <w:sz w:val="20"/>
                <w:szCs w:val="20"/>
              </w:rPr>
              <w:lastRenderedPageBreak/>
              <w:t>Preliminary Design is complete (e.g., high level single line, proposed building or site development plan, proposed city plan).</w:t>
            </w:r>
          </w:p>
          <w:p w:rsidRPr="00DD2C68" w:rsidR="00CC3933" w:rsidP="007A761B" w:rsidRDefault="00CC3933" w14:paraId="3C44BD66" w14:textId="27DB9EC5">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Preliminary Design has begun but is not complete.</w:t>
            </w:r>
          </w:p>
          <w:p w:rsidRPr="00DD2C68" w:rsidR="00CC3933" w:rsidP="007A761B" w:rsidRDefault="00CC3933" w14:paraId="3422C873" w14:textId="2F66C675">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Location is specific (e.g., latitude and longitude or parcel without site control; or locations proposed within a government or community plan).</w:t>
            </w:r>
          </w:p>
          <w:p w:rsidRPr="00DD2C68" w:rsidR="00CC3933" w:rsidP="007A761B" w:rsidRDefault="00CC3933" w14:paraId="3570A7D0" w14:textId="14D836A5">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 xml:space="preserve">Electrical Demand (peak capacity and load type/profile) can accurately be estimated (e.g., either electric demand is provided or a basis for comparable </w:t>
            </w:r>
            <w:r w:rsidRPr="00DD2C68">
              <w:rPr>
                <w:rFonts w:ascii="Palatino Linotype" w:hAnsi="Palatino Linotype"/>
                <w:sz w:val="20"/>
                <w:szCs w:val="20"/>
              </w:rPr>
              <w:lastRenderedPageBreak/>
              <w:t xml:space="preserve">demand is provided, such as known square footage with load type). </w:t>
            </w:r>
          </w:p>
          <w:p w:rsidRPr="00DD2C68" w:rsidR="00CC3933" w:rsidP="007A761B" w:rsidRDefault="00CC3933" w14:paraId="3DE2ADB4" w14:textId="45B51E00">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Interconnection year is specific and realistic based on the current development status and prior experience with similar requests</w:t>
            </w:r>
          </w:p>
          <w:p w:rsidRPr="00DD2C68" w:rsidR="00CC3933" w:rsidP="007A761B" w:rsidRDefault="138089D0" w14:paraId="3C2EB5BF" w14:textId="776B5190">
            <w:pPr>
              <w:pStyle w:val="ListParagraph"/>
              <w:numPr>
                <w:ilvl w:val="0"/>
                <w:numId w:val="7"/>
              </w:numPr>
              <w:spacing w:after="160" w:line="278" w:lineRule="auto"/>
              <w:rPr>
                <w:rFonts w:ascii="Palatino Linotype" w:hAnsi="Palatino Linotype"/>
                <w:strike/>
                <w:sz w:val="20"/>
                <w:szCs w:val="20"/>
              </w:rPr>
            </w:pPr>
            <w:r w:rsidRPr="00DD2C68">
              <w:rPr>
                <w:rFonts w:ascii="Palatino Linotype" w:hAnsi="Palatino Linotype"/>
                <w:strike/>
                <w:sz w:val="20"/>
                <w:szCs w:val="20"/>
              </w:rPr>
              <w:t xml:space="preserve">Key permits have been </w:t>
            </w:r>
            <w:r w:rsidRPr="00DD2C68" w:rsidR="3643F165">
              <w:rPr>
                <w:rFonts w:ascii="Palatino Linotype" w:hAnsi="Palatino Linotype"/>
                <w:strike/>
                <w:sz w:val="20"/>
                <w:szCs w:val="20"/>
              </w:rPr>
              <w:t xml:space="preserve">submitted </w:t>
            </w:r>
            <w:r w:rsidRPr="00DD2C68">
              <w:rPr>
                <w:rFonts w:ascii="Palatino Linotype" w:hAnsi="Palatino Linotype"/>
                <w:strike/>
                <w:sz w:val="20"/>
                <w:szCs w:val="20"/>
              </w:rPr>
              <w:t>(Environmental (CEQA), Caltrans, or Railroad Crossing permits).</w:t>
            </w:r>
          </w:p>
          <w:p w:rsidRPr="00DD2C68" w:rsidR="00CC3933" w:rsidP="007A761B" w:rsidRDefault="138089D0" w14:paraId="66FF34AE" w14:textId="02793C27">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Key permits have been identified (Environmental (CEQA), Caltrans, or Railroad Crossing permits).</w:t>
            </w:r>
          </w:p>
          <w:p w:rsidRPr="00DD2C68" w:rsidR="00CC3933" w:rsidP="007A761B" w:rsidRDefault="00CC3933" w14:paraId="4700C9E1" w14:textId="6A4A8C3B">
            <w:pPr>
              <w:pStyle w:val="ListParagraph"/>
              <w:numPr>
                <w:ilvl w:val="0"/>
                <w:numId w:val="7"/>
              </w:numPr>
              <w:rPr>
                <w:rFonts w:ascii="Palatino Linotype" w:hAnsi="Palatino Linotype"/>
                <w:b/>
                <w:sz w:val="20"/>
                <w:szCs w:val="20"/>
              </w:rPr>
            </w:pPr>
            <w:r w:rsidRPr="00DD2C68">
              <w:rPr>
                <w:rFonts w:ascii="Palatino Linotype" w:hAnsi="Palatino Linotype"/>
                <w:strike/>
                <w:sz w:val="20"/>
                <w:szCs w:val="20"/>
              </w:rPr>
              <w:t>Funding source is specified.</w:t>
            </w:r>
          </w:p>
        </w:tc>
        <w:tc>
          <w:tcPr>
            <w:tcW w:w="2880" w:type="dxa"/>
          </w:tcPr>
          <w:p w:rsidRPr="00DD2C68" w:rsidR="00CC3933" w:rsidP="007A761B" w:rsidRDefault="00CC3933" w14:paraId="55217A81" w14:textId="20020457">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trike/>
                <w:sz w:val="20"/>
                <w:szCs w:val="20"/>
              </w:rPr>
              <w:lastRenderedPageBreak/>
              <w:t>Preliminary Design has begun but is not complete</w:t>
            </w:r>
            <w:r w:rsidRPr="00DD2C68">
              <w:rPr>
                <w:rFonts w:ascii="Palatino Linotype" w:hAnsi="Palatino Linotype"/>
                <w:sz w:val="20"/>
                <w:szCs w:val="20"/>
              </w:rPr>
              <w:t xml:space="preserve"> </w:t>
            </w:r>
          </w:p>
          <w:p w:rsidRPr="00DD2C68" w:rsidR="00CC3933" w:rsidP="007A761B" w:rsidRDefault="00CC3933" w14:paraId="00657FBC" w14:textId="086D3A4D">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Location is indicated but not specific.</w:t>
            </w:r>
          </w:p>
          <w:p w:rsidRPr="00DD2C68" w:rsidR="00CC3933" w:rsidP="007A761B" w:rsidRDefault="00CC3933" w14:paraId="50E1ECBE" w14:textId="153F364C">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 xml:space="preserve">Electrical Demand can be estimated but is uncertain and based on </w:t>
            </w:r>
            <w:r w:rsidRPr="00DD2C68" w:rsidR="6634482A">
              <w:rPr>
                <w:rFonts w:ascii="Palatino Linotype" w:hAnsi="Palatino Linotype"/>
                <w:sz w:val="20"/>
                <w:szCs w:val="20"/>
              </w:rPr>
              <w:t>D</w:t>
            </w:r>
            <w:r w:rsidRPr="00DD2C68" w:rsidR="02F832A8">
              <w:rPr>
                <w:rFonts w:ascii="Palatino Linotype" w:hAnsi="Palatino Linotype"/>
                <w:sz w:val="20"/>
                <w:szCs w:val="20"/>
              </w:rPr>
              <w:t xml:space="preserve">istribution </w:t>
            </w:r>
            <w:r w:rsidRPr="00DD2C68" w:rsidR="6634482A">
              <w:rPr>
                <w:rFonts w:ascii="Palatino Linotype" w:hAnsi="Palatino Linotype"/>
                <w:sz w:val="20"/>
                <w:szCs w:val="20"/>
              </w:rPr>
              <w:t>E</w:t>
            </w:r>
            <w:r w:rsidRPr="00DD2C68" w:rsidR="01BD901C">
              <w:rPr>
                <w:rFonts w:ascii="Palatino Linotype" w:hAnsi="Palatino Linotype"/>
                <w:sz w:val="20"/>
                <w:szCs w:val="20"/>
              </w:rPr>
              <w:t>ngineer</w:t>
            </w:r>
            <w:r w:rsidRPr="00DD2C68">
              <w:rPr>
                <w:rFonts w:ascii="Palatino Linotype" w:hAnsi="Palatino Linotype"/>
                <w:sz w:val="20"/>
                <w:szCs w:val="20"/>
              </w:rPr>
              <w:t xml:space="preserve"> estimation </w:t>
            </w:r>
          </w:p>
          <w:p w:rsidRPr="00DD2C68" w:rsidR="00CC3933" w:rsidP="007A761B" w:rsidRDefault="00CC3933" w14:paraId="06441DA1" w14:textId="3512C4AC">
            <w:pPr>
              <w:pStyle w:val="ListParagraph"/>
              <w:numPr>
                <w:ilvl w:val="0"/>
                <w:numId w:val="7"/>
              </w:numPr>
              <w:spacing w:after="160" w:line="278" w:lineRule="auto"/>
              <w:rPr>
                <w:rFonts w:ascii="Palatino Linotype" w:hAnsi="Palatino Linotype"/>
                <w:sz w:val="20"/>
                <w:szCs w:val="20"/>
              </w:rPr>
            </w:pPr>
            <w:r w:rsidRPr="00DD2C68">
              <w:rPr>
                <w:rFonts w:ascii="Palatino Linotype" w:hAnsi="Palatino Linotype"/>
                <w:sz w:val="20"/>
                <w:szCs w:val="20"/>
              </w:rPr>
              <w:t xml:space="preserve">Interconnection Year provided is a range and DE will estimate based on the current development status and prior experience with similar requests </w:t>
            </w:r>
          </w:p>
          <w:p w:rsidRPr="00DD2C68" w:rsidR="00CC3933" w:rsidP="00CC3933" w:rsidRDefault="00CC3933" w14:paraId="044D8C2B" w14:textId="73D60267">
            <w:pPr>
              <w:rPr>
                <w:rFonts w:ascii="Palatino Linotype" w:hAnsi="Palatino Linotype"/>
                <w:b/>
                <w:sz w:val="20"/>
                <w:szCs w:val="20"/>
              </w:rPr>
            </w:pPr>
            <w:r w:rsidRPr="00DD2C68">
              <w:rPr>
                <w:rFonts w:ascii="Palatino Linotype" w:hAnsi="Palatino Linotype"/>
                <w:strike/>
                <w:sz w:val="20"/>
                <w:szCs w:val="20"/>
              </w:rPr>
              <w:t>Key permits have not been identified (Environmental (CEQA), Caltrans, or Railroad Crossing permits).</w:t>
            </w:r>
          </w:p>
        </w:tc>
      </w:tr>
    </w:tbl>
    <w:p w:rsidRPr="00DD2C68" w:rsidR="00AE6FCB" w:rsidP="00AF3BBB" w:rsidRDefault="00AE6FCB" w14:paraId="1AC723FE" w14:textId="1BE4FC6A">
      <w:pPr>
        <w:rPr>
          <w:rFonts w:ascii="Palatino Linotype" w:hAnsi="Palatino Linotype"/>
          <w:b/>
          <w:bCs/>
          <w:i/>
          <w:iCs/>
        </w:rPr>
      </w:pPr>
    </w:p>
    <w:p w:rsidRPr="00DD2C68" w:rsidR="005914C4" w:rsidP="00AF3BBB" w:rsidRDefault="003A30AC" w14:paraId="3006CFD4" w14:textId="1CF94B9C">
      <w:pPr>
        <w:rPr>
          <w:rFonts w:ascii="Palatino Linotype" w:hAnsi="Palatino Linotype"/>
          <w:b/>
          <w:bCs/>
          <w:i/>
          <w:iCs/>
        </w:rPr>
      </w:pPr>
      <w:r w:rsidRPr="00DD2C68">
        <w:rPr>
          <w:rFonts w:ascii="Palatino Linotype" w:hAnsi="Palatino Linotype"/>
          <w:b/>
          <w:bCs/>
          <w:i/>
          <w:iCs/>
        </w:rPr>
        <w:t>SDG&amp;E Reply</w:t>
      </w:r>
      <w:r w:rsidRPr="00DD2C68" w:rsidR="00467A58">
        <w:rPr>
          <w:rFonts w:ascii="Palatino Linotype" w:hAnsi="Palatino Linotype"/>
          <w:b/>
          <w:bCs/>
          <w:i/>
          <w:iCs/>
        </w:rPr>
        <w:t xml:space="preserve">: </w:t>
      </w:r>
      <w:r w:rsidRPr="00DD2C68" w:rsidR="00467A58">
        <w:rPr>
          <w:rFonts w:ascii="Palatino Linotype" w:hAnsi="Palatino Linotype"/>
        </w:rPr>
        <w:t xml:space="preserve">SDG&amp;E </w:t>
      </w:r>
      <w:r w:rsidRPr="00DD2C68" w:rsidR="0019792F">
        <w:rPr>
          <w:rFonts w:ascii="Palatino Linotype" w:hAnsi="Palatino Linotype"/>
        </w:rPr>
        <w:t xml:space="preserve">argues that its </w:t>
      </w:r>
      <w:r w:rsidRPr="00DD2C68" w:rsidR="007F1120">
        <w:rPr>
          <w:rFonts w:ascii="Palatino Linotype" w:hAnsi="Palatino Linotype"/>
        </w:rPr>
        <w:t xml:space="preserve">pending load framework is appropriate for its service territory </w:t>
      </w:r>
      <w:r w:rsidRPr="00DD2C68" w:rsidR="000F4D50">
        <w:rPr>
          <w:rFonts w:ascii="Palatino Linotype" w:hAnsi="Palatino Linotype"/>
        </w:rPr>
        <w:t xml:space="preserve">and that </w:t>
      </w:r>
      <w:r w:rsidRPr="00DD2C68" w:rsidR="00A107BE">
        <w:rPr>
          <w:rFonts w:ascii="Palatino Linotype" w:hAnsi="Palatino Linotype"/>
        </w:rPr>
        <w:t>the framew</w:t>
      </w:r>
      <w:r w:rsidRPr="00DD2C68" w:rsidR="004F1D94">
        <w:rPr>
          <w:rFonts w:ascii="Palatino Linotype" w:hAnsi="Palatino Linotype"/>
        </w:rPr>
        <w:t>o</w:t>
      </w:r>
      <w:r w:rsidRPr="00DD2C68" w:rsidR="00A107BE">
        <w:rPr>
          <w:rFonts w:ascii="Palatino Linotype" w:hAnsi="Palatino Linotype"/>
        </w:rPr>
        <w:t>rk</w:t>
      </w:r>
      <w:r w:rsidRPr="00DD2C68" w:rsidR="000F4D50">
        <w:rPr>
          <w:rFonts w:ascii="Palatino Linotype" w:hAnsi="Palatino Linotype"/>
        </w:rPr>
        <w:t xml:space="preserve"> does not only consider MD/HD </w:t>
      </w:r>
      <w:r w:rsidRPr="00DD2C68" w:rsidR="00A107BE">
        <w:rPr>
          <w:rFonts w:ascii="Palatino Linotype" w:hAnsi="Palatino Linotype"/>
        </w:rPr>
        <w:t>loads because it can be updated in the future t</w:t>
      </w:r>
      <w:r w:rsidRPr="00DD2C68" w:rsidR="004F1D94">
        <w:rPr>
          <w:rFonts w:ascii="Palatino Linotype" w:hAnsi="Palatino Linotype"/>
        </w:rPr>
        <w:t>o</w:t>
      </w:r>
      <w:r w:rsidRPr="00DD2C68" w:rsidR="00A107BE">
        <w:rPr>
          <w:rFonts w:ascii="Palatino Linotype" w:hAnsi="Palatino Linotype"/>
        </w:rPr>
        <w:t xml:space="preserve"> include more </w:t>
      </w:r>
      <w:r w:rsidRPr="00DD2C68" w:rsidR="007D3F2F">
        <w:rPr>
          <w:rFonts w:ascii="Palatino Linotype" w:hAnsi="Palatino Linotype"/>
        </w:rPr>
        <w:t xml:space="preserve">types of loads if SDG&amp;E </w:t>
      </w:r>
      <w:r w:rsidRPr="00DD2C68" w:rsidR="00F670D3">
        <w:rPr>
          <w:rFonts w:ascii="Palatino Linotype" w:hAnsi="Palatino Linotype"/>
        </w:rPr>
        <w:t xml:space="preserve">develops </w:t>
      </w:r>
      <w:r w:rsidRPr="00DD2C68" w:rsidR="004A043D">
        <w:rPr>
          <w:rFonts w:ascii="Palatino Linotype" w:hAnsi="Palatino Linotype"/>
        </w:rPr>
        <w:t>additional studies</w:t>
      </w:r>
      <w:r w:rsidRPr="00DD2C68" w:rsidR="00005F97">
        <w:rPr>
          <w:rFonts w:ascii="Palatino Linotype" w:hAnsi="Palatino Linotype"/>
        </w:rPr>
        <w:t>.</w:t>
      </w:r>
    </w:p>
    <w:p w:rsidRPr="00DD2C68" w:rsidR="00AF3BBB" w:rsidP="00AF3BBB" w:rsidRDefault="00E77CDC" w14:paraId="63413928" w14:textId="6931DB75">
      <w:pPr>
        <w:pStyle w:val="Heading3"/>
        <w:rPr>
          <w:rFonts w:ascii="Palatino Linotype" w:hAnsi="Palatino Linotype"/>
          <w:color w:val="auto"/>
        </w:rPr>
      </w:pPr>
      <w:r w:rsidRPr="00DD2C68">
        <w:rPr>
          <w:rFonts w:ascii="Palatino Linotype" w:hAnsi="Palatino Linotype"/>
          <w:color w:val="auto"/>
        </w:rPr>
        <w:lastRenderedPageBreak/>
        <w:t>Uniformity Across IOUs</w:t>
      </w:r>
      <w:r w:rsidRPr="00DD2C68" w:rsidR="002A18AB">
        <w:rPr>
          <w:rFonts w:ascii="Palatino Linotype" w:hAnsi="Palatino Linotype"/>
          <w:color w:val="auto"/>
        </w:rPr>
        <w:t xml:space="preserve">: </w:t>
      </w:r>
    </w:p>
    <w:p w:rsidRPr="00DD2C68" w:rsidR="001A3847" w:rsidP="00AF3BBB" w:rsidRDefault="002A18AB" w14:paraId="47227991" w14:textId="721DF9C1">
      <w:pPr>
        <w:rPr>
          <w:rFonts w:ascii="Palatino Linotype" w:hAnsi="Palatino Linotype"/>
        </w:rPr>
      </w:pPr>
      <w:r w:rsidRPr="00DD2C68">
        <w:rPr>
          <w:rFonts w:ascii="Palatino Linotype" w:hAnsi="Palatino Linotype"/>
        </w:rPr>
        <w:t>Cal Advocates</w:t>
      </w:r>
      <w:r w:rsidRPr="00DD2C68" w:rsidR="00640991">
        <w:rPr>
          <w:rFonts w:ascii="Palatino Linotype" w:hAnsi="Palatino Linotype"/>
        </w:rPr>
        <w:t xml:space="preserve"> and</w:t>
      </w:r>
      <w:r w:rsidRPr="00DD2C68">
        <w:rPr>
          <w:rFonts w:ascii="Palatino Linotype" w:hAnsi="Palatino Linotype"/>
        </w:rPr>
        <w:t xml:space="preserve"> CalCCA</w:t>
      </w:r>
      <w:r w:rsidRPr="00DD2C68" w:rsidR="006F518A">
        <w:rPr>
          <w:rFonts w:ascii="Palatino Linotype" w:hAnsi="Palatino Linotype"/>
        </w:rPr>
        <w:t xml:space="preserve"> argue that the Commission should not approve </w:t>
      </w:r>
      <w:r w:rsidRPr="00DD2C68" w:rsidR="007C2754">
        <w:rPr>
          <w:rFonts w:ascii="Palatino Linotype" w:hAnsi="Palatino Linotype"/>
        </w:rPr>
        <w:t xml:space="preserve">different pending loads frameworks for each utility. </w:t>
      </w:r>
      <w:r w:rsidRPr="00DD2C68" w:rsidR="003261FB">
        <w:rPr>
          <w:rFonts w:ascii="Palatino Linotype" w:hAnsi="Palatino Linotype"/>
        </w:rPr>
        <w:t xml:space="preserve">Cal Advocates asserts </w:t>
      </w:r>
      <w:r w:rsidRPr="00DD2C68" w:rsidR="00C4406D">
        <w:rPr>
          <w:rFonts w:ascii="Palatino Linotype" w:hAnsi="Palatino Linotype"/>
        </w:rPr>
        <w:t xml:space="preserve">that D.24-10-030 required the utilities to </w:t>
      </w:r>
      <w:r w:rsidRPr="00DD2C68" w:rsidR="008C08BE">
        <w:rPr>
          <w:rFonts w:ascii="Palatino Linotype" w:hAnsi="Palatino Linotype"/>
        </w:rPr>
        <w:t xml:space="preserve">propose in the AL “the method for developing the pending loads category” which </w:t>
      </w:r>
      <w:r w:rsidRPr="00DD2C68" w:rsidR="004E3E7F">
        <w:rPr>
          <w:rFonts w:ascii="Palatino Linotype" w:hAnsi="Palatino Linotype"/>
        </w:rPr>
        <w:t xml:space="preserve">indicates </w:t>
      </w:r>
      <w:r w:rsidRPr="00DD2C68" w:rsidR="00C07B2D">
        <w:rPr>
          <w:rFonts w:ascii="Palatino Linotype" w:hAnsi="Palatino Linotype"/>
        </w:rPr>
        <w:t xml:space="preserve">a single joint utility proposal. Furthermore, Cal Advocates argue </w:t>
      </w:r>
      <w:r w:rsidRPr="00DD2C68" w:rsidR="003261FB">
        <w:rPr>
          <w:rFonts w:ascii="Palatino Linotype" w:hAnsi="Palatino Linotype"/>
        </w:rPr>
        <w:t>that</w:t>
      </w:r>
      <w:r w:rsidRPr="00DD2C68" w:rsidR="00322CA0">
        <w:rPr>
          <w:rFonts w:ascii="Palatino Linotype" w:hAnsi="Palatino Linotype"/>
        </w:rPr>
        <w:t xml:space="preserve"> utility-specific pending load frameworks </w:t>
      </w:r>
      <w:r w:rsidRPr="00DD2C68" w:rsidR="00117FD5">
        <w:rPr>
          <w:rFonts w:ascii="Palatino Linotype" w:hAnsi="Palatino Linotype"/>
        </w:rPr>
        <w:t>make</w:t>
      </w:r>
      <w:r w:rsidRPr="00DD2C68" w:rsidR="00322CA0">
        <w:rPr>
          <w:rFonts w:ascii="Palatino Linotype" w:hAnsi="Palatino Linotype"/>
        </w:rPr>
        <w:t xml:space="preserve"> </w:t>
      </w:r>
      <w:r w:rsidRPr="00DD2C68" w:rsidR="00BD1A45">
        <w:rPr>
          <w:rFonts w:ascii="Palatino Linotype" w:hAnsi="Palatino Linotype"/>
        </w:rPr>
        <w:t xml:space="preserve">pending loads unwieldy and complicated to implement and oversee. CalCCA argues that </w:t>
      </w:r>
      <w:r w:rsidRPr="00DD2C68" w:rsidR="00F54996">
        <w:rPr>
          <w:rFonts w:ascii="Palatino Linotype" w:hAnsi="Palatino Linotype"/>
        </w:rPr>
        <w:t xml:space="preserve">adopting </w:t>
      </w:r>
      <w:r w:rsidRPr="00DD2C68" w:rsidR="007A5D7C">
        <w:rPr>
          <w:rFonts w:ascii="Palatino Linotype" w:hAnsi="Palatino Linotype"/>
        </w:rPr>
        <w:t>consistent processes</w:t>
      </w:r>
      <w:r w:rsidRPr="00DD2C68" w:rsidR="00F54996">
        <w:rPr>
          <w:rFonts w:ascii="Palatino Linotype" w:hAnsi="Palatino Linotype"/>
        </w:rPr>
        <w:t xml:space="preserve"> across utilities for determining confidence levels, </w:t>
      </w:r>
      <w:r w:rsidRPr="00DD2C68" w:rsidR="00F0037D">
        <w:rPr>
          <w:rFonts w:ascii="Palatino Linotype" w:hAnsi="Palatino Linotype"/>
        </w:rPr>
        <w:t xml:space="preserve">discount factors, and criteria for exceeding the IEPR </w:t>
      </w:r>
      <w:r w:rsidRPr="00DD2C68" w:rsidR="00DD5375">
        <w:rPr>
          <w:rFonts w:ascii="Palatino Linotype" w:hAnsi="Palatino Linotype"/>
        </w:rPr>
        <w:t xml:space="preserve">will ensure new customers are treated </w:t>
      </w:r>
      <w:proofErr w:type="gramStart"/>
      <w:r w:rsidRPr="00DD2C68" w:rsidR="00DD5375">
        <w:rPr>
          <w:rFonts w:ascii="Palatino Linotype" w:hAnsi="Palatino Linotype"/>
        </w:rPr>
        <w:t xml:space="preserve">fairly </w:t>
      </w:r>
      <w:r w:rsidRPr="00DD2C68" w:rsidR="00DC18D3">
        <w:rPr>
          <w:rFonts w:ascii="Palatino Linotype" w:hAnsi="Palatino Linotype"/>
        </w:rPr>
        <w:t>regardless</w:t>
      </w:r>
      <w:proofErr w:type="gramEnd"/>
      <w:r w:rsidRPr="00DD2C68" w:rsidR="00DC18D3">
        <w:rPr>
          <w:rFonts w:ascii="Palatino Linotype" w:hAnsi="Palatino Linotype"/>
        </w:rPr>
        <w:t xml:space="preserve"> of what service territory they are in</w:t>
      </w:r>
      <w:r w:rsidRPr="00DD2C68" w:rsidR="00DD5375">
        <w:rPr>
          <w:rFonts w:ascii="Palatino Linotype" w:hAnsi="Palatino Linotype"/>
        </w:rPr>
        <w:t>, simplify oversight, and provide ratepayer protection.</w:t>
      </w:r>
    </w:p>
    <w:p w:rsidRPr="00DD2C68" w:rsidR="00005F97" w:rsidP="00AF3BBB" w:rsidRDefault="00005F97" w14:paraId="5ACA4709" w14:textId="5345E2C6">
      <w:pPr>
        <w:rPr>
          <w:rFonts w:ascii="Palatino Linotype" w:hAnsi="Palatino Linotype"/>
        </w:rPr>
      </w:pPr>
      <w:r w:rsidRPr="00DD2C68">
        <w:rPr>
          <w:rFonts w:ascii="Palatino Linotype" w:hAnsi="Palatino Linotype"/>
          <w:b/>
          <w:bCs/>
          <w:i/>
          <w:iCs/>
        </w:rPr>
        <w:t>IOU Reply:</w:t>
      </w:r>
      <w:r w:rsidRPr="00DD2C68">
        <w:rPr>
          <w:rFonts w:ascii="Palatino Linotype" w:hAnsi="Palatino Linotype"/>
        </w:rPr>
        <w:t xml:space="preserve"> Th</w:t>
      </w:r>
      <w:r w:rsidRPr="00DD2C68" w:rsidR="00B029B2">
        <w:rPr>
          <w:rFonts w:ascii="Palatino Linotype" w:hAnsi="Palatino Linotype"/>
        </w:rPr>
        <w:t xml:space="preserve">e utilities did not directly reply to </w:t>
      </w:r>
      <w:r w:rsidRPr="00DD2C68" w:rsidR="00B95D6C">
        <w:rPr>
          <w:rFonts w:ascii="Palatino Linotype" w:hAnsi="Palatino Linotype"/>
        </w:rPr>
        <w:t>this protested issue.</w:t>
      </w:r>
    </w:p>
    <w:p w:rsidRPr="00DD2C68" w:rsidR="00764D0E" w:rsidP="00764D0E" w:rsidRDefault="00764D0E" w14:paraId="7FC4375D" w14:textId="3B19BAF8">
      <w:pPr>
        <w:pStyle w:val="Heading2"/>
        <w:rPr>
          <w:rFonts w:ascii="Palatino Linotype" w:hAnsi="Palatino Linotype" w:eastAsia="Palatino Linotype"/>
          <w:color w:val="auto"/>
        </w:rPr>
      </w:pPr>
      <w:r w:rsidRPr="00DD2C68">
        <w:rPr>
          <w:rFonts w:ascii="Palatino Linotype" w:hAnsi="Palatino Linotype" w:eastAsia="Palatino Linotype"/>
          <w:color w:val="auto"/>
        </w:rPr>
        <w:t>The Use and Treatment of Studies</w:t>
      </w:r>
    </w:p>
    <w:p w:rsidRPr="00DD2C68" w:rsidR="00AF3BBB" w:rsidP="00AF3BBB" w:rsidRDefault="008821B4" w14:paraId="092222F5" w14:textId="1B13FC0E">
      <w:pPr>
        <w:pStyle w:val="Heading3"/>
        <w:rPr>
          <w:rFonts w:ascii="Palatino Linotype" w:hAnsi="Palatino Linotype"/>
          <w:color w:val="auto"/>
        </w:rPr>
      </w:pPr>
      <w:r w:rsidRPr="00DD2C68">
        <w:rPr>
          <w:rFonts w:ascii="Palatino Linotype" w:hAnsi="Palatino Linotype"/>
          <w:color w:val="auto"/>
        </w:rPr>
        <w:t>In Support of Studies</w:t>
      </w:r>
      <w:r w:rsidRPr="00DD2C68" w:rsidR="006D2FD3">
        <w:rPr>
          <w:rFonts w:ascii="Palatino Linotype" w:hAnsi="Palatino Linotype"/>
          <w:color w:val="auto"/>
        </w:rPr>
        <w:t xml:space="preserve">: </w:t>
      </w:r>
    </w:p>
    <w:p w:rsidRPr="00DD2C68" w:rsidR="00756829" w:rsidP="00AF3BBB" w:rsidRDefault="00BE1850" w14:paraId="65DF480E" w14:textId="7EB1A1B5">
      <w:pPr>
        <w:rPr>
          <w:rFonts w:ascii="Palatino Linotype" w:hAnsi="Palatino Linotype"/>
        </w:rPr>
      </w:pPr>
      <w:r w:rsidRPr="00DD2C68">
        <w:rPr>
          <w:rFonts w:ascii="Palatino Linotype" w:hAnsi="Palatino Linotype"/>
        </w:rPr>
        <w:t xml:space="preserve">CALSTART supports the use of studies to inform pending loads and being allowed to exceed the IEPR. </w:t>
      </w:r>
      <w:r w:rsidRPr="00DD2C68" w:rsidR="00733D95">
        <w:rPr>
          <w:rFonts w:ascii="Palatino Linotype" w:hAnsi="Palatino Linotype"/>
        </w:rPr>
        <w:t xml:space="preserve">CALSTART argues that </w:t>
      </w:r>
      <w:r w:rsidRPr="00DD2C68" w:rsidR="00200ED4">
        <w:rPr>
          <w:rFonts w:ascii="Palatino Linotype" w:hAnsi="Palatino Linotype"/>
        </w:rPr>
        <w:t xml:space="preserve">the goal of </w:t>
      </w:r>
      <w:r w:rsidRPr="00DD2C68" w:rsidR="00797159">
        <w:rPr>
          <w:rFonts w:ascii="Palatino Linotype" w:hAnsi="Palatino Linotype"/>
        </w:rPr>
        <w:t>pending loads</w:t>
      </w:r>
      <w:r w:rsidRPr="00DD2C68" w:rsidR="00200ED4">
        <w:rPr>
          <w:rFonts w:ascii="Palatino Linotype" w:hAnsi="Palatino Linotype"/>
        </w:rPr>
        <w:t xml:space="preserve"> is to ensure that utilities are collecting and evaluating sufficient and necessary information</w:t>
      </w:r>
      <w:r w:rsidRPr="00DD2C68" w:rsidR="009E3F8D">
        <w:rPr>
          <w:rFonts w:ascii="Palatino Linotype" w:hAnsi="Palatino Linotype"/>
        </w:rPr>
        <w:t xml:space="preserve">, which includes both customer information and studies to </w:t>
      </w:r>
      <w:r w:rsidRPr="00DD2C68" w:rsidR="00203F1E">
        <w:rPr>
          <w:rFonts w:ascii="Palatino Linotype" w:hAnsi="Palatino Linotype"/>
        </w:rPr>
        <w:t>form a complete picture</w:t>
      </w:r>
      <w:r w:rsidRPr="00DD2C68" w:rsidR="009E3F8D">
        <w:rPr>
          <w:rFonts w:ascii="Palatino Linotype" w:hAnsi="Palatino Linotype"/>
        </w:rPr>
        <w:t>,</w:t>
      </w:r>
      <w:r w:rsidRPr="00DD2C68" w:rsidR="00200ED4">
        <w:rPr>
          <w:rFonts w:ascii="Palatino Linotype" w:hAnsi="Palatino Linotype"/>
        </w:rPr>
        <w:t xml:space="preserve"> and that the use of </w:t>
      </w:r>
      <w:r w:rsidRPr="00DD2C68" w:rsidR="00B70D01">
        <w:rPr>
          <w:rFonts w:ascii="Palatino Linotype" w:hAnsi="Palatino Linotype"/>
        </w:rPr>
        <w:t xml:space="preserve">the information to inform a single investment plan is </w:t>
      </w:r>
      <w:r w:rsidRPr="00DD2C68" w:rsidR="7D61DE07">
        <w:rPr>
          <w:rFonts w:ascii="Palatino Linotype" w:hAnsi="Palatino Linotype"/>
        </w:rPr>
        <w:t>different.</w:t>
      </w:r>
      <w:r w:rsidRPr="00DD2C68" w:rsidR="00B70D01">
        <w:rPr>
          <w:rFonts w:ascii="Palatino Linotype" w:hAnsi="Palatino Linotype"/>
        </w:rPr>
        <w:t xml:space="preserve"> </w:t>
      </w:r>
      <w:r w:rsidRPr="00DD2C68" w:rsidR="008E7AA4">
        <w:rPr>
          <w:rFonts w:ascii="Palatino Linotype" w:hAnsi="Palatino Linotype"/>
        </w:rPr>
        <w:t>CALSTART thus argues that</w:t>
      </w:r>
      <w:r w:rsidRPr="00DD2C68" w:rsidR="00B70D01">
        <w:rPr>
          <w:rFonts w:ascii="Palatino Linotype" w:hAnsi="Palatino Linotype"/>
        </w:rPr>
        <w:t xml:space="preserve"> </w:t>
      </w:r>
      <w:r w:rsidRPr="00DD2C68" w:rsidR="009E3F8D">
        <w:rPr>
          <w:rFonts w:ascii="Palatino Linotype" w:hAnsi="Palatino Linotype"/>
        </w:rPr>
        <w:t>all pending load sources should be captured, even if they are later deemed insufficient to warrant infrastructure investment. </w:t>
      </w:r>
      <w:r w:rsidRPr="00DD2C68">
        <w:rPr>
          <w:rFonts w:ascii="Palatino Linotype" w:hAnsi="Palatino Linotype"/>
          <w:i/>
          <w:iCs/>
        </w:rPr>
        <w:t xml:space="preserve"> </w:t>
      </w:r>
    </w:p>
    <w:p w:rsidRPr="00DD2C68" w:rsidR="00AF3BBB" w:rsidP="00AF3BBB" w:rsidRDefault="006D2FD3" w14:paraId="0756CA70" w14:textId="6B4D9086">
      <w:pPr>
        <w:pStyle w:val="Heading3"/>
        <w:rPr>
          <w:rFonts w:ascii="Palatino Linotype" w:hAnsi="Palatino Linotype"/>
          <w:color w:val="auto"/>
        </w:rPr>
      </w:pPr>
      <w:r w:rsidRPr="00DD2C68">
        <w:rPr>
          <w:rFonts w:ascii="Palatino Linotype" w:hAnsi="Palatino Linotype"/>
          <w:color w:val="auto"/>
        </w:rPr>
        <w:t xml:space="preserve">In Opposition </w:t>
      </w:r>
      <w:proofErr w:type="gramStart"/>
      <w:r w:rsidRPr="00DD2C68">
        <w:rPr>
          <w:rFonts w:ascii="Palatino Linotype" w:hAnsi="Palatino Linotype"/>
          <w:color w:val="auto"/>
        </w:rPr>
        <w:t>of</w:t>
      </w:r>
      <w:proofErr w:type="gramEnd"/>
      <w:r w:rsidRPr="00DD2C68">
        <w:rPr>
          <w:rFonts w:ascii="Palatino Linotype" w:hAnsi="Palatino Linotype"/>
          <w:color w:val="auto"/>
        </w:rPr>
        <w:t xml:space="preserve"> Studies</w:t>
      </w:r>
      <w:r w:rsidRPr="00DD2C68" w:rsidR="007E19F8">
        <w:rPr>
          <w:rFonts w:ascii="Palatino Linotype" w:hAnsi="Palatino Linotype"/>
          <w:color w:val="auto"/>
        </w:rPr>
        <w:t xml:space="preserve">: </w:t>
      </w:r>
    </w:p>
    <w:p w:rsidRPr="00DD2C68" w:rsidR="008821B4" w:rsidP="00AF3BBB" w:rsidRDefault="002859A4" w14:paraId="16E05862" w14:textId="342E915A">
      <w:pPr>
        <w:rPr>
          <w:rFonts w:ascii="Palatino Linotype" w:hAnsi="Palatino Linotype"/>
        </w:rPr>
      </w:pPr>
      <w:r w:rsidRPr="00DD2C68">
        <w:rPr>
          <w:rFonts w:ascii="Palatino Linotype" w:hAnsi="Palatino Linotype"/>
        </w:rPr>
        <w:t xml:space="preserve">Cal Advocates, CalCCA, and TURN oppose the use of studies </w:t>
      </w:r>
      <w:r w:rsidRPr="00DD2C68" w:rsidR="001F4474">
        <w:rPr>
          <w:rFonts w:ascii="Palatino Linotype" w:hAnsi="Palatino Linotype"/>
        </w:rPr>
        <w:t xml:space="preserve">as justifications to exceed the IEPR. </w:t>
      </w:r>
      <w:r w:rsidRPr="00DD2C68" w:rsidR="006F24E3">
        <w:rPr>
          <w:rFonts w:ascii="Palatino Linotype" w:hAnsi="Palatino Linotype"/>
        </w:rPr>
        <w:t>These parties</w:t>
      </w:r>
      <w:r w:rsidRPr="00DD2C68" w:rsidR="00D15920">
        <w:rPr>
          <w:rFonts w:ascii="Palatino Linotype" w:hAnsi="Palatino Linotype"/>
        </w:rPr>
        <w:t xml:space="preserve"> argue strongly against using third-party and utility-developed studies because they </w:t>
      </w:r>
      <w:r w:rsidRPr="00DD2C68" w:rsidR="006F24E3">
        <w:rPr>
          <w:rFonts w:ascii="Palatino Linotype" w:hAnsi="Palatino Linotype"/>
        </w:rPr>
        <w:t>offer low confidence and introduce a risk of over</w:t>
      </w:r>
      <w:r w:rsidRPr="00DD2C68" w:rsidR="00517B9B">
        <w:rPr>
          <w:rFonts w:ascii="Palatino Linotype" w:hAnsi="Palatino Linotype"/>
        </w:rPr>
        <w:t xml:space="preserve"> </w:t>
      </w:r>
      <w:r w:rsidRPr="00DD2C68" w:rsidR="006F24E3">
        <w:rPr>
          <w:rFonts w:ascii="Palatino Linotype" w:hAnsi="Palatino Linotype"/>
        </w:rPr>
        <w:t xml:space="preserve">investment. </w:t>
      </w:r>
      <w:r w:rsidRPr="00DD2C68" w:rsidR="0072705E">
        <w:rPr>
          <w:rFonts w:ascii="Palatino Linotype" w:hAnsi="Palatino Linotype"/>
        </w:rPr>
        <w:t xml:space="preserve">They raise concerns about the opaque nature of many studies, </w:t>
      </w:r>
      <w:r w:rsidRPr="00DD2C68" w:rsidR="00E6018A">
        <w:rPr>
          <w:rFonts w:ascii="Palatino Linotype" w:hAnsi="Palatino Linotype"/>
        </w:rPr>
        <w:t xml:space="preserve">the validity and consistency of the methodology </w:t>
      </w:r>
      <w:r w:rsidRPr="00DD2C68" w:rsidR="00A03938">
        <w:rPr>
          <w:rFonts w:ascii="Palatino Linotype" w:hAnsi="Palatino Linotype"/>
        </w:rPr>
        <w:t xml:space="preserve">of studies, and </w:t>
      </w:r>
      <w:r w:rsidRPr="00DD2C68" w:rsidR="00701E52">
        <w:rPr>
          <w:rFonts w:ascii="Palatino Linotype" w:hAnsi="Palatino Linotype"/>
        </w:rPr>
        <w:t>the removal of meaningful boundaries on distribution planning</w:t>
      </w:r>
      <w:r w:rsidRPr="00DD2C68" w:rsidR="004A022E">
        <w:rPr>
          <w:rFonts w:ascii="Palatino Linotype" w:hAnsi="Palatino Linotype"/>
        </w:rPr>
        <w:t xml:space="preserve">. </w:t>
      </w:r>
      <w:r w:rsidRPr="00DD2C68" w:rsidR="008E48EB">
        <w:rPr>
          <w:rFonts w:ascii="Palatino Linotype" w:hAnsi="Palatino Linotype"/>
        </w:rPr>
        <w:t xml:space="preserve">Cal Advocates suggests that </w:t>
      </w:r>
      <w:r w:rsidRPr="00DD2C68" w:rsidR="006F1DC6">
        <w:rPr>
          <w:rFonts w:ascii="Palatino Linotype" w:hAnsi="Palatino Linotype"/>
        </w:rPr>
        <w:t>if</w:t>
      </w:r>
      <w:r w:rsidRPr="00DD2C68" w:rsidR="008E48EB">
        <w:rPr>
          <w:rFonts w:ascii="Palatino Linotype" w:hAnsi="Palatino Linotype"/>
        </w:rPr>
        <w:t xml:space="preserve"> </w:t>
      </w:r>
      <w:r w:rsidRPr="00DD2C68" w:rsidR="006F1DC6">
        <w:rPr>
          <w:rFonts w:ascii="Palatino Linotype" w:hAnsi="Palatino Linotype"/>
        </w:rPr>
        <w:t>customer-based study inputs</w:t>
      </w:r>
      <w:r w:rsidRPr="00DD2C68" w:rsidR="00062D7A">
        <w:rPr>
          <w:rFonts w:ascii="Palatino Linotype" w:hAnsi="Palatino Linotype"/>
        </w:rPr>
        <w:t xml:space="preserve"> exist, that utilities should assess the data directly to determine whether it is sufficiently certain to use directly in pending loads, not </w:t>
      </w:r>
      <w:r w:rsidRPr="00DD2C68" w:rsidR="00CA223A">
        <w:rPr>
          <w:rFonts w:ascii="Palatino Linotype" w:hAnsi="Palatino Linotype"/>
        </w:rPr>
        <w:t>factored into a study. Further,</w:t>
      </w:r>
      <w:r w:rsidRPr="00DD2C68" w:rsidR="006F1DC6">
        <w:rPr>
          <w:rFonts w:ascii="Palatino Linotype" w:hAnsi="Palatino Linotype"/>
        </w:rPr>
        <w:t xml:space="preserve"> </w:t>
      </w:r>
      <w:r w:rsidRPr="00DD2C68" w:rsidR="00302C66">
        <w:rPr>
          <w:rFonts w:ascii="Palatino Linotype" w:hAnsi="Palatino Linotype"/>
        </w:rPr>
        <w:t xml:space="preserve">Cal Advocates </w:t>
      </w:r>
      <w:r w:rsidRPr="00DD2C68" w:rsidR="00CA223A">
        <w:rPr>
          <w:rFonts w:ascii="Palatino Linotype" w:hAnsi="Palatino Linotype"/>
        </w:rPr>
        <w:t>argues</w:t>
      </w:r>
      <w:r w:rsidRPr="00DD2C68" w:rsidR="00302C66">
        <w:rPr>
          <w:rFonts w:ascii="Palatino Linotype" w:hAnsi="Palatino Linotype"/>
        </w:rPr>
        <w:t xml:space="preserve"> that </w:t>
      </w:r>
      <w:r w:rsidRPr="00DD2C68" w:rsidR="00302C66">
        <w:rPr>
          <w:rFonts w:ascii="Palatino Linotype" w:hAnsi="Palatino Linotype"/>
        </w:rPr>
        <w:lastRenderedPageBreak/>
        <w:t>studies should inform the</w:t>
      </w:r>
      <w:r w:rsidRPr="00DD2C68" w:rsidR="00B80D31">
        <w:rPr>
          <w:rFonts w:ascii="Palatino Linotype" w:hAnsi="Palatino Linotype"/>
        </w:rPr>
        <w:t xml:space="preserve"> transparent and well-vetted</w:t>
      </w:r>
      <w:r w:rsidRPr="00DD2C68" w:rsidR="00302C66">
        <w:rPr>
          <w:rFonts w:ascii="Palatino Linotype" w:hAnsi="Palatino Linotype"/>
        </w:rPr>
        <w:t xml:space="preserve"> IEPR forecast process,</w:t>
      </w:r>
      <w:r w:rsidRPr="00DD2C68" w:rsidR="00B80D31">
        <w:rPr>
          <w:rFonts w:ascii="Palatino Linotype" w:hAnsi="Palatino Linotype"/>
        </w:rPr>
        <w:t xml:space="preserve"> </w:t>
      </w:r>
      <w:r w:rsidRPr="00DD2C68" w:rsidR="00302C66">
        <w:rPr>
          <w:rFonts w:ascii="Palatino Linotype" w:hAnsi="Palatino Linotype"/>
        </w:rPr>
        <w:t xml:space="preserve">where the CEC can </w:t>
      </w:r>
      <w:r w:rsidRPr="00DD2C68" w:rsidR="00CB2DFB">
        <w:rPr>
          <w:rFonts w:ascii="Palatino Linotype" w:hAnsi="Palatino Linotype"/>
        </w:rPr>
        <w:t xml:space="preserve">use them to inform the development of the forecast that ultimately informs the utilities DPP. </w:t>
      </w:r>
      <w:r w:rsidRPr="00DD2C68" w:rsidR="00B80D31">
        <w:rPr>
          <w:rFonts w:ascii="Palatino Linotype" w:hAnsi="Palatino Linotype"/>
        </w:rPr>
        <w:t xml:space="preserve">CalCCA </w:t>
      </w:r>
      <w:r w:rsidRPr="00DD2C68" w:rsidR="00D67496">
        <w:rPr>
          <w:rFonts w:ascii="Palatino Linotype" w:hAnsi="Palatino Linotype"/>
        </w:rPr>
        <w:t xml:space="preserve">supports Cal Advocates’ view </w:t>
      </w:r>
      <w:r w:rsidRPr="00DD2C68" w:rsidR="00ED13A8">
        <w:rPr>
          <w:rFonts w:ascii="Palatino Linotype" w:hAnsi="Palatino Linotype"/>
        </w:rPr>
        <w:t xml:space="preserve">and adds that studies should only be </w:t>
      </w:r>
      <w:r w:rsidRPr="00DD2C68" w:rsidR="00E912A7">
        <w:rPr>
          <w:rFonts w:ascii="Palatino Linotype" w:hAnsi="Palatino Linotype"/>
        </w:rPr>
        <w:t>allowed in Category C</w:t>
      </w:r>
      <w:r w:rsidRPr="00DD2C68" w:rsidR="00ED13A8">
        <w:rPr>
          <w:rFonts w:ascii="Palatino Linotype" w:hAnsi="Palatino Linotype"/>
        </w:rPr>
        <w:t xml:space="preserve"> for disaggregation of the IEPR</w:t>
      </w:r>
      <w:r w:rsidRPr="00DD2C68" w:rsidR="00E912A7">
        <w:rPr>
          <w:rFonts w:ascii="Palatino Linotype" w:hAnsi="Palatino Linotype"/>
        </w:rPr>
        <w:t xml:space="preserve">. </w:t>
      </w:r>
      <w:r w:rsidRPr="00DD2C68" w:rsidR="00CA5740">
        <w:rPr>
          <w:rFonts w:ascii="Palatino Linotype" w:hAnsi="Palatino Linotype"/>
        </w:rPr>
        <w:t xml:space="preserve">Cal Advocates proposes </w:t>
      </w:r>
      <w:r w:rsidRPr="00DD2C68" w:rsidR="0072262E">
        <w:rPr>
          <w:rFonts w:ascii="Palatino Linotype" w:hAnsi="Palatino Linotype"/>
        </w:rPr>
        <w:t xml:space="preserve">that </w:t>
      </w:r>
      <w:r w:rsidRPr="00DD2C68" w:rsidR="00CA5740">
        <w:rPr>
          <w:rFonts w:ascii="Palatino Linotype" w:hAnsi="Palatino Linotype"/>
        </w:rPr>
        <w:t>a second valid use of studies is</w:t>
      </w:r>
      <w:r w:rsidRPr="00DD2C68" w:rsidR="00296454">
        <w:rPr>
          <w:rFonts w:ascii="Palatino Linotype" w:hAnsi="Palatino Linotype"/>
        </w:rPr>
        <w:t xml:space="preserve"> the identification of hot spots as discussed below. </w:t>
      </w:r>
    </w:p>
    <w:p w:rsidRPr="00DD2C68" w:rsidR="00B3286F" w:rsidP="00AF3BBB" w:rsidRDefault="00B3286F" w14:paraId="0D123922" w14:textId="1C58A0C5">
      <w:pPr>
        <w:rPr>
          <w:rFonts w:ascii="Palatino Linotype" w:hAnsi="Palatino Linotype"/>
        </w:rPr>
      </w:pPr>
      <w:r w:rsidRPr="00DD2C68">
        <w:rPr>
          <w:rFonts w:ascii="Palatino Linotype" w:hAnsi="Palatino Linotype"/>
          <w:b/>
          <w:bCs/>
          <w:i/>
          <w:iCs/>
        </w:rPr>
        <w:t>Joint IOU Reply</w:t>
      </w:r>
      <w:r w:rsidRPr="00DD2C68">
        <w:rPr>
          <w:rFonts w:ascii="Palatino Linotype" w:hAnsi="Palatino Linotype"/>
          <w:i/>
          <w:iCs/>
        </w:rPr>
        <w:t xml:space="preserve">: </w:t>
      </w:r>
      <w:r w:rsidRPr="00DD2C68" w:rsidR="00E4438A">
        <w:rPr>
          <w:rFonts w:ascii="Palatino Linotype" w:hAnsi="Palatino Linotype"/>
        </w:rPr>
        <w:t xml:space="preserve">PG&amp;E, SDG&amp;E, and SCE jointly reiterate the importance of using reliable, transparent, and high-confidence data sources in pending loads. They argue that studies </w:t>
      </w:r>
      <w:r w:rsidRPr="00DD2C68" w:rsidR="0087199A">
        <w:rPr>
          <w:rFonts w:ascii="Palatino Linotype" w:hAnsi="Palatino Linotype"/>
        </w:rPr>
        <w:t xml:space="preserve">provide important information that, though not yet manifested into specific customer requests, </w:t>
      </w:r>
      <w:r w:rsidRPr="00DD2C68" w:rsidR="00796C00">
        <w:rPr>
          <w:rFonts w:ascii="Palatino Linotype" w:hAnsi="Palatino Linotype"/>
        </w:rPr>
        <w:t>bridges</w:t>
      </w:r>
      <w:r w:rsidRPr="00DD2C68" w:rsidR="0087199A">
        <w:rPr>
          <w:rFonts w:ascii="Palatino Linotype" w:hAnsi="Palatino Linotype"/>
        </w:rPr>
        <w:t xml:space="preserve"> a critical gap in the forecast. They contend that due to California’s electrification goals and the growing demand for large capacity projects associated with data centers there is reasonable high confidence that pending loads based on studies will materialize despite using limited customer-based information. On the topic of transparency, they argue that third-party proprietary stud</w:t>
      </w:r>
      <w:r w:rsidRPr="00DD2C68" w:rsidR="19DF844C">
        <w:rPr>
          <w:rFonts w:ascii="Palatino Linotype" w:hAnsi="Palatino Linotype"/>
        </w:rPr>
        <w:t>ies</w:t>
      </w:r>
      <w:r w:rsidRPr="00DD2C68" w:rsidR="0087199A">
        <w:rPr>
          <w:rFonts w:ascii="Palatino Linotype" w:hAnsi="Palatino Linotype"/>
        </w:rPr>
        <w:t xml:space="preserve"> </w:t>
      </w:r>
      <w:r w:rsidRPr="00DD2C68" w:rsidR="528A8F95">
        <w:rPr>
          <w:rFonts w:ascii="Palatino Linotype" w:hAnsi="Palatino Linotype"/>
        </w:rPr>
        <w:t>are</w:t>
      </w:r>
      <w:r w:rsidRPr="00DD2C68" w:rsidR="0087199A">
        <w:rPr>
          <w:rFonts w:ascii="Palatino Linotype" w:hAnsi="Palatino Linotype"/>
        </w:rPr>
        <w:t xml:space="preserve"> transparent because the authors may be willing to participate in discussions to explain the analysis and that stakeholders may contract with the authors themselves to receive the proprietary information. </w:t>
      </w:r>
      <w:r w:rsidRPr="00DD2C68" w:rsidR="00303DDE">
        <w:rPr>
          <w:rFonts w:ascii="Palatino Linotype" w:hAnsi="Palatino Linotype"/>
        </w:rPr>
        <w:t xml:space="preserve">The utilities agree with </w:t>
      </w:r>
      <w:r w:rsidRPr="00DD2C68" w:rsidR="00553102">
        <w:rPr>
          <w:rFonts w:ascii="Palatino Linotype" w:hAnsi="Palatino Linotype"/>
        </w:rPr>
        <w:t xml:space="preserve">Cal Advocates that the CEC should use third party studies to inform the IEPR forecast, but stress that the </w:t>
      </w:r>
      <w:r w:rsidRPr="00DD2C68" w:rsidR="00D22C9C">
        <w:rPr>
          <w:rFonts w:ascii="Palatino Linotype" w:hAnsi="Palatino Linotype"/>
        </w:rPr>
        <w:t xml:space="preserve">two-year </w:t>
      </w:r>
      <w:r w:rsidRPr="00DD2C68" w:rsidR="00553102">
        <w:rPr>
          <w:rFonts w:ascii="Palatino Linotype" w:hAnsi="Palatino Linotype"/>
        </w:rPr>
        <w:t>time lag between the IEPR and the DP</w:t>
      </w:r>
      <w:r w:rsidRPr="00DD2C68" w:rsidR="680D246D">
        <w:rPr>
          <w:rFonts w:ascii="Palatino Linotype" w:hAnsi="Palatino Linotype"/>
        </w:rPr>
        <w:t>E</w:t>
      </w:r>
      <w:r w:rsidRPr="00DD2C68" w:rsidR="00553102">
        <w:rPr>
          <w:rFonts w:ascii="Palatino Linotype" w:hAnsi="Palatino Linotype"/>
        </w:rPr>
        <w:t xml:space="preserve">P creates the need for utilities to use the </w:t>
      </w:r>
      <w:r w:rsidRPr="00DD2C68" w:rsidR="00796C00">
        <w:rPr>
          <w:rFonts w:ascii="Palatino Linotype" w:hAnsi="Palatino Linotype"/>
        </w:rPr>
        <w:t>third-party</w:t>
      </w:r>
      <w:r w:rsidRPr="00DD2C68" w:rsidR="00553102">
        <w:rPr>
          <w:rFonts w:ascii="Palatino Linotype" w:hAnsi="Palatino Linotype"/>
        </w:rPr>
        <w:t xml:space="preserve"> data directly. </w:t>
      </w:r>
    </w:p>
    <w:p w:rsidRPr="00DD2C68" w:rsidR="00AF3BBB" w:rsidP="00AF3BBB" w:rsidRDefault="00D91281" w14:paraId="31587CD9" w14:textId="5014AFB3">
      <w:pPr>
        <w:pStyle w:val="Heading2"/>
        <w:rPr>
          <w:rFonts w:ascii="Palatino Linotype" w:hAnsi="Palatino Linotype"/>
          <w:color w:val="auto"/>
        </w:rPr>
      </w:pPr>
      <w:r w:rsidRPr="00DD2C68">
        <w:rPr>
          <w:rFonts w:ascii="Palatino Linotype" w:hAnsi="Palatino Linotype"/>
          <w:color w:val="auto"/>
        </w:rPr>
        <w:t xml:space="preserve">Confidence Assessments: </w:t>
      </w:r>
    </w:p>
    <w:p w:rsidRPr="00DD2C68" w:rsidR="00595E72" w:rsidP="00AF3BBB" w:rsidRDefault="00406720" w14:paraId="0FD8913B" w14:textId="1E6BA6CC">
      <w:pPr>
        <w:rPr>
          <w:rFonts w:ascii="Palatino Linotype" w:hAnsi="Palatino Linotype"/>
        </w:rPr>
      </w:pPr>
      <w:r w:rsidRPr="00DD2C68">
        <w:rPr>
          <w:rFonts w:ascii="Palatino Linotype" w:hAnsi="Palatino Linotype"/>
        </w:rPr>
        <w:t xml:space="preserve">CALSTART and Cal Advocates </w:t>
      </w:r>
      <w:r w:rsidRPr="00DD2C68" w:rsidR="00AE52FD">
        <w:rPr>
          <w:rFonts w:ascii="Palatino Linotype" w:hAnsi="Palatino Linotype"/>
        </w:rPr>
        <w:t xml:space="preserve">support the use of </w:t>
      </w:r>
      <w:r w:rsidRPr="00DD2C68" w:rsidR="002541AF">
        <w:rPr>
          <w:rFonts w:ascii="Palatino Linotype" w:hAnsi="Palatino Linotype"/>
        </w:rPr>
        <w:t xml:space="preserve">assessing </w:t>
      </w:r>
      <w:proofErr w:type="gramStart"/>
      <w:r w:rsidRPr="00DD2C68" w:rsidR="002541AF">
        <w:rPr>
          <w:rFonts w:ascii="Palatino Linotype" w:hAnsi="Palatino Linotype"/>
        </w:rPr>
        <w:t>the confidence</w:t>
      </w:r>
      <w:proofErr w:type="gramEnd"/>
      <w:r w:rsidRPr="00DD2C68" w:rsidR="002541AF">
        <w:rPr>
          <w:rFonts w:ascii="Palatino Linotype" w:hAnsi="Palatino Linotype"/>
        </w:rPr>
        <w:t xml:space="preserve"> that pending loads</w:t>
      </w:r>
      <w:r w:rsidRPr="00DD2C68" w:rsidR="00AE52FD">
        <w:rPr>
          <w:rFonts w:ascii="Palatino Linotype" w:hAnsi="Palatino Linotype"/>
        </w:rPr>
        <w:t xml:space="preserve"> </w:t>
      </w:r>
      <w:r w:rsidRPr="00DD2C68" w:rsidR="002541AF">
        <w:rPr>
          <w:rFonts w:ascii="Palatino Linotype" w:hAnsi="Palatino Linotype"/>
        </w:rPr>
        <w:t xml:space="preserve">will turn into </w:t>
      </w:r>
      <w:r w:rsidRPr="00DD2C68" w:rsidR="009A7A92">
        <w:rPr>
          <w:rFonts w:ascii="Palatino Linotype" w:hAnsi="Palatino Linotype"/>
        </w:rPr>
        <w:t xml:space="preserve">applications for service </w:t>
      </w:r>
      <w:r w:rsidRPr="00DD2C68" w:rsidR="00AE52FD">
        <w:rPr>
          <w:rFonts w:ascii="Palatino Linotype" w:hAnsi="Palatino Linotype"/>
        </w:rPr>
        <w:t xml:space="preserve">in different forms. CALSTART supports SCE’s approach to confidence assessment based on the maturity of the individual pending load, claiming that </w:t>
      </w:r>
      <w:r w:rsidRPr="00DD2C68" w:rsidR="000A387E">
        <w:rPr>
          <w:rFonts w:ascii="Palatino Linotype" w:hAnsi="Palatino Linotype"/>
        </w:rPr>
        <w:t>it enables proactive grid investment without relying on full customer commitments</w:t>
      </w:r>
      <w:r w:rsidRPr="00DD2C68" w:rsidR="00AE52FD">
        <w:rPr>
          <w:rFonts w:ascii="Palatino Linotype" w:hAnsi="Palatino Linotype"/>
        </w:rPr>
        <w:t xml:space="preserve">. Cal Advocates </w:t>
      </w:r>
      <w:r w:rsidRPr="00DD2C68" w:rsidR="001641CE">
        <w:rPr>
          <w:rFonts w:ascii="Palatino Linotype" w:hAnsi="Palatino Linotype"/>
        </w:rPr>
        <w:t xml:space="preserve">supports </w:t>
      </w:r>
      <w:r w:rsidRPr="00DD2C68" w:rsidR="009A7A92">
        <w:rPr>
          <w:rFonts w:ascii="Palatino Linotype" w:hAnsi="Palatino Linotype"/>
        </w:rPr>
        <w:t xml:space="preserve">the </w:t>
      </w:r>
      <w:r w:rsidRPr="00DD2C68" w:rsidR="001641CE">
        <w:rPr>
          <w:rFonts w:ascii="Palatino Linotype" w:hAnsi="Palatino Linotype"/>
        </w:rPr>
        <w:t xml:space="preserve">assessment of confidence </w:t>
      </w:r>
      <w:r w:rsidRPr="00DD2C68" w:rsidR="00BA2A6E">
        <w:rPr>
          <w:rFonts w:ascii="Palatino Linotype" w:hAnsi="Palatino Linotype"/>
        </w:rPr>
        <w:t xml:space="preserve">by </w:t>
      </w:r>
      <w:r w:rsidRPr="00DD2C68" w:rsidR="001641CE">
        <w:rPr>
          <w:rFonts w:ascii="Palatino Linotype" w:hAnsi="Palatino Linotype"/>
        </w:rPr>
        <w:t>category</w:t>
      </w:r>
      <w:r w:rsidRPr="00DD2C68" w:rsidR="00BA2A6E">
        <w:rPr>
          <w:rFonts w:ascii="Palatino Linotype" w:hAnsi="Palatino Linotype"/>
        </w:rPr>
        <w:t xml:space="preserve"> for categories</w:t>
      </w:r>
      <w:r w:rsidRPr="00DD2C68" w:rsidR="00C41433">
        <w:rPr>
          <w:rFonts w:ascii="Palatino Linotype" w:hAnsi="Palatino Linotype"/>
        </w:rPr>
        <w:t xml:space="preserve"> A, B, and C with predefined treatments for each. </w:t>
      </w:r>
      <w:r w:rsidRPr="00DD2C68" w:rsidR="0052114B">
        <w:rPr>
          <w:rFonts w:ascii="Palatino Linotype" w:hAnsi="Palatino Linotype"/>
        </w:rPr>
        <w:t xml:space="preserve">CalCCA supports confidence </w:t>
      </w:r>
      <w:proofErr w:type="gramStart"/>
      <w:r w:rsidRPr="00DD2C68" w:rsidR="0052114B">
        <w:rPr>
          <w:rFonts w:ascii="Palatino Linotype" w:hAnsi="Palatino Linotype"/>
        </w:rPr>
        <w:t>assessment, but</w:t>
      </w:r>
      <w:proofErr w:type="gramEnd"/>
      <w:r w:rsidRPr="00DD2C68" w:rsidR="0052114B">
        <w:rPr>
          <w:rFonts w:ascii="Palatino Linotype" w:hAnsi="Palatino Linotype"/>
        </w:rPr>
        <w:t xml:space="preserve"> urges consistency across utilities </w:t>
      </w:r>
      <w:proofErr w:type="gramStart"/>
      <w:r w:rsidRPr="00DD2C68" w:rsidR="0052114B">
        <w:rPr>
          <w:rFonts w:ascii="Palatino Linotype" w:hAnsi="Palatino Linotype"/>
        </w:rPr>
        <w:t>due to the fact that</w:t>
      </w:r>
      <w:proofErr w:type="gramEnd"/>
      <w:r w:rsidRPr="00DD2C68" w:rsidR="0052114B">
        <w:rPr>
          <w:rFonts w:ascii="Palatino Linotype" w:hAnsi="Palatino Linotype"/>
        </w:rPr>
        <w:t xml:space="preserve"> different proposals treat the same input sources with very different confidence levels. For example, PG&amp;E proposes to treat </w:t>
      </w:r>
      <w:r w:rsidRPr="00DD2C68" w:rsidR="00BB2CAB">
        <w:rPr>
          <w:rFonts w:ascii="Palatino Linotype" w:hAnsi="Palatino Linotype"/>
        </w:rPr>
        <w:t xml:space="preserve">local </w:t>
      </w:r>
      <w:r w:rsidRPr="00DD2C68" w:rsidR="0052114B">
        <w:rPr>
          <w:rFonts w:ascii="Palatino Linotype" w:hAnsi="Palatino Linotype"/>
        </w:rPr>
        <w:t xml:space="preserve">government plans </w:t>
      </w:r>
      <w:r w:rsidRPr="00DD2C68" w:rsidR="00BB2CAB">
        <w:rPr>
          <w:rFonts w:ascii="Palatino Linotype" w:hAnsi="Palatino Linotype"/>
        </w:rPr>
        <w:t>as high confidence while SCE proposes to treat the same input source as low-co</w:t>
      </w:r>
      <w:r w:rsidRPr="00DD2C68" w:rsidR="009A5B4E">
        <w:rPr>
          <w:rFonts w:ascii="Palatino Linotype" w:hAnsi="Palatino Linotype"/>
        </w:rPr>
        <w:t>nfidence.</w:t>
      </w:r>
    </w:p>
    <w:p w:rsidRPr="00DD2C68" w:rsidR="00AF3BBB" w:rsidP="00AF3BBB" w:rsidRDefault="00AF3BBB" w14:paraId="0DD8E73B" w14:textId="4D1D8B19">
      <w:pPr>
        <w:rPr>
          <w:rFonts w:ascii="Palatino Linotype" w:hAnsi="Palatino Linotype"/>
        </w:rPr>
      </w:pPr>
      <w:r w:rsidRPr="00DD2C68">
        <w:rPr>
          <w:rFonts w:ascii="Palatino Linotype" w:hAnsi="Palatino Linotype"/>
          <w:b/>
          <w:bCs/>
          <w:i/>
          <w:iCs/>
        </w:rPr>
        <w:t>IOU Reply:</w:t>
      </w:r>
      <w:r w:rsidRPr="00DD2C68">
        <w:rPr>
          <w:rFonts w:ascii="Palatino Linotype" w:hAnsi="Palatino Linotype"/>
        </w:rPr>
        <w:t xml:space="preserve"> The utilities did not directly reply to </w:t>
      </w:r>
      <w:r w:rsidRPr="00DD2C68" w:rsidR="006F54E5">
        <w:rPr>
          <w:rFonts w:ascii="Palatino Linotype" w:hAnsi="Palatino Linotype"/>
        </w:rPr>
        <w:t>this protested issue.</w:t>
      </w:r>
    </w:p>
    <w:p w:rsidRPr="00DD2C68" w:rsidR="00AF3BBB" w:rsidP="00AF3BBB" w:rsidRDefault="00D91281" w14:paraId="2FD446F0" w14:textId="1C9A500B">
      <w:pPr>
        <w:pStyle w:val="Heading2"/>
        <w:rPr>
          <w:rFonts w:ascii="Palatino Linotype" w:hAnsi="Palatino Linotype"/>
          <w:color w:val="auto"/>
        </w:rPr>
      </w:pPr>
      <w:r w:rsidRPr="00DD2C68">
        <w:rPr>
          <w:rFonts w:ascii="Palatino Linotype" w:hAnsi="Palatino Linotype"/>
          <w:color w:val="auto"/>
        </w:rPr>
        <w:lastRenderedPageBreak/>
        <w:t>Discount Factors</w:t>
      </w:r>
      <w:r w:rsidRPr="00DD2C68" w:rsidR="00A9226E">
        <w:rPr>
          <w:rFonts w:ascii="Palatino Linotype" w:hAnsi="Palatino Linotype"/>
          <w:color w:val="auto"/>
        </w:rPr>
        <w:t>:</w:t>
      </w:r>
    </w:p>
    <w:p w:rsidRPr="00DD2C68" w:rsidR="0069616B" w:rsidP="00AF3BBB" w:rsidRDefault="008B4EE6" w14:paraId="0C4F2D32" w14:textId="4E49311B">
      <w:pPr>
        <w:rPr>
          <w:rFonts w:ascii="Palatino Linotype" w:hAnsi="Palatino Linotype"/>
        </w:rPr>
      </w:pPr>
      <w:r w:rsidRPr="00DD2C68">
        <w:rPr>
          <w:rFonts w:ascii="Palatino Linotype" w:hAnsi="Palatino Linotype"/>
        </w:rPr>
        <w:t>SCE propose</w:t>
      </w:r>
      <w:r w:rsidRPr="00DD2C68" w:rsidR="00B94FAB">
        <w:rPr>
          <w:rFonts w:ascii="Palatino Linotype" w:hAnsi="Palatino Linotype"/>
        </w:rPr>
        <w:t>s the use of discount factor</w:t>
      </w:r>
      <w:r w:rsidRPr="00DD2C68" w:rsidR="00ED2B3C">
        <w:rPr>
          <w:rFonts w:ascii="Palatino Linotype" w:hAnsi="Palatino Linotype"/>
        </w:rPr>
        <w:t>s as a part of the assessment of confidence of individual pending loads</w:t>
      </w:r>
      <w:r w:rsidRPr="00DD2C68" w:rsidR="00B94FAB">
        <w:rPr>
          <w:rFonts w:ascii="Palatino Linotype" w:hAnsi="Palatino Linotype"/>
        </w:rPr>
        <w:t xml:space="preserve">. SCE’s application of a discount </w:t>
      </w:r>
      <w:proofErr w:type="gramStart"/>
      <w:r w:rsidRPr="00DD2C68" w:rsidR="00B94FAB">
        <w:rPr>
          <w:rFonts w:ascii="Palatino Linotype" w:hAnsi="Palatino Linotype"/>
        </w:rPr>
        <w:t>factor</w:t>
      </w:r>
      <w:proofErr w:type="gramEnd"/>
      <w:r w:rsidRPr="00DD2C68" w:rsidR="00B94FAB">
        <w:rPr>
          <w:rFonts w:ascii="Palatino Linotype" w:hAnsi="Palatino Linotype"/>
        </w:rPr>
        <w:t xml:space="preserve">, based on its proposal, would be determined based upon a lack of specificity provided by either customers or studies. The discount factors for Category B1, B2, and C could result in a discount of up to 30 percent that would be applied based </w:t>
      </w:r>
      <w:proofErr w:type="gramStart"/>
      <w:r w:rsidRPr="00DD2C68" w:rsidR="00B94FAB">
        <w:rPr>
          <w:rFonts w:ascii="Palatino Linotype" w:hAnsi="Palatino Linotype"/>
        </w:rPr>
        <w:t>upon</w:t>
      </w:r>
      <w:proofErr w:type="gramEnd"/>
      <w:r w:rsidRPr="00DD2C68" w:rsidR="00B94FAB">
        <w:rPr>
          <w:rFonts w:ascii="Palatino Linotype" w:hAnsi="Palatino Linotype"/>
        </w:rPr>
        <w:t xml:space="preserve"> the need to balance </w:t>
      </w:r>
      <w:r w:rsidRPr="00DD2C68" w:rsidR="00124EC8">
        <w:rPr>
          <w:rFonts w:ascii="Palatino Linotype" w:hAnsi="Palatino Linotype"/>
        </w:rPr>
        <w:t xml:space="preserve">the lack of specificity with the intent of supporting </w:t>
      </w:r>
      <w:r w:rsidRPr="00DD2C68" w:rsidR="00B4686E">
        <w:rPr>
          <w:rFonts w:ascii="Palatino Linotype" w:hAnsi="Palatino Linotype"/>
        </w:rPr>
        <w:t>appropriate</w:t>
      </w:r>
      <w:r w:rsidRPr="00DD2C68" w:rsidR="00124EC8">
        <w:rPr>
          <w:rFonts w:ascii="Palatino Linotype" w:hAnsi="Palatino Linotype"/>
        </w:rPr>
        <w:t xml:space="preserve"> incorporation of such loads into forecasting efforts to achieve proactive grid build out. In practice this would mean that a discount of up to 30 percent would </w:t>
      </w:r>
      <w:r w:rsidRPr="00DD2C68" w:rsidR="009C707A">
        <w:rPr>
          <w:rFonts w:ascii="Palatino Linotype" w:hAnsi="Palatino Linotype"/>
        </w:rPr>
        <w:t>reduce</w:t>
      </w:r>
      <w:r w:rsidRPr="00DD2C68" w:rsidR="00124EC8">
        <w:rPr>
          <w:rFonts w:ascii="Palatino Linotype" w:hAnsi="Palatino Linotype"/>
        </w:rPr>
        <w:t xml:space="preserve"> </w:t>
      </w:r>
      <w:r w:rsidRPr="00DD2C68" w:rsidR="009C707A">
        <w:rPr>
          <w:rFonts w:ascii="Palatino Linotype" w:hAnsi="Palatino Linotype"/>
        </w:rPr>
        <w:t>a project’s requested capacity</w:t>
      </w:r>
      <w:r w:rsidRPr="00DD2C68" w:rsidR="00124EC8">
        <w:rPr>
          <w:rFonts w:ascii="Palatino Linotype" w:hAnsi="Palatino Linotype"/>
        </w:rPr>
        <w:t xml:space="preserve"> by </w:t>
      </w:r>
      <w:r w:rsidR="00923444">
        <w:rPr>
          <w:rFonts w:ascii="Palatino Linotype" w:hAnsi="Palatino Linotype"/>
        </w:rPr>
        <w:br/>
      </w:r>
      <w:r w:rsidRPr="00DD2C68" w:rsidR="00124EC8">
        <w:rPr>
          <w:rFonts w:ascii="Palatino Linotype" w:hAnsi="Palatino Linotype"/>
        </w:rPr>
        <w:t xml:space="preserve">30 percent. </w:t>
      </w:r>
    </w:p>
    <w:p w:rsidRPr="00DD2C68" w:rsidR="2461564A" w:rsidP="2461564A" w:rsidRDefault="00C821A0" w14:paraId="322AD8C5" w14:textId="0E9A6EE2">
      <w:pPr>
        <w:rPr>
          <w:rFonts w:ascii="Palatino Linotype" w:hAnsi="Palatino Linotype"/>
          <w:b/>
          <w:bCs/>
          <w:i/>
          <w:iCs/>
        </w:rPr>
      </w:pPr>
      <w:r w:rsidRPr="00DD2C68">
        <w:rPr>
          <w:rFonts w:ascii="Palatino Linotype" w:hAnsi="Palatino Linotype"/>
        </w:rPr>
        <w:t>The use of discount factors</w:t>
      </w:r>
      <w:r w:rsidRPr="00DD2C68" w:rsidR="00B950D2">
        <w:rPr>
          <w:rFonts w:ascii="Palatino Linotype" w:hAnsi="Palatino Linotype"/>
        </w:rPr>
        <w:t xml:space="preserve"> is supported by CALSTART, CalCCA, </w:t>
      </w:r>
      <w:r w:rsidRPr="00DD2C68" w:rsidR="0013723D">
        <w:rPr>
          <w:rFonts w:ascii="Palatino Linotype" w:hAnsi="Palatino Linotype"/>
        </w:rPr>
        <w:t xml:space="preserve">and </w:t>
      </w:r>
      <w:r w:rsidRPr="00DD2C68" w:rsidR="00FE7355">
        <w:rPr>
          <w:rFonts w:ascii="Palatino Linotype" w:hAnsi="Palatino Linotype"/>
        </w:rPr>
        <w:t>EDF/NRDC</w:t>
      </w:r>
      <w:r w:rsidRPr="00DD2C68" w:rsidR="00A118AC">
        <w:rPr>
          <w:rFonts w:ascii="Palatino Linotype" w:hAnsi="Palatino Linotype"/>
        </w:rPr>
        <w:t xml:space="preserve">. CALSTART </w:t>
      </w:r>
      <w:r w:rsidRPr="00DD2C68" w:rsidR="00474D97">
        <w:rPr>
          <w:rFonts w:ascii="Palatino Linotype" w:hAnsi="Palatino Linotype"/>
        </w:rPr>
        <w:t xml:space="preserve">endorses SCE’s proposal to apply discount factors to individual pending loads according to </w:t>
      </w:r>
      <w:r w:rsidRPr="00DD2C68" w:rsidR="007228E0">
        <w:rPr>
          <w:rFonts w:ascii="Palatino Linotype" w:hAnsi="Palatino Linotype"/>
        </w:rPr>
        <w:t>perceived confidence.</w:t>
      </w:r>
      <w:r w:rsidRPr="00DD2C68" w:rsidR="005B15C9">
        <w:rPr>
          <w:rFonts w:ascii="Palatino Linotype" w:hAnsi="Palatino Linotype"/>
        </w:rPr>
        <w:t xml:space="preserve"> </w:t>
      </w:r>
      <w:r w:rsidRPr="00DD2C68" w:rsidR="009A5B4E">
        <w:rPr>
          <w:rFonts w:ascii="Palatino Linotype" w:hAnsi="Palatino Linotype"/>
        </w:rPr>
        <w:t xml:space="preserve">CalCCA supports the application of discount factors </w:t>
      </w:r>
      <w:r w:rsidRPr="00DD2C68" w:rsidR="009625C9">
        <w:rPr>
          <w:rFonts w:ascii="Palatino Linotype" w:hAnsi="Palatino Linotype"/>
        </w:rPr>
        <w:t xml:space="preserve">but urges standardization to how they are applied and defined. </w:t>
      </w:r>
      <w:r w:rsidRPr="00DD2C68" w:rsidR="00096178">
        <w:rPr>
          <w:rFonts w:ascii="Palatino Linotype" w:hAnsi="Palatino Linotype"/>
        </w:rPr>
        <w:t xml:space="preserve">Similarly, </w:t>
      </w:r>
      <w:r w:rsidRPr="00DD2C68" w:rsidR="00FE7355">
        <w:rPr>
          <w:rFonts w:ascii="Palatino Linotype" w:hAnsi="Palatino Linotype"/>
        </w:rPr>
        <w:t>EDF/NRDC</w:t>
      </w:r>
      <w:r w:rsidRPr="00DD2C68" w:rsidR="00096178">
        <w:rPr>
          <w:rFonts w:ascii="Palatino Linotype" w:hAnsi="Palatino Linotype"/>
        </w:rPr>
        <w:t xml:space="preserve"> support the discount factor approach but call for greater transparency in how discount rates are</w:t>
      </w:r>
      <w:r w:rsidRPr="00DD2C68" w:rsidR="00BD6B89">
        <w:rPr>
          <w:rFonts w:ascii="Palatino Linotype" w:hAnsi="Palatino Linotype"/>
        </w:rPr>
        <w:t xml:space="preserve"> developed and applied</w:t>
      </w:r>
      <w:r w:rsidRPr="00DD2C68" w:rsidR="00897ACD">
        <w:rPr>
          <w:rFonts w:ascii="Palatino Linotype" w:hAnsi="Palatino Linotype"/>
        </w:rPr>
        <w:t xml:space="preserve">. </w:t>
      </w:r>
      <w:r w:rsidRPr="00DD2C68" w:rsidR="00FE7355">
        <w:rPr>
          <w:rFonts w:ascii="Palatino Linotype" w:hAnsi="Palatino Linotype"/>
        </w:rPr>
        <w:t>EDF/NRDC</w:t>
      </w:r>
      <w:r w:rsidRPr="00DD2C68" w:rsidR="00897ACD">
        <w:rPr>
          <w:rFonts w:ascii="Palatino Linotype" w:hAnsi="Palatino Linotype"/>
        </w:rPr>
        <w:t xml:space="preserve"> would like to see utilities provide </w:t>
      </w:r>
      <w:r w:rsidRPr="00DD2C68" w:rsidR="005B218C">
        <w:rPr>
          <w:rFonts w:ascii="Palatino Linotype" w:hAnsi="Palatino Linotype"/>
        </w:rPr>
        <w:t xml:space="preserve">an </w:t>
      </w:r>
      <w:r w:rsidRPr="00DD2C68" w:rsidR="00897ACD">
        <w:rPr>
          <w:rFonts w:ascii="Palatino Linotype" w:hAnsi="Palatino Linotype"/>
        </w:rPr>
        <w:t>empirical bas</w:t>
      </w:r>
      <w:r w:rsidRPr="00DD2C68" w:rsidR="005B218C">
        <w:rPr>
          <w:rFonts w:ascii="Palatino Linotype" w:hAnsi="Palatino Linotype"/>
        </w:rPr>
        <w:t>i</w:t>
      </w:r>
      <w:r w:rsidRPr="00DD2C68" w:rsidR="00897ACD">
        <w:rPr>
          <w:rFonts w:ascii="Palatino Linotype" w:hAnsi="Palatino Linotype"/>
        </w:rPr>
        <w:t>s</w:t>
      </w:r>
      <w:r w:rsidRPr="00DD2C68" w:rsidR="005B218C">
        <w:rPr>
          <w:rFonts w:ascii="Palatino Linotype" w:hAnsi="Palatino Linotype"/>
        </w:rPr>
        <w:t xml:space="preserve"> </w:t>
      </w:r>
      <w:r w:rsidRPr="00DD2C68" w:rsidR="003A234A">
        <w:rPr>
          <w:rFonts w:ascii="Palatino Linotype" w:hAnsi="Palatino Linotype"/>
        </w:rPr>
        <w:t xml:space="preserve">for discount percentages to ensure they reflect real project materialization rates. </w:t>
      </w:r>
      <w:r w:rsidRPr="00DD2C68" w:rsidR="006C61AB">
        <w:rPr>
          <w:rFonts w:ascii="Palatino Linotype" w:hAnsi="Palatino Linotype"/>
        </w:rPr>
        <w:t xml:space="preserve">Cal Advocates </w:t>
      </w:r>
      <w:r w:rsidRPr="00DD2C68" w:rsidR="00750305">
        <w:rPr>
          <w:rFonts w:ascii="Palatino Linotype" w:hAnsi="Palatino Linotype"/>
        </w:rPr>
        <w:t xml:space="preserve">cautions that the use of project-specific discount factors, as proposed in SCE’s framework, would introduce “additional layer of complication” for oversight and argues that discount factors should not be used. </w:t>
      </w:r>
    </w:p>
    <w:p w:rsidRPr="00DD2C68" w:rsidR="006C61AB" w:rsidP="00AF3BBB" w:rsidRDefault="006C61AB" w14:paraId="52DA396E" w14:textId="4FA7ADB1">
      <w:pPr>
        <w:rPr>
          <w:rFonts w:ascii="Palatino Linotype" w:hAnsi="Palatino Linotype"/>
        </w:rPr>
      </w:pPr>
      <w:r w:rsidRPr="00DD2C68">
        <w:rPr>
          <w:rFonts w:ascii="Palatino Linotype" w:hAnsi="Palatino Linotype"/>
          <w:b/>
          <w:bCs/>
          <w:i/>
          <w:iCs/>
        </w:rPr>
        <w:t>PG&amp;E Reply</w:t>
      </w:r>
      <w:r w:rsidRPr="00DD2C68">
        <w:rPr>
          <w:rFonts w:ascii="Palatino Linotype" w:hAnsi="Palatino Linotype"/>
          <w:i/>
          <w:iCs/>
        </w:rPr>
        <w:t>:</w:t>
      </w:r>
      <w:r w:rsidRPr="00DD2C68">
        <w:rPr>
          <w:rFonts w:ascii="Palatino Linotype" w:hAnsi="Palatino Linotype"/>
        </w:rPr>
        <w:t xml:space="preserve"> </w:t>
      </w:r>
      <w:r w:rsidRPr="00DD2C68" w:rsidR="00D87AB8">
        <w:rPr>
          <w:rFonts w:ascii="Palatino Linotype" w:hAnsi="Palatino Linotype"/>
        </w:rPr>
        <w:t xml:space="preserve">In response to CALSTART, </w:t>
      </w:r>
      <w:r w:rsidRPr="00DD2C68" w:rsidR="00DB0D88">
        <w:rPr>
          <w:rFonts w:ascii="Palatino Linotype" w:hAnsi="Palatino Linotype"/>
        </w:rPr>
        <w:t xml:space="preserve">PG&amp;E disagrees with using a discount factor like SCE. PG&amp;E would assign PG&amp;E’s best estimate of the actual expected load for a pending load, consistent with how it treats all load requests. </w:t>
      </w:r>
      <w:r w:rsidRPr="00DD2C68" w:rsidR="00F702AB">
        <w:rPr>
          <w:rFonts w:ascii="Palatino Linotype" w:hAnsi="Palatino Linotype"/>
        </w:rPr>
        <w:t xml:space="preserve">PG&amp;E believes that a more effective approach is to categorize pending loads by confidence level and apply planning guardrails at the framework level, rather than negotiating load adjustments customer by customer. In response to Cal Advocates, </w:t>
      </w:r>
      <w:r w:rsidRPr="00DD2C68" w:rsidR="007A26FC">
        <w:rPr>
          <w:rFonts w:ascii="Palatino Linotype" w:hAnsi="Palatino Linotype"/>
        </w:rPr>
        <w:t>PG&amp;E agrees with this concern, arguing that applying discount factors on a per-customer basis would likely lead to unnecessary and potentially contentious back-and-forth between the utility and customers over what portion of the load should be planned for.</w:t>
      </w:r>
    </w:p>
    <w:p w:rsidRPr="00DD2C68" w:rsidR="00B50D55" w:rsidP="00AF3BBB" w:rsidRDefault="00B50D55" w14:paraId="427D562D" w14:textId="0AD440EA">
      <w:pPr>
        <w:rPr>
          <w:rFonts w:ascii="Palatino Linotype" w:hAnsi="Palatino Linotype"/>
        </w:rPr>
      </w:pPr>
      <w:r w:rsidRPr="00DD2C68">
        <w:rPr>
          <w:rFonts w:ascii="Palatino Linotype" w:hAnsi="Palatino Linotype"/>
          <w:b/>
          <w:bCs/>
          <w:i/>
          <w:iCs/>
        </w:rPr>
        <w:t>SCE Reply</w:t>
      </w:r>
      <w:r w:rsidRPr="00DD2C68">
        <w:rPr>
          <w:rFonts w:ascii="Palatino Linotype" w:hAnsi="Palatino Linotype"/>
          <w:i/>
          <w:iCs/>
        </w:rPr>
        <w:t>:</w:t>
      </w:r>
      <w:r w:rsidRPr="00DD2C68">
        <w:rPr>
          <w:rFonts w:ascii="Palatino Linotype" w:hAnsi="Palatino Linotype"/>
        </w:rPr>
        <w:t xml:space="preserve"> </w:t>
      </w:r>
      <w:r w:rsidRPr="00DD2C68" w:rsidR="0046655D">
        <w:rPr>
          <w:rFonts w:ascii="Palatino Linotype" w:hAnsi="Palatino Linotype"/>
        </w:rPr>
        <w:t xml:space="preserve">SCE opposes Cal Advocates’ protest. </w:t>
      </w:r>
      <w:r w:rsidRPr="00DD2C68" w:rsidR="00F51EC6">
        <w:rPr>
          <w:rFonts w:ascii="Palatino Linotype" w:hAnsi="Palatino Linotype"/>
        </w:rPr>
        <w:t xml:space="preserve">SCE asserts the discount factor serves as a confidence-weighted filter to calibrate a pending loads inclusion in the forecast, and that formal Commission oversight should not be required. </w:t>
      </w:r>
    </w:p>
    <w:p w:rsidRPr="00DD2C68" w:rsidR="00764D0E" w:rsidP="00764D0E" w:rsidRDefault="00764D0E" w14:paraId="211A7130" w14:textId="0BCB0DEE">
      <w:pPr>
        <w:pStyle w:val="Heading2"/>
        <w:rPr>
          <w:rFonts w:ascii="Palatino Linotype" w:hAnsi="Palatino Linotype" w:eastAsia="Palatino Linotype"/>
          <w:color w:val="auto"/>
        </w:rPr>
      </w:pPr>
      <w:r w:rsidRPr="00DD2C68">
        <w:rPr>
          <w:rFonts w:ascii="Palatino Linotype" w:hAnsi="Palatino Linotype" w:eastAsia="Palatino Linotype"/>
          <w:color w:val="auto"/>
        </w:rPr>
        <w:lastRenderedPageBreak/>
        <w:t>The Definition and Use of Hot Spots</w:t>
      </w:r>
    </w:p>
    <w:p w:rsidRPr="00DD2C68" w:rsidR="00AF3BBB" w:rsidP="00AF3BBB" w:rsidRDefault="00902F6A" w14:paraId="613E90AC" w14:textId="05B6BC76">
      <w:pPr>
        <w:pStyle w:val="Heading3"/>
        <w:rPr>
          <w:rFonts w:ascii="Palatino Linotype" w:hAnsi="Palatino Linotype"/>
          <w:color w:val="auto"/>
        </w:rPr>
      </w:pPr>
      <w:r w:rsidRPr="00DD2C68">
        <w:rPr>
          <w:rFonts w:ascii="Palatino Linotype" w:hAnsi="Palatino Linotype"/>
          <w:color w:val="auto"/>
        </w:rPr>
        <w:t xml:space="preserve">Hot Spot Identification: </w:t>
      </w:r>
    </w:p>
    <w:p w:rsidRPr="00DD2C68" w:rsidR="009E6F75" w:rsidP="00AF3BBB" w:rsidRDefault="000A3F5F" w14:paraId="33BAB87A" w14:textId="001021E9">
      <w:pPr>
        <w:rPr>
          <w:rFonts w:ascii="Palatino Linotype" w:hAnsi="Palatino Linotype"/>
        </w:rPr>
      </w:pPr>
      <w:r w:rsidRPr="00DD2C68">
        <w:rPr>
          <w:rFonts w:ascii="Palatino Linotype" w:hAnsi="Palatino Linotype"/>
        </w:rPr>
        <w:t xml:space="preserve">CALSTART, CalCCA, Cal Advocates, </w:t>
      </w:r>
      <w:r w:rsidRPr="00DD2C68" w:rsidR="005F4CBC">
        <w:rPr>
          <w:rFonts w:ascii="Palatino Linotype" w:hAnsi="Palatino Linotype"/>
        </w:rPr>
        <w:t xml:space="preserve">and </w:t>
      </w:r>
      <w:r w:rsidRPr="00DD2C68" w:rsidR="00FE7355">
        <w:rPr>
          <w:rFonts w:ascii="Palatino Linotype" w:hAnsi="Palatino Linotype"/>
        </w:rPr>
        <w:t>EDF/NRDC</w:t>
      </w:r>
      <w:r w:rsidRPr="00DD2C68" w:rsidR="005F4CBC">
        <w:rPr>
          <w:rFonts w:ascii="Palatino Linotype" w:hAnsi="Palatino Linotype"/>
        </w:rPr>
        <w:t xml:space="preserve"> support the use of hot spots</w:t>
      </w:r>
      <w:r w:rsidRPr="00DD2C68" w:rsidR="006F54E5">
        <w:rPr>
          <w:rFonts w:ascii="Palatino Linotype" w:hAnsi="Palatino Linotype"/>
        </w:rPr>
        <w:t>, which ar</w:t>
      </w:r>
      <w:r w:rsidRPr="00DD2C68" w:rsidR="000767C2">
        <w:rPr>
          <w:rFonts w:ascii="Palatino Linotype" w:hAnsi="Palatino Linotype"/>
        </w:rPr>
        <w:t xml:space="preserve">e geographic areas of high load growth and </w:t>
      </w:r>
      <w:r w:rsidRPr="00DD2C68" w:rsidR="009B4571">
        <w:rPr>
          <w:rFonts w:ascii="Palatino Linotype" w:hAnsi="Palatino Linotype"/>
        </w:rPr>
        <w:t>capacity constraints.</w:t>
      </w:r>
      <w:r w:rsidRPr="00DD2C68" w:rsidR="006F54E5">
        <w:rPr>
          <w:rFonts w:ascii="Palatino Linotype" w:hAnsi="Palatino Linotype"/>
        </w:rPr>
        <w:t xml:space="preserve"> </w:t>
      </w:r>
      <w:r w:rsidRPr="00DD2C68" w:rsidR="005F4CBC">
        <w:rPr>
          <w:rFonts w:ascii="Palatino Linotype" w:hAnsi="Palatino Linotype"/>
        </w:rPr>
        <w:t xml:space="preserve"> </w:t>
      </w:r>
      <w:r w:rsidRPr="00DD2C68" w:rsidR="008F3EEA">
        <w:rPr>
          <w:rFonts w:ascii="Palatino Linotype" w:hAnsi="Palatino Linotype"/>
        </w:rPr>
        <w:t xml:space="preserve">CALSTART supports the identification of hot spots and </w:t>
      </w:r>
      <w:r w:rsidRPr="00DD2C68" w:rsidR="00F81521">
        <w:rPr>
          <w:rFonts w:ascii="Palatino Linotype" w:hAnsi="Palatino Linotype"/>
        </w:rPr>
        <w:t xml:space="preserve">the proposed identification </w:t>
      </w:r>
      <w:r w:rsidRPr="00DD2C68" w:rsidR="002C44F5">
        <w:rPr>
          <w:rFonts w:ascii="Palatino Linotype" w:hAnsi="Palatino Linotype"/>
        </w:rPr>
        <w:t>criteria, including multiple customer projects, policy drivers, and infrastructure gap</w:t>
      </w:r>
      <w:r w:rsidRPr="00DD2C68" w:rsidR="009F0489">
        <w:rPr>
          <w:rFonts w:ascii="Palatino Linotype" w:hAnsi="Palatino Linotype"/>
        </w:rPr>
        <w:t>s.</w:t>
      </w:r>
      <w:r w:rsidRPr="00DD2C68" w:rsidR="00BC234F">
        <w:rPr>
          <w:rFonts w:ascii="Palatino Linotype" w:hAnsi="Palatino Linotype"/>
        </w:rPr>
        <w:t xml:space="preserve"> </w:t>
      </w:r>
      <w:r w:rsidRPr="00DD2C68" w:rsidR="00223931">
        <w:rPr>
          <w:rFonts w:ascii="Palatino Linotype" w:hAnsi="Palatino Linotype"/>
        </w:rPr>
        <w:t xml:space="preserve">Cal Advocates </w:t>
      </w:r>
      <w:r w:rsidRPr="00DD2C68" w:rsidR="005B36CC">
        <w:rPr>
          <w:rFonts w:ascii="Palatino Linotype" w:hAnsi="Palatino Linotype"/>
        </w:rPr>
        <w:t xml:space="preserve">supports each utility using utility and third-party studies, in addition to direct data on known and pending loads, to identify Hot Spots. </w:t>
      </w:r>
      <w:r w:rsidRPr="00DD2C68" w:rsidR="00FE7355">
        <w:rPr>
          <w:rFonts w:ascii="Palatino Linotype" w:hAnsi="Palatino Linotype"/>
        </w:rPr>
        <w:t>EDF/NRDC</w:t>
      </w:r>
      <w:r w:rsidRPr="00DD2C68" w:rsidR="0041559C">
        <w:rPr>
          <w:rFonts w:ascii="Palatino Linotype" w:hAnsi="Palatino Linotype"/>
        </w:rPr>
        <w:t xml:space="preserve"> support the proposed hot spot identification </w:t>
      </w:r>
      <w:r w:rsidRPr="00DD2C68" w:rsidR="00C64277">
        <w:rPr>
          <w:rFonts w:ascii="Palatino Linotype" w:hAnsi="Palatino Linotype"/>
        </w:rPr>
        <w:t>methodologies but</w:t>
      </w:r>
      <w:r w:rsidRPr="00DD2C68" w:rsidR="0041559C">
        <w:rPr>
          <w:rFonts w:ascii="Palatino Linotype" w:hAnsi="Palatino Linotype"/>
        </w:rPr>
        <w:t xml:space="preserve"> </w:t>
      </w:r>
      <w:r w:rsidRPr="00DD2C68" w:rsidR="00076509">
        <w:rPr>
          <w:rFonts w:ascii="Palatino Linotype" w:hAnsi="Palatino Linotype"/>
        </w:rPr>
        <w:t>want them to align with state policies such as SB 671, the Clean Freight Corridor Efficiency Assessment, and the Low Carbon Fuel Standard</w:t>
      </w:r>
      <w:r w:rsidRPr="00DD2C68" w:rsidR="00B7494B">
        <w:rPr>
          <w:rFonts w:ascii="Palatino Linotype" w:hAnsi="Palatino Linotype"/>
        </w:rPr>
        <w:t xml:space="preserve">, and for utilities to document and report how the hot spots </w:t>
      </w:r>
      <w:r w:rsidRPr="00DD2C68" w:rsidR="007F6D49">
        <w:rPr>
          <w:rFonts w:ascii="Palatino Linotype" w:hAnsi="Palatino Linotype"/>
        </w:rPr>
        <w:t xml:space="preserve">align with these regulatory drivers and geographical priorities. </w:t>
      </w:r>
      <w:r w:rsidRPr="00DD2C68" w:rsidR="00FE7355">
        <w:rPr>
          <w:rFonts w:ascii="Palatino Linotype" w:hAnsi="Palatino Linotype"/>
        </w:rPr>
        <w:t>EDF/NRDC</w:t>
      </w:r>
      <w:r w:rsidRPr="00DD2C68" w:rsidR="00AD3571">
        <w:rPr>
          <w:rFonts w:ascii="Palatino Linotype" w:hAnsi="Palatino Linotype"/>
        </w:rPr>
        <w:t xml:space="preserve"> also urge SDG&amp;E to adopt hot spots in their proposal. </w:t>
      </w:r>
    </w:p>
    <w:p w:rsidRPr="00DD2C68" w:rsidR="0095701B" w:rsidP="0095701B" w:rsidRDefault="00564338" w14:paraId="455FAB42" w14:textId="43F23EE6">
      <w:pPr>
        <w:rPr>
          <w:rFonts w:ascii="Palatino Linotype" w:hAnsi="Palatino Linotype"/>
        </w:rPr>
      </w:pPr>
      <w:r w:rsidRPr="00DD2C68">
        <w:rPr>
          <w:rFonts w:ascii="Palatino Linotype" w:hAnsi="Palatino Linotype"/>
          <w:b/>
          <w:bCs/>
          <w:i/>
          <w:iCs/>
        </w:rPr>
        <w:t>SDG&amp;E Reply:</w:t>
      </w:r>
      <w:r w:rsidRPr="00DD2C68">
        <w:rPr>
          <w:rFonts w:ascii="Palatino Linotype" w:hAnsi="Palatino Linotype"/>
        </w:rPr>
        <w:t xml:space="preserve"> In response to </w:t>
      </w:r>
      <w:r w:rsidRPr="00DD2C68" w:rsidR="00FE7355">
        <w:rPr>
          <w:rFonts w:ascii="Palatino Linotype" w:hAnsi="Palatino Linotype"/>
        </w:rPr>
        <w:t>EDF/NRDC</w:t>
      </w:r>
      <w:r w:rsidRPr="00DD2C68">
        <w:rPr>
          <w:rFonts w:ascii="Palatino Linotype" w:hAnsi="Palatino Linotype"/>
        </w:rPr>
        <w:t xml:space="preserve">’s request for SDG&amp;E to use hot spots, SDG&amp;E asserts </w:t>
      </w:r>
      <w:r w:rsidRPr="00DD2C68" w:rsidR="00BD27E9">
        <w:rPr>
          <w:rFonts w:ascii="Palatino Linotype" w:hAnsi="Palatino Linotype"/>
        </w:rPr>
        <w:t>its existing forecasting and planning practices have the same objectives as the “Hot Spot” proposals advanced by PG&amp;E and SCE: integrating the very elements that the Hot Spot designation seeks to capture, including historical growth trends, known customer projects, community and regulatory plans, and study results. </w:t>
      </w:r>
    </w:p>
    <w:p w:rsidRPr="00DD2C68" w:rsidR="00AF3BBB" w:rsidP="00AF3BBB" w:rsidRDefault="00902F6A" w14:paraId="5085D9EA" w14:textId="3F8CAE35">
      <w:pPr>
        <w:pStyle w:val="Heading3"/>
        <w:rPr>
          <w:rFonts w:ascii="Palatino Linotype" w:hAnsi="Palatino Linotype"/>
          <w:i/>
          <w:iCs/>
          <w:color w:val="auto"/>
        </w:rPr>
      </w:pPr>
      <w:r w:rsidRPr="00DD2C68">
        <w:rPr>
          <w:rFonts w:ascii="Palatino Linotype" w:hAnsi="Palatino Linotype"/>
          <w:b/>
          <w:bCs/>
          <w:i/>
          <w:iCs/>
          <w:color w:val="auto"/>
        </w:rPr>
        <w:t>Hot Spot Guardrails</w:t>
      </w:r>
      <w:r w:rsidRPr="00DD2C68">
        <w:rPr>
          <w:rFonts w:ascii="Palatino Linotype" w:hAnsi="Palatino Linotype"/>
          <w:i/>
          <w:iCs/>
          <w:color w:val="auto"/>
        </w:rPr>
        <w:t>:</w:t>
      </w:r>
    </w:p>
    <w:p w:rsidRPr="00DD2C68" w:rsidR="00902F6A" w:rsidP="00AF3BBB" w:rsidRDefault="00827BFA" w14:paraId="3D898022" w14:textId="54288F48">
      <w:pPr>
        <w:rPr>
          <w:rFonts w:ascii="Palatino Linotype" w:hAnsi="Palatino Linotype"/>
        </w:rPr>
      </w:pPr>
      <w:r w:rsidRPr="00DD2C68">
        <w:rPr>
          <w:rFonts w:ascii="Palatino Linotype" w:hAnsi="Palatino Linotype"/>
        </w:rPr>
        <w:t>CALSTART supports the use of low</w:t>
      </w:r>
      <w:r w:rsidRPr="00DD2C68" w:rsidR="00BC234F">
        <w:rPr>
          <w:rFonts w:ascii="Palatino Linotype" w:hAnsi="Palatino Linotype"/>
        </w:rPr>
        <w:t>er</w:t>
      </w:r>
      <w:r w:rsidRPr="00DD2C68">
        <w:rPr>
          <w:rFonts w:ascii="Palatino Linotype" w:hAnsi="Palatino Linotype"/>
        </w:rPr>
        <w:t>-confidence</w:t>
      </w:r>
      <w:r w:rsidRPr="00DD2C68" w:rsidR="00BC234F">
        <w:rPr>
          <w:rFonts w:ascii="Palatino Linotype" w:hAnsi="Palatino Linotype"/>
        </w:rPr>
        <w:t xml:space="preserve"> load sources within hot spots to be included for investment planning.</w:t>
      </w:r>
      <w:r w:rsidRPr="00DD2C68">
        <w:rPr>
          <w:rFonts w:ascii="Palatino Linotype" w:hAnsi="Palatino Linotype"/>
        </w:rPr>
        <w:t xml:space="preserve"> </w:t>
      </w:r>
      <w:r w:rsidRPr="00DD2C68" w:rsidR="0041559C">
        <w:rPr>
          <w:rFonts w:ascii="Palatino Linotype" w:hAnsi="Palatino Linotype"/>
        </w:rPr>
        <w:t xml:space="preserve">Cal Advocates endorse </w:t>
      </w:r>
      <w:r w:rsidRPr="00DD2C68" w:rsidR="007F6D49">
        <w:rPr>
          <w:rFonts w:ascii="Palatino Linotype" w:hAnsi="Palatino Linotype"/>
        </w:rPr>
        <w:t>hot spots</w:t>
      </w:r>
      <w:r w:rsidRPr="00DD2C68" w:rsidR="00FA7A47">
        <w:rPr>
          <w:rFonts w:ascii="Palatino Linotype" w:hAnsi="Palatino Linotype"/>
        </w:rPr>
        <w:t xml:space="preserve"> and using </w:t>
      </w:r>
      <w:r w:rsidR="00721AD9">
        <w:rPr>
          <w:rFonts w:ascii="Palatino Linotype" w:hAnsi="Palatino Linotype"/>
        </w:rPr>
        <w:br/>
      </w:r>
      <w:r w:rsidRPr="00DD2C68" w:rsidR="00FA7A47">
        <w:rPr>
          <w:rFonts w:ascii="Palatino Linotype" w:hAnsi="Palatino Linotype"/>
        </w:rPr>
        <w:t xml:space="preserve">medium-confidence pending loads to exceed the IEPR in these </w:t>
      </w:r>
      <w:r w:rsidRPr="00DD2C68" w:rsidR="005D167A">
        <w:rPr>
          <w:rFonts w:ascii="Palatino Linotype" w:hAnsi="Palatino Linotype"/>
        </w:rPr>
        <w:t>locations but</w:t>
      </w:r>
      <w:r w:rsidRPr="00DD2C68" w:rsidR="007F6D49">
        <w:rPr>
          <w:rFonts w:ascii="Palatino Linotype" w:hAnsi="Palatino Linotype"/>
        </w:rPr>
        <w:t xml:space="preserve"> calls for strict oversight. </w:t>
      </w:r>
      <w:r w:rsidRPr="00DD2C68" w:rsidR="004C4017">
        <w:rPr>
          <w:rFonts w:ascii="Palatino Linotype" w:hAnsi="Palatino Linotype"/>
        </w:rPr>
        <w:t xml:space="preserve">Citing the risk of utilities deploying too many hot spots and </w:t>
      </w:r>
      <w:r w:rsidRPr="00DD2C68" w:rsidR="00F83301">
        <w:rPr>
          <w:rFonts w:ascii="Palatino Linotype" w:hAnsi="Palatino Linotype"/>
        </w:rPr>
        <w:t xml:space="preserve">increasing ratepayer risk, </w:t>
      </w:r>
      <w:r w:rsidRPr="00DD2C68" w:rsidR="007F6D49">
        <w:rPr>
          <w:rFonts w:ascii="Palatino Linotype" w:hAnsi="Palatino Linotype"/>
        </w:rPr>
        <w:t xml:space="preserve">Cal Advocates recommends </w:t>
      </w:r>
      <w:r w:rsidRPr="00DD2C68" w:rsidR="00CF69EC">
        <w:rPr>
          <w:rFonts w:ascii="Palatino Linotype" w:hAnsi="Palatino Linotype"/>
        </w:rPr>
        <w:t>requiring utilities to obtain annual Tier 2 Advice Letter approval for hot spot designations.</w:t>
      </w:r>
      <w:r w:rsidRPr="00DD2C68" w:rsidR="00F83301">
        <w:rPr>
          <w:rFonts w:ascii="Palatino Linotype" w:hAnsi="Palatino Linotype"/>
        </w:rPr>
        <w:t xml:space="preserve"> </w:t>
      </w:r>
      <w:r w:rsidRPr="00DD2C68" w:rsidR="002F7058">
        <w:rPr>
          <w:rFonts w:ascii="Palatino Linotype" w:hAnsi="Palatino Linotype"/>
        </w:rPr>
        <w:t>Additionally,</w:t>
      </w:r>
      <w:r w:rsidRPr="00DD2C68" w:rsidR="00F83301">
        <w:rPr>
          <w:rFonts w:ascii="Palatino Linotype" w:hAnsi="Palatino Linotype"/>
        </w:rPr>
        <w:t xml:space="preserve"> Cal Advocates r</w:t>
      </w:r>
      <w:r w:rsidRPr="00DD2C68" w:rsidR="00B2675D">
        <w:rPr>
          <w:rFonts w:ascii="Palatino Linotype" w:hAnsi="Palatino Linotype"/>
        </w:rPr>
        <w:t>ecommends requiring</w:t>
      </w:r>
      <w:r w:rsidRPr="00DD2C68" w:rsidR="00F83301">
        <w:rPr>
          <w:rFonts w:ascii="Palatino Linotype" w:hAnsi="Palatino Linotype"/>
        </w:rPr>
        <w:t xml:space="preserve"> the </w:t>
      </w:r>
      <w:r w:rsidRPr="00DD2C68" w:rsidR="00B2675D">
        <w:rPr>
          <w:rFonts w:ascii="Palatino Linotype" w:hAnsi="Palatino Linotype"/>
        </w:rPr>
        <w:t>utilities</w:t>
      </w:r>
      <w:r w:rsidRPr="00DD2C68" w:rsidR="00F83301">
        <w:rPr>
          <w:rFonts w:ascii="Palatino Linotype" w:hAnsi="Palatino Linotype"/>
        </w:rPr>
        <w:t xml:space="preserve"> report in their Grid Needs Assessment and Distribution Upgrade Project Reports which lower confidence pending loads located in Hot Spots have contributed to exceeding the IEPR</w:t>
      </w:r>
      <w:r w:rsidRPr="00DD2C68" w:rsidR="00B2675D">
        <w:rPr>
          <w:rFonts w:ascii="Palatino Linotype" w:hAnsi="Palatino Linotype"/>
        </w:rPr>
        <w:t xml:space="preserve">. </w:t>
      </w:r>
      <w:r w:rsidRPr="00DD2C68" w:rsidR="001D630F">
        <w:rPr>
          <w:rFonts w:ascii="Palatino Linotype" w:hAnsi="Palatino Linotype"/>
        </w:rPr>
        <w:t xml:space="preserve">CalCCA </w:t>
      </w:r>
      <w:r w:rsidRPr="00DD2C68" w:rsidR="00E1536A">
        <w:rPr>
          <w:rFonts w:ascii="Palatino Linotype" w:hAnsi="Palatino Linotype"/>
        </w:rPr>
        <w:t xml:space="preserve">argues that PG&amp;E’s broad definition creates significant flexibility to designate hot spots, </w:t>
      </w:r>
      <w:r w:rsidRPr="00DD2C68" w:rsidR="00DD63C7">
        <w:rPr>
          <w:rFonts w:ascii="Palatino Linotype" w:hAnsi="Palatino Linotype"/>
        </w:rPr>
        <w:t>which could undermine</w:t>
      </w:r>
      <w:r w:rsidRPr="00DD2C68" w:rsidR="00DD63C7">
        <w:rPr>
          <w:rFonts w:ascii="Aptos" w:hAnsi="Aptos"/>
          <w:bdr w:val="none" w:color="auto" w:sz="0" w:space="0" w:frame="1"/>
        </w:rPr>
        <w:t xml:space="preserve"> </w:t>
      </w:r>
      <w:r w:rsidRPr="00DD2C68" w:rsidR="00DD63C7">
        <w:rPr>
          <w:rFonts w:ascii="Palatino Linotype" w:hAnsi="Palatino Linotype"/>
        </w:rPr>
        <w:t xml:space="preserve">transparency and increase the risk of overinvestment. CalCCA calls for stakeholder </w:t>
      </w:r>
      <w:r w:rsidRPr="00DD2C68" w:rsidR="00DD63C7">
        <w:rPr>
          <w:rFonts w:ascii="Palatino Linotype" w:hAnsi="Palatino Linotype"/>
        </w:rPr>
        <w:lastRenderedPageBreak/>
        <w:t xml:space="preserve">input on the record to inform </w:t>
      </w:r>
      <w:r w:rsidRPr="00DD2C68" w:rsidR="00AD220A">
        <w:rPr>
          <w:rFonts w:ascii="Palatino Linotype" w:hAnsi="Palatino Linotype"/>
        </w:rPr>
        <w:t xml:space="preserve">the definition, identification, and designation of hot spot locations. </w:t>
      </w:r>
    </w:p>
    <w:p w:rsidRPr="00DD2C68" w:rsidR="00D37915" w:rsidP="00AF3BBB" w:rsidRDefault="00D37915" w14:paraId="0FADA54E" w14:textId="559C9C1B">
      <w:pPr>
        <w:rPr>
          <w:rFonts w:ascii="Palatino Linotype" w:hAnsi="Palatino Linotype"/>
        </w:rPr>
      </w:pPr>
      <w:r w:rsidRPr="00DD2C68">
        <w:rPr>
          <w:rFonts w:ascii="Palatino Linotype" w:hAnsi="Palatino Linotype"/>
          <w:b/>
          <w:bCs/>
          <w:i/>
          <w:iCs/>
        </w:rPr>
        <w:t>Joint IOU Reply</w:t>
      </w:r>
      <w:r w:rsidRPr="00DD2C68">
        <w:rPr>
          <w:rFonts w:ascii="Palatino Linotype" w:hAnsi="Palatino Linotype"/>
          <w:i/>
          <w:iCs/>
        </w:rPr>
        <w:t>:</w:t>
      </w:r>
      <w:r w:rsidRPr="00DD2C68">
        <w:rPr>
          <w:rFonts w:ascii="Palatino Linotype" w:hAnsi="Palatino Linotype"/>
        </w:rPr>
        <w:t xml:space="preserve"> </w:t>
      </w:r>
      <w:r w:rsidRPr="00DD2C68" w:rsidR="00591894">
        <w:rPr>
          <w:rFonts w:ascii="Palatino Linotype" w:hAnsi="Palatino Linotype"/>
        </w:rPr>
        <w:t xml:space="preserve">In response to Cal Advocates proposal to a required Tier 2 Advice Letter for hot spot designations, PG&amp;E and SCE contend that </w:t>
      </w:r>
      <w:r w:rsidRPr="00DD2C68" w:rsidR="00753AD0">
        <w:rPr>
          <w:rFonts w:ascii="Palatino Linotype" w:hAnsi="Palatino Linotype"/>
        </w:rPr>
        <w:t xml:space="preserve">formal requirements for Tier 2 filings add procedural burdens and introduce unnecessary delays. Furthermore, the IOUs plan to publish their pending load data in the annual GNA/DUPR which stakeholders will be able to view and provide transparency to where hot spots are identified without the need for a Tier 3 Advice Letter. </w:t>
      </w:r>
    </w:p>
    <w:p w:rsidRPr="00DD2C68" w:rsidR="00BD6827" w:rsidP="00AF3BBB" w:rsidRDefault="00BD6827" w14:paraId="13FD7874" w14:textId="023B9310">
      <w:pPr>
        <w:rPr>
          <w:rFonts w:ascii="Palatino Linotype" w:hAnsi="Palatino Linotype"/>
        </w:rPr>
      </w:pPr>
      <w:r w:rsidRPr="00DD2C68">
        <w:rPr>
          <w:rFonts w:ascii="Palatino Linotype" w:hAnsi="Palatino Linotype"/>
          <w:b/>
          <w:bCs/>
          <w:i/>
          <w:iCs/>
        </w:rPr>
        <w:t>PG&amp;E Reply</w:t>
      </w:r>
      <w:r w:rsidRPr="00DD2C68">
        <w:rPr>
          <w:rFonts w:ascii="Palatino Linotype" w:hAnsi="Palatino Linotype"/>
          <w:i/>
          <w:iCs/>
        </w:rPr>
        <w:t>:</w:t>
      </w:r>
      <w:r w:rsidRPr="00DD2C68" w:rsidR="00CA1ADC">
        <w:rPr>
          <w:rFonts w:ascii="Palatino Linotype" w:hAnsi="Palatino Linotype"/>
          <w:b/>
          <w:bCs/>
          <w:i/>
          <w:iCs/>
        </w:rPr>
        <w:t xml:space="preserve"> </w:t>
      </w:r>
      <w:r w:rsidRPr="00DD2C68" w:rsidR="00CA1ADC">
        <w:rPr>
          <w:rFonts w:ascii="Palatino Linotype" w:hAnsi="Palatino Linotype"/>
        </w:rPr>
        <w:t xml:space="preserve">In response to </w:t>
      </w:r>
      <w:proofErr w:type="spellStart"/>
      <w:r w:rsidRPr="00DD2C68" w:rsidR="00CA1ADC">
        <w:rPr>
          <w:rFonts w:ascii="Palatino Linotype" w:hAnsi="Palatino Linotype"/>
        </w:rPr>
        <w:t>CalCCA’s</w:t>
      </w:r>
      <w:proofErr w:type="spellEnd"/>
      <w:r w:rsidRPr="00DD2C68" w:rsidR="00CA1ADC">
        <w:rPr>
          <w:rFonts w:ascii="Palatino Linotype" w:hAnsi="Palatino Linotype"/>
        </w:rPr>
        <w:t xml:space="preserve"> argument that hot spot identification requires additional guardrails, PG&amp;E proposes to add the criteria that a “hot spot” is also a capacity-constrained area, to improve alignment with SCE’s definition.</w:t>
      </w:r>
      <w:r w:rsidRPr="00DD2C68">
        <w:rPr>
          <w:rFonts w:ascii="Palatino Linotype" w:hAnsi="Palatino Linotype"/>
          <w:i/>
          <w:iCs/>
        </w:rPr>
        <w:t xml:space="preserve"> </w:t>
      </w:r>
      <w:r w:rsidRPr="00DD2C68" w:rsidR="00031662">
        <w:rPr>
          <w:rFonts w:ascii="Palatino Linotype" w:hAnsi="Palatino Linotype"/>
        </w:rPr>
        <w:t xml:space="preserve">PG&amp;E responds to </w:t>
      </w:r>
      <w:r w:rsidRPr="00DD2C68" w:rsidR="00FE7355">
        <w:rPr>
          <w:rFonts w:ascii="Palatino Linotype" w:hAnsi="Palatino Linotype"/>
        </w:rPr>
        <w:t>EDF/NRDC</w:t>
      </w:r>
      <w:r w:rsidRPr="00DD2C68" w:rsidR="00C658F8">
        <w:rPr>
          <w:rFonts w:ascii="Palatino Linotype" w:hAnsi="Palatino Linotype"/>
        </w:rPr>
        <w:t xml:space="preserve"> and TURN</w:t>
      </w:r>
      <w:r w:rsidRPr="00DD2C68" w:rsidR="00031662">
        <w:rPr>
          <w:rFonts w:ascii="Palatino Linotype" w:hAnsi="Palatino Linotype"/>
        </w:rPr>
        <w:t xml:space="preserve"> protest</w:t>
      </w:r>
      <w:r w:rsidRPr="00DD2C68" w:rsidR="00C658F8">
        <w:rPr>
          <w:rFonts w:ascii="Palatino Linotype" w:hAnsi="Palatino Linotype"/>
        </w:rPr>
        <w:t>s</w:t>
      </w:r>
      <w:r w:rsidRPr="00DD2C68" w:rsidR="00031662">
        <w:rPr>
          <w:rFonts w:ascii="Palatino Linotype" w:hAnsi="Palatino Linotype"/>
        </w:rPr>
        <w:t xml:space="preserve"> that PG&amp;E requires additional hot spot guardrails</w:t>
      </w:r>
      <w:r w:rsidRPr="00DD2C68" w:rsidR="007665D3">
        <w:rPr>
          <w:rFonts w:ascii="Palatino Linotype" w:hAnsi="Palatino Linotype"/>
        </w:rPr>
        <w:t xml:space="preserve"> due to an overly-broad definition</w:t>
      </w:r>
      <w:r w:rsidRPr="00DD2C68" w:rsidR="00BF33ED">
        <w:rPr>
          <w:rFonts w:ascii="Palatino Linotype" w:hAnsi="Palatino Linotype"/>
        </w:rPr>
        <w:t>, specifically that any pending load could be treated as incremental to the IEPR in a hot spot, even if lacked locational details</w:t>
      </w:r>
      <w:r w:rsidRPr="00DD2C68" w:rsidR="007665D3">
        <w:rPr>
          <w:rFonts w:ascii="Palatino Linotype" w:hAnsi="Palatino Linotype"/>
        </w:rPr>
        <w:t>. PG&amp;E clarifies</w:t>
      </w:r>
      <w:r w:rsidRPr="00DD2C68" w:rsidR="00031662">
        <w:rPr>
          <w:rFonts w:ascii="Palatino Linotype" w:hAnsi="Palatino Linotype"/>
        </w:rPr>
        <w:t xml:space="preserve"> that </w:t>
      </w:r>
      <w:r w:rsidRPr="00DD2C68" w:rsidR="00C658F8">
        <w:rPr>
          <w:rFonts w:ascii="Palatino Linotype" w:hAnsi="Palatino Linotype"/>
        </w:rPr>
        <w:t xml:space="preserve">for a Pending Load to qualify as a </w:t>
      </w:r>
      <w:r w:rsidRPr="00DD2C68" w:rsidR="00BF33ED">
        <w:rPr>
          <w:rFonts w:ascii="Palatino Linotype" w:hAnsi="Palatino Linotype"/>
        </w:rPr>
        <w:t>h</w:t>
      </w:r>
      <w:r w:rsidRPr="00DD2C68" w:rsidR="00C658F8">
        <w:rPr>
          <w:rFonts w:ascii="Palatino Linotype" w:hAnsi="Palatino Linotype"/>
        </w:rPr>
        <w:t xml:space="preserve">ot </w:t>
      </w:r>
      <w:proofErr w:type="gramStart"/>
      <w:r w:rsidRPr="00DD2C68" w:rsidR="00BF33ED">
        <w:rPr>
          <w:rFonts w:ascii="Palatino Linotype" w:hAnsi="Palatino Linotype"/>
        </w:rPr>
        <w:t>s</w:t>
      </w:r>
      <w:r w:rsidRPr="00DD2C68" w:rsidR="00C658F8">
        <w:rPr>
          <w:rFonts w:ascii="Palatino Linotype" w:hAnsi="Palatino Linotype"/>
        </w:rPr>
        <w:t>pot,</w:t>
      </w:r>
      <w:proofErr w:type="gramEnd"/>
      <w:r w:rsidRPr="00DD2C68" w:rsidR="00C658F8">
        <w:rPr>
          <w:rFonts w:ascii="Palatino Linotype" w:hAnsi="Palatino Linotype"/>
        </w:rPr>
        <w:t xml:space="preserve"> it must have enough locational specificity to clearly be located within the </w:t>
      </w:r>
      <w:r w:rsidRPr="00DD2C68" w:rsidR="00BF33ED">
        <w:rPr>
          <w:rFonts w:ascii="Palatino Linotype" w:hAnsi="Palatino Linotype"/>
        </w:rPr>
        <w:t>h</w:t>
      </w:r>
      <w:r w:rsidRPr="00DD2C68" w:rsidR="00C658F8">
        <w:rPr>
          <w:rFonts w:ascii="Palatino Linotype" w:hAnsi="Palatino Linotype"/>
        </w:rPr>
        <w:t xml:space="preserve">ot </w:t>
      </w:r>
      <w:r w:rsidRPr="00DD2C68" w:rsidR="00BF33ED">
        <w:rPr>
          <w:rFonts w:ascii="Palatino Linotype" w:hAnsi="Palatino Linotype"/>
        </w:rPr>
        <w:t>s</w:t>
      </w:r>
      <w:r w:rsidRPr="00DD2C68" w:rsidR="00C658F8">
        <w:rPr>
          <w:rFonts w:ascii="Palatino Linotype" w:hAnsi="Palatino Linotype"/>
        </w:rPr>
        <w:t>pot.</w:t>
      </w:r>
    </w:p>
    <w:p w:rsidRPr="00DD2C68" w:rsidR="00764D0E" w:rsidP="00764D0E" w:rsidRDefault="00764D0E" w14:paraId="2F81F939" w14:textId="4285811D">
      <w:pPr>
        <w:pStyle w:val="Heading2"/>
        <w:rPr>
          <w:rFonts w:ascii="Palatino Linotype" w:hAnsi="Palatino Linotype" w:eastAsia="Palatino Linotype"/>
          <w:color w:val="auto"/>
        </w:rPr>
      </w:pPr>
      <w:r w:rsidRPr="00DD2C68">
        <w:rPr>
          <w:rFonts w:ascii="Palatino Linotype" w:hAnsi="Palatino Linotype" w:eastAsia="Palatino Linotype"/>
          <w:color w:val="auto"/>
        </w:rPr>
        <w:t>Reconciling Pending Loads with the IEPR Forecast</w:t>
      </w:r>
    </w:p>
    <w:p w:rsidRPr="00DD2C68" w:rsidR="00796C00" w:rsidP="00AF3BBB" w:rsidRDefault="00826246" w14:paraId="4E92AB12" w14:textId="7929AF8A">
      <w:pPr>
        <w:rPr>
          <w:rFonts w:ascii="Palatino Linotype" w:hAnsi="Palatino Linotype"/>
        </w:rPr>
      </w:pPr>
      <w:r w:rsidRPr="00DD2C68">
        <w:rPr>
          <w:rFonts w:ascii="Palatino Linotype" w:hAnsi="Palatino Linotype"/>
        </w:rPr>
        <w:t xml:space="preserve">Cal Advocates, TURN, CalCCA, and </w:t>
      </w:r>
      <w:r w:rsidRPr="00DD2C68" w:rsidR="00FE7355">
        <w:rPr>
          <w:rFonts w:ascii="Palatino Linotype" w:hAnsi="Palatino Linotype"/>
        </w:rPr>
        <w:t>EDF/NRDC</w:t>
      </w:r>
      <w:r w:rsidRPr="00DD2C68">
        <w:rPr>
          <w:rFonts w:ascii="Palatino Linotype" w:hAnsi="Palatino Linotype"/>
        </w:rPr>
        <w:t xml:space="preserve"> </w:t>
      </w:r>
      <w:r w:rsidRPr="00DD2C68" w:rsidR="00582129">
        <w:rPr>
          <w:rFonts w:ascii="Palatino Linotype" w:hAnsi="Palatino Linotype"/>
        </w:rPr>
        <w:t xml:space="preserve">support clear and consistent </w:t>
      </w:r>
      <w:r w:rsidRPr="00DD2C68" w:rsidR="00551B14">
        <w:rPr>
          <w:rFonts w:ascii="Palatino Linotype" w:hAnsi="Palatino Linotype"/>
        </w:rPr>
        <w:t xml:space="preserve">rules for how pending loads are reconciled with the IEPR and when they are allowed to exceed it. </w:t>
      </w:r>
      <w:r w:rsidRPr="00DD2C68" w:rsidR="00F40C88">
        <w:rPr>
          <w:rFonts w:ascii="Palatino Linotype" w:hAnsi="Palatino Linotype"/>
        </w:rPr>
        <w:t>Cal Advocates</w:t>
      </w:r>
      <w:r w:rsidRPr="00DD2C68" w:rsidR="00583D54">
        <w:rPr>
          <w:rFonts w:ascii="Palatino Linotype" w:hAnsi="Palatino Linotype"/>
        </w:rPr>
        <w:t xml:space="preserve"> and TURN</w:t>
      </w:r>
      <w:r w:rsidRPr="00DD2C68" w:rsidR="00F40C88">
        <w:rPr>
          <w:rFonts w:ascii="Palatino Linotype" w:hAnsi="Palatino Linotype"/>
        </w:rPr>
        <w:t xml:space="preserve"> assert that the IEPR should remain the authoritative cap on load forecast</w:t>
      </w:r>
      <w:r w:rsidRPr="00DD2C68" w:rsidR="00583D54">
        <w:rPr>
          <w:rFonts w:ascii="Palatino Linotype" w:hAnsi="Palatino Linotype"/>
        </w:rPr>
        <w:t xml:space="preserve"> and emphasize that Category A loads should be the only category eligible to exceed IEPR caps. </w:t>
      </w:r>
      <w:r w:rsidRPr="00DD2C68" w:rsidR="00412566">
        <w:rPr>
          <w:rFonts w:ascii="Palatino Linotype" w:hAnsi="Palatino Linotype"/>
        </w:rPr>
        <w:t>CalCCA emphasizes the need for standardization in applying exceedance criter</w:t>
      </w:r>
      <w:r w:rsidRPr="00DD2C68" w:rsidR="00FE7BC9">
        <w:rPr>
          <w:rFonts w:ascii="Palatino Linotype" w:hAnsi="Palatino Linotype"/>
        </w:rPr>
        <w:t>ia</w:t>
      </w:r>
      <w:r w:rsidRPr="00DD2C68" w:rsidR="00910615">
        <w:rPr>
          <w:rFonts w:ascii="Palatino Linotype" w:hAnsi="Palatino Linotype"/>
        </w:rPr>
        <w:t xml:space="preserve"> including </w:t>
      </w:r>
      <w:r w:rsidRPr="00DD2C68" w:rsidR="009A6E0A">
        <w:rPr>
          <w:rFonts w:ascii="Palatino Linotype" w:hAnsi="Palatino Linotype"/>
        </w:rPr>
        <w:t>the ability to exceed the IEPR</w:t>
      </w:r>
      <w:r w:rsidRPr="00DD2C68" w:rsidR="00EB2012">
        <w:rPr>
          <w:rFonts w:ascii="Palatino Linotype" w:hAnsi="Palatino Linotype"/>
        </w:rPr>
        <w:t xml:space="preserve"> by pending load category</w:t>
      </w:r>
      <w:r w:rsidRPr="00DD2C68" w:rsidR="009A6E0A">
        <w:rPr>
          <w:rFonts w:ascii="Palatino Linotype" w:hAnsi="Palatino Linotype"/>
        </w:rPr>
        <w:t xml:space="preserve">. </w:t>
      </w:r>
      <w:r w:rsidRPr="00DD2C68" w:rsidR="00FE7355">
        <w:rPr>
          <w:rFonts w:ascii="Palatino Linotype" w:hAnsi="Palatino Linotype"/>
        </w:rPr>
        <w:t>EDF/NRDC</w:t>
      </w:r>
      <w:r w:rsidRPr="00DD2C68" w:rsidR="00AF38A5">
        <w:rPr>
          <w:rFonts w:ascii="Palatino Linotype" w:hAnsi="Palatino Linotype"/>
        </w:rPr>
        <w:t xml:space="preserve"> </w:t>
      </w:r>
      <w:r w:rsidRPr="00DD2C68" w:rsidR="00AA6348">
        <w:rPr>
          <w:rFonts w:ascii="Palatino Linotype" w:hAnsi="Palatino Linotype"/>
        </w:rPr>
        <w:t xml:space="preserve">call for clearer rules on how known and pending loads are sequentially added </w:t>
      </w:r>
      <w:r w:rsidRPr="00DD2C68" w:rsidR="001F7319">
        <w:rPr>
          <w:rFonts w:ascii="Palatino Linotype" w:hAnsi="Palatino Linotype"/>
        </w:rPr>
        <w:t>(i.e., known loads first, then Category A and B, then C only for disaggregation)</w:t>
      </w:r>
      <w:r w:rsidRPr="00DD2C68" w:rsidR="00FB387A">
        <w:rPr>
          <w:rFonts w:ascii="Palatino Linotype" w:hAnsi="Palatino Linotype"/>
        </w:rPr>
        <w:t xml:space="preserve"> to be compared with the IEPR cap. </w:t>
      </w:r>
    </w:p>
    <w:p w:rsidRPr="00DD2C68" w:rsidR="00513E4A" w:rsidP="00AF3BBB" w:rsidRDefault="00513E4A" w14:paraId="39C5AEC8" w14:textId="7B8BC646">
      <w:pPr>
        <w:rPr>
          <w:rFonts w:ascii="Palatino Linotype" w:hAnsi="Palatino Linotype"/>
        </w:rPr>
      </w:pPr>
      <w:r w:rsidRPr="00DD2C68">
        <w:rPr>
          <w:rFonts w:ascii="Palatino Linotype" w:hAnsi="Palatino Linotype"/>
          <w:b/>
          <w:bCs/>
          <w:i/>
          <w:iCs/>
        </w:rPr>
        <w:t xml:space="preserve">Joint IOU Response: </w:t>
      </w:r>
      <w:r w:rsidRPr="00DD2C68" w:rsidR="00887967">
        <w:rPr>
          <w:rFonts w:ascii="Palatino Linotype" w:hAnsi="Palatino Linotype"/>
        </w:rPr>
        <w:t xml:space="preserve">The utilities jointly argue that it is important for reliable, transparent, and high confidence data sources </w:t>
      </w:r>
      <w:r w:rsidRPr="00DD2C68" w:rsidR="00863AFE">
        <w:rPr>
          <w:rFonts w:ascii="Palatino Linotype" w:hAnsi="Palatino Linotype"/>
        </w:rPr>
        <w:t xml:space="preserve">to inform pending loads, even if they are studies or </w:t>
      </w:r>
      <w:r w:rsidRPr="00DD2C68" w:rsidR="00356C6F">
        <w:rPr>
          <w:rFonts w:ascii="Palatino Linotype" w:hAnsi="Palatino Linotype"/>
        </w:rPr>
        <w:t>third-party</w:t>
      </w:r>
      <w:r w:rsidRPr="00DD2C68" w:rsidR="00863AFE">
        <w:rPr>
          <w:rFonts w:ascii="Palatino Linotype" w:hAnsi="Palatino Linotype"/>
        </w:rPr>
        <w:t xml:space="preserve"> data. </w:t>
      </w:r>
      <w:r w:rsidRPr="00DD2C68" w:rsidR="00356C6F">
        <w:rPr>
          <w:rFonts w:ascii="Palatino Linotype" w:hAnsi="Palatino Linotype"/>
        </w:rPr>
        <w:t>These inputs provide important information that, though not yet manifested into specific customer requests, will drive future requests</w:t>
      </w:r>
      <w:r w:rsidRPr="00DD2C68" w:rsidR="00314457">
        <w:rPr>
          <w:rFonts w:ascii="Palatino Linotype" w:hAnsi="Palatino Linotype"/>
        </w:rPr>
        <w:t xml:space="preserve"> and bridge a critical gap between the lead time from customer requests to energization need date.</w:t>
      </w:r>
      <w:r w:rsidRPr="00DD2C68" w:rsidR="003823CE">
        <w:rPr>
          <w:rFonts w:ascii="Palatino Linotype" w:hAnsi="Palatino Linotype"/>
        </w:rPr>
        <w:t xml:space="preserve"> </w:t>
      </w:r>
      <w:r w:rsidRPr="00DD2C68" w:rsidR="003823CE">
        <w:rPr>
          <w:rFonts w:ascii="Palatino Linotype" w:hAnsi="Palatino Linotype"/>
        </w:rPr>
        <w:lastRenderedPageBreak/>
        <w:t xml:space="preserve">This is why both PG&amp;E and SCE propose that certain studies be </w:t>
      </w:r>
      <w:r w:rsidRPr="00DD2C68" w:rsidR="00DA207B">
        <w:rPr>
          <w:rFonts w:ascii="Palatino Linotype" w:hAnsi="Palatino Linotype"/>
        </w:rPr>
        <w:t xml:space="preserve">allowed in Category B or B2. </w:t>
      </w:r>
    </w:p>
    <w:p w:rsidRPr="00DD2C68" w:rsidR="00245308" w:rsidP="00AF3BBB" w:rsidRDefault="00200205" w14:paraId="189A2D80" w14:textId="469EA182">
      <w:pPr>
        <w:rPr>
          <w:rFonts w:ascii="Palatino Linotype" w:hAnsi="Palatino Linotype"/>
        </w:rPr>
      </w:pPr>
      <w:r w:rsidRPr="00DD2C68">
        <w:rPr>
          <w:rFonts w:ascii="Palatino Linotype" w:hAnsi="Palatino Linotype"/>
          <w:b/>
          <w:bCs/>
          <w:i/>
          <w:iCs/>
        </w:rPr>
        <w:t>PG&amp;E Response</w:t>
      </w:r>
      <w:r w:rsidRPr="00DD2C68">
        <w:rPr>
          <w:rFonts w:ascii="Palatino Linotype" w:hAnsi="Palatino Linotype"/>
          <w:i/>
          <w:iCs/>
        </w:rPr>
        <w:t>:</w:t>
      </w:r>
      <w:r w:rsidRPr="00DD2C68">
        <w:rPr>
          <w:rFonts w:ascii="Palatino Linotype" w:hAnsi="Palatino Linotype"/>
        </w:rPr>
        <w:t xml:space="preserve"> In response to </w:t>
      </w:r>
      <w:r w:rsidRPr="00DD2C68" w:rsidR="00FE7355">
        <w:rPr>
          <w:rFonts w:ascii="Palatino Linotype" w:hAnsi="Palatino Linotype"/>
        </w:rPr>
        <w:t>EDF/NRDC</w:t>
      </w:r>
      <w:r w:rsidRPr="00DD2C68">
        <w:rPr>
          <w:rFonts w:ascii="Palatino Linotype" w:hAnsi="Palatino Linotype"/>
        </w:rPr>
        <w:t xml:space="preserve">, PG&amp;E clarifies that </w:t>
      </w:r>
      <w:r w:rsidRPr="00DD2C68" w:rsidR="00245308">
        <w:rPr>
          <w:rFonts w:ascii="Palatino Linotype" w:hAnsi="Palatino Linotype"/>
        </w:rPr>
        <w:t>Category C is used to improve IEPR disaggregation and is not adding new load, as the load is “from” the IEPR, not the Category C pending load.</w:t>
      </w:r>
    </w:p>
    <w:p w:rsidRPr="00DD2C68" w:rsidR="00EA15CB" w:rsidP="00241BBA" w:rsidRDefault="00391E00" w14:paraId="06421644" w14:textId="3A4BE533">
      <w:pPr>
        <w:pStyle w:val="Heading2"/>
        <w:rPr>
          <w:rFonts w:ascii="Palatino Linotype" w:hAnsi="Palatino Linotype" w:eastAsia="Palatino Linotype"/>
          <w:color w:val="auto"/>
        </w:rPr>
      </w:pPr>
      <w:r w:rsidRPr="00DD2C68">
        <w:rPr>
          <w:rFonts w:ascii="Palatino Linotype" w:hAnsi="Palatino Linotype" w:eastAsia="Palatino Linotype"/>
          <w:color w:val="auto"/>
        </w:rPr>
        <w:t xml:space="preserve">Future </w:t>
      </w:r>
      <w:r w:rsidRPr="00DD2C68" w:rsidR="00241BBA">
        <w:rPr>
          <w:rFonts w:ascii="Palatino Linotype" w:hAnsi="Palatino Linotype" w:eastAsia="Palatino Linotype"/>
          <w:color w:val="auto"/>
        </w:rPr>
        <w:t>Changes to Pending Loads</w:t>
      </w:r>
    </w:p>
    <w:p w:rsidRPr="00DD2C68" w:rsidR="00AF3BBB" w:rsidP="00AF3BBB" w:rsidRDefault="0095701B" w14:paraId="70E32B33" w14:textId="7054628C">
      <w:pPr>
        <w:pStyle w:val="Heading3"/>
        <w:rPr>
          <w:rFonts w:ascii="Palatino Linotype" w:hAnsi="Palatino Linotype"/>
          <w:color w:val="auto"/>
        </w:rPr>
      </w:pPr>
      <w:r w:rsidRPr="00DD2C68">
        <w:rPr>
          <w:rFonts w:ascii="Palatino Linotype" w:hAnsi="Palatino Linotype"/>
          <w:color w:val="auto"/>
        </w:rPr>
        <w:t xml:space="preserve">Changes for </w:t>
      </w:r>
      <w:r w:rsidRPr="00DD2C68" w:rsidR="00FA4D71">
        <w:rPr>
          <w:rFonts w:ascii="Palatino Linotype" w:hAnsi="Palatino Linotype"/>
          <w:color w:val="auto"/>
        </w:rPr>
        <w:t xml:space="preserve">PG&amp;E and SCE: </w:t>
      </w:r>
    </w:p>
    <w:p w:rsidRPr="00DD2C68" w:rsidR="00B76E3E" w:rsidP="00AF3BBB" w:rsidRDefault="00DA03A3" w14:paraId="36C5B9B8" w14:textId="7B304480">
      <w:pPr>
        <w:rPr>
          <w:rFonts w:ascii="Palatino Linotype" w:hAnsi="Palatino Linotype"/>
        </w:rPr>
      </w:pPr>
      <w:r w:rsidRPr="00DD2C68">
        <w:rPr>
          <w:rFonts w:ascii="Palatino Linotype" w:hAnsi="Palatino Linotype"/>
        </w:rPr>
        <w:t xml:space="preserve">CalCCA and TURN oppose </w:t>
      </w:r>
      <w:r w:rsidRPr="00DD2C68" w:rsidR="00607FDE">
        <w:rPr>
          <w:rFonts w:ascii="Palatino Linotype" w:hAnsi="Palatino Linotype"/>
        </w:rPr>
        <w:t xml:space="preserve">utility proposals </w:t>
      </w:r>
      <w:r w:rsidRPr="00DD2C68" w:rsidR="006E728D">
        <w:rPr>
          <w:rFonts w:ascii="Palatino Linotype" w:hAnsi="Palatino Linotype"/>
        </w:rPr>
        <w:t>that give the utility</w:t>
      </w:r>
      <w:r w:rsidRPr="00DD2C68">
        <w:rPr>
          <w:rFonts w:ascii="Palatino Linotype" w:hAnsi="Palatino Linotype"/>
        </w:rPr>
        <w:t xml:space="preserve"> discretion to revise the pending loads framework</w:t>
      </w:r>
      <w:r w:rsidRPr="00DD2C68" w:rsidR="006E728D">
        <w:rPr>
          <w:rFonts w:ascii="Palatino Linotype" w:hAnsi="Palatino Linotype"/>
        </w:rPr>
        <w:t>, including types of input data, without adequate stakeholder review</w:t>
      </w:r>
      <w:r w:rsidRPr="00DD2C68" w:rsidR="00607FDE">
        <w:rPr>
          <w:rFonts w:ascii="Palatino Linotype" w:hAnsi="Palatino Linotype"/>
        </w:rPr>
        <w:t>.</w:t>
      </w:r>
      <w:r w:rsidRPr="00DD2C68" w:rsidR="006E728D">
        <w:rPr>
          <w:rFonts w:ascii="Palatino Linotype" w:hAnsi="Palatino Linotype"/>
        </w:rPr>
        <w:t xml:space="preserve"> </w:t>
      </w:r>
      <w:r w:rsidRPr="00DD2C68" w:rsidR="0013179A">
        <w:rPr>
          <w:rFonts w:ascii="Palatino Linotype" w:hAnsi="Palatino Linotype"/>
        </w:rPr>
        <w:t>CalCCA recognizes that there is value in administrative simplicity but maintains that potential changes to the pending loads framework, even if methodological, could have implications for energization and ratepayers. C</w:t>
      </w:r>
      <w:r w:rsidRPr="00DD2C68" w:rsidR="008D5744">
        <w:rPr>
          <w:rFonts w:ascii="Palatino Linotype" w:hAnsi="Palatino Linotype"/>
        </w:rPr>
        <w:t xml:space="preserve">alCCA calls for the rejection of PG&amp;E and SCE proposals </w:t>
      </w:r>
      <w:r w:rsidRPr="00DD2C68" w:rsidR="00DF5A21">
        <w:rPr>
          <w:rFonts w:ascii="Palatino Linotype" w:hAnsi="Palatino Linotype"/>
        </w:rPr>
        <w:t>to eliminate stakeholder vetting and Commission approval</w:t>
      </w:r>
      <w:r w:rsidRPr="00DD2C68" w:rsidR="0099489B">
        <w:rPr>
          <w:rFonts w:ascii="Palatino Linotype" w:hAnsi="Palatino Linotype"/>
        </w:rPr>
        <w:t xml:space="preserve"> of methodological and fundamental pending loads framework changes.</w:t>
      </w:r>
      <w:r w:rsidRPr="00DD2C68" w:rsidR="0020498D">
        <w:rPr>
          <w:rFonts w:ascii="Palatino Linotype" w:hAnsi="Palatino Linotype"/>
        </w:rPr>
        <w:t xml:space="preserve"> </w:t>
      </w:r>
      <w:r w:rsidRPr="00DD2C68" w:rsidR="006E728D">
        <w:rPr>
          <w:rFonts w:ascii="Palatino Linotype" w:hAnsi="Palatino Linotype"/>
        </w:rPr>
        <w:t xml:space="preserve">TURN proposes </w:t>
      </w:r>
      <w:r w:rsidRPr="00DD2C68" w:rsidR="00752853">
        <w:rPr>
          <w:rFonts w:ascii="Palatino Linotype" w:hAnsi="Palatino Linotype"/>
        </w:rPr>
        <w:t xml:space="preserve">utilities hold a workshop and submit a Tier 3 Advice Letter to modify the pending loads framework in the future. </w:t>
      </w:r>
    </w:p>
    <w:p w:rsidRPr="00DD2C68" w:rsidR="00D977FE" w:rsidP="00AF3BBB" w:rsidRDefault="00B76E3E" w14:paraId="7E278F0F" w14:textId="47B92CD0">
      <w:pPr>
        <w:rPr>
          <w:rFonts w:ascii="Palatino Linotype" w:hAnsi="Palatino Linotype"/>
        </w:rPr>
      </w:pPr>
      <w:r w:rsidRPr="00DD2C68">
        <w:rPr>
          <w:rFonts w:ascii="Palatino Linotype" w:hAnsi="Palatino Linotype"/>
          <w:b/>
          <w:bCs/>
          <w:i/>
          <w:iCs/>
        </w:rPr>
        <w:t>PG&amp;E and SCE Reply</w:t>
      </w:r>
      <w:r w:rsidRPr="00DD2C68">
        <w:rPr>
          <w:rFonts w:ascii="Palatino Linotype" w:hAnsi="Palatino Linotype"/>
          <w:i/>
          <w:iCs/>
        </w:rPr>
        <w:t>:</w:t>
      </w:r>
      <w:r w:rsidRPr="00DD2C68">
        <w:rPr>
          <w:rFonts w:ascii="Palatino Linotype" w:hAnsi="Palatino Linotype"/>
        </w:rPr>
        <w:t xml:space="preserve"> </w:t>
      </w:r>
      <w:r w:rsidRPr="00DD2C68" w:rsidR="00F45E18">
        <w:rPr>
          <w:rFonts w:ascii="Palatino Linotype" w:hAnsi="Palatino Linotype"/>
        </w:rPr>
        <w:t xml:space="preserve">PG&amp;E and SCE jointly contend that CalCCA mischaracterizes the position as an attempt to bypass regulatory approval. They argue that </w:t>
      </w:r>
      <w:r w:rsidRPr="00DD2C68" w:rsidR="000B4F47">
        <w:rPr>
          <w:rFonts w:ascii="Palatino Linotype" w:hAnsi="Palatino Linotype"/>
        </w:rPr>
        <w:t xml:space="preserve">the framework would not require ongoing approval each year </w:t>
      </w:r>
      <w:proofErr w:type="gramStart"/>
      <w:r w:rsidRPr="00DD2C68" w:rsidR="000B4F47">
        <w:rPr>
          <w:rFonts w:ascii="Palatino Linotype" w:hAnsi="Palatino Linotype"/>
        </w:rPr>
        <w:t>as long as</w:t>
      </w:r>
      <w:proofErr w:type="gramEnd"/>
      <w:r w:rsidRPr="00DD2C68" w:rsidR="000B4F47">
        <w:rPr>
          <w:rFonts w:ascii="Palatino Linotype" w:hAnsi="Palatino Linotype"/>
        </w:rPr>
        <w:t xml:space="preserve"> the pending loads are identified in the manner laid out within the approved framework. Further, the utilities will discuss their pending loads framework annually at the Distribution Forecast Working Group (DFWG) and Distribution Planning Advisory Group (DPAG) workshops and include them in the annual GNA/DUPR filing. PG&amp;E</w:t>
      </w:r>
      <w:r w:rsidRPr="00DD2C68" w:rsidR="00835598">
        <w:rPr>
          <w:rFonts w:ascii="Palatino Linotype" w:hAnsi="Palatino Linotype"/>
        </w:rPr>
        <w:t xml:space="preserve"> reiterates that it</w:t>
      </w:r>
      <w:r w:rsidRPr="00DD2C68" w:rsidR="000B4F47">
        <w:rPr>
          <w:rFonts w:ascii="Palatino Linotype" w:hAnsi="Palatino Linotype"/>
        </w:rPr>
        <w:t xml:space="preserve">, individually, proposes the use of a Tier 2 Advice Letter to </w:t>
      </w:r>
      <w:r w:rsidRPr="00DD2C68" w:rsidR="00835598">
        <w:rPr>
          <w:rFonts w:ascii="Palatino Linotype" w:hAnsi="Palatino Linotype"/>
        </w:rPr>
        <w:t xml:space="preserve">request modifications to the framework. </w:t>
      </w:r>
    </w:p>
    <w:p w:rsidRPr="00DD2C68" w:rsidR="00AF3BBB" w:rsidP="00AF3BBB" w:rsidRDefault="0095701B" w14:paraId="16155CC2" w14:textId="0F82EE4E">
      <w:pPr>
        <w:pStyle w:val="Heading3"/>
        <w:rPr>
          <w:rFonts w:ascii="Palatino Linotype" w:hAnsi="Palatino Linotype"/>
          <w:color w:val="auto"/>
        </w:rPr>
      </w:pPr>
      <w:r w:rsidRPr="00DD2C68">
        <w:rPr>
          <w:rFonts w:ascii="Palatino Linotype" w:hAnsi="Palatino Linotype"/>
          <w:color w:val="auto"/>
        </w:rPr>
        <w:t xml:space="preserve">Changes for </w:t>
      </w:r>
      <w:r w:rsidRPr="00DD2C68" w:rsidR="00FA4D71">
        <w:rPr>
          <w:rFonts w:ascii="Palatino Linotype" w:hAnsi="Palatino Linotype"/>
          <w:color w:val="auto"/>
        </w:rPr>
        <w:t xml:space="preserve">SDG&amp;E: </w:t>
      </w:r>
    </w:p>
    <w:p w:rsidRPr="00DD2C68" w:rsidR="00FA4D71" w:rsidP="00AF3BBB" w:rsidRDefault="00FE7355" w14:paraId="2782D48C" w14:textId="4E64A2FF">
      <w:pPr>
        <w:rPr>
          <w:rFonts w:ascii="Palatino Linotype" w:hAnsi="Palatino Linotype"/>
        </w:rPr>
      </w:pPr>
      <w:r w:rsidRPr="00DD2C68">
        <w:rPr>
          <w:rFonts w:ascii="Palatino Linotype" w:hAnsi="Palatino Linotype"/>
        </w:rPr>
        <w:t>EDF/NRDC</w:t>
      </w:r>
      <w:r w:rsidRPr="00DD2C68" w:rsidR="003F3167">
        <w:rPr>
          <w:rFonts w:ascii="Palatino Linotype" w:hAnsi="Palatino Linotype"/>
        </w:rPr>
        <w:t xml:space="preserve"> </w:t>
      </w:r>
      <w:r w:rsidRPr="00DD2C68" w:rsidR="00D9693E">
        <w:rPr>
          <w:rFonts w:ascii="Palatino Linotype" w:hAnsi="Palatino Linotype"/>
        </w:rPr>
        <w:t>object to leaving it to SDG&amp;E’s complete discretion as to whether, when, and how to include the additional load types in future iterations of the pending loads category.</w:t>
      </w:r>
      <w:r w:rsidRPr="00DD2C68" w:rsidR="00521DD1">
        <w:rPr>
          <w:rFonts w:ascii="Palatino Linotype" w:hAnsi="Palatino Linotype"/>
        </w:rPr>
        <w:t xml:space="preserve"> CalCCA states that SDG&amp;E proposes that it may develop pending loads for other categories in the future but has not yet defined methodologies or criteria. </w:t>
      </w:r>
      <w:r w:rsidRPr="00DD2C68" w:rsidR="00667532">
        <w:rPr>
          <w:rFonts w:ascii="Palatino Linotype" w:hAnsi="Palatino Linotype"/>
        </w:rPr>
        <w:t xml:space="preserve">TURN </w:t>
      </w:r>
      <w:r w:rsidRPr="00DD2C68" w:rsidR="00EF79E4">
        <w:rPr>
          <w:rFonts w:ascii="Palatino Linotype" w:hAnsi="Palatino Linotype"/>
        </w:rPr>
        <w:lastRenderedPageBreak/>
        <w:t>argues that SDG&amp;E should not be permitted to change their pending loads framework, including types of input data, without adequate stakeholder input and Commission approval.</w:t>
      </w:r>
    </w:p>
    <w:p w:rsidRPr="00DD2C68" w:rsidR="00AF3BBB" w:rsidP="00AF3BBB" w:rsidRDefault="00AF3BBB" w14:paraId="3333EDA5" w14:textId="0D7ABB90">
      <w:pPr>
        <w:rPr>
          <w:rFonts w:ascii="Palatino Linotype" w:hAnsi="Palatino Linotype"/>
        </w:rPr>
      </w:pPr>
      <w:r w:rsidRPr="00DD2C68">
        <w:rPr>
          <w:rFonts w:ascii="Palatino Linotype" w:hAnsi="Palatino Linotype"/>
          <w:b/>
          <w:bCs/>
          <w:i/>
          <w:iCs/>
        </w:rPr>
        <w:t xml:space="preserve">SDG&amp;E Reply: </w:t>
      </w:r>
      <w:r w:rsidRPr="00DD2C68" w:rsidR="008144B4">
        <w:rPr>
          <w:rFonts w:ascii="Palatino Linotype" w:hAnsi="Palatino Linotype"/>
        </w:rPr>
        <w:t xml:space="preserve">SDG&amp;E did not directly respond to </w:t>
      </w:r>
      <w:r w:rsidRPr="00DD2C68" w:rsidR="00CD59A5">
        <w:rPr>
          <w:rFonts w:ascii="Palatino Linotype" w:hAnsi="Palatino Linotype"/>
        </w:rPr>
        <w:t>this protested issue.</w:t>
      </w:r>
    </w:p>
    <w:p w:rsidRPr="00DD2C68" w:rsidR="00764D0E" w:rsidP="00841ACC" w:rsidRDefault="00764D0E" w14:paraId="778A2103" w14:textId="77DA232A">
      <w:pPr>
        <w:pStyle w:val="Heading2"/>
        <w:rPr>
          <w:rFonts w:ascii="Palatino Linotype" w:hAnsi="Palatino Linotype" w:eastAsia="Palatino Linotype"/>
          <w:color w:val="auto"/>
        </w:rPr>
      </w:pPr>
      <w:r w:rsidRPr="00DD2C68">
        <w:rPr>
          <w:rFonts w:ascii="Palatino Linotype" w:hAnsi="Palatino Linotype" w:eastAsia="Palatino Linotype"/>
          <w:color w:val="auto"/>
        </w:rPr>
        <w:t xml:space="preserve">SDG&amp;E </w:t>
      </w:r>
      <w:r w:rsidRPr="00DD2C68">
        <w:rPr>
          <w:rStyle w:val="Heading2Char"/>
          <w:rFonts w:ascii="Palatino Linotype" w:hAnsi="Palatino Linotype"/>
          <w:color w:val="auto"/>
        </w:rPr>
        <w:t>Proposal</w:t>
      </w:r>
      <w:r w:rsidRPr="00DD2C68">
        <w:rPr>
          <w:rFonts w:ascii="Palatino Linotype" w:hAnsi="Palatino Linotype" w:eastAsia="Palatino Linotype"/>
          <w:color w:val="auto"/>
        </w:rPr>
        <w:t xml:space="preserve"> </w:t>
      </w:r>
    </w:p>
    <w:p w:rsidRPr="00DD2C68" w:rsidR="00DA2A87" w:rsidP="00DA2A87" w:rsidRDefault="001C3766" w14:paraId="32AA404B" w14:textId="6C64E2E6">
      <w:pPr>
        <w:rPr>
          <w:rFonts w:ascii="Palatino Linotype" w:hAnsi="Palatino Linotype"/>
          <w:i/>
          <w:iCs/>
        </w:rPr>
      </w:pPr>
      <w:r w:rsidRPr="00DD2C68">
        <w:rPr>
          <w:rStyle w:val="Heading3Char"/>
          <w:rFonts w:ascii="Palatino Linotype" w:hAnsi="Palatino Linotype"/>
          <w:color w:val="auto"/>
        </w:rPr>
        <w:t>Lack of Defined Framework</w:t>
      </w:r>
      <w:r w:rsidRPr="00DD2C68">
        <w:rPr>
          <w:rFonts w:ascii="Palatino Linotype" w:hAnsi="Palatino Linotype"/>
          <w:i/>
          <w:iCs/>
        </w:rPr>
        <w:t xml:space="preserve">: </w:t>
      </w:r>
    </w:p>
    <w:p w:rsidRPr="00DD2C68" w:rsidR="00841ACC" w:rsidP="00DA2A87" w:rsidRDefault="001C3766" w14:paraId="0CBDDAAD" w14:textId="1760A8D9">
      <w:pPr>
        <w:rPr>
          <w:rFonts w:ascii="Palatino Linotype" w:hAnsi="Palatino Linotype"/>
        </w:rPr>
      </w:pPr>
      <w:r w:rsidRPr="00DD2C68">
        <w:rPr>
          <w:rFonts w:ascii="Palatino Linotype" w:hAnsi="Palatino Linotype"/>
        </w:rPr>
        <w:t xml:space="preserve">CALSTART, Cal Advocates, CalCCA, and </w:t>
      </w:r>
      <w:r w:rsidRPr="00DD2C68" w:rsidR="00FE7355">
        <w:rPr>
          <w:rFonts w:ascii="Palatino Linotype" w:hAnsi="Palatino Linotype"/>
        </w:rPr>
        <w:t>EDF/NRDC</w:t>
      </w:r>
      <w:r w:rsidRPr="00DD2C68">
        <w:rPr>
          <w:rFonts w:ascii="Palatino Linotype" w:hAnsi="Palatino Linotype"/>
        </w:rPr>
        <w:t xml:space="preserve"> </w:t>
      </w:r>
      <w:r w:rsidRPr="00DD2C68" w:rsidR="004760C5">
        <w:rPr>
          <w:rFonts w:ascii="Palatino Linotype" w:hAnsi="Palatino Linotype"/>
        </w:rPr>
        <w:t xml:space="preserve">protest SDG&amp;E’s entire proposal framework. </w:t>
      </w:r>
      <w:r w:rsidRPr="00DD2C68" w:rsidR="00323319">
        <w:rPr>
          <w:rFonts w:ascii="Palatino Linotype" w:hAnsi="Palatino Linotype"/>
        </w:rPr>
        <w:t xml:space="preserve">CALSTART states that SDG&amp;E fails to propose a coherent framework for identifying or evaluating pending loads. Cal Advocates </w:t>
      </w:r>
      <w:r w:rsidRPr="00DD2C68" w:rsidR="00162A44">
        <w:rPr>
          <w:rFonts w:ascii="Palatino Linotype" w:hAnsi="Palatino Linotype"/>
        </w:rPr>
        <w:t xml:space="preserve">objects to SDG&amp;E not categorizing pending loads by data source or confidence level. </w:t>
      </w:r>
      <w:r w:rsidRPr="00DD2C68" w:rsidR="00816EA9">
        <w:rPr>
          <w:rFonts w:ascii="Palatino Linotype" w:hAnsi="Palatino Linotype"/>
        </w:rPr>
        <w:t>CalCCA argues the absence of structure increases the risk of missing load types like building electrification and data centers.</w:t>
      </w:r>
      <w:r w:rsidRPr="00DD2C68" w:rsidR="00CD0F86">
        <w:rPr>
          <w:rFonts w:ascii="Palatino Linotype" w:hAnsi="Palatino Linotype"/>
        </w:rPr>
        <w:t xml:space="preserve"> </w:t>
      </w:r>
      <w:r w:rsidRPr="00DD2C68" w:rsidR="00FE7355">
        <w:rPr>
          <w:rFonts w:ascii="Palatino Linotype" w:hAnsi="Palatino Linotype"/>
        </w:rPr>
        <w:t>EDF/NRDC</w:t>
      </w:r>
      <w:r w:rsidRPr="00DD2C68" w:rsidR="0059583E">
        <w:rPr>
          <w:rFonts w:ascii="Palatino Linotype" w:hAnsi="Palatino Linotype"/>
        </w:rPr>
        <w:t xml:space="preserve"> </w:t>
      </w:r>
      <w:r w:rsidRPr="00DD2C68" w:rsidR="00FA68DF">
        <w:rPr>
          <w:rFonts w:ascii="Palatino Linotype" w:hAnsi="Palatino Linotype"/>
        </w:rPr>
        <w:t xml:space="preserve">assert </w:t>
      </w:r>
      <w:r w:rsidRPr="00DD2C68" w:rsidR="00E371A8">
        <w:rPr>
          <w:rFonts w:ascii="Palatino Linotype" w:hAnsi="Palatino Linotype"/>
        </w:rPr>
        <w:t xml:space="preserve">SDG&amp;E does not adequately seek to define or identify pending loads within SDG&amp;E’s service territory </w:t>
      </w:r>
      <w:r w:rsidRPr="00DD2C68" w:rsidR="0059583E">
        <w:rPr>
          <w:rFonts w:ascii="Palatino Linotype" w:hAnsi="Palatino Linotype"/>
        </w:rPr>
        <w:t>or how they differ from general forecasting</w:t>
      </w:r>
      <w:r w:rsidRPr="00DD2C68" w:rsidR="007D09C3">
        <w:rPr>
          <w:rFonts w:ascii="Palatino Linotype" w:hAnsi="Palatino Linotype"/>
        </w:rPr>
        <w:t>.</w:t>
      </w:r>
    </w:p>
    <w:p w:rsidRPr="00DD2C68" w:rsidR="00CE7569" w:rsidP="00DA2A87" w:rsidRDefault="00CE7569" w14:paraId="7480737A" w14:textId="7C6A672E">
      <w:pPr>
        <w:rPr>
          <w:rFonts w:ascii="Palatino Linotype" w:hAnsi="Palatino Linotype"/>
        </w:rPr>
      </w:pPr>
      <w:r w:rsidRPr="00DD2C68">
        <w:rPr>
          <w:rFonts w:ascii="Palatino Linotype" w:hAnsi="Palatino Linotype"/>
          <w:b/>
          <w:bCs/>
          <w:i/>
          <w:iCs/>
        </w:rPr>
        <w:t>SDG&amp;E Reply</w:t>
      </w:r>
      <w:r w:rsidRPr="00DD2C68">
        <w:rPr>
          <w:rFonts w:ascii="Palatino Linotype" w:hAnsi="Palatino Linotype"/>
          <w:i/>
          <w:iCs/>
        </w:rPr>
        <w:t xml:space="preserve">: </w:t>
      </w:r>
      <w:r w:rsidRPr="00DD2C68" w:rsidR="00C76AD1">
        <w:rPr>
          <w:rFonts w:ascii="Palatino Linotype" w:hAnsi="Palatino Linotype"/>
        </w:rPr>
        <w:t xml:space="preserve">SDG&amp;E disagrees with </w:t>
      </w:r>
      <w:r w:rsidRPr="00DD2C68" w:rsidR="00E75373">
        <w:rPr>
          <w:rFonts w:ascii="Palatino Linotype" w:hAnsi="Palatino Linotype"/>
        </w:rPr>
        <w:t xml:space="preserve">the </w:t>
      </w:r>
      <w:r w:rsidRPr="00DD2C68" w:rsidR="00C76AD1">
        <w:rPr>
          <w:rFonts w:ascii="Palatino Linotype" w:hAnsi="Palatino Linotype"/>
        </w:rPr>
        <w:t>arguments that SDG&amp;E’s proposal is inadequate. SDG&amp;E contends the</w:t>
      </w:r>
      <w:r w:rsidRPr="00DD2C68" w:rsidR="00391C0A">
        <w:t xml:space="preserve"> </w:t>
      </w:r>
      <w:r w:rsidRPr="00DD2C68" w:rsidR="00391C0A">
        <w:rPr>
          <w:rFonts w:ascii="Palatino Linotype" w:hAnsi="Palatino Linotype"/>
        </w:rPr>
        <w:t>intent of the pending loads framework is to identify load growth that may not be captured in existing utility planning processes or in the IEPR’s system-level forecasts</w:t>
      </w:r>
      <w:r w:rsidRPr="00DD2C68" w:rsidR="00DC52E0">
        <w:rPr>
          <w:rFonts w:ascii="Palatino Linotype" w:hAnsi="Palatino Linotype"/>
        </w:rPr>
        <w:t xml:space="preserve">, and that the proposed framework is tailored to the characteristics of the SDG&amp;E service territory and customer needs. SDG&amp;E opposes the notion that there is a </w:t>
      </w:r>
      <w:r w:rsidRPr="00DD2C68" w:rsidR="00E75373">
        <w:rPr>
          <w:rFonts w:ascii="Palatino Linotype" w:hAnsi="Palatino Linotype"/>
        </w:rPr>
        <w:t>one</w:t>
      </w:r>
      <w:r w:rsidRPr="00DD2C68" w:rsidR="00DC52E0">
        <w:rPr>
          <w:rFonts w:ascii="Palatino Linotype" w:hAnsi="Palatino Linotype"/>
        </w:rPr>
        <w:t>-size-fits-all approach to pending loads</w:t>
      </w:r>
      <w:r w:rsidRPr="00DD2C68" w:rsidR="00E75373">
        <w:rPr>
          <w:rFonts w:ascii="Palatino Linotype" w:hAnsi="Palatino Linotype"/>
        </w:rPr>
        <w:t xml:space="preserve"> and the proposal provides a sound and effective framework for integrating pending loads into </w:t>
      </w:r>
      <w:r w:rsidR="00721AD9">
        <w:rPr>
          <w:rFonts w:ascii="Palatino Linotype" w:hAnsi="Palatino Linotype"/>
        </w:rPr>
        <w:br/>
      </w:r>
      <w:r w:rsidRPr="00DD2C68" w:rsidR="00E75373">
        <w:rPr>
          <w:rFonts w:ascii="Palatino Linotype" w:hAnsi="Palatino Linotype"/>
        </w:rPr>
        <w:t>SDG&amp;E’s distribution planning process</w:t>
      </w:r>
      <w:r w:rsidRPr="00DD2C68" w:rsidR="00D977FE">
        <w:rPr>
          <w:rFonts w:ascii="Palatino Linotype" w:hAnsi="Palatino Linotype"/>
        </w:rPr>
        <w:t>.</w:t>
      </w:r>
    </w:p>
    <w:p w:rsidRPr="00DD2C68" w:rsidR="00DA2A87" w:rsidP="00DA2A87" w:rsidRDefault="004A020E" w14:paraId="54A670B5" w14:textId="7D0E1EB6">
      <w:pPr>
        <w:pStyle w:val="Heading3"/>
        <w:rPr>
          <w:rFonts w:ascii="Palatino Linotype" w:hAnsi="Palatino Linotype"/>
          <w:color w:val="auto"/>
        </w:rPr>
      </w:pPr>
      <w:r w:rsidRPr="00DD2C68">
        <w:rPr>
          <w:rFonts w:ascii="Palatino Linotype" w:hAnsi="Palatino Linotype"/>
          <w:color w:val="auto"/>
        </w:rPr>
        <w:t>Exclusion of all Non-MD/HD Loads:</w:t>
      </w:r>
    </w:p>
    <w:p w:rsidRPr="00DD2C68" w:rsidR="007D09C3" w:rsidP="00DA2A87" w:rsidRDefault="00A5326F" w14:paraId="7A7280AE" w14:textId="3BFF19EE">
      <w:pPr>
        <w:rPr>
          <w:rFonts w:ascii="Palatino Linotype" w:hAnsi="Palatino Linotype"/>
        </w:rPr>
      </w:pPr>
      <w:r w:rsidRPr="00DD2C68">
        <w:rPr>
          <w:rFonts w:ascii="Palatino Linotype" w:hAnsi="Palatino Linotype"/>
        </w:rPr>
        <w:t xml:space="preserve">CALSTART, CalCCA, and </w:t>
      </w:r>
      <w:r w:rsidRPr="00DD2C68" w:rsidR="00FE7355">
        <w:rPr>
          <w:rFonts w:ascii="Palatino Linotype" w:hAnsi="Palatino Linotype"/>
        </w:rPr>
        <w:t>EDF/NRDC</w:t>
      </w:r>
      <w:r w:rsidRPr="00DD2C68">
        <w:rPr>
          <w:rFonts w:ascii="Palatino Linotype" w:hAnsi="Palatino Linotype"/>
        </w:rPr>
        <w:t xml:space="preserve"> argue that SDG&amp;E’s proposal </w:t>
      </w:r>
      <w:r w:rsidRPr="00DD2C68" w:rsidR="00F7689D">
        <w:rPr>
          <w:rFonts w:ascii="Palatino Linotype" w:hAnsi="Palatino Linotype"/>
        </w:rPr>
        <w:t>is too narrowly focused on MD/HD EV loads</w:t>
      </w:r>
      <w:r w:rsidRPr="00DD2C68" w:rsidR="00B97518">
        <w:rPr>
          <w:rFonts w:ascii="Palatino Linotype" w:hAnsi="Palatino Linotype"/>
        </w:rPr>
        <w:t xml:space="preserve"> and </w:t>
      </w:r>
      <w:r w:rsidRPr="00DD2C68" w:rsidR="00146FC7">
        <w:rPr>
          <w:rFonts w:ascii="Palatino Linotype" w:hAnsi="Palatino Linotype"/>
        </w:rPr>
        <w:t xml:space="preserve">does not meet the requirements of Decision </w:t>
      </w:r>
      <w:r w:rsidR="00721AD9">
        <w:rPr>
          <w:rFonts w:ascii="Palatino Linotype" w:hAnsi="Palatino Linotype"/>
        </w:rPr>
        <w:br/>
      </w:r>
      <w:r w:rsidRPr="00DD2C68" w:rsidR="00146FC7">
        <w:rPr>
          <w:rFonts w:ascii="Palatino Linotype" w:hAnsi="Palatino Linotype"/>
        </w:rPr>
        <w:t xml:space="preserve">D.24-10-030. </w:t>
      </w:r>
      <w:r w:rsidRPr="00DD2C68" w:rsidR="00FE7355">
        <w:rPr>
          <w:rFonts w:ascii="Palatino Linotype" w:hAnsi="Palatino Linotype"/>
        </w:rPr>
        <w:t>EDF/NRDC</w:t>
      </w:r>
      <w:r w:rsidRPr="00DD2C68" w:rsidR="000F4DE5">
        <w:rPr>
          <w:rFonts w:ascii="Palatino Linotype" w:hAnsi="Palatino Linotype"/>
        </w:rPr>
        <w:t xml:space="preserve"> </w:t>
      </w:r>
      <w:r w:rsidRPr="00DD2C68" w:rsidR="004D052A">
        <w:rPr>
          <w:rFonts w:ascii="Palatino Linotype" w:hAnsi="Palatino Linotype"/>
        </w:rPr>
        <w:t>state that</w:t>
      </w:r>
      <w:r w:rsidRPr="00DD2C68" w:rsidR="00F26A15">
        <w:rPr>
          <w:rFonts w:ascii="Palatino Linotype" w:hAnsi="Palatino Linotype"/>
        </w:rPr>
        <w:t xml:space="preserve"> </w:t>
      </w:r>
      <w:r w:rsidRPr="00DD2C68" w:rsidR="00E371A8">
        <w:rPr>
          <w:rFonts w:ascii="Palatino Linotype" w:hAnsi="Palatino Linotype"/>
        </w:rPr>
        <w:t xml:space="preserve">SDG&amp;E </w:t>
      </w:r>
      <w:r w:rsidRPr="00DD2C68" w:rsidR="00F26A15">
        <w:rPr>
          <w:rFonts w:ascii="Palatino Linotype" w:hAnsi="Palatino Linotype"/>
        </w:rPr>
        <w:t xml:space="preserve">unreasonably excludes all categories of loads other than medium- and heavy-duty vehicle electrification load from consideration. </w:t>
      </w:r>
      <w:r w:rsidRPr="00DD2C68" w:rsidR="00F47B52">
        <w:rPr>
          <w:rFonts w:ascii="Palatino Linotype" w:hAnsi="Palatino Linotype"/>
        </w:rPr>
        <w:t xml:space="preserve">CALSTART states that SDG&amp;E’s proposal </w:t>
      </w:r>
      <w:proofErr w:type="gramStart"/>
      <w:r w:rsidRPr="00DD2C68" w:rsidR="00F47B52">
        <w:rPr>
          <w:rFonts w:ascii="Palatino Linotype" w:hAnsi="Palatino Linotype"/>
        </w:rPr>
        <w:t>misses</w:t>
      </w:r>
      <w:proofErr w:type="gramEnd"/>
      <w:r w:rsidRPr="00DD2C68" w:rsidR="00F47B52">
        <w:rPr>
          <w:rFonts w:ascii="Palatino Linotype" w:hAnsi="Palatino Linotype"/>
        </w:rPr>
        <w:t xml:space="preserve"> the opportunity to ensure sufficient proactive planning.  </w:t>
      </w:r>
    </w:p>
    <w:p w:rsidRPr="00DD2C68" w:rsidR="00E75373" w:rsidP="00DA2A87" w:rsidRDefault="00E75373" w14:paraId="6447751E" w14:textId="61793858">
      <w:pPr>
        <w:rPr>
          <w:rFonts w:ascii="Palatino Linotype" w:hAnsi="Palatino Linotype"/>
        </w:rPr>
      </w:pPr>
      <w:r w:rsidRPr="00DD2C68">
        <w:rPr>
          <w:rFonts w:ascii="Palatino Linotype" w:hAnsi="Palatino Linotype"/>
          <w:b/>
          <w:bCs/>
          <w:i/>
          <w:iCs/>
        </w:rPr>
        <w:lastRenderedPageBreak/>
        <w:t>SDG&amp;E Reply</w:t>
      </w:r>
      <w:r w:rsidRPr="00DD2C68">
        <w:rPr>
          <w:rFonts w:ascii="Palatino Linotype" w:hAnsi="Palatino Linotype"/>
          <w:i/>
          <w:iCs/>
        </w:rPr>
        <w:t>:</w:t>
      </w:r>
      <w:r w:rsidRPr="00DD2C68">
        <w:rPr>
          <w:rFonts w:ascii="Palatino Linotype" w:hAnsi="Palatino Linotype"/>
        </w:rPr>
        <w:t xml:space="preserve"> </w:t>
      </w:r>
      <w:r w:rsidRPr="00DD2C68" w:rsidR="000905AD">
        <w:rPr>
          <w:rFonts w:ascii="Palatino Linotype" w:hAnsi="Palatino Linotype"/>
        </w:rPr>
        <w:t>SDG&amp;E disagrees with the argument that the proposal does not meet the requirements of D.24-10-030 because</w:t>
      </w:r>
      <w:r w:rsidRPr="00DD2C68" w:rsidR="000B2A67">
        <w:rPr>
          <w:rFonts w:ascii="Palatino Linotype" w:hAnsi="Palatino Linotype"/>
        </w:rPr>
        <w:t xml:space="preserve"> the language in the decision does not require a minimum number of pending load types. Furthermore, SDG&amp;E is prepared </w:t>
      </w:r>
      <w:r w:rsidRPr="00DD2C68" w:rsidR="00C3247C">
        <w:rPr>
          <w:rFonts w:ascii="Palatino Linotype" w:hAnsi="Palatino Linotype"/>
        </w:rPr>
        <w:t>to include other pending load categories in the future, if appropriate. SDG&amp;E contends that the focus on the MD/HD category is not limited but rather strategic because it is what is seeing the most growth in SDG&amp;E’s service territory.</w:t>
      </w:r>
    </w:p>
    <w:p w:rsidRPr="00DD2C68" w:rsidR="00DA2A87" w:rsidP="00DA2A87" w:rsidRDefault="007B036F" w14:paraId="12231A9F" w14:textId="5C227381">
      <w:pPr>
        <w:pStyle w:val="Heading3"/>
        <w:rPr>
          <w:rFonts w:ascii="Palatino Linotype" w:hAnsi="Palatino Linotype"/>
          <w:color w:val="auto"/>
        </w:rPr>
      </w:pPr>
      <w:r w:rsidRPr="00DD2C68">
        <w:rPr>
          <w:rFonts w:ascii="Palatino Linotype" w:hAnsi="Palatino Linotype"/>
          <w:color w:val="auto"/>
        </w:rPr>
        <w:t>Lack of</w:t>
      </w:r>
      <w:r w:rsidRPr="00DD2C68" w:rsidR="00BF04F9">
        <w:rPr>
          <w:rFonts w:ascii="Palatino Linotype" w:hAnsi="Palatino Linotype"/>
          <w:color w:val="auto"/>
        </w:rPr>
        <w:t xml:space="preserve"> Customer or Third-Party Data:</w:t>
      </w:r>
    </w:p>
    <w:p w:rsidRPr="00DD2C68" w:rsidR="00B17028" w:rsidP="00DA2A87" w:rsidRDefault="00BF04F9" w14:paraId="719B9F8C" w14:textId="01B99C06">
      <w:pPr>
        <w:rPr>
          <w:rFonts w:ascii="Palatino Linotype" w:hAnsi="Palatino Linotype"/>
        </w:rPr>
      </w:pPr>
      <w:r w:rsidRPr="00DD2C68">
        <w:rPr>
          <w:rFonts w:ascii="Palatino Linotype" w:hAnsi="Palatino Linotype"/>
        </w:rPr>
        <w:t xml:space="preserve">CALSTART, Cal Advocates, and CalCCA </w:t>
      </w:r>
      <w:r w:rsidRPr="00DD2C68" w:rsidR="00603793">
        <w:rPr>
          <w:rFonts w:ascii="Palatino Linotype" w:hAnsi="Palatino Linotype"/>
        </w:rPr>
        <w:t xml:space="preserve">object to the lack of customer-specific data </w:t>
      </w:r>
      <w:r w:rsidRPr="00DD2C68" w:rsidR="00F45E22">
        <w:rPr>
          <w:rFonts w:ascii="Palatino Linotype" w:hAnsi="Palatino Linotype"/>
        </w:rPr>
        <w:t xml:space="preserve">in SDG&amp;E’s pending loads proposal. </w:t>
      </w:r>
      <w:r w:rsidRPr="00DD2C68" w:rsidR="00FE7355">
        <w:rPr>
          <w:rFonts w:ascii="Palatino Linotype" w:hAnsi="Palatino Linotype"/>
        </w:rPr>
        <w:t>EDF/NRDC</w:t>
      </w:r>
      <w:r w:rsidRPr="00DD2C68" w:rsidR="00FD62E5">
        <w:rPr>
          <w:rFonts w:ascii="Palatino Linotype" w:hAnsi="Palatino Linotype"/>
        </w:rPr>
        <w:t xml:space="preserve"> claim that SDG&amp;E’s proposal does not actually seek to identify pending loads to “fill the gap between applications for service at specific locations that are underway and trend-based dispersed load growth across the system,” as the decision orders</w:t>
      </w:r>
      <w:r w:rsidRPr="00DD2C68" w:rsidR="006C1148">
        <w:rPr>
          <w:rFonts w:ascii="Palatino Linotype" w:hAnsi="Palatino Linotype"/>
        </w:rPr>
        <w:t xml:space="preserve">. </w:t>
      </w:r>
      <w:r w:rsidRPr="00DD2C68" w:rsidR="00396784">
        <w:rPr>
          <w:rFonts w:ascii="Palatino Linotype" w:hAnsi="Palatino Linotype"/>
        </w:rPr>
        <w:t>Further</w:t>
      </w:r>
      <w:r w:rsidRPr="00DD2C68" w:rsidR="006C1148">
        <w:rPr>
          <w:rFonts w:ascii="Palatino Linotype" w:hAnsi="Palatino Linotype"/>
        </w:rPr>
        <w:t xml:space="preserve">, </w:t>
      </w:r>
      <w:r w:rsidRPr="00DD2C68" w:rsidR="006872D2">
        <w:rPr>
          <w:rFonts w:ascii="Palatino Linotype" w:hAnsi="Palatino Linotype"/>
        </w:rPr>
        <w:t>they argue</w:t>
      </w:r>
      <w:r w:rsidRPr="00DD2C68" w:rsidR="006C1148">
        <w:rPr>
          <w:rFonts w:ascii="Palatino Linotype" w:hAnsi="Palatino Linotype"/>
        </w:rPr>
        <w:t xml:space="preserve">, SDG&amp;E’s bottom-up forecast lacks data on the timing of the load growth for a particular site, a key element of pending loads. </w:t>
      </w:r>
      <w:r w:rsidRPr="00DD2C68" w:rsidR="00D572D8">
        <w:rPr>
          <w:rFonts w:ascii="Palatino Linotype" w:hAnsi="Palatino Linotype"/>
        </w:rPr>
        <w:t xml:space="preserve">Additionally, reliance on the MD/HD EV Forecast leaves the utility reliant on econometric forecasting assumptions which pending loads were meant to help avoid. </w:t>
      </w:r>
      <w:r w:rsidRPr="00DD2C68" w:rsidR="00E47666">
        <w:rPr>
          <w:rFonts w:ascii="Palatino Linotype" w:hAnsi="Palatino Linotype"/>
        </w:rPr>
        <w:t>CalCCA argues that SDG&amp;E</w:t>
      </w:r>
      <w:r w:rsidRPr="00DD2C68" w:rsidR="00B15898">
        <w:rPr>
          <w:rFonts w:ascii="Palatino Linotype" w:hAnsi="Palatino Linotype"/>
        </w:rPr>
        <w:t>’s pending loads</w:t>
      </w:r>
      <w:r w:rsidRPr="00DD2C68" w:rsidR="00652E8D">
        <w:rPr>
          <w:rFonts w:ascii="Palatino Linotype" w:hAnsi="Palatino Linotype"/>
        </w:rPr>
        <w:t xml:space="preserve"> forecast</w:t>
      </w:r>
      <w:r w:rsidRPr="00DD2C68" w:rsidR="00B15898">
        <w:rPr>
          <w:rFonts w:ascii="Palatino Linotype" w:hAnsi="Palatino Linotype"/>
        </w:rPr>
        <w:t xml:space="preserve"> u</w:t>
      </w:r>
      <w:r w:rsidRPr="00DD2C68" w:rsidR="00E47666">
        <w:rPr>
          <w:rFonts w:ascii="Palatino Linotype" w:hAnsi="Palatino Linotype"/>
        </w:rPr>
        <w:t>ndermines the Commission’s and stakeholders’ ability to assess the accuracy or usefulness of pending loads and reduces transparency and accountability. </w:t>
      </w:r>
      <w:r w:rsidRPr="00DD2C68" w:rsidR="00947FDF">
        <w:rPr>
          <w:rFonts w:ascii="Palatino Linotype" w:hAnsi="Palatino Linotype"/>
        </w:rPr>
        <w:t>Cal Advocates is broadly against allowing utility studies to exceed the IEPR</w:t>
      </w:r>
      <w:r w:rsidRPr="00DD2C68" w:rsidR="00B76E3E">
        <w:rPr>
          <w:rFonts w:ascii="Palatino Linotype" w:hAnsi="Palatino Linotype"/>
        </w:rPr>
        <w:t>.</w:t>
      </w:r>
    </w:p>
    <w:p w:rsidRPr="00DD2C68" w:rsidR="00C3247C" w:rsidP="00DA2A87" w:rsidRDefault="00C3247C" w14:paraId="6EDC9D54" w14:textId="73572D57">
      <w:pPr>
        <w:rPr>
          <w:rFonts w:ascii="Palatino Linotype" w:hAnsi="Palatino Linotype"/>
        </w:rPr>
      </w:pPr>
      <w:r w:rsidRPr="00DD2C68">
        <w:rPr>
          <w:rFonts w:ascii="Palatino Linotype" w:hAnsi="Palatino Linotype"/>
          <w:b/>
          <w:bCs/>
          <w:i/>
          <w:iCs/>
        </w:rPr>
        <w:t>SDG&amp;E Reply:</w:t>
      </w:r>
      <w:r w:rsidRPr="00DD2C68">
        <w:rPr>
          <w:rFonts w:ascii="Palatino Linotype" w:hAnsi="Palatino Linotype"/>
        </w:rPr>
        <w:t xml:space="preserve"> </w:t>
      </w:r>
      <w:r w:rsidRPr="00DD2C68" w:rsidR="00D977FE">
        <w:rPr>
          <w:rFonts w:ascii="Palatino Linotype" w:hAnsi="Palatino Linotype"/>
        </w:rPr>
        <w:t xml:space="preserve">SDG&amp;E contends that its distribution planning process already incorporates a robust customer engagement framework. </w:t>
      </w:r>
      <w:r w:rsidRPr="00DD2C68" w:rsidR="006872D2">
        <w:rPr>
          <w:rFonts w:ascii="Palatino Linotype" w:hAnsi="Palatino Linotype"/>
        </w:rPr>
        <w:t>SDG&amp;E states that d</w:t>
      </w:r>
      <w:r w:rsidRPr="00DD2C68" w:rsidR="00D977FE">
        <w:rPr>
          <w:rFonts w:ascii="Palatino Linotype" w:hAnsi="Palatino Linotype"/>
        </w:rPr>
        <w:t xml:space="preserve">irect outreach and coordination with customers are foundational components of </w:t>
      </w:r>
      <w:r w:rsidR="00721AD9">
        <w:rPr>
          <w:rFonts w:ascii="Palatino Linotype" w:hAnsi="Palatino Linotype"/>
        </w:rPr>
        <w:br/>
      </w:r>
      <w:r w:rsidRPr="00DD2C68" w:rsidR="00D977FE">
        <w:rPr>
          <w:rFonts w:ascii="Palatino Linotype" w:hAnsi="Palatino Linotype"/>
        </w:rPr>
        <w:t>SDG&amp;E’s planning methodology. Customer load energization requests and plans are actively integrated into SDG&amp;E’s circuit- and substation-level load forecasts and the implementation of a separate pending load category solely based on customer information offers limited additional value. </w:t>
      </w:r>
      <w:r w:rsidRPr="00DD2C68" w:rsidR="003646AD">
        <w:rPr>
          <w:rFonts w:ascii="Palatino Linotype" w:hAnsi="Palatino Linotype"/>
        </w:rPr>
        <w:t xml:space="preserve">In response to the </w:t>
      </w:r>
      <w:r w:rsidRPr="00DD2C68" w:rsidR="00FE7355">
        <w:rPr>
          <w:rFonts w:ascii="Palatino Linotype" w:hAnsi="Palatino Linotype"/>
        </w:rPr>
        <w:t>EDF/NRDC</w:t>
      </w:r>
      <w:r w:rsidRPr="00DD2C68" w:rsidR="003646AD">
        <w:rPr>
          <w:rFonts w:ascii="Palatino Linotype" w:hAnsi="Palatino Linotype"/>
        </w:rPr>
        <w:t xml:space="preserve"> argument on the lack of timing of the load growth, SDG&amp;E argues its bottom-up forecasting methodology does consider timing based on the type of site and its alignment with policy drivers and adoption rates. As more detailed customer-specific information is available, including timing, that information is incorporated into SDG&amp;E’s existing planning process. In response to </w:t>
      </w:r>
      <w:proofErr w:type="spellStart"/>
      <w:r w:rsidRPr="00DD2C68" w:rsidR="003646AD">
        <w:rPr>
          <w:rFonts w:ascii="Palatino Linotype" w:hAnsi="Palatino Linotype"/>
        </w:rPr>
        <w:t>CalCCA’s</w:t>
      </w:r>
      <w:proofErr w:type="spellEnd"/>
      <w:r w:rsidRPr="00DD2C68" w:rsidR="003646AD">
        <w:rPr>
          <w:rFonts w:ascii="Palatino Linotype" w:hAnsi="Palatino Linotype"/>
        </w:rPr>
        <w:t xml:space="preserve"> argument that SG&amp;E’s forecast lacks transparency, SDG&amp;E </w:t>
      </w:r>
      <w:r w:rsidRPr="00DD2C68" w:rsidR="00AD3571">
        <w:rPr>
          <w:rFonts w:ascii="Palatino Linotype" w:hAnsi="Palatino Linotype"/>
        </w:rPr>
        <w:t xml:space="preserve">claims it has presented the approach at the DFWG, documented </w:t>
      </w:r>
      <w:r w:rsidRPr="00DD2C68" w:rsidR="00AD3571">
        <w:rPr>
          <w:rFonts w:ascii="Palatino Linotype" w:hAnsi="Palatino Linotype"/>
        </w:rPr>
        <w:lastRenderedPageBreak/>
        <w:t>it in the Pending Load Implementation Workshop Report and Advice Letter, and responded to multiple data requests with detailed forecasts. SDG&amp;E contends the level of detail provided is consistent with, and in many cases exceeds, that of the IEPR forecasts. </w:t>
      </w:r>
    </w:p>
    <w:p w:rsidRPr="00DD2C68" w:rsidR="00DA2A87" w:rsidP="00DA2A87" w:rsidRDefault="002F7058" w14:paraId="490A3930" w14:textId="4B7DC0BE">
      <w:pPr>
        <w:pStyle w:val="Heading3"/>
        <w:rPr>
          <w:rFonts w:ascii="Palatino Linotype" w:hAnsi="Palatino Linotype"/>
          <w:color w:val="auto"/>
        </w:rPr>
      </w:pPr>
      <w:r w:rsidRPr="00DD2C68">
        <w:rPr>
          <w:rFonts w:ascii="Palatino Linotype" w:hAnsi="Palatino Linotype"/>
          <w:color w:val="auto"/>
        </w:rPr>
        <w:t xml:space="preserve">Absence of Guardrails and Confidence Levels: </w:t>
      </w:r>
    </w:p>
    <w:p w:rsidRPr="00DD2C68" w:rsidR="007F275E" w:rsidP="00DA2A87" w:rsidRDefault="002F7058" w14:paraId="3515C92B" w14:textId="1EFEC4D3">
      <w:pPr>
        <w:rPr>
          <w:rFonts w:ascii="Palatino Linotype" w:hAnsi="Palatino Linotype"/>
        </w:rPr>
      </w:pPr>
      <w:r w:rsidRPr="00DD2C68">
        <w:rPr>
          <w:rFonts w:ascii="Palatino Linotype" w:hAnsi="Palatino Linotype"/>
        </w:rPr>
        <w:t xml:space="preserve">CALSTART and CalCCA </w:t>
      </w:r>
      <w:r w:rsidRPr="00DD2C68" w:rsidR="00EE1820">
        <w:rPr>
          <w:rFonts w:ascii="Palatino Linotype" w:hAnsi="Palatino Linotype"/>
        </w:rPr>
        <w:t>protest SDG&amp;E’s lack of proposed methodology to assess confidence in its forecast</w:t>
      </w:r>
      <w:r w:rsidRPr="00DD2C68" w:rsidR="00FC5CC9">
        <w:rPr>
          <w:rFonts w:ascii="Palatino Linotype" w:hAnsi="Palatino Linotype"/>
        </w:rPr>
        <w:t xml:space="preserve"> and lack of guardrails that can </w:t>
      </w:r>
      <w:r w:rsidRPr="00DD2C68" w:rsidR="00A03D34">
        <w:rPr>
          <w:rFonts w:ascii="Palatino Linotype" w:hAnsi="Palatino Linotype"/>
        </w:rPr>
        <w:t>increase the likelihood of overinvestment. CALSTART states that confidence assessment is necessary to weigh the likelihood of pending loads materializ</w:t>
      </w:r>
      <w:r w:rsidRPr="00DD2C68" w:rsidR="00B31DAF">
        <w:rPr>
          <w:rFonts w:ascii="Palatino Linotype" w:hAnsi="Palatino Linotype"/>
        </w:rPr>
        <w:t>ing and without them there is no way to prevent speculative overbuilding.</w:t>
      </w:r>
      <w:r w:rsidRPr="00DD2C68" w:rsidR="0050312C">
        <w:rPr>
          <w:rFonts w:ascii="Palatino Linotype" w:hAnsi="Palatino Linotype"/>
        </w:rPr>
        <w:t xml:space="preserve"> </w:t>
      </w:r>
      <w:r w:rsidRPr="00DD2C68" w:rsidR="006A52C6">
        <w:rPr>
          <w:rFonts w:ascii="Palatino Linotype" w:hAnsi="Palatino Linotype"/>
        </w:rPr>
        <w:t xml:space="preserve">CalCCA states that omitting confidence levels for various types of pending loads data and not using discount factors to account for uncertainty risks over-investing in grid upgrades at ratepayers’ expense. </w:t>
      </w:r>
      <w:r w:rsidRPr="00DD2C68" w:rsidR="00A83124">
        <w:rPr>
          <w:rFonts w:ascii="Palatino Linotype" w:hAnsi="Palatino Linotype"/>
        </w:rPr>
        <w:t xml:space="preserve">CalCCA </w:t>
      </w:r>
      <w:r w:rsidRPr="00DD2C68" w:rsidR="00382A85">
        <w:rPr>
          <w:rFonts w:ascii="Palatino Linotype" w:hAnsi="Palatino Linotype"/>
        </w:rPr>
        <w:t>recommends that SDG&amp;E</w:t>
      </w:r>
      <w:r w:rsidRPr="00DD2C68" w:rsidR="00382A85">
        <w:t xml:space="preserve"> </w:t>
      </w:r>
      <w:r w:rsidRPr="00DD2C68" w:rsidR="00382A85">
        <w:rPr>
          <w:rFonts w:ascii="Palatino Linotype" w:hAnsi="Palatino Linotype"/>
        </w:rPr>
        <w:t>should be required to modify its pending loads framework to include separate categories based on different confidence levels and data types.</w:t>
      </w:r>
    </w:p>
    <w:p w:rsidRPr="00DD2C68" w:rsidR="00D977FE" w:rsidP="00DA2A87" w:rsidRDefault="00D977FE" w14:paraId="2157B43A" w14:textId="6B39A914">
      <w:pPr>
        <w:rPr>
          <w:rFonts w:ascii="Palatino Linotype" w:hAnsi="Palatino Linotype"/>
        </w:rPr>
      </w:pPr>
      <w:r w:rsidRPr="00DD2C68">
        <w:rPr>
          <w:rFonts w:ascii="Palatino Linotype" w:hAnsi="Palatino Linotype"/>
          <w:b/>
          <w:bCs/>
          <w:i/>
          <w:iCs/>
        </w:rPr>
        <w:t>SDG&amp;E Reply:</w:t>
      </w:r>
      <w:r w:rsidRPr="00DD2C68">
        <w:rPr>
          <w:rFonts w:ascii="Palatino Linotype" w:hAnsi="Palatino Linotype"/>
        </w:rPr>
        <w:t xml:space="preserve"> </w:t>
      </w:r>
      <w:r w:rsidRPr="00DD2C68" w:rsidR="00936E56">
        <w:rPr>
          <w:rFonts w:ascii="Palatino Linotype" w:hAnsi="Palatino Linotype"/>
        </w:rPr>
        <w:t xml:space="preserve">SDG&amp;E states the Decision does not mandate the use of discount factors or confidence levels. SDG&amp;E argues that its pending load proposal is built on </w:t>
      </w:r>
      <w:r w:rsidR="00721AD9">
        <w:rPr>
          <w:rFonts w:ascii="Palatino Linotype" w:hAnsi="Palatino Linotype"/>
        </w:rPr>
        <w:br/>
      </w:r>
      <w:r w:rsidRPr="00DD2C68" w:rsidR="00936E56">
        <w:rPr>
          <w:rFonts w:ascii="Palatino Linotype" w:hAnsi="Palatino Linotype"/>
        </w:rPr>
        <w:t>a high-confidence, bottom-up forecast, therefore the forecasts already reflect a high degree of confidence, and there is no practical need to further categorize them into confidence categories. Further, applying a generic discount factor would risk undermining the integrity of a forecast that is already calibrated to reflect realistic load growth potential. </w:t>
      </w:r>
    </w:p>
    <w:p w:rsidRPr="00DD2C68" w:rsidR="00DA2A87" w:rsidP="00DA2A87" w:rsidRDefault="006A52C6" w14:paraId="38842760" w14:textId="27940F9F">
      <w:pPr>
        <w:pStyle w:val="Heading3"/>
        <w:rPr>
          <w:rFonts w:ascii="Palatino Linotype" w:hAnsi="Palatino Linotype"/>
          <w:color w:val="auto"/>
        </w:rPr>
      </w:pPr>
      <w:r w:rsidRPr="00DD2C68">
        <w:rPr>
          <w:rFonts w:ascii="Palatino Linotype" w:hAnsi="Palatino Linotype"/>
          <w:color w:val="auto"/>
        </w:rPr>
        <w:t xml:space="preserve">Reporting and Evaluation Plan: </w:t>
      </w:r>
    </w:p>
    <w:p w:rsidRPr="00DD2C68" w:rsidR="00A76F4A" w:rsidP="00DA2A87" w:rsidRDefault="00FE7355" w14:paraId="7EEC86B5" w14:textId="35D50EC1">
      <w:pPr>
        <w:rPr>
          <w:rFonts w:ascii="Palatino Linotype" w:hAnsi="Palatino Linotype"/>
          <w:i/>
          <w:iCs/>
        </w:rPr>
      </w:pPr>
      <w:r w:rsidRPr="00DD2C68">
        <w:rPr>
          <w:rFonts w:ascii="Palatino Linotype" w:hAnsi="Palatino Linotype"/>
        </w:rPr>
        <w:t>EDF/NRDC</w:t>
      </w:r>
      <w:r w:rsidRPr="00DD2C68" w:rsidR="006A52C6">
        <w:rPr>
          <w:rFonts w:ascii="Palatino Linotype" w:hAnsi="Palatino Linotype"/>
        </w:rPr>
        <w:t xml:space="preserve"> </w:t>
      </w:r>
      <w:r w:rsidRPr="00DD2C68" w:rsidR="00161CCD">
        <w:rPr>
          <w:rFonts w:ascii="Palatino Linotype" w:hAnsi="Palatino Linotype"/>
        </w:rPr>
        <w:t xml:space="preserve">argue that </w:t>
      </w:r>
      <w:r w:rsidRPr="00DD2C68" w:rsidR="00243D02">
        <w:rPr>
          <w:rFonts w:ascii="Palatino Linotype" w:hAnsi="Palatino Linotype"/>
        </w:rPr>
        <w:t xml:space="preserve">SDG&amp;E’s Pending Loads Evaluation </w:t>
      </w:r>
      <w:r w:rsidRPr="00DD2C68" w:rsidR="00922A57">
        <w:rPr>
          <w:rFonts w:ascii="Palatino Linotype" w:hAnsi="Palatino Linotype"/>
        </w:rPr>
        <w:t xml:space="preserve">and Reporting </w:t>
      </w:r>
      <w:r w:rsidRPr="00DD2C68" w:rsidR="00243D02">
        <w:rPr>
          <w:rFonts w:ascii="Palatino Linotype" w:hAnsi="Palatino Linotype"/>
        </w:rPr>
        <w:t>proposal fails to comply with OP 14 of D.24-10-030</w:t>
      </w:r>
      <w:r w:rsidRPr="00DD2C68" w:rsidR="00F1108D">
        <w:rPr>
          <w:rFonts w:ascii="Palatino Linotype" w:hAnsi="Palatino Linotype"/>
        </w:rPr>
        <w:t xml:space="preserve"> which requires utilities to report on the percentage of pending loads that became energization requests in the form of a table that includes each pending load used in forecasting to date, deviance of load size from pending load to actual known load, deviance of load timing between pending loads and actual known load, differences in the accuracy and usefulness of pending loads by load category (i.e., end use), differences in the accuracy and usefulness of pending loads by information source and/or methodology</w:t>
      </w:r>
      <w:r w:rsidRPr="00DD2C68" w:rsidR="006C0161">
        <w:rPr>
          <w:rFonts w:ascii="Palatino Linotype" w:hAnsi="Palatino Linotype"/>
        </w:rPr>
        <w:t>,</w:t>
      </w:r>
      <w:r w:rsidRPr="00DD2C68" w:rsidR="00F1108D">
        <w:rPr>
          <w:rFonts w:ascii="Palatino Linotype" w:hAnsi="Palatino Linotype"/>
        </w:rPr>
        <w:t xml:space="preserve"> and the expected in-service date of projects initiated as a result of the pending loads category</w:t>
      </w:r>
      <w:r w:rsidRPr="00DD2C68" w:rsidR="006C0161">
        <w:rPr>
          <w:rFonts w:ascii="Palatino Linotype" w:hAnsi="Palatino Linotype"/>
        </w:rPr>
        <w:t xml:space="preserve">. </w:t>
      </w:r>
      <w:r w:rsidRPr="00DD2C68">
        <w:rPr>
          <w:rFonts w:ascii="Palatino Linotype" w:hAnsi="Palatino Linotype"/>
        </w:rPr>
        <w:t>EDF/NRDC</w:t>
      </w:r>
      <w:r w:rsidRPr="00DD2C68" w:rsidR="006C0161">
        <w:rPr>
          <w:rFonts w:ascii="Palatino Linotype" w:hAnsi="Palatino Linotype"/>
        </w:rPr>
        <w:t xml:space="preserve"> object to </w:t>
      </w:r>
      <w:r w:rsidR="00721AD9">
        <w:rPr>
          <w:rFonts w:ascii="Palatino Linotype" w:hAnsi="Palatino Linotype"/>
        </w:rPr>
        <w:br/>
      </w:r>
      <w:r w:rsidRPr="00DD2C68" w:rsidR="006C0161">
        <w:rPr>
          <w:rFonts w:ascii="Palatino Linotype" w:hAnsi="Palatino Linotype"/>
        </w:rPr>
        <w:t>SDG&amp;E’s proposal which omits all required evaluation elements</w:t>
      </w:r>
      <w:r w:rsidRPr="00DD2C68" w:rsidR="00CC61DB">
        <w:rPr>
          <w:rFonts w:ascii="Palatino Linotype" w:hAnsi="Palatino Linotype"/>
        </w:rPr>
        <w:t xml:space="preserve"> and instead proposes </w:t>
      </w:r>
      <w:r w:rsidRPr="00DD2C68" w:rsidR="00CC61DB">
        <w:rPr>
          <w:rFonts w:ascii="Palatino Linotype" w:hAnsi="Palatino Linotype"/>
        </w:rPr>
        <w:lastRenderedPageBreak/>
        <w:t>only a high-level report on total pending MW across 15 years, which would not allow the Commission to assess the effectiveness of the pending loads category.</w:t>
      </w:r>
    </w:p>
    <w:p w:rsidRPr="00DD2C68" w:rsidR="00C27667" w:rsidP="00DA2A87" w:rsidRDefault="00936E56" w14:paraId="5032C2DA" w14:textId="1FCF01C2">
      <w:pPr>
        <w:rPr>
          <w:rFonts w:ascii="Palatino Linotype" w:hAnsi="Palatino Linotype"/>
        </w:rPr>
      </w:pPr>
      <w:r w:rsidRPr="00DD2C68">
        <w:rPr>
          <w:rFonts w:ascii="Palatino Linotype" w:hAnsi="Palatino Linotype"/>
          <w:b/>
          <w:bCs/>
          <w:i/>
          <w:iCs/>
        </w:rPr>
        <w:t>SDG&amp;E Reply:</w:t>
      </w:r>
      <w:r w:rsidRPr="00DD2C68">
        <w:rPr>
          <w:rFonts w:ascii="Palatino Linotype" w:hAnsi="Palatino Linotype"/>
          <w:i/>
          <w:iCs/>
        </w:rPr>
        <w:t xml:space="preserve"> </w:t>
      </w:r>
      <w:r w:rsidRPr="00DD2C68" w:rsidR="00C27667">
        <w:rPr>
          <w:rFonts w:ascii="Palatino Linotype" w:hAnsi="Palatino Linotype"/>
        </w:rPr>
        <w:t>SDG&amp;E argues it is impractical to conduct individual project-level comparisons given the nature of study-based pending loads. SDG&amp;E also contends that comparing the aggregated known and pending load amounts on a load category basis provides the Commission with a clearer view of load growth projections for the given pending load category, without becoming mired in the granularity of every single load. </w:t>
      </w:r>
    </w:p>
    <w:p w:rsidRPr="00DD2C68" w:rsidR="00A76F4A" w:rsidP="00A76F4A" w:rsidRDefault="00A76F4A" w14:paraId="52F8DB71" w14:textId="63833E00">
      <w:pPr>
        <w:keepNext/>
        <w:spacing w:before="120" w:after="240" w:line="240" w:lineRule="auto"/>
        <w:outlineLvl w:val="0"/>
        <w:rPr>
          <w:rFonts w:ascii="Palatino Linotype" w:hAnsi="Palatino Linotype" w:eastAsia="Palatino Linotype" w:cs="Times New Roman"/>
          <w:b/>
          <w:caps/>
          <w:kern w:val="28"/>
          <w:u w:val="single"/>
          <w14:ligatures w14:val="none"/>
        </w:rPr>
      </w:pPr>
      <w:r w:rsidRPr="00DD2C68">
        <w:rPr>
          <w:rFonts w:ascii="Palatino Linotype" w:hAnsi="Palatino Linotype" w:eastAsia="Palatino Linotype" w:cs="Times New Roman"/>
          <w:b/>
          <w:caps/>
          <w:kern w:val="28"/>
          <w:u w:val="single"/>
          <w14:ligatures w14:val="none"/>
        </w:rPr>
        <w:t>Discussion</w:t>
      </w:r>
    </w:p>
    <w:p w:rsidRPr="00DD2C68" w:rsidR="0041446D" w:rsidP="00F41E19" w:rsidRDefault="00A76F4A" w14:paraId="25C22EE4" w14:textId="36DB3500">
      <w:pPr>
        <w:spacing w:after="0" w:line="240" w:lineRule="auto"/>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The Commission has reviewed the Advice Letter</w:t>
      </w:r>
      <w:r w:rsidRPr="00DD2C68" w:rsidR="00EF1103">
        <w:rPr>
          <w:rFonts w:ascii="Palatino Linotype" w:hAnsi="Palatino Linotype" w:eastAsia="Palatino Linotype" w:cs="Times New Roman"/>
          <w:kern w:val="0"/>
          <w14:ligatures w14:val="none"/>
        </w:rPr>
        <w:t xml:space="preserve">, </w:t>
      </w:r>
      <w:r w:rsidRPr="00DD2C68">
        <w:rPr>
          <w:rFonts w:ascii="Palatino Linotype" w:hAnsi="Palatino Linotype" w:eastAsia="Palatino Linotype" w:cs="Times New Roman"/>
          <w:kern w:val="0"/>
          <w14:ligatures w14:val="none"/>
        </w:rPr>
        <w:t>the protest</w:t>
      </w:r>
      <w:r w:rsidRPr="00DD2C68" w:rsidR="00556F4D">
        <w:rPr>
          <w:rFonts w:ascii="Palatino Linotype" w:hAnsi="Palatino Linotype" w:eastAsia="Palatino Linotype" w:cs="Times New Roman"/>
          <w:kern w:val="0"/>
          <w14:ligatures w14:val="none"/>
        </w:rPr>
        <w:t>s</w:t>
      </w:r>
      <w:r w:rsidRPr="00DD2C68" w:rsidR="00EF1103">
        <w:rPr>
          <w:rFonts w:ascii="Palatino Linotype" w:hAnsi="Palatino Linotype" w:eastAsia="Palatino Linotype" w:cs="Times New Roman"/>
          <w:kern w:val="0"/>
          <w14:ligatures w14:val="none"/>
        </w:rPr>
        <w:t>, and the replies,</w:t>
      </w:r>
      <w:r w:rsidRPr="00DD2C68">
        <w:rPr>
          <w:rFonts w:ascii="Palatino Linotype" w:hAnsi="Palatino Linotype" w:eastAsia="Palatino Linotype" w:cs="Times New Roman"/>
          <w:kern w:val="0"/>
          <w14:ligatures w14:val="none"/>
        </w:rPr>
        <w:t xml:space="preserve"> and </w:t>
      </w:r>
      <w:proofErr w:type="gramStart"/>
      <w:r w:rsidRPr="00DD2C68" w:rsidR="00F41E19">
        <w:rPr>
          <w:rFonts w:ascii="Palatino Linotype" w:hAnsi="Palatino Linotype" w:eastAsia="Palatino Linotype" w:cs="Times New Roman"/>
          <w:kern w:val="0"/>
          <w14:ligatures w14:val="none"/>
        </w:rPr>
        <w:t>makes</w:t>
      </w:r>
      <w:proofErr w:type="gramEnd"/>
      <w:r w:rsidRPr="00DD2C68" w:rsidR="00F41E19">
        <w:rPr>
          <w:rFonts w:ascii="Palatino Linotype" w:hAnsi="Palatino Linotype" w:eastAsia="Palatino Linotype" w:cs="Times New Roman"/>
          <w:kern w:val="0"/>
          <w14:ligatures w14:val="none"/>
        </w:rPr>
        <w:t xml:space="preserve"> the following modifications to the utility proposals. </w:t>
      </w:r>
      <w:r w:rsidRPr="00DD2C68" w:rsidR="00B176A0">
        <w:rPr>
          <w:rFonts w:ascii="Palatino Linotype" w:hAnsi="Palatino Linotype" w:eastAsia="Palatino Linotype" w:cs="Times New Roman"/>
          <w:kern w:val="0"/>
          <w14:ligatures w14:val="none"/>
        </w:rPr>
        <w:t xml:space="preserve">For </w:t>
      </w:r>
      <w:r w:rsidRPr="00DD2C68" w:rsidR="00337472">
        <w:rPr>
          <w:rFonts w:ascii="Palatino Linotype" w:hAnsi="Palatino Linotype" w:eastAsia="Palatino Linotype" w:cs="Times New Roman"/>
          <w:kern w:val="0"/>
          <w14:ligatures w14:val="none"/>
        </w:rPr>
        <w:t>clarity</w:t>
      </w:r>
      <w:r w:rsidRPr="00DD2C68" w:rsidR="00B176A0">
        <w:rPr>
          <w:rFonts w:ascii="Palatino Linotype" w:hAnsi="Palatino Linotype" w:eastAsia="Palatino Linotype" w:cs="Times New Roman"/>
          <w:kern w:val="0"/>
          <w14:ligatures w14:val="none"/>
        </w:rPr>
        <w:t xml:space="preserve">, </w:t>
      </w:r>
      <w:r w:rsidRPr="00DD2C68" w:rsidR="00605203">
        <w:rPr>
          <w:rFonts w:ascii="Palatino Linotype" w:hAnsi="Palatino Linotype" w:eastAsia="Palatino Linotype" w:cs="Times New Roman"/>
          <w:kern w:val="0"/>
          <w14:ligatures w14:val="none"/>
        </w:rPr>
        <w:t xml:space="preserve">an overview is provided at the beginning of the discussion section, then the rest of the section </w:t>
      </w:r>
      <w:r w:rsidRPr="00DD2C68" w:rsidR="00F41E19">
        <w:rPr>
          <w:rFonts w:ascii="Palatino Linotype" w:hAnsi="Palatino Linotype" w:eastAsia="Palatino Linotype" w:cs="Times New Roman"/>
          <w:kern w:val="0"/>
          <w14:ligatures w14:val="none"/>
        </w:rPr>
        <w:t xml:space="preserve">follows the same order as the protests section. </w:t>
      </w:r>
    </w:p>
    <w:p w:rsidRPr="00DD2C68" w:rsidR="00605203" w:rsidP="00605203" w:rsidRDefault="00605203" w14:paraId="0C81B5B0" w14:textId="128D0364">
      <w:pPr>
        <w:pStyle w:val="Heading2"/>
        <w:rPr>
          <w:rFonts w:ascii="Palatino Linotype" w:hAnsi="Palatino Linotype" w:eastAsia="Palatino Linotype"/>
          <w:color w:val="auto"/>
        </w:rPr>
      </w:pPr>
      <w:r w:rsidRPr="00DD2C68">
        <w:rPr>
          <w:rFonts w:ascii="Palatino Linotype" w:hAnsi="Palatino Linotype" w:eastAsia="Palatino Linotype"/>
          <w:color w:val="auto"/>
        </w:rPr>
        <w:t>Overview</w:t>
      </w:r>
    </w:p>
    <w:p w:rsidRPr="00DD2C68" w:rsidR="00605203" w:rsidP="00605203" w:rsidRDefault="00FF71FF" w14:paraId="75E6AB32" w14:textId="02BDFE61">
      <w:pPr>
        <w:rPr>
          <w:rFonts w:ascii="Palatino Linotype" w:hAnsi="Palatino Linotype"/>
        </w:rPr>
      </w:pPr>
      <w:r w:rsidRPr="00DD2C68">
        <w:rPr>
          <w:rFonts w:ascii="Palatino Linotype" w:hAnsi="Palatino Linotype"/>
        </w:rPr>
        <w:t xml:space="preserve">The Commission has considered the proposals and protests of all parties and </w:t>
      </w:r>
      <w:r w:rsidRPr="00DD2C68" w:rsidR="00276103">
        <w:rPr>
          <w:rFonts w:ascii="Palatino Linotype" w:hAnsi="Palatino Linotype"/>
        </w:rPr>
        <w:t xml:space="preserve">has found the following </w:t>
      </w:r>
      <w:r w:rsidRPr="00DD2C68" w:rsidR="003669A2">
        <w:rPr>
          <w:rFonts w:ascii="Palatino Linotype" w:hAnsi="Palatino Linotype"/>
        </w:rPr>
        <w:t>pending loads framework</w:t>
      </w:r>
      <w:r w:rsidRPr="00DD2C68" w:rsidR="00150058">
        <w:rPr>
          <w:rFonts w:ascii="Palatino Linotype" w:hAnsi="Palatino Linotype"/>
        </w:rPr>
        <w:t xml:space="preserve"> </w:t>
      </w:r>
      <w:r w:rsidRPr="00DD2C68" w:rsidR="00794CFA">
        <w:rPr>
          <w:rFonts w:ascii="Palatino Linotype" w:hAnsi="Palatino Linotype"/>
        </w:rPr>
        <w:t xml:space="preserve">to best capture and utilize pending loads in a manner that </w:t>
      </w:r>
      <w:r w:rsidRPr="00DD2C68" w:rsidR="0052482A">
        <w:rPr>
          <w:rFonts w:ascii="Palatino Linotype" w:hAnsi="Palatino Linotype"/>
        </w:rPr>
        <w:t xml:space="preserve">adequately assesses </w:t>
      </w:r>
      <w:r w:rsidRPr="00DD2C68" w:rsidR="00EC591A">
        <w:rPr>
          <w:rFonts w:ascii="Palatino Linotype" w:hAnsi="Palatino Linotype"/>
        </w:rPr>
        <w:t xml:space="preserve">confidence and </w:t>
      </w:r>
      <w:r w:rsidRPr="00DD2C68" w:rsidR="0052482A">
        <w:rPr>
          <w:rFonts w:ascii="Palatino Linotype" w:hAnsi="Palatino Linotype"/>
        </w:rPr>
        <w:t>balances proactiv</w:t>
      </w:r>
      <w:r w:rsidRPr="00DD2C68" w:rsidR="6B697603">
        <w:rPr>
          <w:rFonts w:ascii="Palatino Linotype" w:hAnsi="Palatino Linotype"/>
        </w:rPr>
        <w:t>e planning</w:t>
      </w:r>
      <w:r w:rsidRPr="00DD2C68" w:rsidR="0052482A">
        <w:rPr>
          <w:rFonts w:ascii="Palatino Linotype" w:hAnsi="Palatino Linotype"/>
        </w:rPr>
        <w:t xml:space="preserve"> </w:t>
      </w:r>
      <w:r w:rsidRPr="00DD2C68" w:rsidR="00EC591A">
        <w:rPr>
          <w:rFonts w:ascii="Palatino Linotype" w:hAnsi="Palatino Linotype"/>
        </w:rPr>
        <w:t>with risk</w:t>
      </w:r>
      <w:r w:rsidRPr="00DD2C68" w:rsidR="00FB2BD7">
        <w:rPr>
          <w:rFonts w:ascii="Palatino Linotype" w:hAnsi="Palatino Linotype"/>
        </w:rPr>
        <w:t xml:space="preserve"> mitigation. </w:t>
      </w:r>
    </w:p>
    <w:p w:rsidRPr="00DD2C68" w:rsidR="00FB2BD7" w:rsidP="00605203" w:rsidRDefault="00FB2BD7" w14:paraId="72DB9DB2" w14:textId="1F821E60">
      <w:pPr>
        <w:rPr>
          <w:rFonts w:ascii="Palatino Linotype" w:hAnsi="Palatino Linotype"/>
        </w:rPr>
      </w:pPr>
      <w:r w:rsidRPr="00DD2C68">
        <w:rPr>
          <w:rFonts w:ascii="Palatino Linotype" w:hAnsi="Palatino Linotype"/>
        </w:rPr>
        <w:t>The framework</w:t>
      </w:r>
      <w:r w:rsidRPr="00DD2C68" w:rsidR="003E44E4">
        <w:rPr>
          <w:rFonts w:ascii="Palatino Linotype" w:hAnsi="Palatino Linotype"/>
        </w:rPr>
        <w:t>, to be implemented by all utilities</w:t>
      </w:r>
      <w:r w:rsidRPr="00DD2C68" w:rsidR="00256A26">
        <w:rPr>
          <w:rFonts w:ascii="Palatino Linotype" w:hAnsi="Palatino Linotype"/>
        </w:rPr>
        <w:t xml:space="preserve"> starting in the 2025-2026 DPEP</w:t>
      </w:r>
      <w:r w:rsidRPr="00DD2C68" w:rsidR="003E44E4">
        <w:rPr>
          <w:rFonts w:ascii="Palatino Linotype" w:hAnsi="Palatino Linotype"/>
        </w:rPr>
        <w:t xml:space="preserve">, adopts the categories of SCE, </w:t>
      </w:r>
      <w:r w:rsidRPr="00DD2C68" w:rsidR="00E62993">
        <w:rPr>
          <w:rFonts w:ascii="Palatino Linotype" w:hAnsi="Palatino Linotype"/>
        </w:rPr>
        <w:t>the</w:t>
      </w:r>
      <w:r w:rsidRPr="00DD2C68" w:rsidR="0088584B">
        <w:rPr>
          <w:rFonts w:ascii="Palatino Linotype" w:hAnsi="Palatino Linotype"/>
        </w:rPr>
        <w:t xml:space="preserve"> </w:t>
      </w:r>
      <w:r w:rsidRPr="00DD2C68" w:rsidR="003E44E4">
        <w:rPr>
          <w:rFonts w:ascii="Palatino Linotype" w:hAnsi="Palatino Linotype"/>
        </w:rPr>
        <w:t>minimum requirements of PG&amp;E</w:t>
      </w:r>
      <w:r w:rsidRPr="00DD2C68" w:rsidR="00605D2C">
        <w:rPr>
          <w:rFonts w:ascii="Palatino Linotype" w:hAnsi="Palatino Linotype"/>
        </w:rPr>
        <w:t>,</w:t>
      </w:r>
      <w:r w:rsidRPr="00DD2C68" w:rsidR="003E44E4">
        <w:rPr>
          <w:rFonts w:ascii="Palatino Linotype" w:hAnsi="Palatino Linotype"/>
        </w:rPr>
        <w:t xml:space="preserve"> </w:t>
      </w:r>
      <w:r w:rsidRPr="00DD2C68" w:rsidR="003C795E">
        <w:rPr>
          <w:rFonts w:ascii="Palatino Linotype" w:hAnsi="Palatino Linotype"/>
        </w:rPr>
        <w:t xml:space="preserve">utilizes hot spots to allow medium confidence information to exceed the IEPR, and </w:t>
      </w:r>
      <w:r w:rsidRPr="00DD2C68" w:rsidR="00567738">
        <w:rPr>
          <w:rFonts w:ascii="Palatino Linotype" w:hAnsi="Palatino Linotype"/>
        </w:rPr>
        <w:t xml:space="preserve">creates guardrails so that </w:t>
      </w:r>
      <w:r w:rsidRPr="00DD2C68" w:rsidR="00BC6207">
        <w:rPr>
          <w:rFonts w:ascii="Palatino Linotype" w:hAnsi="Palatino Linotype"/>
        </w:rPr>
        <w:t>non-</w:t>
      </w:r>
      <w:r w:rsidRPr="00DD2C68" w:rsidR="005E408F">
        <w:rPr>
          <w:rFonts w:ascii="Palatino Linotype" w:hAnsi="Palatino Linotype"/>
        </w:rPr>
        <w:t>customer-based</w:t>
      </w:r>
      <w:r w:rsidRPr="00DD2C68" w:rsidR="00BC6207">
        <w:rPr>
          <w:rFonts w:ascii="Palatino Linotype" w:hAnsi="Palatino Linotype"/>
        </w:rPr>
        <w:t xml:space="preserve"> </w:t>
      </w:r>
      <w:r w:rsidRPr="00DD2C68" w:rsidR="00C772FC">
        <w:rPr>
          <w:rFonts w:ascii="Palatino Linotype" w:hAnsi="Palatino Linotype"/>
        </w:rPr>
        <w:t xml:space="preserve">studies </w:t>
      </w:r>
      <w:r w:rsidRPr="00DD2C68" w:rsidR="00855D84">
        <w:rPr>
          <w:rFonts w:ascii="Palatino Linotype" w:hAnsi="Palatino Linotype"/>
        </w:rPr>
        <w:t xml:space="preserve">inform the </w:t>
      </w:r>
      <w:r w:rsidRPr="00DD2C68" w:rsidR="005E408F">
        <w:rPr>
          <w:rFonts w:ascii="Palatino Linotype" w:hAnsi="Palatino Linotype"/>
        </w:rPr>
        <w:t>process</w:t>
      </w:r>
      <w:r w:rsidRPr="00DD2C68" w:rsidR="00855D84">
        <w:rPr>
          <w:rFonts w:ascii="Palatino Linotype" w:hAnsi="Palatino Linotype"/>
        </w:rPr>
        <w:t xml:space="preserve"> but do not contribute to a </w:t>
      </w:r>
      <w:r w:rsidRPr="00DD2C68" w:rsidR="001B3A00">
        <w:rPr>
          <w:rFonts w:ascii="Palatino Linotype" w:hAnsi="Palatino Linotype"/>
        </w:rPr>
        <w:t xml:space="preserve">load growth </w:t>
      </w:r>
      <w:r w:rsidRPr="00DD2C68" w:rsidR="004535F2">
        <w:rPr>
          <w:rFonts w:ascii="Palatino Linotype" w:hAnsi="Palatino Linotype"/>
        </w:rPr>
        <w:t>forecast</w:t>
      </w:r>
      <w:r w:rsidRPr="00DD2C68" w:rsidR="001B3A00">
        <w:rPr>
          <w:rFonts w:ascii="Palatino Linotype" w:hAnsi="Palatino Linotype"/>
        </w:rPr>
        <w:t xml:space="preserve"> that exceeds the IEPR forecast. </w:t>
      </w:r>
    </w:p>
    <w:p w:rsidR="00437600" w:rsidP="5FB9B0AE" w:rsidRDefault="609D0D96" w14:paraId="4C87F514" w14:textId="1677DD92">
      <w:pPr>
        <w:rPr>
          <w:rFonts w:ascii="Palatino Linotype" w:hAnsi="Palatino Linotype"/>
        </w:rPr>
      </w:pPr>
      <w:r w:rsidRPr="00DD2C68">
        <w:rPr>
          <w:rFonts w:ascii="Palatino Linotype" w:hAnsi="Palatino Linotype"/>
        </w:rPr>
        <w:t>As specified in Table 1</w:t>
      </w:r>
      <w:r w:rsidRPr="00DD2C68" w:rsidR="0AB4369F">
        <w:rPr>
          <w:rFonts w:ascii="Palatino Linotype" w:hAnsi="Palatino Linotype"/>
        </w:rPr>
        <w:t xml:space="preserve"> and Table 2</w:t>
      </w:r>
      <w:r w:rsidRPr="00DD2C68">
        <w:rPr>
          <w:rFonts w:ascii="Palatino Linotype" w:hAnsi="Palatino Linotype"/>
        </w:rPr>
        <w:t xml:space="preserve">, each </w:t>
      </w:r>
      <w:r w:rsidRPr="00DD2C68" w:rsidR="0C22CF57">
        <w:rPr>
          <w:rFonts w:ascii="Palatino Linotype" w:hAnsi="Palatino Linotype"/>
        </w:rPr>
        <w:t xml:space="preserve">pending load category </w:t>
      </w:r>
      <w:r w:rsidRPr="00DD2C68" w:rsidR="0AB4369F">
        <w:rPr>
          <w:rFonts w:ascii="Palatino Linotype" w:hAnsi="Palatino Linotype"/>
        </w:rPr>
        <w:t xml:space="preserve">is made up of a </w:t>
      </w:r>
      <w:r w:rsidRPr="00DD2C68" w:rsidR="06666906">
        <w:rPr>
          <w:rFonts w:ascii="Palatino Linotype" w:hAnsi="Palatino Linotype"/>
        </w:rPr>
        <w:t xml:space="preserve">certain type of </w:t>
      </w:r>
      <w:r w:rsidRPr="00DD2C68" w:rsidR="345584EF">
        <w:rPr>
          <w:rFonts w:ascii="Palatino Linotype" w:hAnsi="Palatino Linotype"/>
        </w:rPr>
        <w:t xml:space="preserve">information and </w:t>
      </w:r>
      <w:r w:rsidRPr="00DD2C68" w:rsidR="2972F4A7">
        <w:rPr>
          <w:rFonts w:ascii="Palatino Linotype" w:hAnsi="Palatino Linotype"/>
        </w:rPr>
        <w:t>specific approach for use in</w:t>
      </w:r>
      <w:r w:rsidRPr="00DD2C68" w:rsidR="55930311">
        <w:rPr>
          <w:rFonts w:ascii="Palatino Linotype" w:hAnsi="Palatino Linotype"/>
        </w:rPr>
        <w:t xml:space="preserve"> distribution plan</w:t>
      </w:r>
      <w:r w:rsidRPr="00DD2C68" w:rsidR="329123BF">
        <w:rPr>
          <w:rFonts w:ascii="Palatino Linotype" w:hAnsi="Palatino Linotype"/>
        </w:rPr>
        <w:t>ning</w:t>
      </w:r>
      <w:r w:rsidRPr="00DD2C68" w:rsidR="55930311">
        <w:rPr>
          <w:rFonts w:ascii="Palatino Linotype" w:hAnsi="Palatino Linotype"/>
        </w:rPr>
        <w:t xml:space="preserve"> scenario</w:t>
      </w:r>
      <w:r w:rsidRPr="00DD2C68" w:rsidR="329123BF">
        <w:rPr>
          <w:rFonts w:ascii="Palatino Linotype" w:hAnsi="Palatino Linotype"/>
        </w:rPr>
        <w:t>s</w:t>
      </w:r>
      <w:r w:rsidRPr="00DD2C68" w:rsidR="14092AB2">
        <w:rPr>
          <w:rFonts w:ascii="Palatino Linotype" w:hAnsi="Palatino Linotype"/>
        </w:rPr>
        <w:t xml:space="preserve">. </w:t>
      </w:r>
      <w:r w:rsidRPr="00DD2C68" w:rsidR="345584EF">
        <w:rPr>
          <w:rFonts w:ascii="Palatino Linotype" w:hAnsi="Palatino Linotype"/>
        </w:rPr>
        <w:t xml:space="preserve">Category A pending loads are based on customer provided information </w:t>
      </w:r>
      <w:r w:rsidRPr="00DD2C68" w:rsidR="0BBBCA01">
        <w:rPr>
          <w:rFonts w:ascii="Palatino Linotype" w:hAnsi="Palatino Linotype"/>
        </w:rPr>
        <w:t>with high specificity</w:t>
      </w:r>
      <w:r w:rsidRPr="00DD2C68" w:rsidR="3C4C5164">
        <w:rPr>
          <w:rFonts w:ascii="Palatino Linotype" w:hAnsi="Palatino Linotype"/>
        </w:rPr>
        <w:t xml:space="preserve"> and are therefore assigned high confidence that the pending loads will </w:t>
      </w:r>
      <w:r w:rsidRPr="00DD2C68" w:rsidR="15525B91">
        <w:rPr>
          <w:rFonts w:ascii="Palatino Linotype" w:hAnsi="Palatino Linotype"/>
        </w:rPr>
        <w:t xml:space="preserve">result in </w:t>
      </w:r>
      <w:r w:rsidRPr="00DD2C68" w:rsidR="739D9CA9">
        <w:rPr>
          <w:rFonts w:ascii="Palatino Linotype" w:hAnsi="Palatino Linotype"/>
        </w:rPr>
        <w:t>applications for service</w:t>
      </w:r>
      <w:r w:rsidRPr="00DD2C68">
        <w:rPr>
          <w:rStyle w:val="FootnoteReference"/>
          <w:rFonts w:ascii="Palatino Linotype" w:hAnsi="Palatino Linotype"/>
        </w:rPr>
        <w:footnoteReference w:id="3"/>
      </w:r>
      <w:r w:rsidRPr="00DD2C68" w:rsidR="739D9CA9">
        <w:rPr>
          <w:rFonts w:ascii="Palatino Linotype" w:hAnsi="Palatino Linotype"/>
        </w:rPr>
        <w:t xml:space="preserve"> and </w:t>
      </w:r>
      <w:r w:rsidRPr="00DD2C68" w:rsidR="29D2BB20">
        <w:rPr>
          <w:rFonts w:ascii="Palatino Linotype" w:hAnsi="Palatino Linotype"/>
        </w:rPr>
        <w:t xml:space="preserve">are reasonable to plan for. For this reason, </w:t>
      </w:r>
      <w:r w:rsidRPr="00DD2C68" w:rsidR="7412F382">
        <w:rPr>
          <w:rFonts w:ascii="Palatino Linotype" w:hAnsi="Palatino Linotype"/>
        </w:rPr>
        <w:t>C</w:t>
      </w:r>
      <w:r w:rsidRPr="00DD2C68" w:rsidR="50151B9D">
        <w:rPr>
          <w:rFonts w:ascii="Palatino Linotype" w:hAnsi="Palatino Linotype"/>
        </w:rPr>
        <w:t xml:space="preserve">ategory A pending loads can be used in the base scenario to exceed the IEPR </w:t>
      </w:r>
      <w:r w:rsidRPr="00DD2C68" w:rsidR="7412F382">
        <w:rPr>
          <w:rFonts w:ascii="Palatino Linotype" w:hAnsi="Palatino Linotype"/>
        </w:rPr>
        <w:t xml:space="preserve">if </w:t>
      </w:r>
      <w:r w:rsidRPr="00DD2C68" w:rsidR="01E4B02F">
        <w:rPr>
          <w:rFonts w:ascii="Palatino Linotype" w:hAnsi="Palatino Linotype"/>
        </w:rPr>
        <w:t xml:space="preserve">the total energy </w:t>
      </w:r>
      <w:r w:rsidRPr="00DD2C68" w:rsidR="01E4B02F">
        <w:rPr>
          <w:rFonts w:ascii="Palatino Linotype" w:hAnsi="Palatino Linotype"/>
        </w:rPr>
        <w:lastRenderedPageBreak/>
        <w:t>from the known loads and pending loads surpass</w:t>
      </w:r>
      <w:r w:rsidRPr="00DD2C68" w:rsidR="3F21F09C">
        <w:rPr>
          <w:rFonts w:ascii="Palatino Linotype" w:hAnsi="Palatino Linotype"/>
        </w:rPr>
        <w:t>es</w:t>
      </w:r>
      <w:r w:rsidRPr="00DD2C68" w:rsidR="01E4B02F">
        <w:rPr>
          <w:rFonts w:ascii="Palatino Linotype" w:hAnsi="Palatino Linotype"/>
        </w:rPr>
        <w:t xml:space="preserve"> the energy demand forecast established in the CEC’s IEPR</w:t>
      </w:r>
      <w:r w:rsidRPr="00DD2C68" w:rsidR="1A83D2B9">
        <w:rPr>
          <w:rFonts w:ascii="Palatino Linotype" w:hAnsi="Palatino Linotype"/>
        </w:rPr>
        <w:t xml:space="preserve"> for a given </w:t>
      </w:r>
      <w:r w:rsidRPr="00DD2C68" w:rsidR="35E3E1AC">
        <w:rPr>
          <w:rFonts w:ascii="Palatino Linotype" w:hAnsi="Palatino Linotype"/>
        </w:rPr>
        <w:t xml:space="preserve">load sector </w:t>
      </w:r>
      <w:proofErr w:type="gramStart"/>
      <w:r w:rsidRPr="00DD2C68" w:rsidR="35E3E1AC">
        <w:rPr>
          <w:rFonts w:ascii="Palatino Linotype" w:hAnsi="Palatino Linotype"/>
        </w:rPr>
        <w:t xml:space="preserve">in a given </w:t>
      </w:r>
      <w:r w:rsidRPr="00DD2C68" w:rsidR="1A83D2B9">
        <w:rPr>
          <w:rFonts w:ascii="Palatino Linotype" w:hAnsi="Palatino Linotype"/>
        </w:rPr>
        <w:t>year</w:t>
      </w:r>
      <w:proofErr w:type="gramEnd"/>
      <w:r w:rsidRPr="00DD2C68" w:rsidR="4BCB36A0">
        <w:rPr>
          <w:rFonts w:ascii="Palatino Linotype" w:hAnsi="Palatino Linotype"/>
        </w:rPr>
        <w:t xml:space="preserve"> for a </w:t>
      </w:r>
      <w:r w:rsidR="00721AD9">
        <w:rPr>
          <w:rFonts w:ascii="Palatino Linotype" w:hAnsi="Palatino Linotype"/>
        </w:rPr>
        <w:br/>
      </w:r>
      <w:r w:rsidRPr="00DD2C68" w:rsidR="4BCB36A0">
        <w:rPr>
          <w:rFonts w:ascii="Palatino Linotype" w:hAnsi="Palatino Linotype"/>
        </w:rPr>
        <w:t>utility’s service territory</w:t>
      </w:r>
      <w:r w:rsidRPr="00DD2C68" w:rsidR="7B4F0C3D">
        <w:rPr>
          <w:rFonts w:ascii="Palatino Linotype" w:hAnsi="Palatino Linotype"/>
        </w:rPr>
        <w:t>.</w:t>
      </w:r>
    </w:p>
    <w:p w:rsidR="0084218F" w:rsidP="5FB9B0AE" w:rsidRDefault="7AE2A160" w14:paraId="048F674D" w14:textId="741DA700">
      <w:pPr>
        <w:rPr>
          <w:rFonts w:ascii="Palatino Linotype" w:hAnsi="Palatino Linotype"/>
        </w:rPr>
      </w:pPr>
      <w:r w:rsidRPr="00DD2C68">
        <w:rPr>
          <w:rFonts w:ascii="Palatino Linotype" w:hAnsi="Palatino Linotype"/>
        </w:rPr>
        <w:t xml:space="preserve">Similarly, </w:t>
      </w:r>
      <w:r w:rsidRPr="00DD2C68" w:rsidR="0A1DF1E4">
        <w:rPr>
          <w:rFonts w:ascii="Palatino Linotype" w:hAnsi="Palatino Linotype"/>
        </w:rPr>
        <w:t>C</w:t>
      </w:r>
      <w:r w:rsidRPr="00DD2C68">
        <w:rPr>
          <w:rFonts w:ascii="Palatino Linotype" w:hAnsi="Palatino Linotype"/>
        </w:rPr>
        <w:t xml:space="preserve">ategory B pending loads are </w:t>
      </w:r>
      <w:r w:rsidRPr="00DD2C68" w:rsidR="102A213E">
        <w:rPr>
          <w:rFonts w:ascii="Palatino Linotype" w:hAnsi="Palatino Linotype"/>
        </w:rPr>
        <w:t>based on customer provided information, but with less specificity than in Category A.</w:t>
      </w:r>
      <w:r w:rsidRPr="00DD2C68" w:rsidR="69C95277">
        <w:rPr>
          <w:rFonts w:ascii="Palatino Linotype" w:hAnsi="Palatino Linotype"/>
        </w:rPr>
        <w:t xml:space="preserve"> Category B1 </w:t>
      </w:r>
      <w:r w:rsidRPr="00DD2C68" w:rsidR="0C48245C">
        <w:rPr>
          <w:rFonts w:ascii="Palatino Linotype" w:hAnsi="Palatino Linotype"/>
        </w:rPr>
        <w:t xml:space="preserve">pending loads are customer projects that </w:t>
      </w:r>
      <w:r w:rsidRPr="00DD2C68" w:rsidR="69660924">
        <w:rPr>
          <w:rFonts w:ascii="Palatino Linotype" w:hAnsi="Palatino Linotype"/>
        </w:rPr>
        <w:t xml:space="preserve">are </w:t>
      </w:r>
      <w:r w:rsidRPr="00DD2C68" w:rsidR="7212AA8F">
        <w:rPr>
          <w:rFonts w:ascii="Palatino Linotype" w:hAnsi="Palatino Linotype"/>
        </w:rPr>
        <w:t>a few steps of development away from being Category A pending loads.</w:t>
      </w:r>
      <w:r w:rsidRPr="00DD2C68" w:rsidR="102A213E">
        <w:rPr>
          <w:rFonts w:ascii="Palatino Linotype" w:hAnsi="Palatino Linotype"/>
        </w:rPr>
        <w:t xml:space="preserve"> </w:t>
      </w:r>
      <w:r w:rsidRPr="00DD2C68" w:rsidR="7D4B592A">
        <w:rPr>
          <w:rFonts w:ascii="Palatino Linotype" w:hAnsi="Palatino Linotype"/>
        </w:rPr>
        <w:t>Pending Loads in Category B</w:t>
      </w:r>
      <w:r w:rsidRPr="00DD2C68" w:rsidR="7E6C6DEB">
        <w:rPr>
          <w:rFonts w:ascii="Palatino Linotype" w:hAnsi="Palatino Linotype"/>
        </w:rPr>
        <w:t>1</w:t>
      </w:r>
      <w:r w:rsidRPr="00DD2C68" w:rsidR="7D4B592A">
        <w:rPr>
          <w:rFonts w:ascii="Palatino Linotype" w:hAnsi="Palatino Linotype"/>
        </w:rPr>
        <w:t xml:space="preserve"> are considered medium confidence to materialize and </w:t>
      </w:r>
      <w:r w:rsidRPr="00DD2C68" w:rsidR="68030D0B">
        <w:rPr>
          <w:rFonts w:ascii="Palatino Linotype" w:hAnsi="Palatino Linotype"/>
        </w:rPr>
        <w:t>ar</w:t>
      </w:r>
      <w:r w:rsidRPr="00DD2C68" w:rsidR="298C737E">
        <w:rPr>
          <w:rFonts w:ascii="Palatino Linotype" w:hAnsi="Palatino Linotype"/>
        </w:rPr>
        <w:t>e also reasonable to plan for</w:t>
      </w:r>
      <w:r w:rsidRPr="00DD2C68" w:rsidR="3D2CA856">
        <w:rPr>
          <w:rFonts w:ascii="Palatino Linotype" w:hAnsi="Palatino Linotype"/>
        </w:rPr>
        <w:t xml:space="preserve"> and allowed to exceed the IEPR forecast.</w:t>
      </w:r>
    </w:p>
    <w:p w:rsidR="000C2E34" w:rsidP="5FB9B0AE" w:rsidRDefault="632B6893" w14:paraId="280C6CB1" w14:textId="309C9A1F">
      <w:pPr>
        <w:rPr>
          <w:rFonts w:ascii="Palatino Linotype" w:hAnsi="Palatino Linotype" w:cs="Arial"/>
        </w:rPr>
      </w:pPr>
      <w:r w:rsidRPr="00DD2C68">
        <w:rPr>
          <w:rFonts w:ascii="Palatino Linotype" w:hAnsi="Palatino Linotype"/>
        </w:rPr>
        <w:t xml:space="preserve">Category </w:t>
      </w:r>
      <w:r w:rsidRPr="00DD2C68" w:rsidR="35291F17">
        <w:rPr>
          <w:rFonts w:ascii="Palatino Linotype" w:hAnsi="Palatino Linotype"/>
        </w:rPr>
        <w:t>B2</w:t>
      </w:r>
      <w:r w:rsidRPr="00DD2C68">
        <w:rPr>
          <w:rFonts w:ascii="Palatino Linotype" w:hAnsi="Palatino Linotype"/>
        </w:rPr>
        <w:t xml:space="preserve"> pending loads are informed by customer</w:t>
      </w:r>
      <w:r w:rsidRPr="00DD2C68" w:rsidR="00A1351E">
        <w:rPr>
          <w:rFonts w:ascii="Palatino Linotype" w:hAnsi="Palatino Linotype"/>
        </w:rPr>
        <w:t>-</w:t>
      </w:r>
      <w:r w:rsidRPr="00DD2C68">
        <w:rPr>
          <w:rFonts w:ascii="Palatino Linotype" w:hAnsi="Palatino Linotype"/>
        </w:rPr>
        <w:t>based studies</w:t>
      </w:r>
      <w:r w:rsidRPr="00DD2C68" w:rsidR="32C7D3CD">
        <w:rPr>
          <w:rFonts w:ascii="Palatino Linotype" w:hAnsi="Palatino Linotype"/>
        </w:rPr>
        <w:t xml:space="preserve"> and </w:t>
      </w:r>
      <w:r w:rsidRPr="00DD2C68" w:rsidR="3D0B4A00">
        <w:rPr>
          <w:rFonts w:ascii="Palatino Linotype" w:hAnsi="Palatino Linotype"/>
        </w:rPr>
        <w:t xml:space="preserve">studies or analysis based on </w:t>
      </w:r>
      <w:r w:rsidRPr="00DD2C68" w:rsidR="78CF8983">
        <w:rPr>
          <w:rFonts w:ascii="Palatino Linotype" w:hAnsi="Palatino Linotype"/>
        </w:rPr>
        <w:t>regulatory compliance.</w:t>
      </w:r>
      <w:r w:rsidRPr="00DD2C68" w:rsidR="00D47A51">
        <w:rPr>
          <w:rStyle w:val="FootnoteReference"/>
          <w:rFonts w:ascii="Palatino Linotype" w:hAnsi="Palatino Linotype"/>
        </w:rPr>
        <w:footnoteReference w:id="4"/>
      </w:r>
      <w:r w:rsidRPr="00DD2C68" w:rsidR="78CF8983">
        <w:rPr>
          <w:rFonts w:ascii="Palatino Linotype" w:hAnsi="Palatino Linotype"/>
        </w:rPr>
        <w:t xml:space="preserve"> These types of studies capture areas where </w:t>
      </w:r>
      <w:r w:rsidRPr="00DD2C68" w:rsidR="3ACD236F">
        <w:rPr>
          <w:rFonts w:ascii="Palatino Linotype" w:hAnsi="Palatino Linotype"/>
        </w:rPr>
        <w:t xml:space="preserve">sources of information </w:t>
      </w:r>
      <w:r w:rsidRPr="00DD2C68" w:rsidR="782A1069">
        <w:rPr>
          <w:rFonts w:ascii="Palatino Linotype" w:hAnsi="Palatino Linotype"/>
        </w:rPr>
        <w:t xml:space="preserve">indicate there will be </w:t>
      </w:r>
      <w:r w:rsidRPr="00DD2C68" w:rsidR="4B5D54E3">
        <w:rPr>
          <w:rFonts w:ascii="Palatino Linotype" w:hAnsi="Palatino Linotype"/>
        </w:rPr>
        <w:t>load growth</w:t>
      </w:r>
      <w:r w:rsidRPr="00DD2C68" w:rsidR="06243121">
        <w:rPr>
          <w:rFonts w:ascii="Palatino Linotype" w:hAnsi="Palatino Linotype"/>
        </w:rPr>
        <w:t xml:space="preserve"> that</w:t>
      </w:r>
      <w:r w:rsidRPr="00DD2C68" w:rsidR="7B70472C">
        <w:rPr>
          <w:rFonts w:ascii="Palatino Linotype" w:hAnsi="Palatino Linotype"/>
        </w:rPr>
        <w:t xml:space="preserve"> may not be </w:t>
      </w:r>
      <w:r w:rsidRPr="00DD2C68" w:rsidR="4B0CF363">
        <w:rPr>
          <w:rFonts w:ascii="Palatino Linotype" w:hAnsi="Palatino Linotype"/>
        </w:rPr>
        <w:t>fully captured by customer information.</w:t>
      </w:r>
      <w:r w:rsidRPr="00DD2C68" w:rsidR="46598CFB">
        <w:rPr>
          <w:rFonts w:ascii="Palatino Linotype" w:hAnsi="Palatino Linotype"/>
        </w:rPr>
        <w:t xml:space="preserve"> In this case, </w:t>
      </w:r>
      <w:r w:rsidRPr="00DD2C68" w:rsidR="00E6544E">
        <w:rPr>
          <w:rFonts w:ascii="Palatino Linotype" w:hAnsi="Palatino Linotype"/>
        </w:rPr>
        <w:t>C</w:t>
      </w:r>
      <w:r w:rsidRPr="00DD2C68" w:rsidR="46598CFB">
        <w:rPr>
          <w:rFonts w:ascii="Palatino Linotype" w:hAnsi="Palatino Linotype"/>
        </w:rPr>
        <w:t xml:space="preserve">ategory B2 pending loads </w:t>
      </w:r>
      <w:r w:rsidRPr="00DD2C68" w:rsidR="07C69F5F">
        <w:rPr>
          <w:rFonts w:ascii="Palatino Linotype" w:hAnsi="Palatino Linotype"/>
        </w:rPr>
        <w:t xml:space="preserve">can be used to fill in the </w:t>
      </w:r>
      <w:r w:rsidRPr="00DD2C68" w:rsidR="0A40C34D">
        <w:rPr>
          <w:rFonts w:ascii="Palatino Linotype" w:hAnsi="Palatino Linotype"/>
        </w:rPr>
        <w:t xml:space="preserve">missing </w:t>
      </w:r>
      <w:r w:rsidRPr="00DD2C68" w:rsidR="394E70E5">
        <w:rPr>
          <w:rFonts w:ascii="Palatino Linotype" w:hAnsi="Palatino Linotype"/>
        </w:rPr>
        <w:t xml:space="preserve">customer </w:t>
      </w:r>
      <w:r w:rsidRPr="00DD2C68" w:rsidR="0A40C34D">
        <w:rPr>
          <w:rFonts w:ascii="Palatino Linotype" w:hAnsi="Palatino Linotype"/>
        </w:rPr>
        <w:t>information</w:t>
      </w:r>
      <w:r w:rsidRPr="00DD2C68" w:rsidR="394E70E5">
        <w:rPr>
          <w:rFonts w:ascii="Palatino Linotype" w:hAnsi="Palatino Linotype"/>
        </w:rPr>
        <w:t xml:space="preserve"> and create a more accurate picture of the </w:t>
      </w:r>
      <w:r w:rsidRPr="00DD2C68" w:rsidR="0008B159">
        <w:rPr>
          <w:rFonts w:ascii="Palatino Linotype" w:hAnsi="Palatino Linotype"/>
        </w:rPr>
        <w:t xml:space="preserve">expected </w:t>
      </w:r>
      <w:r w:rsidRPr="00DD2C68" w:rsidR="394E70E5">
        <w:rPr>
          <w:rFonts w:ascii="Palatino Linotype" w:hAnsi="Palatino Linotype"/>
        </w:rPr>
        <w:t>load growth.</w:t>
      </w:r>
      <w:r w:rsidRPr="00DD2C68" w:rsidR="4B0CF363">
        <w:rPr>
          <w:rFonts w:ascii="Palatino Linotype" w:hAnsi="Palatino Linotype"/>
        </w:rPr>
        <w:t xml:space="preserve"> </w:t>
      </w:r>
      <w:r w:rsidRPr="00DD2C68" w:rsidR="07629165">
        <w:rPr>
          <w:rFonts w:ascii="Palatino Linotype" w:hAnsi="Palatino Linotype"/>
        </w:rPr>
        <w:t xml:space="preserve">Category </w:t>
      </w:r>
      <w:r w:rsidRPr="00DD2C68" w:rsidR="35291F17">
        <w:rPr>
          <w:rFonts w:ascii="Palatino Linotype" w:hAnsi="Palatino Linotype"/>
        </w:rPr>
        <w:t>B2</w:t>
      </w:r>
      <w:r w:rsidRPr="00DD2C68" w:rsidR="07629165">
        <w:rPr>
          <w:rFonts w:ascii="Palatino Linotype" w:hAnsi="Palatino Linotype"/>
        </w:rPr>
        <w:t xml:space="preserve"> pending loads </w:t>
      </w:r>
      <w:r w:rsidRPr="00DD2C68" w:rsidR="4685CC28">
        <w:rPr>
          <w:rFonts w:ascii="Palatino Linotype" w:hAnsi="Palatino Linotype"/>
        </w:rPr>
        <w:t>are not</w:t>
      </w:r>
      <w:r w:rsidRPr="00DD2C68" w:rsidDel="00631C1B" w:rsidR="57A1FC4C">
        <w:rPr>
          <w:rFonts w:ascii="Palatino Linotype" w:hAnsi="Palatino Linotype"/>
        </w:rPr>
        <w:t xml:space="preserve"> </w:t>
      </w:r>
      <w:r w:rsidRPr="00DD2C68" w:rsidR="57A1FC4C">
        <w:rPr>
          <w:rFonts w:ascii="Palatino Linotype" w:hAnsi="Palatino Linotype"/>
        </w:rPr>
        <w:t>allowed to exceed the IEPR</w:t>
      </w:r>
      <w:r w:rsidRPr="00DD2C68" w:rsidR="0878FB71">
        <w:rPr>
          <w:rFonts w:ascii="Palatino Linotype" w:hAnsi="Palatino Linotype"/>
        </w:rPr>
        <w:t xml:space="preserve">, they </w:t>
      </w:r>
      <w:r w:rsidRPr="00DD2C68" w:rsidR="7C4EF957">
        <w:rPr>
          <w:rFonts w:ascii="Palatino Linotype" w:hAnsi="Palatino Linotype"/>
        </w:rPr>
        <w:t xml:space="preserve">will be capped at the IEPR unless the pending loads are in a hot spot. </w:t>
      </w:r>
      <w:r w:rsidRPr="00DD2C68" w:rsidR="5178D01B">
        <w:rPr>
          <w:rFonts w:ascii="Palatino Linotype" w:hAnsi="Palatino Linotype"/>
        </w:rPr>
        <w:t xml:space="preserve">This means that if </w:t>
      </w:r>
      <w:r w:rsidRPr="00DD2C68" w:rsidR="0216B598">
        <w:rPr>
          <w:rFonts w:ascii="Palatino Linotype" w:hAnsi="Palatino Linotype"/>
        </w:rPr>
        <w:t>known loads and pending loads from Category A and B1</w:t>
      </w:r>
      <w:r w:rsidRPr="00DD2C68" w:rsidR="18B1D121">
        <w:rPr>
          <w:rFonts w:ascii="Palatino Linotype" w:hAnsi="Palatino Linotype"/>
        </w:rPr>
        <w:t xml:space="preserve"> </w:t>
      </w:r>
      <w:r w:rsidRPr="00DD2C68" w:rsidR="32FA3AB2">
        <w:rPr>
          <w:rFonts w:ascii="Palatino Linotype" w:hAnsi="Palatino Linotype"/>
        </w:rPr>
        <w:t xml:space="preserve">combine to more load growth than the IEPR forecasts for </w:t>
      </w:r>
      <w:r w:rsidRPr="00DD2C68" w:rsidR="4524949E">
        <w:rPr>
          <w:rFonts w:ascii="Palatino Linotype" w:hAnsi="Palatino Linotype"/>
        </w:rPr>
        <w:t>a given</w:t>
      </w:r>
      <w:r w:rsidRPr="00DD2C68" w:rsidR="32FA3AB2">
        <w:rPr>
          <w:rFonts w:ascii="Palatino Linotype" w:hAnsi="Palatino Linotype"/>
        </w:rPr>
        <w:t xml:space="preserve"> year, </w:t>
      </w:r>
      <w:r w:rsidRPr="00DD2C68" w:rsidR="3204D63D">
        <w:rPr>
          <w:rFonts w:ascii="Palatino Linotype" w:hAnsi="Palatino Linotype"/>
        </w:rPr>
        <w:t>pending loads</w:t>
      </w:r>
      <w:r w:rsidRPr="00DD2C68" w:rsidR="2D9A22BF">
        <w:rPr>
          <w:rFonts w:ascii="Palatino Linotype" w:hAnsi="Palatino Linotype"/>
        </w:rPr>
        <w:t xml:space="preserve"> in category B2 cannot be used</w:t>
      </w:r>
      <w:r w:rsidRPr="00DD2C68" w:rsidR="47560631">
        <w:rPr>
          <w:rFonts w:ascii="Palatino Linotype" w:hAnsi="Palatino Linotype"/>
        </w:rPr>
        <w:t xml:space="preserve"> </w:t>
      </w:r>
      <w:r w:rsidRPr="00DD2C68" w:rsidR="1798014F">
        <w:rPr>
          <w:rFonts w:ascii="Palatino Linotype" w:hAnsi="Palatino Linotype"/>
        </w:rPr>
        <w:t>to exceed the IEPR</w:t>
      </w:r>
      <w:r w:rsidRPr="00DD2C68" w:rsidR="47560631">
        <w:rPr>
          <w:rFonts w:ascii="Palatino Linotype" w:hAnsi="Palatino Linotype"/>
        </w:rPr>
        <w:t xml:space="preserve"> unless they are in a hot spot</w:t>
      </w:r>
      <w:r w:rsidRPr="00DD2C68" w:rsidR="1B1B4BDD">
        <w:rPr>
          <w:rFonts w:ascii="Palatino Linotype" w:hAnsi="Palatino Linotype"/>
        </w:rPr>
        <w:t>, as defined in this resolution</w:t>
      </w:r>
      <w:r w:rsidRPr="00DD2C68" w:rsidR="47560631">
        <w:rPr>
          <w:rFonts w:ascii="Palatino Linotype" w:hAnsi="Palatino Linotype"/>
        </w:rPr>
        <w:t>.</w:t>
      </w:r>
    </w:p>
    <w:p w:rsidRPr="000720CA" w:rsidR="006B2BDA" w:rsidP="742B4D96" w:rsidRDefault="006B2BDA" w14:paraId="5E16C335" w14:textId="6AA2048A">
      <w:pPr>
        <w:rPr>
          <w:rFonts w:ascii="Palatino Linotype" w:hAnsi="Palatino Linotype"/>
        </w:rPr>
      </w:pPr>
      <w:r w:rsidRPr="742B4D96">
        <w:rPr>
          <w:rFonts w:ascii="Palatino Linotype" w:hAnsi="Palatino Linotype"/>
        </w:rPr>
        <w:t xml:space="preserve">“Exceed the </w:t>
      </w:r>
      <w:proofErr w:type="gramStart"/>
      <w:r w:rsidRPr="742B4D96">
        <w:rPr>
          <w:rFonts w:ascii="Palatino Linotype" w:hAnsi="Palatino Linotype"/>
        </w:rPr>
        <w:t>IEPR ”</w:t>
      </w:r>
      <w:proofErr w:type="gramEnd"/>
      <w:r w:rsidRPr="742B4D96">
        <w:rPr>
          <w:rFonts w:ascii="Palatino Linotype" w:hAnsi="Palatino Linotype"/>
        </w:rPr>
        <w:t xml:space="preserve"> means the total energy consumption</w:t>
      </w:r>
      <w:r w:rsidRPr="742B4D96" w:rsidR="00154336">
        <w:rPr>
          <w:rFonts w:ascii="Palatino Linotype" w:hAnsi="Palatino Linotype"/>
        </w:rPr>
        <w:t>/peak</w:t>
      </w:r>
      <w:r w:rsidRPr="742B4D96">
        <w:rPr>
          <w:rFonts w:ascii="Palatino Linotype" w:hAnsi="Palatino Linotype"/>
        </w:rPr>
        <w:t xml:space="preserve"> </w:t>
      </w:r>
      <w:r w:rsidRPr="742B4D96" w:rsidR="009859EF">
        <w:rPr>
          <w:rFonts w:ascii="Palatino Linotype" w:hAnsi="Palatino Linotype"/>
        </w:rPr>
        <w:t>demand</w:t>
      </w:r>
      <w:r w:rsidRPr="742B4D96">
        <w:rPr>
          <w:rFonts w:ascii="Palatino Linotype" w:hAnsi="Palatino Linotype"/>
        </w:rPr>
        <w:t xml:space="preserve"> expected each year from the known loads and </w:t>
      </w:r>
      <w:r w:rsidRPr="742B4D96" w:rsidR="004673CB">
        <w:rPr>
          <w:rFonts w:ascii="Palatino Linotype" w:hAnsi="Palatino Linotype"/>
        </w:rPr>
        <w:t xml:space="preserve">eligible </w:t>
      </w:r>
      <w:r w:rsidRPr="742B4D96">
        <w:rPr>
          <w:rFonts w:ascii="Palatino Linotype" w:hAnsi="Palatino Linotype"/>
        </w:rPr>
        <w:t xml:space="preserve">pending loads </w:t>
      </w:r>
      <w:r w:rsidRPr="742B4D96" w:rsidR="00C521E8">
        <w:rPr>
          <w:rFonts w:ascii="Palatino Linotype" w:hAnsi="Palatino Linotype"/>
        </w:rPr>
        <w:t>surpasses</w:t>
      </w:r>
      <w:r w:rsidRPr="742B4D96">
        <w:rPr>
          <w:rFonts w:ascii="Palatino Linotype" w:hAnsi="Palatino Linotype"/>
        </w:rPr>
        <w:t xml:space="preserve"> the energy </w:t>
      </w:r>
      <w:r w:rsidRPr="742B4D96" w:rsidR="00830615">
        <w:rPr>
          <w:rFonts w:ascii="Palatino Linotype" w:hAnsi="Palatino Linotype"/>
        </w:rPr>
        <w:t>consumption</w:t>
      </w:r>
      <w:r w:rsidRPr="742B4D96" w:rsidR="008D5F2A">
        <w:rPr>
          <w:rFonts w:ascii="Palatino Linotype" w:hAnsi="Palatino Linotype"/>
        </w:rPr>
        <w:t>/peak deman</w:t>
      </w:r>
      <w:r w:rsidRPr="742B4D96" w:rsidR="00CC3E81">
        <w:rPr>
          <w:rFonts w:ascii="Palatino Linotype" w:hAnsi="Palatino Linotype"/>
        </w:rPr>
        <w:t>d</w:t>
      </w:r>
      <w:r w:rsidRPr="742B4D96" w:rsidR="00FE2500">
        <w:rPr>
          <w:rFonts w:ascii="Palatino Linotype" w:hAnsi="Palatino Linotype"/>
        </w:rPr>
        <w:t xml:space="preserve"> </w:t>
      </w:r>
      <w:r w:rsidRPr="742B4D96">
        <w:rPr>
          <w:rFonts w:ascii="Palatino Linotype" w:hAnsi="Palatino Linotype"/>
        </w:rPr>
        <w:t xml:space="preserve">forecast established in the CEC’s IEPR for the utility service area. </w:t>
      </w:r>
      <w:r w:rsidRPr="742B4D96" w:rsidR="111A704B">
        <w:rPr>
          <w:rFonts w:ascii="Palatino Linotype" w:hAnsi="Palatino Linotype"/>
        </w:rPr>
        <w:t xml:space="preserve"> </w:t>
      </w:r>
      <w:r w:rsidR="00814145">
        <w:rPr>
          <w:rFonts w:ascii="Palatino Linotype" w:hAnsi="Palatino Linotype"/>
        </w:rPr>
        <w:t>T</w:t>
      </w:r>
      <w:r w:rsidRPr="000720CA" w:rsidR="00814145">
        <w:rPr>
          <w:rFonts w:ascii="Palatino Linotype" w:hAnsi="Palatino Linotype"/>
        </w:rPr>
        <w:t>h</w:t>
      </w:r>
      <w:r w:rsidR="00E313F6">
        <w:rPr>
          <w:rFonts w:ascii="Palatino Linotype" w:hAnsi="Palatino Linotype"/>
        </w:rPr>
        <w:t>is</w:t>
      </w:r>
      <w:r w:rsidRPr="000720CA" w:rsidR="00814145">
        <w:rPr>
          <w:rFonts w:ascii="Palatino Linotype" w:hAnsi="Palatino Linotype"/>
        </w:rPr>
        <w:t xml:space="preserve"> definition of “exceed the IEPR” may be modified and improved </w:t>
      </w:r>
      <w:r w:rsidR="00814145">
        <w:rPr>
          <w:rFonts w:ascii="Palatino Linotype" w:hAnsi="Palatino Linotype"/>
        </w:rPr>
        <w:t xml:space="preserve">as part </w:t>
      </w:r>
      <w:r w:rsidR="00514618">
        <w:rPr>
          <w:rFonts w:ascii="Palatino Linotype" w:hAnsi="Palatino Linotype"/>
        </w:rPr>
        <w:t>of</w:t>
      </w:r>
      <w:r w:rsidRPr="000720CA" w:rsidR="00814145">
        <w:rPr>
          <w:rFonts w:ascii="Palatino Linotype" w:hAnsi="Palatino Linotype"/>
        </w:rPr>
        <w:t xml:space="preserve"> the</w:t>
      </w:r>
      <w:r w:rsidR="0048347B">
        <w:rPr>
          <w:rFonts w:ascii="Palatino Linotype" w:hAnsi="Palatino Linotype"/>
        </w:rPr>
        <w:t xml:space="preserve"> </w:t>
      </w:r>
      <w:r w:rsidR="001F0717">
        <w:rPr>
          <w:rFonts w:ascii="Palatino Linotype" w:hAnsi="Palatino Linotype"/>
        </w:rPr>
        <w:t xml:space="preserve">upcoming </w:t>
      </w:r>
      <w:r w:rsidRPr="000720CA" w:rsidR="00814145">
        <w:rPr>
          <w:rFonts w:ascii="Palatino Linotype" w:hAnsi="Palatino Linotype"/>
        </w:rPr>
        <w:t xml:space="preserve">work </w:t>
      </w:r>
      <w:r w:rsidR="00814145">
        <w:rPr>
          <w:rFonts w:ascii="Palatino Linotype" w:hAnsi="Palatino Linotype"/>
        </w:rPr>
        <w:t>to comply</w:t>
      </w:r>
      <w:r w:rsidRPr="000720CA" w:rsidR="00814145">
        <w:rPr>
          <w:rFonts w:ascii="Palatino Linotype" w:hAnsi="Palatino Linotype"/>
        </w:rPr>
        <w:t xml:space="preserve"> with </w:t>
      </w:r>
      <w:r w:rsidR="00814145">
        <w:rPr>
          <w:rFonts w:ascii="Palatino Linotype" w:hAnsi="Palatino Linotype"/>
        </w:rPr>
        <w:t>O</w:t>
      </w:r>
      <w:r w:rsidRPr="000720CA" w:rsidR="00814145">
        <w:rPr>
          <w:rFonts w:ascii="Palatino Linotype" w:hAnsi="Palatino Linotype"/>
        </w:rPr>
        <w:t>rdering</w:t>
      </w:r>
      <w:r w:rsidR="00814145">
        <w:rPr>
          <w:rFonts w:ascii="Palatino Linotype" w:hAnsi="Palatino Linotype"/>
        </w:rPr>
        <w:t xml:space="preserve"> Pa</w:t>
      </w:r>
      <w:r w:rsidRPr="000720CA" w:rsidR="00814145">
        <w:rPr>
          <w:rFonts w:ascii="Palatino Linotype" w:hAnsi="Palatino Linotype"/>
        </w:rPr>
        <w:t>ragraphs 2 and 3</w:t>
      </w:r>
      <w:r w:rsidR="00814145">
        <w:rPr>
          <w:rFonts w:ascii="Palatino Linotype" w:hAnsi="Palatino Linotype"/>
        </w:rPr>
        <w:t xml:space="preserve"> of </w:t>
      </w:r>
      <w:r w:rsidRPr="000720CA" w:rsidR="00814145">
        <w:rPr>
          <w:rFonts w:ascii="Palatino Linotype" w:hAnsi="Palatino Linotype"/>
        </w:rPr>
        <w:t>D.24-10-030.</w:t>
      </w:r>
      <w:r w:rsidRPr="006443C1" w:rsidR="006443C1">
        <w:rPr>
          <w:rFonts w:ascii="Palatino Linotype" w:hAnsi="Palatino Linotype"/>
        </w:rPr>
        <w:t xml:space="preserve"> </w:t>
      </w:r>
      <w:r w:rsidR="003F34A9">
        <w:rPr>
          <w:rFonts w:ascii="Palatino Linotype" w:hAnsi="Palatino Linotype"/>
        </w:rPr>
        <w:t>Ordering Paragraphs</w:t>
      </w:r>
      <w:r w:rsidRPr="742B4D96" w:rsidDel="006443C1" w:rsidR="0B9B6909">
        <w:rPr>
          <w:rFonts w:ascii="Palatino Linotype" w:hAnsi="Palatino Linotype"/>
        </w:rPr>
        <w:t xml:space="preserve"> </w:t>
      </w:r>
      <w:r w:rsidRPr="182055DA" w:rsidR="27C71DDA">
        <w:rPr>
          <w:rFonts w:ascii="Palatino Linotype" w:hAnsi="Palatino Linotype"/>
        </w:rPr>
        <w:t xml:space="preserve">2 and </w:t>
      </w:r>
      <w:r w:rsidRPr="2D9A189F" w:rsidR="27C71DDA">
        <w:rPr>
          <w:rFonts w:ascii="Palatino Linotype" w:hAnsi="Palatino Linotype"/>
        </w:rPr>
        <w:t>3</w:t>
      </w:r>
      <w:r w:rsidRPr="742B4D96" w:rsidR="0B9B6909">
        <w:rPr>
          <w:rFonts w:ascii="Palatino Linotype" w:hAnsi="Palatino Linotype"/>
        </w:rPr>
        <w:t xml:space="preserve"> require the IOUs to</w:t>
      </w:r>
      <w:r w:rsidRPr="742B4D96" w:rsidR="452FD079">
        <w:rPr>
          <w:rFonts w:ascii="Palatino Linotype" w:hAnsi="Palatino Linotype"/>
        </w:rPr>
        <w:t xml:space="preserve"> file a </w:t>
      </w:r>
      <w:r w:rsidR="004A6AFC">
        <w:rPr>
          <w:rFonts w:ascii="Palatino Linotype" w:hAnsi="Palatino Linotype"/>
        </w:rPr>
        <w:t>T</w:t>
      </w:r>
      <w:r w:rsidRPr="742B4D96" w:rsidR="452FD079">
        <w:rPr>
          <w:rFonts w:ascii="Palatino Linotype" w:hAnsi="Palatino Linotype"/>
        </w:rPr>
        <w:t xml:space="preserve">ier 3 advice letter </w:t>
      </w:r>
      <w:r w:rsidR="00A406FF">
        <w:rPr>
          <w:rFonts w:ascii="Palatino Linotype" w:hAnsi="Palatino Linotype"/>
        </w:rPr>
        <w:t xml:space="preserve">that </w:t>
      </w:r>
      <w:r w:rsidRPr="742B4D96" w:rsidR="436D6D15">
        <w:rPr>
          <w:rFonts w:ascii="Palatino Linotype" w:hAnsi="Palatino Linotype"/>
        </w:rPr>
        <w:t>improv</w:t>
      </w:r>
      <w:r w:rsidR="00A406FF">
        <w:rPr>
          <w:rFonts w:ascii="Palatino Linotype" w:hAnsi="Palatino Linotype"/>
        </w:rPr>
        <w:t>es</w:t>
      </w:r>
      <w:r w:rsidRPr="742B4D96" w:rsidR="436D6D15">
        <w:rPr>
          <w:rFonts w:ascii="Palatino Linotype" w:hAnsi="Palatino Linotype"/>
        </w:rPr>
        <w:t xml:space="preserve"> the method </w:t>
      </w:r>
      <w:r w:rsidRPr="742B4D96" w:rsidR="78686FF7">
        <w:rPr>
          <w:rFonts w:ascii="Palatino Linotype" w:hAnsi="Palatino Linotype"/>
        </w:rPr>
        <w:t xml:space="preserve">for </w:t>
      </w:r>
      <w:r w:rsidRPr="742B4D96" w:rsidR="452FD079">
        <w:rPr>
          <w:rFonts w:ascii="Palatino Linotype" w:hAnsi="Palatino Linotype"/>
        </w:rPr>
        <w:t xml:space="preserve">setting caps on load growth </w:t>
      </w:r>
      <w:r w:rsidR="003A0DB6">
        <w:rPr>
          <w:rFonts w:ascii="Palatino Linotype" w:hAnsi="Palatino Linotype"/>
        </w:rPr>
        <w:t>using</w:t>
      </w:r>
      <w:r w:rsidR="009154CF">
        <w:rPr>
          <w:rFonts w:ascii="Palatino Linotype" w:hAnsi="Palatino Linotype"/>
        </w:rPr>
        <w:t xml:space="preserve"> </w:t>
      </w:r>
      <w:proofErr w:type="gramStart"/>
      <w:r w:rsidR="00E57249">
        <w:rPr>
          <w:rFonts w:ascii="Palatino Linotype" w:hAnsi="Palatino Linotype"/>
        </w:rPr>
        <w:t xml:space="preserve">the </w:t>
      </w:r>
      <w:r w:rsidRPr="742B4D96" w:rsidR="452FD079">
        <w:rPr>
          <w:rFonts w:ascii="Palatino Linotype" w:hAnsi="Palatino Linotype"/>
        </w:rPr>
        <w:t xml:space="preserve"> Integrated</w:t>
      </w:r>
      <w:proofErr w:type="gramEnd"/>
      <w:r w:rsidRPr="742B4D96" w:rsidR="452FD079">
        <w:rPr>
          <w:rFonts w:ascii="Palatino Linotype" w:hAnsi="Palatino Linotype"/>
        </w:rPr>
        <w:t xml:space="preserve"> Energy Policy Report data</w:t>
      </w:r>
      <w:r w:rsidRPr="742B4D96" w:rsidR="71638F60">
        <w:rPr>
          <w:rFonts w:ascii="Palatino Linotype" w:hAnsi="Palatino Linotype"/>
        </w:rPr>
        <w:t>.</w:t>
      </w:r>
      <w:r w:rsidRPr="742B4D96" w:rsidR="46BD7770">
        <w:rPr>
          <w:rFonts w:ascii="Palatino Linotype" w:hAnsi="Palatino Linotype"/>
        </w:rPr>
        <w:t xml:space="preserve"> </w:t>
      </w:r>
      <w:r w:rsidR="00D90A08">
        <w:rPr>
          <w:rFonts w:ascii="Palatino Linotype" w:hAnsi="Palatino Linotype"/>
        </w:rPr>
        <w:t>Specifically</w:t>
      </w:r>
      <w:r w:rsidRPr="742B4D96" w:rsidR="46BD7770">
        <w:rPr>
          <w:rFonts w:ascii="Palatino Linotype" w:hAnsi="Palatino Linotype"/>
        </w:rPr>
        <w:t xml:space="preserve">, </w:t>
      </w:r>
      <w:r w:rsidR="00D90A08">
        <w:rPr>
          <w:rFonts w:ascii="Palatino Linotype" w:hAnsi="Palatino Linotype"/>
        </w:rPr>
        <w:t xml:space="preserve">the IOUs must develop </w:t>
      </w:r>
      <w:r w:rsidRPr="000720CA" w:rsidR="46BD7770">
        <w:rPr>
          <w:rFonts w:ascii="Palatino Linotype" w:hAnsi="Palatino Linotype"/>
        </w:rPr>
        <w:t xml:space="preserve">a methodology for </w:t>
      </w:r>
      <w:r w:rsidR="00D90A08">
        <w:rPr>
          <w:rFonts w:ascii="Palatino Linotype" w:hAnsi="Palatino Linotype"/>
        </w:rPr>
        <w:t>establishing</w:t>
      </w:r>
      <w:r w:rsidRPr="000720CA" w:rsidR="46BD7770">
        <w:rPr>
          <w:rFonts w:ascii="Palatino Linotype" w:hAnsi="Palatino Linotype"/>
        </w:rPr>
        <w:t xml:space="preserve"> appropriate caps on </w:t>
      </w:r>
      <w:r w:rsidRPr="000720CA" w:rsidR="00EE6436">
        <w:rPr>
          <w:rFonts w:ascii="Palatino Linotype" w:hAnsi="Palatino Linotype"/>
        </w:rPr>
        <w:t>distribution</w:t>
      </w:r>
      <w:r w:rsidR="00EE6436">
        <w:rPr>
          <w:rFonts w:ascii="Palatino Linotype" w:hAnsi="Palatino Linotype"/>
        </w:rPr>
        <w:t>-</w:t>
      </w:r>
      <w:r w:rsidRPr="000720CA" w:rsidR="00EE6436">
        <w:rPr>
          <w:rFonts w:ascii="Palatino Linotype" w:hAnsi="Palatino Linotype"/>
        </w:rPr>
        <w:t xml:space="preserve">level </w:t>
      </w:r>
      <w:r w:rsidRPr="000720CA" w:rsidR="46BD7770">
        <w:rPr>
          <w:rFonts w:ascii="Palatino Linotype" w:hAnsi="Palatino Linotype"/>
        </w:rPr>
        <w:t>load growth</w:t>
      </w:r>
      <w:r w:rsidR="46BD7770">
        <w:rPr>
          <w:rFonts w:ascii="Palatino Linotype" w:hAnsi="Palatino Linotype"/>
        </w:rPr>
        <w:t xml:space="preserve"> </w:t>
      </w:r>
      <w:r w:rsidR="00220167">
        <w:rPr>
          <w:rFonts w:ascii="Palatino Linotype" w:hAnsi="Palatino Linotype"/>
        </w:rPr>
        <w:t xml:space="preserve">caps that </w:t>
      </w:r>
      <w:r w:rsidRPr="000720CA" w:rsidR="46BD7770">
        <w:rPr>
          <w:rFonts w:ascii="Palatino Linotype" w:hAnsi="Palatino Linotype"/>
        </w:rPr>
        <w:t>accounts for the discrepanc</w:t>
      </w:r>
      <w:r w:rsidR="003C0A28">
        <w:rPr>
          <w:rFonts w:ascii="Palatino Linotype" w:hAnsi="Palatino Linotype"/>
        </w:rPr>
        <w:t>ies</w:t>
      </w:r>
      <w:r w:rsidRPr="000720CA" w:rsidR="46BD7770">
        <w:rPr>
          <w:rFonts w:ascii="Palatino Linotype" w:hAnsi="Palatino Linotype"/>
        </w:rPr>
        <w:t xml:space="preserve"> between system</w:t>
      </w:r>
      <w:r w:rsidR="00E244E2">
        <w:rPr>
          <w:rFonts w:ascii="Palatino Linotype" w:hAnsi="Palatino Linotype"/>
        </w:rPr>
        <w:t>-</w:t>
      </w:r>
      <w:r w:rsidRPr="000720CA" w:rsidR="46BD7770">
        <w:rPr>
          <w:rFonts w:ascii="Palatino Linotype" w:hAnsi="Palatino Linotype"/>
        </w:rPr>
        <w:t>level peak and total circuit level peak(s)</w:t>
      </w:r>
      <w:r w:rsidRPr="000720CA" w:rsidR="5F1C93ED">
        <w:rPr>
          <w:rFonts w:ascii="Palatino Linotype" w:hAnsi="Palatino Linotype"/>
        </w:rPr>
        <w:t>.</w:t>
      </w:r>
      <w:r w:rsidR="5F1C93ED">
        <w:rPr>
          <w:rFonts w:ascii="Palatino Linotype" w:hAnsi="Palatino Linotype"/>
        </w:rPr>
        <w:t xml:space="preserve"> </w:t>
      </w:r>
    </w:p>
    <w:p w:rsidR="000C2E34" w:rsidP="4C3A8DFB" w:rsidRDefault="71FD45CC" w14:paraId="7D1B5914" w14:textId="64951106">
      <w:pPr>
        <w:rPr>
          <w:rFonts w:ascii="Palatino Linotype" w:hAnsi="Palatino Linotype" w:cs="Arial"/>
        </w:rPr>
      </w:pPr>
      <w:r w:rsidRPr="00DD2C68">
        <w:rPr>
          <w:rFonts w:ascii="Palatino Linotype" w:hAnsi="Palatino Linotype"/>
        </w:rPr>
        <w:lastRenderedPageBreak/>
        <w:t xml:space="preserve">Finally, pending loads in Category C </w:t>
      </w:r>
      <w:r w:rsidRPr="00DD2C68" w:rsidR="49A00050">
        <w:rPr>
          <w:rFonts w:ascii="Palatino Linotype" w:hAnsi="Palatino Linotype"/>
        </w:rPr>
        <w:t xml:space="preserve">include </w:t>
      </w:r>
      <w:r w:rsidRPr="00DD2C68" w:rsidR="6A27D6F2">
        <w:rPr>
          <w:rFonts w:ascii="Palatino Linotype" w:hAnsi="Palatino Linotype"/>
        </w:rPr>
        <w:t>preliminary customer project information that does not meet the minimum criteria of Cate</w:t>
      </w:r>
      <w:r w:rsidRPr="00DD2C68" w:rsidR="014DE460">
        <w:rPr>
          <w:rFonts w:ascii="Palatino Linotype" w:hAnsi="Palatino Linotype"/>
        </w:rPr>
        <w:t>g</w:t>
      </w:r>
      <w:r w:rsidRPr="00DD2C68" w:rsidR="6A27D6F2">
        <w:rPr>
          <w:rFonts w:ascii="Palatino Linotype" w:hAnsi="Palatino Linotype"/>
        </w:rPr>
        <w:t>ory B1</w:t>
      </w:r>
      <w:r w:rsidRPr="00DD2C68" w:rsidR="014DE460">
        <w:rPr>
          <w:rFonts w:ascii="Palatino Linotype" w:hAnsi="Palatino Linotype"/>
        </w:rPr>
        <w:t xml:space="preserve"> and other studies or analysis. Category C pending loads </w:t>
      </w:r>
      <w:r w:rsidRPr="00DD2C68">
        <w:rPr>
          <w:rFonts w:ascii="Palatino Linotype" w:hAnsi="Palatino Linotype"/>
        </w:rPr>
        <w:t xml:space="preserve">may inform the disaggregation of the </w:t>
      </w:r>
      <w:proofErr w:type="gramStart"/>
      <w:r w:rsidRPr="00DD2C68">
        <w:rPr>
          <w:rFonts w:ascii="Palatino Linotype" w:hAnsi="Palatino Linotype"/>
        </w:rPr>
        <w:t>IEPR, but</w:t>
      </w:r>
      <w:proofErr w:type="gramEnd"/>
      <w:r w:rsidRPr="00DD2C68">
        <w:rPr>
          <w:rFonts w:ascii="Palatino Linotype" w:hAnsi="Palatino Linotype"/>
        </w:rPr>
        <w:t xml:space="preserve"> are never allowed to exceed the IEPR</w:t>
      </w:r>
      <w:r w:rsidRPr="00DD2C68" w:rsidR="49A00050">
        <w:rPr>
          <w:rFonts w:ascii="Palatino Linotype" w:hAnsi="Palatino Linotype"/>
        </w:rPr>
        <w:t>.</w:t>
      </w:r>
      <w:r w:rsidRPr="00DD2C68" w:rsidR="25A70416">
        <w:rPr>
          <w:rFonts w:ascii="Palatino Linotype" w:hAnsi="Palatino Linotype" w:eastAsia="Palatino Linotype" w:cs="Palatino Linotype"/>
        </w:rPr>
        <w:t xml:space="preserve"> To sufficiently describe the sources that can be included in each category, this categorization framework shall be combined with the minimum criteria proposed by PG&amp;E</w:t>
      </w:r>
      <w:r w:rsidRPr="00DD2C68" w:rsidR="25A70416">
        <w:rPr>
          <w:rFonts w:ascii="Palatino Linotype" w:hAnsi="Palatino Linotype"/>
        </w:rPr>
        <w:t xml:space="preserve"> </w:t>
      </w:r>
      <w:r w:rsidRPr="00DD2C68" w:rsidR="25A70416">
        <w:rPr>
          <w:rFonts w:ascii="Palatino Linotype" w:hAnsi="Palatino Linotype" w:cs="Arial"/>
        </w:rPr>
        <w:t>​for customer data and study data</w:t>
      </w:r>
      <w:r w:rsidRPr="00DD2C68" w:rsidR="1B1B4BDD">
        <w:rPr>
          <w:rFonts w:ascii="Palatino Linotype" w:hAnsi="Palatino Linotype" w:cs="Arial"/>
        </w:rPr>
        <w:t>, described in Table 2</w:t>
      </w:r>
      <w:r w:rsidRPr="00DD2C68" w:rsidR="25A70416">
        <w:rPr>
          <w:rFonts w:ascii="Palatino Linotype" w:hAnsi="Palatino Linotype" w:cs="Arial"/>
        </w:rPr>
        <w:t xml:space="preserve">. </w:t>
      </w:r>
    </w:p>
    <w:p w:rsidRPr="00DD2C68" w:rsidR="001B3A00" w:rsidP="00DD2C68" w:rsidRDefault="007D4F42" w14:paraId="097C81EF" w14:textId="47F8C7EF">
      <w:pPr>
        <w:rPr>
          <w:rFonts w:ascii="Palatino Linotype" w:hAnsi="Palatino Linotype"/>
          <w:u w:val="single"/>
        </w:rPr>
      </w:pPr>
      <w:r w:rsidRPr="00DD2C68">
        <w:rPr>
          <w:rFonts w:ascii="Palatino Linotype" w:hAnsi="Palatino Linotype"/>
          <w:u w:val="single"/>
        </w:rPr>
        <w:t xml:space="preserve">Table 1: </w:t>
      </w:r>
      <w:r w:rsidRPr="00DD2C68" w:rsidR="1E2B7A2E">
        <w:rPr>
          <w:rFonts w:ascii="Palatino Linotype" w:hAnsi="Palatino Linotype"/>
          <w:u w:val="single"/>
        </w:rPr>
        <w:t xml:space="preserve">Adopted </w:t>
      </w:r>
      <w:r w:rsidRPr="00DD2C68" w:rsidR="001B3A00">
        <w:rPr>
          <w:rFonts w:ascii="Palatino Linotype" w:hAnsi="Palatino Linotype"/>
          <w:u w:val="single"/>
        </w:rPr>
        <w:t>Pending Load Cate</w:t>
      </w:r>
      <w:r w:rsidRPr="00DD2C68" w:rsidR="00C3049D">
        <w:rPr>
          <w:rFonts w:ascii="Palatino Linotype" w:hAnsi="Palatino Linotype"/>
          <w:u w:val="single"/>
        </w:rPr>
        <w:t>gorization and Use</w:t>
      </w:r>
    </w:p>
    <w:tbl>
      <w:tblPr>
        <w:tblStyle w:val="TableGrid"/>
        <w:tblW w:w="0" w:type="auto"/>
        <w:jc w:val="center"/>
        <w:tblLook w:val="04A0" w:firstRow="1" w:lastRow="0" w:firstColumn="1" w:lastColumn="0" w:noHBand="0" w:noVBand="1"/>
      </w:tblPr>
      <w:tblGrid>
        <w:gridCol w:w="1255"/>
        <w:gridCol w:w="5310"/>
        <w:gridCol w:w="2785"/>
      </w:tblGrid>
      <w:tr w:rsidRPr="00DD2C68" w:rsidR="00DD2C68" w:rsidTr="4708E492" w14:paraId="32C69EBD" w14:textId="77777777">
        <w:trPr>
          <w:jc w:val="center"/>
        </w:trPr>
        <w:tc>
          <w:tcPr>
            <w:tcW w:w="1255" w:type="dxa"/>
            <w:shd w:val="clear" w:color="auto" w:fill="4C94D8" w:themeFill="text2" w:themeFillTint="80"/>
          </w:tcPr>
          <w:p w:rsidRPr="00DD2C68" w:rsidR="00903E82" w:rsidP="005B6CBC" w:rsidRDefault="00903E82" w14:paraId="0E2DA3CB" w14:textId="2E1B0001">
            <w:pPr>
              <w:rPr>
                <w:rFonts w:ascii="Palatino Linotype" w:hAnsi="Palatino Linotype"/>
                <w:b/>
                <w:bCs/>
              </w:rPr>
            </w:pPr>
            <w:r w:rsidRPr="00DD2C68">
              <w:rPr>
                <w:rFonts w:ascii="Palatino Linotype" w:hAnsi="Palatino Linotype"/>
                <w:b/>
                <w:bCs/>
              </w:rPr>
              <w:t>Pending Load Category</w:t>
            </w:r>
          </w:p>
        </w:tc>
        <w:tc>
          <w:tcPr>
            <w:tcW w:w="5310" w:type="dxa"/>
            <w:shd w:val="clear" w:color="auto" w:fill="4C94D8" w:themeFill="text2" w:themeFillTint="80"/>
          </w:tcPr>
          <w:p w:rsidRPr="00DD2C68" w:rsidR="00903E82" w:rsidP="005B6CBC" w:rsidRDefault="00903E82" w14:paraId="41E7FE4B" w14:textId="5CDBFA95">
            <w:pPr>
              <w:rPr>
                <w:rFonts w:ascii="Palatino Linotype" w:hAnsi="Palatino Linotype"/>
                <w:b/>
                <w:bCs/>
              </w:rPr>
            </w:pPr>
            <w:r w:rsidRPr="00DD2C68">
              <w:rPr>
                <w:rFonts w:ascii="Palatino Linotype" w:hAnsi="Palatino Linotype"/>
                <w:b/>
                <w:bCs/>
              </w:rPr>
              <w:t>Description</w:t>
            </w:r>
          </w:p>
        </w:tc>
        <w:tc>
          <w:tcPr>
            <w:tcW w:w="2785" w:type="dxa"/>
            <w:shd w:val="clear" w:color="auto" w:fill="4C94D8" w:themeFill="text2" w:themeFillTint="80"/>
          </w:tcPr>
          <w:p w:rsidRPr="00DD2C68" w:rsidR="00903E82" w:rsidP="005B6CBC" w:rsidRDefault="00BE2C76" w14:paraId="26624EC7" w14:textId="06E213E8">
            <w:pPr>
              <w:rPr>
                <w:rFonts w:ascii="Palatino Linotype" w:hAnsi="Palatino Linotype"/>
                <w:b/>
                <w:bCs/>
              </w:rPr>
            </w:pPr>
            <w:r w:rsidRPr="00DD2C68">
              <w:rPr>
                <w:rFonts w:ascii="Palatino Linotype" w:hAnsi="Palatino Linotype"/>
                <w:b/>
                <w:bCs/>
              </w:rPr>
              <w:t xml:space="preserve">Use in </w:t>
            </w:r>
            <w:r w:rsidRPr="00DD2C68" w:rsidR="00903E82">
              <w:rPr>
                <w:rFonts w:ascii="Palatino Linotype" w:hAnsi="Palatino Linotype"/>
                <w:b/>
                <w:bCs/>
              </w:rPr>
              <w:t xml:space="preserve">Base Scenario </w:t>
            </w:r>
          </w:p>
        </w:tc>
      </w:tr>
      <w:tr w:rsidRPr="00DD2C68" w:rsidR="00DD2C68" w:rsidTr="006E4EE2" w14:paraId="372DDAE7" w14:textId="77777777">
        <w:trPr>
          <w:jc w:val="center"/>
        </w:trPr>
        <w:tc>
          <w:tcPr>
            <w:tcW w:w="1255" w:type="dxa"/>
          </w:tcPr>
          <w:p w:rsidRPr="00DD2C68" w:rsidR="00903E82" w:rsidP="00571BE0" w:rsidRDefault="00903E82" w14:paraId="08C48936" w14:textId="036C0C39">
            <w:pPr>
              <w:jc w:val="center"/>
              <w:rPr>
                <w:rFonts w:ascii="Palatino Linotype" w:hAnsi="Palatino Linotype"/>
              </w:rPr>
            </w:pPr>
            <w:r w:rsidRPr="00DD2C68">
              <w:rPr>
                <w:rFonts w:ascii="Palatino Linotype" w:hAnsi="Palatino Linotype"/>
              </w:rPr>
              <w:t>A</w:t>
            </w:r>
          </w:p>
        </w:tc>
        <w:tc>
          <w:tcPr>
            <w:tcW w:w="5310" w:type="dxa"/>
          </w:tcPr>
          <w:p w:rsidRPr="00DD2C68" w:rsidR="00903E82" w:rsidP="005B6CBC" w:rsidRDefault="002D35AF" w14:paraId="01651A7D" w14:textId="59B6432D">
            <w:pPr>
              <w:rPr>
                <w:rFonts w:ascii="Palatino Linotype" w:hAnsi="Palatino Linotype"/>
              </w:rPr>
            </w:pPr>
            <w:r w:rsidRPr="00DD2C68">
              <w:rPr>
                <w:rFonts w:ascii="Palatino Linotype" w:hAnsi="Palatino Linotype"/>
              </w:rPr>
              <w:t>High confidence projects and are based on detailed customer plans</w:t>
            </w:r>
          </w:p>
        </w:tc>
        <w:tc>
          <w:tcPr>
            <w:tcW w:w="2785" w:type="dxa"/>
          </w:tcPr>
          <w:p w:rsidRPr="00DD2C68" w:rsidR="00903E82" w:rsidP="00110FB1" w:rsidRDefault="00903E82" w14:paraId="46AB96FF" w14:textId="403BF81B">
            <w:pPr>
              <w:rPr>
                <w:rFonts w:ascii="Palatino Linotype" w:hAnsi="Palatino Linotype"/>
              </w:rPr>
            </w:pPr>
            <w:r w:rsidRPr="00DD2C68">
              <w:rPr>
                <w:rFonts w:ascii="Palatino Linotype" w:hAnsi="Palatino Linotype"/>
              </w:rPr>
              <w:t>Can Exceed IEPR</w:t>
            </w:r>
          </w:p>
        </w:tc>
      </w:tr>
      <w:tr w:rsidRPr="00DD2C68" w:rsidR="00DD2C68" w:rsidTr="4708E492" w14:paraId="5F882803" w14:textId="77777777">
        <w:trPr>
          <w:jc w:val="center"/>
        </w:trPr>
        <w:tc>
          <w:tcPr>
            <w:tcW w:w="1255" w:type="dxa"/>
          </w:tcPr>
          <w:p w:rsidRPr="00DD2C68" w:rsidR="00903E82" w:rsidP="00571BE0" w:rsidRDefault="00903E82" w14:paraId="75339260" w14:textId="2E18CAA0">
            <w:pPr>
              <w:jc w:val="center"/>
              <w:rPr>
                <w:rFonts w:ascii="Palatino Linotype" w:hAnsi="Palatino Linotype"/>
              </w:rPr>
            </w:pPr>
            <w:r w:rsidRPr="00DD2C68">
              <w:rPr>
                <w:rFonts w:ascii="Palatino Linotype" w:hAnsi="Palatino Linotype"/>
              </w:rPr>
              <w:t>B1</w:t>
            </w:r>
          </w:p>
        </w:tc>
        <w:tc>
          <w:tcPr>
            <w:tcW w:w="5310" w:type="dxa"/>
          </w:tcPr>
          <w:p w:rsidRPr="00DD2C68" w:rsidR="00903E82" w:rsidP="005B6CBC" w:rsidRDefault="002D35AF" w14:paraId="017A5B28" w14:textId="2368F74F">
            <w:pPr>
              <w:rPr>
                <w:rFonts w:ascii="Palatino Linotype" w:hAnsi="Palatino Linotype"/>
              </w:rPr>
            </w:pPr>
            <w:r w:rsidRPr="00DD2C68">
              <w:rPr>
                <w:rFonts w:ascii="Palatino Linotype" w:hAnsi="Palatino Linotype"/>
              </w:rPr>
              <w:t>Medium confidence projects based on less detailed customer plans</w:t>
            </w:r>
          </w:p>
        </w:tc>
        <w:tc>
          <w:tcPr>
            <w:tcW w:w="2785" w:type="dxa"/>
          </w:tcPr>
          <w:p w:rsidRPr="00DD2C68" w:rsidR="00903E82" w:rsidP="005B6CBC" w:rsidRDefault="00903E82" w14:paraId="2A954CBD" w14:textId="0CE46194">
            <w:pPr>
              <w:rPr>
                <w:rFonts w:ascii="Palatino Linotype" w:hAnsi="Palatino Linotype"/>
              </w:rPr>
            </w:pPr>
            <w:r w:rsidRPr="00DD2C68">
              <w:rPr>
                <w:rFonts w:ascii="Palatino Linotype" w:hAnsi="Palatino Linotype"/>
              </w:rPr>
              <w:t>Can Exceed IEPR</w:t>
            </w:r>
          </w:p>
        </w:tc>
      </w:tr>
      <w:tr w:rsidRPr="00DD2C68" w:rsidR="00DD2C68" w:rsidTr="4708E492" w14:paraId="425885C1" w14:textId="77777777">
        <w:trPr>
          <w:jc w:val="center"/>
        </w:trPr>
        <w:tc>
          <w:tcPr>
            <w:tcW w:w="1255" w:type="dxa"/>
          </w:tcPr>
          <w:p w:rsidRPr="00DD2C68" w:rsidR="00903E82" w:rsidP="00571BE0" w:rsidRDefault="1334B8F7" w14:paraId="0573F71A" w14:textId="6EBF7A53">
            <w:pPr>
              <w:jc w:val="center"/>
              <w:rPr>
                <w:rFonts w:ascii="Palatino Linotype" w:hAnsi="Palatino Linotype"/>
              </w:rPr>
            </w:pPr>
            <w:r w:rsidRPr="00DD2C68">
              <w:rPr>
                <w:rFonts w:ascii="Palatino Linotype" w:hAnsi="Palatino Linotype"/>
              </w:rPr>
              <w:t>B2</w:t>
            </w:r>
          </w:p>
        </w:tc>
        <w:tc>
          <w:tcPr>
            <w:tcW w:w="5310" w:type="dxa"/>
          </w:tcPr>
          <w:p w:rsidRPr="00DD2C68" w:rsidR="00903E82" w:rsidP="005B6CBC" w:rsidRDefault="00BE2C76" w14:paraId="05DCB44E" w14:textId="2B76AC70">
            <w:pPr>
              <w:rPr>
                <w:rFonts w:ascii="Palatino Linotype" w:hAnsi="Palatino Linotype"/>
              </w:rPr>
            </w:pPr>
            <w:r w:rsidRPr="00DD2C68">
              <w:rPr>
                <w:rFonts w:ascii="Palatino Linotype" w:hAnsi="Palatino Linotype"/>
              </w:rPr>
              <w:t>Studies based</w:t>
            </w:r>
            <w:r w:rsidRPr="00DD2C68" w:rsidR="00755359">
              <w:rPr>
                <w:rFonts w:ascii="Palatino Linotype" w:hAnsi="Palatino Linotype"/>
              </w:rPr>
              <w:t xml:space="preserve"> on</w:t>
            </w:r>
            <w:r w:rsidRPr="00DD2C68">
              <w:rPr>
                <w:rFonts w:ascii="Palatino Linotype" w:hAnsi="Palatino Linotype"/>
              </w:rPr>
              <w:t xml:space="preserve"> customer-based data inputs, </w:t>
            </w:r>
            <w:r w:rsidRPr="00DD2C68" w:rsidR="00755359">
              <w:rPr>
                <w:rFonts w:ascii="Palatino Linotype" w:hAnsi="Palatino Linotype"/>
              </w:rPr>
              <w:t xml:space="preserve">and </w:t>
            </w:r>
            <w:r w:rsidRPr="00DD2C68">
              <w:rPr>
                <w:rFonts w:ascii="Palatino Linotype" w:hAnsi="Palatino Linotype"/>
              </w:rPr>
              <w:t>utility analysis-based compliance obligations</w:t>
            </w:r>
            <w:r w:rsidRPr="00DD2C68" w:rsidR="00755359">
              <w:rPr>
                <w:rFonts w:ascii="Palatino Linotype" w:hAnsi="Palatino Linotype"/>
              </w:rPr>
              <w:t>.</w:t>
            </w:r>
          </w:p>
        </w:tc>
        <w:tc>
          <w:tcPr>
            <w:tcW w:w="2785" w:type="dxa"/>
          </w:tcPr>
          <w:p w:rsidRPr="00DD2C68" w:rsidR="00903E82" w:rsidP="005B6CBC" w:rsidRDefault="1334B8F7" w14:paraId="61D08743" w14:textId="67236BE0">
            <w:pPr>
              <w:rPr>
                <w:rFonts w:ascii="Palatino Linotype" w:hAnsi="Palatino Linotype"/>
              </w:rPr>
            </w:pPr>
            <w:r w:rsidRPr="00DD2C68">
              <w:rPr>
                <w:rFonts w:ascii="Palatino Linotype" w:hAnsi="Palatino Linotype"/>
              </w:rPr>
              <w:t>Capped at IEPR except for hot spots</w:t>
            </w:r>
          </w:p>
        </w:tc>
      </w:tr>
      <w:tr w:rsidRPr="00DD2C68" w:rsidR="00903E82" w:rsidTr="4708E492" w14:paraId="5D7700F6" w14:textId="77777777">
        <w:trPr>
          <w:jc w:val="center"/>
        </w:trPr>
        <w:tc>
          <w:tcPr>
            <w:tcW w:w="1255" w:type="dxa"/>
          </w:tcPr>
          <w:p w:rsidRPr="00DD2C68" w:rsidR="00903E82" w:rsidP="00571BE0" w:rsidRDefault="00903E82" w14:paraId="5910221E" w14:textId="5753E99E">
            <w:pPr>
              <w:jc w:val="center"/>
              <w:rPr>
                <w:rFonts w:ascii="Palatino Linotype" w:hAnsi="Palatino Linotype"/>
              </w:rPr>
            </w:pPr>
            <w:r w:rsidRPr="00DD2C68">
              <w:rPr>
                <w:rFonts w:ascii="Palatino Linotype" w:hAnsi="Palatino Linotype"/>
              </w:rPr>
              <w:t>C</w:t>
            </w:r>
          </w:p>
        </w:tc>
        <w:tc>
          <w:tcPr>
            <w:tcW w:w="5310" w:type="dxa"/>
          </w:tcPr>
          <w:p w:rsidRPr="00DD2C68" w:rsidR="00903E82" w:rsidP="005B6CBC" w:rsidRDefault="006564F5" w14:paraId="19046482" w14:textId="5B45B2CD">
            <w:pPr>
              <w:rPr>
                <w:rFonts w:ascii="Palatino Linotype" w:hAnsi="Palatino Linotype"/>
              </w:rPr>
            </w:pPr>
            <w:r w:rsidRPr="00DD2C68">
              <w:rPr>
                <w:rFonts w:ascii="Palatino Linotype" w:hAnsi="Palatino Linotype"/>
              </w:rPr>
              <w:t xml:space="preserve">Preliminary customer </w:t>
            </w:r>
            <w:r w:rsidRPr="00DD2C68" w:rsidR="00755359">
              <w:rPr>
                <w:rFonts w:ascii="Palatino Linotype" w:hAnsi="Palatino Linotype"/>
              </w:rPr>
              <w:t>p</w:t>
            </w:r>
            <w:r w:rsidRPr="00DD2C68">
              <w:rPr>
                <w:rFonts w:ascii="Palatino Linotype" w:hAnsi="Palatino Linotype"/>
              </w:rPr>
              <w:t xml:space="preserve">lans and </w:t>
            </w:r>
            <w:r w:rsidRPr="00DD2C68" w:rsidR="00755359">
              <w:rPr>
                <w:rFonts w:ascii="Palatino Linotype" w:hAnsi="Palatino Linotype"/>
              </w:rPr>
              <w:t>t</w:t>
            </w:r>
            <w:r w:rsidRPr="00DD2C68">
              <w:rPr>
                <w:rFonts w:ascii="Palatino Linotype" w:hAnsi="Palatino Linotype"/>
              </w:rPr>
              <w:t xml:space="preserve">rends and </w:t>
            </w:r>
            <w:r w:rsidRPr="00DD2C68" w:rsidR="00755359">
              <w:rPr>
                <w:rFonts w:ascii="Palatino Linotype" w:hAnsi="Palatino Linotype"/>
              </w:rPr>
              <w:t>n</w:t>
            </w:r>
            <w:r w:rsidRPr="00DD2C68">
              <w:rPr>
                <w:rFonts w:ascii="Palatino Linotype" w:hAnsi="Palatino Linotype"/>
              </w:rPr>
              <w:t>on</w:t>
            </w:r>
            <w:r w:rsidRPr="00DD2C68" w:rsidR="6D6DC51A">
              <w:rPr>
                <w:rFonts w:ascii="Palatino Linotype" w:hAnsi="Palatino Linotype"/>
              </w:rPr>
              <w:t>-</w:t>
            </w:r>
            <w:r w:rsidRPr="00DD2C68" w:rsidR="00755359">
              <w:rPr>
                <w:rFonts w:ascii="Palatino Linotype" w:hAnsi="Palatino Linotype"/>
              </w:rPr>
              <w:t>c</w:t>
            </w:r>
            <w:r w:rsidRPr="00DD2C68">
              <w:rPr>
                <w:rFonts w:ascii="Palatino Linotype" w:hAnsi="Palatino Linotype"/>
              </w:rPr>
              <w:t>ustomer</w:t>
            </w:r>
            <w:r w:rsidRPr="00DD2C68" w:rsidR="54BCED8E">
              <w:rPr>
                <w:rFonts w:ascii="Palatino Linotype" w:hAnsi="Palatino Linotype"/>
              </w:rPr>
              <w:t>-</w:t>
            </w:r>
            <w:r w:rsidRPr="00DD2C68">
              <w:rPr>
                <w:rFonts w:ascii="Palatino Linotype" w:hAnsi="Palatino Linotype"/>
              </w:rPr>
              <w:t>based </w:t>
            </w:r>
            <w:r w:rsidRPr="00DD2C68" w:rsidR="00755359">
              <w:rPr>
                <w:rFonts w:ascii="Palatino Linotype" w:hAnsi="Palatino Linotype"/>
              </w:rPr>
              <w:t>s</w:t>
            </w:r>
            <w:r w:rsidRPr="00DD2C68">
              <w:rPr>
                <w:rFonts w:ascii="Palatino Linotype" w:hAnsi="Palatino Linotype"/>
              </w:rPr>
              <w:t>tudies​</w:t>
            </w:r>
          </w:p>
        </w:tc>
        <w:tc>
          <w:tcPr>
            <w:tcW w:w="2785" w:type="dxa"/>
          </w:tcPr>
          <w:p w:rsidRPr="00DD2C68" w:rsidR="00903E82" w:rsidP="005B6CBC" w:rsidRDefault="00903E82" w14:paraId="63D091E1" w14:textId="1BE93CC4">
            <w:pPr>
              <w:rPr>
                <w:rFonts w:ascii="Palatino Linotype" w:hAnsi="Palatino Linotype"/>
              </w:rPr>
            </w:pPr>
            <w:r w:rsidRPr="00DD2C68">
              <w:rPr>
                <w:rFonts w:ascii="Palatino Linotype" w:hAnsi="Palatino Linotype"/>
              </w:rPr>
              <w:t>Capped at IEPR always</w:t>
            </w:r>
          </w:p>
        </w:tc>
      </w:tr>
    </w:tbl>
    <w:p w:rsidRPr="00DD2C68" w:rsidR="7A97C960" w:rsidP="7A97C960" w:rsidRDefault="7A97C960" w14:paraId="63F4D585" w14:textId="16D27308">
      <w:pPr>
        <w:rPr>
          <w:rFonts w:ascii="Palatino Linotype" w:hAnsi="Palatino Linotype" w:eastAsia="Palatino Linotype" w:cs="Times New Roman"/>
        </w:rPr>
      </w:pPr>
    </w:p>
    <w:p w:rsidRPr="00DD2C68" w:rsidR="00A54ABF" w:rsidRDefault="00A54ABF" w14:paraId="4F358375" w14:textId="1AC7C83A">
      <w:pPr>
        <w:rPr>
          <w:rFonts w:ascii="Palatino Linotype" w:hAnsi="Palatino Linotype" w:eastAsia="Palatino Linotype" w:cs="Times New Roman"/>
          <w:kern w:val="0"/>
          <w:u w:val="single"/>
          <w14:ligatures w14:val="none"/>
        </w:rPr>
      </w:pPr>
      <w:r w:rsidRPr="00DD2C68">
        <w:rPr>
          <w:rFonts w:ascii="Palatino Linotype" w:hAnsi="Palatino Linotype" w:eastAsia="Palatino Linotype" w:cs="Times New Roman"/>
          <w:u w:val="single"/>
        </w:rPr>
        <w:br w:type="page"/>
      </w:r>
    </w:p>
    <w:p w:rsidRPr="00DD2C68" w:rsidR="005A4E2E" w:rsidP="005A4E2E" w:rsidRDefault="007D4F42" w14:paraId="265FA00E" w14:textId="009D7566">
      <w:pPr>
        <w:jc w:val="center"/>
        <w:rPr>
          <w:rFonts w:ascii="Palatino Linotype" w:hAnsi="Palatino Linotype" w:eastAsia="Palatino Linotype" w:cs="Times New Roman"/>
          <w:kern w:val="0"/>
          <w:u w:val="single"/>
          <w14:ligatures w14:val="none"/>
        </w:rPr>
      </w:pPr>
      <w:r w:rsidRPr="00DD2C68">
        <w:rPr>
          <w:rFonts w:ascii="Palatino Linotype" w:hAnsi="Palatino Linotype" w:eastAsia="Palatino Linotype" w:cs="Times New Roman"/>
          <w:kern w:val="0"/>
          <w:u w:val="single"/>
          <w14:ligatures w14:val="none"/>
        </w:rPr>
        <w:lastRenderedPageBreak/>
        <w:t xml:space="preserve">Table 2: </w:t>
      </w:r>
      <w:r w:rsidRPr="00DD2C68" w:rsidR="0704AC15">
        <w:rPr>
          <w:rFonts w:ascii="Palatino Linotype" w:hAnsi="Palatino Linotype" w:eastAsia="Palatino Linotype" w:cs="Times New Roman"/>
          <w:kern w:val="0"/>
          <w:u w:val="single"/>
          <w14:ligatures w14:val="none"/>
        </w:rPr>
        <w:t xml:space="preserve">Adopted </w:t>
      </w:r>
      <w:r w:rsidRPr="00DD2C68" w:rsidR="00C3049D">
        <w:rPr>
          <w:rFonts w:ascii="Palatino Linotype" w:hAnsi="Palatino Linotype" w:eastAsia="Palatino Linotype" w:cs="Times New Roman"/>
          <w:kern w:val="0"/>
          <w:u w:val="single"/>
          <w14:ligatures w14:val="none"/>
        </w:rPr>
        <w:t>Pending Loads Minimum Criteria</w:t>
      </w:r>
    </w:p>
    <w:tbl>
      <w:tblPr>
        <w:tblW w:w="10980" w:type="dxa"/>
        <w:tblInd w:w="-99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3199"/>
        <w:gridCol w:w="21"/>
        <w:gridCol w:w="3052"/>
        <w:gridCol w:w="2382"/>
        <w:gridCol w:w="2326"/>
      </w:tblGrid>
      <w:tr w:rsidRPr="00DD2C68" w:rsidR="00DD2C68" w:rsidTr="4708E492" w14:paraId="78A0A68A" w14:textId="77777777">
        <w:trPr>
          <w:trHeight w:val="615"/>
        </w:trPr>
        <w:tc>
          <w:tcPr>
            <w:tcW w:w="322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C94D8" w:themeFill="text2" w:themeFillTint="80"/>
            <w:hideMark/>
          </w:tcPr>
          <w:p w:rsidRPr="00DD2C68" w:rsidR="005A4E2E" w:rsidP="005A4E2E" w:rsidRDefault="005A4E2E" w14:paraId="3D8C0391" w14:textId="33AD7C7C">
            <w:pPr>
              <w:jc w:val="center"/>
              <w:rPr>
                <w:rFonts w:ascii="Palatino Linotype" w:hAnsi="Palatino Linotype" w:eastAsia="Palatino Linotype" w:cs="Times New Roman"/>
                <w:b/>
                <w:bCs/>
                <w:kern w:val="0"/>
                <w14:ligatures w14:val="none"/>
              </w:rPr>
            </w:pPr>
            <w:r w:rsidRPr="00DD2C68">
              <w:rPr>
                <w:rFonts w:ascii="Palatino Linotype" w:hAnsi="Palatino Linotype" w:eastAsia="Palatino Linotype" w:cs="Times New Roman"/>
                <w:b/>
                <w:bCs/>
                <w:kern w:val="0"/>
                <w14:ligatures w14:val="none"/>
              </w:rPr>
              <w:t>Category A​</w:t>
            </w:r>
            <w:r w:rsidRPr="00DD2C68">
              <w:rPr>
                <w:rFonts w:ascii="Palatino Linotype" w:hAnsi="Palatino Linotype" w:eastAsia="Palatino Linotype" w:cs="Times New Roman"/>
                <w:b/>
                <w:bCs/>
                <w:kern w:val="0"/>
                <w14:ligatures w14:val="none"/>
              </w:rPr>
              <w:br/>
              <w:t>Minimum Criteria​</w:t>
            </w:r>
          </w:p>
        </w:tc>
        <w:tc>
          <w:tcPr>
            <w:tcW w:w="305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C94D8" w:themeFill="text2" w:themeFillTint="80"/>
            <w:hideMark/>
          </w:tcPr>
          <w:p w:rsidRPr="00DD2C68" w:rsidR="005A4E2E" w:rsidP="005A4E2E" w:rsidRDefault="005A4E2E" w14:paraId="3F719A48" w14:textId="218D5DE4">
            <w:pPr>
              <w:jc w:val="center"/>
              <w:rPr>
                <w:rFonts w:ascii="Palatino Linotype" w:hAnsi="Palatino Linotype" w:eastAsia="Palatino Linotype" w:cs="Times New Roman"/>
                <w:b/>
                <w:bCs/>
                <w:kern w:val="0"/>
                <w14:ligatures w14:val="none"/>
              </w:rPr>
            </w:pPr>
            <w:r w:rsidRPr="00DD2C68">
              <w:rPr>
                <w:rFonts w:ascii="Palatino Linotype" w:hAnsi="Palatino Linotype" w:eastAsia="Palatino Linotype" w:cs="Times New Roman"/>
                <w:b/>
                <w:bCs/>
                <w:kern w:val="0"/>
                <w14:ligatures w14:val="none"/>
              </w:rPr>
              <w:t>Category B1​</w:t>
            </w:r>
            <w:r w:rsidRPr="00DD2C68">
              <w:rPr>
                <w:rFonts w:ascii="Palatino Linotype" w:hAnsi="Palatino Linotype" w:eastAsia="Palatino Linotype" w:cs="Times New Roman"/>
                <w:b/>
                <w:bCs/>
                <w:kern w:val="0"/>
                <w14:ligatures w14:val="none"/>
              </w:rPr>
              <w:br/>
              <w:t>Minimum Criteria​</w:t>
            </w:r>
          </w:p>
        </w:tc>
        <w:tc>
          <w:tcPr>
            <w:tcW w:w="238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C94D8" w:themeFill="text2" w:themeFillTint="80"/>
            <w:hideMark/>
          </w:tcPr>
          <w:p w:rsidRPr="00DD2C68" w:rsidR="005A4E2E" w:rsidP="005A4E2E" w:rsidRDefault="005A4E2E" w14:paraId="04389660" w14:textId="4757C5B0">
            <w:pPr>
              <w:jc w:val="center"/>
              <w:rPr>
                <w:rFonts w:ascii="Palatino Linotype" w:hAnsi="Palatino Linotype" w:eastAsia="Palatino Linotype" w:cs="Times New Roman"/>
                <w:b/>
                <w:bCs/>
                <w:kern w:val="0"/>
                <w14:ligatures w14:val="none"/>
              </w:rPr>
            </w:pPr>
            <w:r w:rsidRPr="00DD2C68">
              <w:rPr>
                <w:rFonts w:ascii="Palatino Linotype" w:hAnsi="Palatino Linotype" w:eastAsia="Palatino Linotype" w:cs="Times New Roman"/>
                <w:b/>
                <w:bCs/>
                <w:kern w:val="0"/>
                <w14:ligatures w14:val="none"/>
              </w:rPr>
              <w:t>Category B2​</w:t>
            </w:r>
            <w:r w:rsidRPr="00DD2C68">
              <w:rPr>
                <w:rFonts w:ascii="Palatino Linotype" w:hAnsi="Palatino Linotype" w:eastAsia="Palatino Linotype" w:cs="Times New Roman"/>
                <w:b/>
                <w:bCs/>
                <w:kern w:val="0"/>
                <w14:ligatures w14:val="none"/>
              </w:rPr>
              <w:br/>
              <w:t>Minimum Criteria​</w:t>
            </w:r>
          </w:p>
        </w:tc>
        <w:tc>
          <w:tcPr>
            <w:tcW w:w="23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4C94D8" w:themeFill="text2" w:themeFillTint="80"/>
            <w:hideMark/>
          </w:tcPr>
          <w:p w:rsidRPr="00DD2C68" w:rsidR="005A4E2E" w:rsidP="005A4E2E" w:rsidRDefault="005A4E2E" w14:paraId="09ED88AA" w14:textId="0D47C892">
            <w:pPr>
              <w:jc w:val="center"/>
              <w:rPr>
                <w:rFonts w:ascii="Palatino Linotype" w:hAnsi="Palatino Linotype" w:eastAsia="Palatino Linotype" w:cs="Times New Roman"/>
                <w:b/>
                <w:bCs/>
                <w:kern w:val="0"/>
                <w14:ligatures w14:val="none"/>
              </w:rPr>
            </w:pPr>
            <w:r w:rsidRPr="00DD2C68">
              <w:rPr>
                <w:rFonts w:ascii="Palatino Linotype" w:hAnsi="Palatino Linotype" w:eastAsia="Palatino Linotype" w:cs="Times New Roman"/>
                <w:b/>
                <w:bCs/>
                <w:kern w:val="0"/>
                <w14:ligatures w14:val="none"/>
              </w:rPr>
              <w:t>Category C​</w:t>
            </w:r>
            <w:r w:rsidRPr="00DD2C68">
              <w:rPr>
                <w:rFonts w:ascii="Palatino Linotype" w:hAnsi="Palatino Linotype" w:eastAsia="Palatino Linotype" w:cs="Times New Roman"/>
                <w:b/>
                <w:bCs/>
                <w:kern w:val="0"/>
                <w14:ligatures w14:val="none"/>
              </w:rPr>
              <w:br/>
              <w:t>Minimum Criteria​</w:t>
            </w:r>
          </w:p>
        </w:tc>
      </w:tr>
      <w:tr w:rsidRPr="00DD2C68" w:rsidR="00DD2C68" w:rsidTr="4708E492" w14:paraId="22A630E9" w14:textId="77777777">
        <w:trPr>
          <w:trHeight w:val="36"/>
        </w:trPr>
        <w:tc>
          <w:tcPr>
            <w:tcW w:w="319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DD2C68" w:rsidR="005A4E2E" w:rsidP="007A761B" w:rsidRDefault="005A4E2E" w14:paraId="1F6491CE" w14:textId="25C665FB">
            <w:pPr>
              <w:pStyle w:val="ListParagraph"/>
              <w:numPr>
                <w:ilvl w:val="0"/>
                <w:numId w:val="9"/>
              </w:numPr>
              <w:spacing w:line="240" w:lineRule="auto"/>
              <w:ind w:left="360"/>
              <w:rPr>
                <w:rFonts w:ascii="Palatino Linotype" w:hAnsi="Palatino Linotype" w:eastAsia="Palatino Linotype" w:cs="Times New Roman"/>
                <w:b/>
                <w:bCs/>
                <w:kern w:val="0"/>
                <w:sz w:val="20"/>
                <w:szCs w:val="20"/>
                <w14:ligatures w14:val="none"/>
              </w:rPr>
            </w:pPr>
            <w:r w:rsidRPr="00DD2C68">
              <w:rPr>
                <w:rFonts w:ascii="Palatino Linotype" w:hAnsi="Palatino Linotype" w:eastAsia="Palatino Linotype" w:cs="Times New Roman"/>
                <w:kern w:val="0"/>
                <w:sz w:val="20"/>
                <w:szCs w:val="20"/>
                <w14:ligatures w14:val="none"/>
              </w:rPr>
              <w:t>Preliminary Design</w:t>
            </w:r>
            <w:r w:rsidR="00321536">
              <w:rPr>
                <w:rFonts w:ascii="Palatino Linotype" w:hAnsi="Palatino Linotype" w:eastAsia="Palatino Linotype" w:cs="Times New Roman"/>
                <w:kern w:val="0"/>
                <w:sz w:val="20"/>
                <w:szCs w:val="20"/>
                <w14:ligatures w14:val="none"/>
              </w:rPr>
              <w:t xml:space="preserve"> and Scope</w:t>
            </w:r>
            <w:r w:rsidRPr="00DD2C68">
              <w:rPr>
                <w:rFonts w:ascii="Palatino Linotype" w:hAnsi="Palatino Linotype" w:eastAsia="Palatino Linotype" w:cs="Times New Roman"/>
                <w:kern w:val="0"/>
                <w:sz w:val="20"/>
                <w:szCs w:val="20"/>
                <w14:ligatures w14:val="none"/>
              </w:rPr>
              <w:t xml:space="preserve"> </w:t>
            </w:r>
            <w:proofErr w:type="gramStart"/>
            <w:r w:rsidRPr="00DD2C68">
              <w:rPr>
                <w:rFonts w:ascii="Palatino Linotype" w:hAnsi="Palatino Linotype" w:eastAsia="Palatino Linotype" w:cs="Times New Roman"/>
                <w:kern w:val="0"/>
                <w:sz w:val="20"/>
                <w:szCs w:val="20"/>
                <w14:ligatures w14:val="none"/>
              </w:rPr>
              <w:t>is</w:t>
            </w:r>
            <w:proofErr w:type="gramEnd"/>
            <w:r w:rsidRPr="00DD2C68">
              <w:rPr>
                <w:rFonts w:ascii="Palatino Linotype" w:hAnsi="Palatino Linotype" w:eastAsia="Palatino Linotype" w:cs="Times New Roman"/>
                <w:kern w:val="0"/>
                <w:sz w:val="20"/>
                <w:szCs w:val="20"/>
                <w14:ligatures w14:val="none"/>
              </w:rPr>
              <w:t xml:space="preserve"> complete (e.g., high level single line, proposed building or site development plan, proposed city plan).</w:t>
            </w:r>
            <w:r w:rsidRPr="00DD2C68">
              <w:rPr>
                <w:rFonts w:ascii="Palatino Linotype" w:hAnsi="Palatino Linotype" w:eastAsia="Palatino Linotype" w:cs="Times New Roman"/>
                <w:b/>
                <w:bCs/>
                <w:kern w:val="0"/>
                <w:sz w:val="20"/>
                <w:szCs w:val="20"/>
                <w14:ligatures w14:val="none"/>
              </w:rPr>
              <w:t>​</w:t>
            </w:r>
          </w:p>
          <w:p w:rsidRPr="00DD2C68" w:rsidR="005A4E2E" w:rsidP="007A761B" w:rsidRDefault="005A4E2E" w14:paraId="703A447B" w14:textId="455FB38A">
            <w:pPr>
              <w:pStyle w:val="ListParagraph"/>
              <w:numPr>
                <w:ilvl w:val="0"/>
                <w:numId w:val="9"/>
              </w:numPr>
              <w:spacing w:line="240" w:lineRule="auto"/>
              <w:ind w:left="360"/>
              <w:rPr>
                <w:rFonts w:ascii="Palatino Linotype" w:hAnsi="Palatino Linotype" w:eastAsia="Palatino Linotype" w:cs="Times New Roman"/>
                <w:b/>
                <w:bCs/>
                <w:kern w:val="0"/>
                <w:sz w:val="20"/>
                <w:szCs w:val="20"/>
                <w14:ligatures w14:val="none"/>
              </w:rPr>
            </w:pPr>
            <w:r w:rsidRPr="00DD2C68">
              <w:rPr>
                <w:rFonts w:ascii="Palatino Linotype" w:hAnsi="Palatino Linotype" w:eastAsia="Palatino Linotype" w:cs="Times New Roman"/>
                <w:kern w:val="0"/>
                <w:sz w:val="20"/>
                <w:szCs w:val="20"/>
                <w14:ligatures w14:val="none"/>
              </w:rPr>
              <w:t>Location is specific (e.g., latitude and longitude or specific parcel, or specific locations within a government or community plan).</w:t>
            </w:r>
            <w:r w:rsidRPr="00DD2C68">
              <w:rPr>
                <w:rFonts w:ascii="Palatino Linotype" w:hAnsi="Palatino Linotype" w:eastAsia="Palatino Linotype" w:cs="Times New Roman"/>
                <w:b/>
                <w:bCs/>
                <w:kern w:val="0"/>
                <w:sz w:val="20"/>
                <w:szCs w:val="20"/>
                <w14:ligatures w14:val="none"/>
              </w:rPr>
              <w:t>​</w:t>
            </w:r>
          </w:p>
          <w:p w:rsidRPr="00DD2C68" w:rsidR="005A4E2E" w:rsidP="007A761B" w:rsidRDefault="005A4E2E" w14:paraId="066208D1" w14:textId="47EB65F2">
            <w:pPr>
              <w:pStyle w:val="ListParagraph"/>
              <w:numPr>
                <w:ilvl w:val="0"/>
                <w:numId w:val="9"/>
              </w:numPr>
              <w:spacing w:line="240" w:lineRule="auto"/>
              <w:ind w:left="360"/>
              <w:rPr>
                <w:rFonts w:ascii="Palatino Linotype" w:hAnsi="Palatino Linotype" w:eastAsia="Palatino Linotype" w:cs="Times New Roman"/>
                <w:b/>
                <w:bCs/>
                <w:kern w:val="0"/>
                <w:sz w:val="20"/>
                <w:szCs w:val="20"/>
                <w14:ligatures w14:val="none"/>
              </w:rPr>
            </w:pPr>
            <w:r w:rsidRPr="00DD2C68">
              <w:rPr>
                <w:rFonts w:ascii="Palatino Linotype" w:hAnsi="Palatino Linotype" w:eastAsia="Palatino Linotype" w:cs="Times New Roman"/>
                <w:kern w:val="0"/>
                <w:sz w:val="20"/>
                <w:szCs w:val="20"/>
                <w14:ligatures w14:val="none"/>
              </w:rPr>
              <w:t>Electrical Demand (peak capacity and load type/profile) can accurately be estimated (e.g., either electrical demand is provided, such as known square footage with load type).</w:t>
            </w:r>
            <w:r w:rsidRPr="00DD2C68">
              <w:rPr>
                <w:rFonts w:ascii="Palatino Linotype" w:hAnsi="Palatino Linotype" w:eastAsia="Palatino Linotype" w:cs="Times New Roman"/>
                <w:b/>
                <w:bCs/>
                <w:kern w:val="0"/>
                <w:sz w:val="20"/>
                <w:szCs w:val="20"/>
                <w14:ligatures w14:val="none"/>
              </w:rPr>
              <w:t>​</w:t>
            </w:r>
          </w:p>
          <w:p w:rsidRPr="00DD2C68" w:rsidR="005A4E2E" w:rsidP="007A761B" w:rsidRDefault="005A4E2E" w14:paraId="79F8DD37" w14:textId="14CB6010">
            <w:pPr>
              <w:pStyle w:val="ListParagraph"/>
              <w:numPr>
                <w:ilvl w:val="0"/>
                <w:numId w:val="9"/>
              </w:numPr>
              <w:spacing w:line="240" w:lineRule="auto"/>
              <w:ind w:left="360"/>
              <w:rPr>
                <w:rFonts w:ascii="Palatino Linotype" w:hAnsi="Palatino Linotype" w:eastAsia="Palatino Linotype" w:cs="Times New Roman"/>
                <w:b/>
                <w:bCs/>
                <w:kern w:val="0"/>
                <w:sz w:val="20"/>
                <w:szCs w:val="20"/>
                <w14:ligatures w14:val="none"/>
              </w:rPr>
            </w:pPr>
            <w:r w:rsidRPr="00DD2C68">
              <w:rPr>
                <w:rFonts w:ascii="Palatino Linotype" w:hAnsi="Palatino Linotype" w:eastAsia="Palatino Linotype" w:cs="Times New Roman"/>
                <w:kern w:val="0"/>
                <w:sz w:val="20"/>
                <w:szCs w:val="20"/>
                <w14:ligatures w14:val="none"/>
              </w:rPr>
              <w:t>Energization year is specific and realistic based on the current development status and prior experience with similar requests.</w:t>
            </w:r>
            <w:r w:rsidRPr="00DD2C68">
              <w:rPr>
                <w:rFonts w:ascii="Palatino Linotype" w:hAnsi="Palatino Linotype" w:eastAsia="Palatino Linotype" w:cs="Times New Roman"/>
                <w:b/>
                <w:bCs/>
                <w:kern w:val="0"/>
                <w:sz w:val="20"/>
                <w:szCs w:val="20"/>
                <w14:ligatures w14:val="none"/>
              </w:rPr>
              <w:t>​</w:t>
            </w:r>
          </w:p>
          <w:p w:rsidRPr="00DD2C68" w:rsidR="005A4E2E" w:rsidP="007A761B" w:rsidRDefault="005A4E2E" w14:paraId="5B4B7606" w14:textId="39CEAFB5">
            <w:pPr>
              <w:pStyle w:val="ListParagraph"/>
              <w:numPr>
                <w:ilvl w:val="0"/>
                <w:numId w:val="9"/>
              </w:numPr>
              <w:spacing w:line="240" w:lineRule="auto"/>
              <w:ind w:left="360"/>
              <w:rPr>
                <w:rFonts w:ascii="Palatino Linotype" w:hAnsi="Palatino Linotype" w:eastAsia="Palatino Linotype" w:cs="Times New Roman"/>
                <w:b/>
                <w:bCs/>
                <w:kern w:val="0"/>
                <w:sz w:val="20"/>
                <w:szCs w:val="20"/>
                <w14:ligatures w14:val="none"/>
              </w:rPr>
            </w:pPr>
            <w:r w:rsidRPr="00DD2C68">
              <w:rPr>
                <w:rFonts w:ascii="Palatino Linotype" w:hAnsi="Palatino Linotype" w:eastAsia="Palatino Linotype" w:cs="Times New Roman"/>
                <w:kern w:val="0"/>
                <w:sz w:val="20"/>
                <w:szCs w:val="20"/>
                <w14:ligatures w14:val="none"/>
              </w:rPr>
              <w:t>Key permits have been submitted (Environmental (CEQA), Caltrans, or Railroad Crossing permits if required).</w:t>
            </w:r>
            <w:r w:rsidRPr="00DD2C68">
              <w:rPr>
                <w:rFonts w:ascii="Palatino Linotype" w:hAnsi="Palatino Linotype" w:eastAsia="Palatino Linotype" w:cs="Times New Roman"/>
                <w:b/>
                <w:bCs/>
                <w:kern w:val="0"/>
                <w:sz w:val="20"/>
                <w:szCs w:val="20"/>
                <w14:ligatures w14:val="none"/>
              </w:rPr>
              <w:t>​</w:t>
            </w:r>
          </w:p>
          <w:p w:rsidRPr="00DD2C68" w:rsidR="005A4E2E" w:rsidP="007A761B" w:rsidRDefault="005A4E2E" w14:paraId="78FBA582" w14:textId="1CE08FC5">
            <w:pPr>
              <w:pStyle w:val="ListParagraph"/>
              <w:numPr>
                <w:ilvl w:val="0"/>
                <w:numId w:val="9"/>
              </w:numPr>
              <w:spacing w:line="240" w:lineRule="auto"/>
              <w:ind w:left="360"/>
              <w:rPr>
                <w:rFonts w:ascii="Palatino Linotype" w:hAnsi="Palatino Linotype" w:eastAsia="Palatino Linotype" w:cs="Times New Roman"/>
                <w:b/>
                <w:bCs/>
                <w:kern w:val="0"/>
                <w:sz w:val="20"/>
                <w:szCs w:val="20"/>
                <w14:ligatures w14:val="none"/>
              </w:rPr>
            </w:pPr>
            <w:r w:rsidRPr="00DD2C68">
              <w:rPr>
                <w:rFonts w:ascii="Palatino Linotype" w:hAnsi="Palatino Linotype" w:eastAsia="Palatino Linotype" w:cs="Times New Roman"/>
                <w:kern w:val="0"/>
                <w:sz w:val="20"/>
                <w:szCs w:val="20"/>
                <w14:ligatures w14:val="none"/>
              </w:rPr>
              <w:t>Funding source is specified.</w:t>
            </w:r>
            <w:r w:rsidRPr="00DD2C68">
              <w:rPr>
                <w:rFonts w:ascii="Palatino Linotype" w:hAnsi="Palatino Linotype" w:eastAsia="Palatino Linotype" w:cs="Times New Roman"/>
                <w:b/>
                <w:bCs/>
                <w:kern w:val="0"/>
                <w:sz w:val="20"/>
                <w:szCs w:val="20"/>
                <w14:ligatures w14:val="none"/>
              </w:rPr>
              <w:t>​</w:t>
            </w:r>
          </w:p>
        </w:tc>
        <w:tc>
          <w:tcPr>
            <w:tcW w:w="307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DD2C68" w:rsidR="005A4E2E" w:rsidP="007A761B" w:rsidRDefault="005A4E2E" w14:paraId="2949AD04" w14:textId="6A1430B6">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Preliminary Design</w:t>
            </w:r>
            <w:r w:rsidR="00321536">
              <w:rPr>
                <w:rFonts w:ascii="Palatino Linotype" w:hAnsi="Palatino Linotype" w:eastAsia="Palatino Linotype" w:cs="Times New Roman"/>
                <w:kern w:val="0"/>
                <w:sz w:val="20"/>
                <w:szCs w:val="20"/>
                <w14:ligatures w14:val="none"/>
              </w:rPr>
              <w:t xml:space="preserve"> and Scope</w:t>
            </w:r>
            <w:r w:rsidRPr="00DD2C68">
              <w:rPr>
                <w:rFonts w:ascii="Palatino Linotype" w:hAnsi="Palatino Linotype" w:eastAsia="Palatino Linotype" w:cs="Times New Roman"/>
                <w:kern w:val="0"/>
                <w:sz w:val="20"/>
                <w:szCs w:val="20"/>
                <w14:ligatures w14:val="none"/>
              </w:rPr>
              <w:t xml:space="preserve"> </w:t>
            </w:r>
            <w:proofErr w:type="gramStart"/>
            <w:r w:rsidRPr="00DD2C68">
              <w:rPr>
                <w:rFonts w:ascii="Palatino Linotype" w:hAnsi="Palatino Linotype" w:eastAsia="Palatino Linotype" w:cs="Times New Roman"/>
                <w:kern w:val="0"/>
                <w:sz w:val="20"/>
                <w:szCs w:val="20"/>
                <w14:ligatures w14:val="none"/>
              </w:rPr>
              <w:t>has</w:t>
            </w:r>
            <w:proofErr w:type="gramEnd"/>
            <w:r w:rsidRPr="00DD2C68">
              <w:rPr>
                <w:rFonts w:ascii="Palatino Linotype" w:hAnsi="Palatino Linotype" w:eastAsia="Palatino Linotype" w:cs="Times New Roman"/>
                <w:kern w:val="0"/>
                <w:sz w:val="20"/>
                <w:szCs w:val="20"/>
                <w14:ligatures w14:val="none"/>
              </w:rPr>
              <w:t xml:space="preserve"> begun but is not complete.​</w:t>
            </w:r>
          </w:p>
          <w:p w:rsidRPr="00DD2C68" w:rsidR="005A4E2E" w:rsidP="007A761B" w:rsidRDefault="005A4E2E" w14:paraId="0A7F4DB8" w14:textId="384157EC">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Location is specific (e.g., latitude and longitude or parcel without site control; or locations proposed within a government or community plan)</w:t>
            </w:r>
            <w:r w:rsidR="00B33A25">
              <w:rPr>
                <w:rFonts w:ascii="Palatino Linotype" w:hAnsi="Palatino Linotype" w:eastAsia="Palatino Linotype" w:cs="Times New Roman"/>
                <w:kern w:val="0"/>
                <w:sz w:val="20"/>
                <w:szCs w:val="20"/>
                <w14:ligatures w14:val="none"/>
              </w:rPr>
              <w:t xml:space="preserve"> enough to plan for the electrical needs in the area</w:t>
            </w:r>
            <w:r w:rsidRPr="00DD2C68">
              <w:rPr>
                <w:rFonts w:ascii="Palatino Linotype" w:hAnsi="Palatino Linotype" w:eastAsia="Palatino Linotype" w:cs="Times New Roman"/>
                <w:kern w:val="0"/>
                <w:sz w:val="20"/>
                <w:szCs w:val="20"/>
                <w14:ligatures w14:val="none"/>
              </w:rPr>
              <w:t>.​</w:t>
            </w:r>
          </w:p>
          <w:p w:rsidRPr="00DD2C68" w:rsidR="005A4E2E" w:rsidP="007A761B" w:rsidRDefault="005A4E2E" w14:paraId="50D54876" w14:textId="4908B03F">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Electrical Demand (peak capacity and load type/profile) can accurately be estimated (e.g., either electric demand is provided or a basis for comparable demand is provided, such as known square footage with load type). ​</w:t>
            </w:r>
          </w:p>
          <w:p w:rsidRPr="00DD2C68" w:rsidR="005A4E2E" w:rsidP="007A761B" w:rsidRDefault="00CE5E8B" w14:paraId="2149AEAF" w14:textId="531F61D2">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Energization</w:t>
            </w:r>
            <w:r w:rsidRPr="00DD2C68" w:rsidR="005A4E2E">
              <w:rPr>
                <w:rFonts w:ascii="Palatino Linotype" w:hAnsi="Palatino Linotype" w:eastAsia="Palatino Linotype" w:cs="Times New Roman"/>
                <w:kern w:val="0"/>
                <w:sz w:val="20"/>
                <w:szCs w:val="20"/>
                <w14:ligatures w14:val="none"/>
              </w:rPr>
              <w:t xml:space="preserve"> year is specific and realistic based on the current development status and prior experience with similar requests​</w:t>
            </w:r>
          </w:p>
          <w:p w:rsidRPr="00DD2C68" w:rsidR="005A4E2E" w:rsidP="007A761B" w:rsidRDefault="7BE106F2" w14:paraId="22BF44EB" w14:textId="74E4FD7A">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Key permits have been identified (Environmental (CEQA), Caltrans, or Railroad Crossing permits).</w:t>
            </w:r>
            <w:r w:rsidRPr="00DD2C68" w:rsidR="00161E1E">
              <w:rPr>
                <w:rStyle w:val="FootnoteReference"/>
                <w:rFonts w:ascii="Palatino Linotype" w:hAnsi="Palatino Linotype" w:eastAsia="Palatino Linotype" w:cs="Times New Roman"/>
                <w:kern w:val="0"/>
                <w:sz w:val="20"/>
                <w:szCs w:val="20"/>
                <w14:ligatures w14:val="none"/>
              </w:rPr>
              <w:footnoteReference w:id="5"/>
            </w:r>
            <w:r w:rsidRPr="00DD2C68">
              <w:rPr>
                <w:rFonts w:ascii="Palatino Linotype" w:hAnsi="Palatino Linotype" w:eastAsia="Palatino Linotype" w:cs="Times New Roman"/>
                <w:kern w:val="0"/>
                <w:sz w:val="20"/>
                <w:szCs w:val="20"/>
                <w14:ligatures w14:val="none"/>
              </w:rPr>
              <w:t>​</w:t>
            </w:r>
          </w:p>
        </w:tc>
        <w:tc>
          <w:tcPr>
            <w:tcW w:w="238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DD2C68" w:rsidR="008015AC" w:rsidP="007A761B" w:rsidRDefault="175F2EE1" w14:paraId="1A913B9A" w14:textId="58FEE7A6">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Customer-based data inputs (e.g., EV charging plans, vehicle telematics, municipal zoning data, etc.)</w:t>
            </w:r>
            <w:r w:rsidRPr="00DD2C68" w:rsidR="6CC6D21F">
              <w:rPr>
                <w:rFonts w:ascii="Palatino Linotype" w:hAnsi="Palatino Linotype" w:eastAsia="Palatino Linotype" w:cs="Times New Roman"/>
                <w:kern w:val="0"/>
                <w:sz w:val="20"/>
                <w:szCs w:val="20"/>
                <w14:ligatures w14:val="none"/>
              </w:rPr>
              <w:t>.</w:t>
            </w:r>
          </w:p>
          <w:p w:rsidRPr="00FA08B7" w:rsidR="005A4E2E" w:rsidP="00FA08B7" w:rsidRDefault="441CC78A" w14:paraId="29BFAE82" w14:textId="5C3286B8">
            <w:pPr>
              <w:pStyle w:val="ListParagraph"/>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O</w:t>
            </w:r>
            <w:r w:rsidRPr="00DD2C68" w:rsidR="175F2EE1">
              <w:rPr>
                <w:rFonts w:ascii="Palatino Linotype" w:hAnsi="Palatino Linotype" w:eastAsia="Palatino Linotype" w:cs="Times New Roman"/>
                <w:kern w:val="0"/>
                <w:sz w:val="20"/>
                <w:szCs w:val="20"/>
                <w14:ligatures w14:val="none"/>
              </w:rPr>
              <w:t>r for longer term analysis-based studies, regulatory compliance obligations used to forecast load growth where the exact customer is not yet known. ​</w:t>
            </w:r>
            <w:r w:rsidR="00004376">
              <w:rPr>
                <w:rFonts w:ascii="Palatino Linotype" w:hAnsi="Palatino Linotype" w:eastAsia="Palatino Linotype" w:cs="Times New Roman"/>
                <w:kern w:val="0"/>
                <w:sz w:val="20"/>
                <w:szCs w:val="20"/>
                <w14:ligatures w14:val="none"/>
              </w:rPr>
              <w:t xml:space="preserve">OR </w:t>
            </w:r>
            <w:r w:rsidRPr="00FA08B7" w:rsidR="175F2EE1">
              <w:rPr>
                <w:rFonts w:ascii="Palatino Linotype" w:hAnsi="Palatino Linotype" w:eastAsia="Palatino Linotype" w:cs="Times New Roman"/>
                <w:kern w:val="0"/>
                <w:sz w:val="20"/>
                <w:szCs w:val="20"/>
                <w14:ligatures w14:val="none"/>
              </w:rPr>
              <w:t>Published methodology</w:t>
            </w:r>
            <w:r w:rsidRPr="00FA08B7" w:rsidR="4F35EAD1">
              <w:rPr>
                <w:rFonts w:ascii="Palatino Linotype" w:hAnsi="Palatino Linotype" w:eastAsia="Palatino Linotype" w:cs="Times New Roman"/>
                <w:kern w:val="0"/>
                <w:sz w:val="20"/>
                <w:szCs w:val="20"/>
                <w14:ligatures w14:val="none"/>
              </w:rPr>
              <w:t xml:space="preserve">, </w:t>
            </w:r>
            <w:r w:rsidRPr="00FA08B7" w:rsidR="6AECAF03">
              <w:rPr>
                <w:rFonts w:ascii="Palatino Linotype" w:hAnsi="Palatino Linotype" w:eastAsia="Palatino Linotype" w:cs="Times New Roman"/>
                <w:kern w:val="0"/>
                <w:sz w:val="20"/>
                <w:szCs w:val="20"/>
                <w14:ligatures w14:val="none"/>
              </w:rPr>
              <w:t xml:space="preserve">based on customer </w:t>
            </w:r>
            <w:r w:rsidRPr="00FA08B7" w:rsidR="33D1C75B">
              <w:rPr>
                <w:rFonts w:ascii="Palatino Linotype" w:hAnsi="Palatino Linotype" w:eastAsia="Palatino Linotype" w:cs="Times New Roman"/>
                <w:kern w:val="0"/>
                <w:sz w:val="20"/>
                <w:szCs w:val="20"/>
                <w14:ligatures w14:val="none"/>
              </w:rPr>
              <w:t xml:space="preserve">data </w:t>
            </w:r>
            <w:r w:rsidRPr="00FA08B7" w:rsidR="4F35EAD1">
              <w:rPr>
                <w:rFonts w:ascii="Palatino Linotype" w:hAnsi="Palatino Linotype" w:eastAsia="Palatino Linotype" w:cs="Times New Roman"/>
                <w:kern w:val="0"/>
                <w:sz w:val="20"/>
                <w:szCs w:val="20"/>
                <w14:ligatures w14:val="none"/>
              </w:rPr>
              <w:t>inputs,</w:t>
            </w:r>
            <w:r w:rsidRPr="00FA08B7" w:rsidR="175F2EE1">
              <w:rPr>
                <w:rFonts w:ascii="Palatino Linotype" w:hAnsi="Palatino Linotype" w:eastAsia="Palatino Linotype" w:cs="Times New Roman"/>
                <w:kern w:val="0"/>
                <w:sz w:val="20"/>
                <w:szCs w:val="20"/>
                <w14:ligatures w14:val="none"/>
              </w:rPr>
              <w:t xml:space="preserve"> and</w:t>
            </w:r>
            <w:r w:rsidRPr="00FA08B7" w:rsidR="175F2EE1">
              <w:rPr>
                <w:rFonts w:hint="cs" w:ascii="Palatino Linotype" w:hAnsi="Palatino Linotype" w:eastAsia="Palatino Linotype" w:cs="Times New Roman"/>
                <w:kern w:val="0"/>
                <w:sz w:val="20"/>
                <w:szCs w:val="20"/>
                <w14:ligatures w14:val="none"/>
              </w:rPr>
              <w:t> </w:t>
            </w:r>
            <w:r w:rsidRPr="00FA08B7" w:rsidR="175F2EE1">
              <w:rPr>
                <w:rFonts w:ascii="Palatino Linotype" w:hAnsi="Palatino Linotype" w:eastAsia="Palatino Linotype" w:cs="Times New Roman"/>
                <w:kern w:val="0"/>
                <w:sz w:val="20"/>
                <w:szCs w:val="20"/>
                <w14:ligatures w14:val="none"/>
              </w:rPr>
              <w:t>assumptions.</w:t>
            </w:r>
            <w:r w:rsidRPr="00FA08B7" w:rsidR="175F2EE1">
              <w:rPr>
                <w:rFonts w:hint="cs" w:ascii="Palatino Linotype" w:hAnsi="Palatino Linotype" w:eastAsia="Palatino Linotype" w:cs="Times New Roman"/>
                <w:kern w:val="0"/>
                <w:sz w:val="20"/>
                <w:szCs w:val="20"/>
                <w14:ligatures w14:val="none"/>
              </w:rPr>
              <w:t> ​</w:t>
            </w:r>
          </w:p>
        </w:tc>
        <w:tc>
          <w:tcPr>
            <w:tcW w:w="23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DD2C68" w:rsidR="005A4E2E" w:rsidP="007A761B" w:rsidRDefault="005A4E2E" w14:paraId="5A7115C0" w14:textId="119D94E3">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Location is indicated but not specific.​</w:t>
            </w:r>
          </w:p>
          <w:p w:rsidRPr="00DD2C68" w:rsidR="005A4E2E" w:rsidP="007A761B" w:rsidRDefault="005A4E2E" w14:paraId="3F5C4A54" w14:textId="36E920CD">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 xml:space="preserve">Electrical Demand can be estimated but is uncertain and based on </w:t>
            </w:r>
            <w:r w:rsidRPr="00DD2C68" w:rsidR="002F29FE">
              <w:rPr>
                <w:rFonts w:ascii="Palatino Linotype" w:hAnsi="Palatino Linotype" w:eastAsia="Palatino Linotype" w:cs="Times New Roman"/>
                <w:kern w:val="0"/>
                <w:sz w:val="20"/>
                <w:szCs w:val="20"/>
                <w14:ligatures w14:val="none"/>
              </w:rPr>
              <w:t>distribution engineer</w:t>
            </w:r>
            <w:r w:rsidRPr="00DD2C68">
              <w:rPr>
                <w:rFonts w:ascii="Palatino Linotype" w:hAnsi="Palatino Linotype" w:eastAsia="Palatino Linotype" w:cs="Times New Roman"/>
                <w:kern w:val="0"/>
                <w:sz w:val="20"/>
                <w:szCs w:val="20"/>
                <w14:ligatures w14:val="none"/>
              </w:rPr>
              <w:t> estimation ​</w:t>
            </w:r>
          </w:p>
          <w:p w:rsidRPr="00DD2C68" w:rsidR="005A4E2E" w:rsidP="007A761B" w:rsidRDefault="00E23D00" w14:paraId="529C61B7" w14:textId="6559A9F6">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Energization</w:t>
            </w:r>
            <w:r w:rsidRPr="00DD2C68" w:rsidR="005A4E2E">
              <w:rPr>
                <w:rFonts w:ascii="Palatino Linotype" w:hAnsi="Palatino Linotype" w:eastAsia="Palatino Linotype" w:cs="Times New Roman"/>
                <w:kern w:val="0"/>
                <w:sz w:val="20"/>
                <w:szCs w:val="20"/>
                <w14:ligatures w14:val="none"/>
              </w:rPr>
              <w:t xml:space="preserve"> </w:t>
            </w:r>
            <w:r w:rsidRPr="00DD2C68">
              <w:rPr>
                <w:rFonts w:ascii="Palatino Linotype" w:hAnsi="Palatino Linotype" w:eastAsia="Palatino Linotype" w:cs="Times New Roman"/>
                <w:kern w:val="0"/>
                <w:sz w:val="20"/>
                <w:szCs w:val="20"/>
                <w14:ligatures w14:val="none"/>
              </w:rPr>
              <w:t>y</w:t>
            </w:r>
            <w:r w:rsidRPr="00DD2C68" w:rsidR="005A4E2E">
              <w:rPr>
                <w:rFonts w:ascii="Palatino Linotype" w:hAnsi="Palatino Linotype" w:eastAsia="Palatino Linotype" w:cs="Times New Roman"/>
                <w:kern w:val="0"/>
                <w:sz w:val="20"/>
                <w:szCs w:val="20"/>
                <w14:ligatures w14:val="none"/>
              </w:rPr>
              <w:t xml:space="preserve">ear </w:t>
            </w:r>
            <w:r w:rsidR="00CD7BF5">
              <w:rPr>
                <w:rFonts w:ascii="Palatino Linotype" w:hAnsi="Palatino Linotype" w:eastAsia="Palatino Linotype" w:cs="Times New Roman"/>
                <w:kern w:val="0"/>
                <w:sz w:val="20"/>
                <w:szCs w:val="20"/>
                <w14:ligatures w14:val="none"/>
              </w:rPr>
              <w:t xml:space="preserve">can be estimated but may be uncertain </w:t>
            </w:r>
            <w:r w:rsidR="005566ED">
              <w:rPr>
                <w:rFonts w:ascii="Palatino Linotype" w:hAnsi="Palatino Linotype" w:eastAsia="Palatino Linotype" w:cs="Times New Roman"/>
                <w:kern w:val="0"/>
                <w:sz w:val="20"/>
                <w:szCs w:val="20"/>
                <w14:ligatures w14:val="none"/>
              </w:rPr>
              <w:t xml:space="preserve">and based on the distribution engineer estimation. </w:t>
            </w:r>
            <w:r w:rsidRPr="00DD2C68" w:rsidR="005A4E2E">
              <w:rPr>
                <w:rFonts w:ascii="Palatino Linotype" w:hAnsi="Palatino Linotype" w:eastAsia="Palatino Linotype" w:cs="Times New Roman"/>
                <w:kern w:val="0"/>
                <w:sz w:val="20"/>
                <w:szCs w:val="20"/>
                <w14:ligatures w14:val="none"/>
              </w:rPr>
              <w:t> ​</w:t>
            </w:r>
          </w:p>
          <w:p w:rsidRPr="00DD2C68" w:rsidR="005A4E2E" w:rsidP="007A761B" w:rsidRDefault="175F2EE1" w14:paraId="545D8438" w14:textId="7727BC97">
            <w:pPr>
              <w:pStyle w:val="ListParagraph"/>
              <w:numPr>
                <w:ilvl w:val="0"/>
                <w:numId w:val="9"/>
              </w:numPr>
              <w:spacing w:line="240" w:lineRule="auto"/>
              <w:ind w:left="360"/>
              <w:rPr>
                <w:rFonts w:ascii="Palatino Linotype" w:hAnsi="Palatino Linotype" w:eastAsia="Palatino Linotype" w:cs="Times New Roman"/>
                <w:kern w:val="0"/>
                <w:sz w:val="20"/>
                <w:szCs w:val="20"/>
                <w14:ligatures w14:val="none"/>
              </w:rPr>
            </w:pPr>
            <w:r w:rsidRPr="00DD2C68">
              <w:rPr>
                <w:rFonts w:ascii="Palatino Linotype" w:hAnsi="Palatino Linotype" w:eastAsia="Palatino Linotype" w:cs="Times New Roman"/>
                <w:kern w:val="0"/>
                <w:sz w:val="20"/>
                <w:szCs w:val="20"/>
                <w14:ligatures w14:val="none"/>
              </w:rPr>
              <w:t>Studies that do not meet the minimum criteria of B2​</w:t>
            </w:r>
            <w:r w:rsidRPr="00DD2C68" w:rsidR="0038605A">
              <w:rPr>
                <w:rStyle w:val="FootnoteReference"/>
                <w:rFonts w:ascii="Palatino Linotype" w:hAnsi="Palatino Linotype" w:eastAsia="Palatino Linotype" w:cs="Times New Roman"/>
                <w:kern w:val="0"/>
                <w:sz w:val="20"/>
                <w:szCs w:val="20"/>
                <w14:ligatures w14:val="none"/>
              </w:rPr>
              <w:footnoteReference w:id="6"/>
            </w:r>
          </w:p>
        </w:tc>
      </w:tr>
    </w:tbl>
    <w:p w:rsidRPr="00DD2C68" w:rsidR="00096CE7" w:rsidP="00F41E19" w:rsidRDefault="00096CE7" w14:paraId="2D81A99B" w14:textId="68E52A32">
      <w:pPr>
        <w:rPr>
          <w:rFonts w:ascii="Palatino Linotype" w:hAnsi="Palatino Linotype" w:eastAsia="Palatino Linotype" w:cs="Times New Roman"/>
          <w:kern w:val="0"/>
          <w14:ligatures w14:val="none"/>
        </w:rPr>
      </w:pPr>
    </w:p>
    <w:p w:rsidRPr="00DD2C68" w:rsidR="00362D30" w:rsidP="00362D30" w:rsidRDefault="00096CE7" w14:paraId="3874E79D" w14:textId="3E2798FF">
      <w:pPr>
        <w:rPr>
          <w:rFonts w:ascii="Palatino Linotype" w:hAnsi="Palatino Linotype" w:eastAsia="Palatino Linotype" w:cs="Times New Roman"/>
        </w:rPr>
      </w:pPr>
      <w:r w:rsidRPr="00DD2C68">
        <w:rPr>
          <w:rFonts w:ascii="Palatino Linotype" w:hAnsi="Palatino Linotype" w:eastAsia="Palatino Linotype" w:cs="Times New Roman"/>
          <w:kern w:val="0"/>
          <w14:ligatures w14:val="none"/>
        </w:rPr>
        <w:t>The pending load category minimum criteria</w:t>
      </w:r>
      <w:r w:rsidRPr="00DD2C68" w:rsidR="008C3167">
        <w:rPr>
          <w:rFonts w:ascii="Palatino Linotype" w:hAnsi="Palatino Linotype" w:eastAsia="Palatino Linotype" w:cs="Times New Roman"/>
          <w:kern w:val="0"/>
          <w14:ligatures w14:val="none"/>
        </w:rPr>
        <w:t xml:space="preserve"> shall be adopted by all</w:t>
      </w:r>
      <w:r w:rsidRPr="00DD2C68" w:rsidR="00F313E7">
        <w:rPr>
          <w:rFonts w:ascii="Palatino Linotype" w:hAnsi="Palatino Linotype" w:eastAsia="Palatino Linotype" w:cs="Times New Roman"/>
          <w:kern w:val="0"/>
          <w14:ligatures w14:val="none"/>
        </w:rPr>
        <w:t xml:space="preserve"> three</w:t>
      </w:r>
      <w:r w:rsidRPr="00DD2C68" w:rsidR="008C3167">
        <w:rPr>
          <w:rFonts w:ascii="Palatino Linotype" w:hAnsi="Palatino Linotype" w:eastAsia="Palatino Linotype" w:cs="Times New Roman"/>
          <w:kern w:val="0"/>
          <w14:ligatures w14:val="none"/>
        </w:rPr>
        <w:t xml:space="preserve"> utilities. The minimum criteria</w:t>
      </w:r>
      <w:r w:rsidRPr="00DD2C68">
        <w:rPr>
          <w:rFonts w:ascii="Palatino Linotype" w:hAnsi="Palatino Linotype" w:eastAsia="Palatino Linotype" w:cs="Times New Roman"/>
          <w:kern w:val="0"/>
          <w14:ligatures w14:val="none"/>
        </w:rPr>
        <w:t xml:space="preserve"> set the s</w:t>
      </w:r>
      <w:r w:rsidRPr="00DD2C68" w:rsidR="005F14A6">
        <w:rPr>
          <w:rFonts w:ascii="Palatino Linotype" w:hAnsi="Palatino Linotype" w:eastAsia="Palatino Linotype" w:cs="Times New Roman"/>
          <w:kern w:val="0"/>
          <w14:ligatures w14:val="none"/>
        </w:rPr>
        <w:t xml:space="preserve">tandard for what </w:t>
      </w:r>
      <w:r w:rsidRPr="00DD2C68" w:rsidR="00CB22F1">
        <w:rPr>
          <w:rFonts w:ascii="Palatino Linotype" w:hAnsi="Palatino Linotype" w:eastAsia="Palatino Linotype" w:cs="Times New Roman"/>
          <w:kern w:val="0"/>
          <w14:ligatures w14:val="none"/>
        </w:rPr>
        <w:t xml:space="preserve">information can </w:t>
      </w:r>
      <w:r w:rsidRPr="00DD2C68" w:rsidR="002951FA">
        <w:rPr>
          <w:rFonts w:ascii="Palatino Linotype" w:hAnsi="Palatino Linotype" w:eastAsia="Palatino Linotype" w:cs="Times New Roman"/>
          <w:kern w:val="0"/>
          <w14:ligatures w14:val="none"/>
        </w:rPr>
        <w:t xml:space="preserve">be included in </w:t>
      </w:r>
      <w:r w:rsidRPr="00DD2C68" w:rsidR="002E208C">
        <w:rPr>
          <w:rFonts w:ascii="Palatino Linotype" w:hAnsi="Palatino Linotype" w:eastAsia="Palatino Linotype" w:cs="Times New Roman"/>
          <w:kern w:val="0"/>
          <w14:ligatures w14:val="none"/>
        </w:rPr>
        <w:t>each category of pending loads.</w:t>
      </w:r>
      <w:r w:rsidRPr="00DD2C68" w:rsidR="00764CEF">
        <w:rPr>
          <w:rFonts w:ascii="Palatino Linotype" w:hAnsi="Palatino Linotype" w:eastAsia="Palatino Linotype" w:cs="Times New Roman"/>
          <w:kern w:val="0"/>
          <w14:ligatures w14:val="none"/>
        </w:rPr>
        <w:t xml:space="preserve"> Each pending load</w:t>
      </w:r>
      <w:r w:rsidRPr="00DD2C68" w:rsidR="00362D30">
        <w:rPr>
          <w:rFonts w:ascii="Palatino Linotype" w:hAnsi="Palatino Linotype" w:eastAsia="Palatino Linotype" w:cs="Times New Roman"/>
          <w:kern w:val="0"/>
          <w14:ligatures w14:val="none"/>
        </w:rPr>
        <w:t xml:space="preserve"> will be evaluated against the minimum criteria for each category and</w:t>
      </w:r>
      <w:r w:rsidRPr="00DD2C68" w:rsidR="00764CEF">
        <w:rPr>
          <w:rFonts w:ascii="Palatino Linotype" w:hAnsi="Palatino Linotype" w:eastAsia="Palatino Linotype" w:cs="Times New Roman"/>
          <w:kern w:val="0"/>
          <w14:ligatures w14:val="none"/>
        </w:rPr>
        <w:t xml:space="preserve"> must meet all the minimum criteria </w:t>
      </w:r>
      <w:r w:rsidRPr="00DD2C68" w:rsidR="00951CF4">
        <w:rPr>
          <w:rFonts w:ascii="Palatino Linotype" w:hAnsi="Palatino Linotype" w:eastAsia="Palatino Linotype" w:cs="Times New Roman"/>
          <w:kern w:val="0"/>
          <w14:ligatures w14:val="none"/>
        </w:rPr>
        <w:t>to</w:t>
      </w:r>
      <w:r w:rsidRPr="00DD2C68" w:rsidR="00764CEF">
        <w:rPr>
          <w:rFonts w:ascii="Palatino Linotype" w:hAnsi="Palatino Linotype" w:eastAsia="Palatino Linotype" w:cs="Times New Roman"/>
          <w:kern w:val="0"/>
          <w14:ligatures w14:val="none"/>
        </w:rPr>
        <w:t xml:space="preserve"> be included i</w:t>
      </w:r>
      <w:r w:rsidRPr="00DD2C68" w:rsidR="00AB5983">
        <w:rPr>
          <w:rFonts w:ascii="Palatino Linotype" w:hAnsi="Palatino Linotype" w:eastAsia="Palatino Linotype" w:cs="Times New Roman"/>
          <w:kern w:val="0"/>
          <w14:ligatures w14:val="none"/>
        </w:rPr>
        <w:t xml:space="preserve">n </w:t>
      </w:r>
      <w:r w:rsidRPr="00DD2C68" w:rsidR="00951CF4">
        <w:rPr>
          <w:rFonts w:ascii="Palatino Linotype" w:hAnsi="Palatino Linotype" w:eastAsia="Palatino Linotype" w:cs="Times New Roman"/>
          <w:kern w:val="0"/>
          <w14:ligatures w14:val="none"/>
        </w:rPr>
        <w:t xml:space="preserve">a </w:t>
      </w:r>
      <w:r w:rsidRPr="00DD2C68" w:rsidR="00951CF4">
        <w:rPr>
          <w:rFonts w:ascii="Palatino Linotype" w:hAnsi="Palatino Linotype" w:eastAsia="Palatino Linotype" w:cs="Times New Roman"/>
          <w:kern w:val="0"/>
          <w14:ligatures w14:val="none"/>
        </w:rPr>
        <w:lastRenderedPageBreak/>
        <w:t>pending load category.</w:t>
      </w:r>
      <w:r w:rsidRPr="00DD2C68" w:rsidR="002E208C">
        <w:rPr>
          <w:rFonts w:ascii="Palatino Linotype" w:hAnsi="Palatino Linotype" w:eastAsia="Palatino Linotype" w:cs="Times New Roman"/>
          <w:kern w:val="0"/>
          <w14:ligatures w14:val="none"/>
        </w:rPr>
        <w:t xml:space="preserve"> Th</w:t>
      </w:r>
      <w:r w:rsidRPr="26D4981F" w:rsidR="63D2B709">
        <w:rPr>
          <w:rFonts w:ascii="Palatino Linotype" w:hAnsi="Palatino Linotype" w:eastAsia="Palatino Linotype" w:cs="Times New Roman"/>
        </w:rPr>
        <w:t>e framework allows for assessment of</w:t>
      </w:r>
      <w:r w:rsidRPr="00DD2C68" w:rsidR="002E208C">
        <w:rPr>
          <w:rFonts w:ascii="Palatino Linotype" w:hAnsi="Palatino Linotype" w:eastAsia="Palatino Linotype" w:cs="Times New Roman"/>
          <w:kern w:val="0"/>
          <w14:ligatures w14:val="none"/>
        </w:rPr>
        <w:t xml:space="preserve"> confidence of pending loads at the category level, rather than assessing </w:t>
      </w:r>
      <w:r w:rsidRPr="00DD2C68" w:rsidR="007530DF">
        <w:rPr>
          <w:rFonts w:ascii="Palatino Linotype" w:hAnsi="Palatino Linotype" w:eastAsia="Palatino Linotype" w:cs="Times New Roman"/>
          <w:kern w:val="0"/>
          <w14:ligatures w14:val="none"/>
        </w:rPr>
        <w:t xml:space="preserve">the confidence of </w:t>
      </w:r>
      <w:r w:rsidRPr="00DD2C68" w:rsidR="002E208C">
        <w:rPr>
          <w:rFonts w:ascii="Palatino Linotype" w:hAnsi="Palatino Linotype" w:eastAsia="Palatino Linotype" w:cs="Times New Roman"/>
          <w:kern w:val="0"/>
          <w14:ligatures w14:val="none"/>
        </w:rPr>
        <w:t xml:space="preserve">pending loads individually. </w:t>
      </w:r>
      <w:r w:rsidRPr="00DD2C68" w:rsidR="00951CF4">
        <w:rPr>
          <w:rFonts w:ascii="Palatino Linotype" w:hAnsi="Palatino Linotype" w:eastAsia="Palatino Linotype" w:cs="Times New Roman"/>
          <w:kern w:val="0"/>
          <w14:ligatures w14:val="none"/>
        </w:rPr>
        <w:t xml:space="preserve">This is important because </w:t>
      </w:r>
      <w:r w:rsidRPr="00DD2C68" w:rsidR="006656A3">
        <w:rPr>
          <w:rFonts w:ascii="Palatino Linotype" w:hAnsi="Palatino Linotype" w:eastAsia="Palatino Linotype" w:cs="Times New Roman"/>
          <w:kern w:val="0"/>
          <w14:ligatures w14:val="none"/>
        </w:rPr>
        <w:t xml:space="preserve">pending loads categories are used differently to inform the investment plan. </w:t>
      </w:r>
    </w:p>
    <w:p w:rsidRPr="00DD2C68" w:rsidR="00D33F03" w:rsidP="00F41E19" w:rsidRDefault="00D33F03" w14:paraId="69618C8E" w14:textId="0AAEEB9E">
      <w:pPr>
        <w:pStyle w:val="Heading2"/>
        <w:rPr>
          <w:rFonts w:ascii="Palatino Linotype" w:hAnsi="Palatino Linotype"/>
          <w:color w:val="auto"/>
        </w:rPr>
      </w:pPr>
      <w:r w:rsidRPr="00DD2C68">
        <w:rPr>
          <w:rFonts w:ascii="Palatino Linotype" w:hAnsi="Palatino Linotype"/>
          <w:color w:val="auto"/>
        </w:rPr>
        <w:t>Pending Loads Definition and Framework</w:t>
      </w:r>
    </w:p>
    <w:p w:rsidRPr="00DD2C68" w:rsidR="005A5581" w:rsidP="00A15C45" w:rsidRDefault="005A5581" w14:paraId="4D716266" w14:textId="23DD79D7">
      <w:pPr>
        <w:rPr>
          <w:rFonts w:ascii="Palatino Linotype" w:hAnsi="Palatino Linotype"/>
        </w:rPr>
      </w:pPr>
      <w:r w:rsidRPr="00DD2C68">
        <w:rPr>
          <w:rFonts w:ascii="Palatino Linotype" w:hAnsi="Palatino Linotype"/>
        </w:rPr>
        <w:t xml:space="preserve">The Commission </w:t>
      </w:r>
      <w:r w:rsidRPr="00DD2C68" w:rsidR="000B01E9">
        <w:rPr>
          <w:rFonts w:ascii="Palatino Linotype" w:hAnsi="Palatino Linotype"/>
        </w:rPr>
        <w:t>disagrees with Cal Advocates</w:t>
      </w:r>
      <w:r w:rsidRPr="00DD2C68" w:rsidR="004F6BB4">
        <w:rPr>
          <w:rFonts w:ascii="Palatino Linotype" w:hAnsi="Palatino Linotype"/>
        </w:rPr>
        <w:t>’</w:t>
      </w:r>
      <w:r w:rsidRPr="00DD2C68" w:rsidR="000B01E9">
        <w:rPr>
          <w:rFonts w:ascii="Palatino Linotype" w:hAnsi="Palatino Linotype"/>
        </w:rPr>
        <w:t xml:space="preserve"> protest and finds</w:t>
      </w:r>
      <w:r w:rsidRPr="00DD2C68">
        <w:rPr>
          <w:rFonts w:ascii="Palatino Linotype" w:hAnsi="Palatino Linotype"/>
        </w:rPr>
        <w:t xml:space="preserve"> that </w:t>
      </w:r>
      <w:r w:rsidRPr="00DD2C68" w:rsidR="00A94BDD">
        <w:rPr>
          <w:rFonts w:ascii="Palatino Linotype" w:hAnsi="Palatino Linotype"/>
        </w:rPr>
        <w:t>D.24-10-030 does not explicitly require the IOUs to submit a single unified framework proposal.</w:t>
      </w:r>
      <w:r w:rsidRPr="00DD2C68" w:rsidR="00B72343">
        <w:rPr>
          <w:rFonts w:ascii="Palatino Linotype" w:hAnsi="Palatino Linotype"/>
        </w:rPr>
        <w:t xml:space="preserve"> The Commission also acknowledges the</w:t>
      </w:r>
      <w:r w:rsidRPr="00DD2C68" w:rsidR="000B01E9">
        <w:rPr>
          <w:rFonts w:ascii="Palatino Linotype" w:hAnsi="Palatino Linotype"/>
        </w:rPr>
        <w:t xml:space="preserve"> utility argument that</w:t>
      </w:r>
      <w:r w:rsidRPr="00DD2C68" w:rsidR="00B72343">
        <w:rPr>
          <w:rFonts w:ascii="Palatino Linotype" w:hAnsi="Palatino Linotype"/>
        </w:rPr>
        <w:t xml:space="preserve"> different </w:t>
      </w:r>
      <w:r w:rsidRPr="00DD2C68" w:rsidR="00D642D9">
        <w:rPr>
          <w:rFonts w:ascii="Palatino Linotype" w:hAnsi="Palatino Linotype"/>
        </w:rPr>
        <w:t xml:space="preserve">service territories, processes, and technical capabilities of each utility </w:t>
      </w:r>
      <w:r w:rsidRPr="00DD2C68" w:rsidR="007C2498">
        <w:rPr>
          <w:rFonts w:ascii="Palatino Linotype" w:hAnsi="Palatino Linotype"/>
        </w:rPr>
        <w:t xml:space="preserve">create a significant challenge </w:t>
      </w:r>
      <w:r w:rsidRPr="00DD2C68" w:rsidR="00C33F35">
        <w:rPr>
          <w:rFonts w:ascii="Palatino Linotype" w:hAnsi="Palatino Linotype"/>
        </w:rPr>
        <w:t xml:space="preserve">to implement an entirely unified framework. </w:t>
      </w:r>
      <w:r w:rsidRPr="00DD2C68" w:rsidR="00A55277">
        <w:rPr>
          <w:rFonts w:ascii="Palatino Linotype" w:hAnsi="Palatino Linotype"/>
        </w:rPr>
        <w:t xml:space="preserve">However, </w:t>
      </w:r>
      <w:r w:rsidRPr="00DD2C68" w:rsidR="00667C6A">
        <w:rPr>
          <w:rFonts w:ascii="Palatino Linotype" w:hAnsi="Palatino Linotype"/>
        </w:rPr>
        <w:t>t</w:t>
      </w:r>
      <w:r w:rsidRPr="00DD2C68" w:rsidR="00475ADB">
        <w:rPr>
          <w:rFonts w:ascii="Palatino Linotype" w:hAnsi="Palatino Linotype"/>
        </w:rPr>
        <w:t xml:space="preserve">he Commission </w:t>
      </w:r>
      <w:r w:rsidRPr="00DD2C68" w:rsidR="00C04325">
        <w:rPr>
          <w:rFonts w:ascii="Palatino Linotype" w:hAnsi="Palatino Linotype"/>
        </w:rPr>
        <w:t xml:space="preserve">agrees with CalCCA </w:t>
      </w:r>
      <w:r w:rsidRPr="00DD2C68" w:rsidR="00B02141">
        <w:rPr>
          <w:rFonts w:ascii="Palatino Linotype" w:hAnsi="Palatino Linotype"/>
        </w:rPr>
        <w:t xml:space="preserve">that </w:t>
      </w:r>
      <w:r w:rsidRPr="00DD2C68" w:rsidR="00825383">
        <w:rPr>
          <w:rFonts w:ascii="Palatino Linotype" w:hAnsi="Palatino Linotype"/>
        </w:rPr>
        <w:t xml:space="preserve">some standardization is needed to avoid </w:t>
      </w:r>
      <w:r w:rsidRPr="00DD2C68" w:rsidR="00F922F7">
        <w:rPr>
          <w:rFonts w:ascii="Palatino Linotype" w:hAnsi="Palatino Linotype"/>
        </w:rPr>
        <w:t xml:space="preserve">substantially different customer treatment across California. </w:t>
      </w:r>
      <w:r w:rsidRPr="00DD2C68" w:rsidR="000A63D1">
        <w:rPr>
          <w:rFonts w:ascii="Palatino Linotype" w:hAnsi="Palatino Linotype"/>
        </w:rPr>
        <w:t>The</w:t>
      </w:r>
      <w:r w:rsidRPr="00DD2C68" w:rsidR="00DD3517">
        <w:rPr>
          <w:rFonts w:ascii="Palatino Linotype" w:hAnsi="Palatino Linotype"/>
        </w:rPr>
        <w:t xml:space="preserve">refore, </w:t>
      </w:r>
      <w:r w:rsidRPr="00DD2C68" w:rsidR="00495290">
        <w:rPr>
          <w:rFonts w:ascii="Palatino Linotype" w:hAnsi="Palatino Linotype"/>
        </w:rPr>
        <w:t>t</w:t>
      </w:r>
      <w:r w:rsidRPr="00DD2C68" w:rsidR="00DD3517">
        <w:rPr>
          <w:rFonts w:ascii="Palatino Linotype" w:hAnsi="Palatino Linotype"/>
        </w:rPr>
        <w:t>he</w:t>
      </w:r>
      <w:r w:rsidRPr="00DD2C68" w:rsidR="000A63D1">
        <w:rPr>
          <w:rFonts w:ascii="Palatino Linotype" w:hAnsi="Palatino Linotype"/>
        </w:rPr>
        <w:t xml:space="preserve"> Commission </w:t>
      </w:r>
      <w:r w:rsidRPr="00DD2C68" w:rsidR="00AC2054">
        <w:rPr>
          <w:rFonts w:ascii="Palatino Linotype" w:hAnsi="Palatino Linotype"/>
        </w:rPr>
        <w:t xml:space="preserve">takes steps in this </w:t>
      </w:r>
      <w:r w:rsidRPr="00DD2C68" w:rsidR="00B72343">
        <w:rPr>
          <w:rFonts w:ascii="Palatino Linotype" w:hAnsi="Palatino Linotype"/>
        </w:rPr>
        <w:t xml:space="preserve">resolution to </w:t>
      </w:r>
      <w:r w:rsidRPr="00DD2C68" w:rsidR="000E06C9">
        <w:rPr>
          <w:rFonts w:ascii="Palatino Linotype" w:hAnsi="Palatino Linotype"/>
        </w:rPr>
        <w:t>align</w:t>
      </w:r>
      <w:r w:rsidRPr="00DD2C68" w:rsidR="00350112">
        <w:rPr>
          <w:rFonts w:ascii="Palatino Linotype" w:hAnsi="Palatino Linotype"/>
        </w:rPr>
        <w:t xml:space="preserve"> a unified</w:t>
      </w:r>
      <w:r w:rsidRPr="00DD2C68" w:rsidR="00DD3517">
        <w:rPr>
          <w:rFonts w:ascii="Palatino Linotype" w:hAnsi="Palatino Linotype"/>
        </w:rPr>
        <w:t xml:space="preserve"> pending loads framework</w:t>
      </w:r>
      <w:r w:rsidRPr="00DD2C68" w:rsidR="00806F2A">
        <w:rPr>
          <w:rFonts w:ascii="Palatino Linotype" w:hAnsi="Palatino Linotype"/>
        </w:rPr>
        <w:t>, including pending loads categories and minimum criteria</w:t>
      </w:r>
      <w:r w:rsidRPr="00DD2C68" w:rsidR="007732AD">
        <w:rPr>
          <w:rFonts w:ascii="Palatino Linotype" w:hAnsi="Palatino Linotype"/>
        </w:rPr>
        <w:t xml:space="preserve"> as described in </w:t>
      </w:r>
      <w:r w:rsidRPr="00DD2C68" w:rsidR="2ADE02E9">
        <w:rPr>
          <w:rFonts w:ascii="Palatino Linotype" w:hAnsi="Palatino Linotype"/>
        </w:rPr>
        <w:t>this Resolution</w:t>
      </w:r>
      <w:r w:rsidRPr="00DD2C68" w:rsidR="00806F2A">
        <w:rPr>
          <w:rFonts w:ascii="Palatino Linotype" w:hAnsi="Palatino Linotype"/>
        </w:rPr>
        <w:t>, but</w:t>
      </w:r>
      <w:r w:rsidRPr="00DD2C68" w:rsidR="00350112">
        <w:rPr>
          <w:rFonts w:ascii="Palatino Linotype" w:hAnsi="Palatino Linotype"/>
        </w:rPr>
        <w:t xml:space="preserve"> leaves room for individual utilities to operate differ</w:t>
      </w:r>
      <w:r w:rsidRPr="00DD2C68" w:rsidR="00806F2A">
        <w:rPr>
          <w:rFonts w:ascii="Palatino Linotype" w:hAnsi="Palatino Linotype"/>
        </w:rPr>
        <w:t>ently within the adopted framework</w:t>
      </w:r>
      <w:r w:rsidRPr="00DD2C68" w:rsidR="00004BF2">
        <w:rPr>
          <w:rFonts w:ascii="Palatino Linotype" w:hAnsi="Palatino Linotype"/>
        </w:rPr>
        <w:t xml:space="preserve"> by </w:t>
      </w:r>
      <w:r w:rsidRPr="00DD2C68" w:rsidR="00700991">
        <w:rPr>
          <w:rFonts w:ascii="Palatino Linotype" w:hAnsi="Palatino Linotype"/>
        </w:rPr>
        <w:t>including different sources of information</w:t>
      </w:r>
      <w:r w:rsidRPr="00DD2C68" w:rsidR="007732AD">
        <w:rPr>
          <w:rFonts w:ascii="Palatino Linotype" w:hAnsi="Palatino Linotype"/>
        </w:rPr>
        <w:t xml:space="preserve">. </w:t>
      </w:r>
    </w:p>
    <w:p w:rsidRPr="00DD2C68" w:rsidR="00442F2E" w:rsidP="00F41E19" w:rsidRDefault="00433A13" w14:paraId="7A6C9D47" w14:textId="643262A2">
      <w:pPr>
        <w:pStyle w:val="Heading2"/>
        <w:rPr>
          <w:rFonts w:ascii="Palatino Linotype" w:hAnsi="Palatino Linotype"/>
          <w:color w:val="auto"/>
        </w:rPr>
      </w:pPr>
      <w:r w:rsidRPr="00DD2C68">
        <w:rPr>
          <w:rFonts w:ascii="Palatino Linotype" w:hAnsi="Palatino Linotype"/>
          <w:color w:val="auto"/>
        </w:rPr>
        <w:t>The Use and Treatment of Studies</w:t>
      </w:r>
    </w:p>
    <w:p w:rsidRPr="00DD2C68" w:rsidR="00E62067" w:rsidP="0078771C" w:rsidRDefault="00893755" w14:paraId="4225D35D" w14:textId="2F7AA062">
      <w:pPr>
        <w:spacing w:line="259" w:lineRule="auto"/>
        <w:rPr>
          <w:rFonts w:ascii="Palatino Linotype" w:hAnsi="Palatino Linotype" w:cs="Times New Roman"/>
        </w:rPr>
      </w:pPr>
      <w:r w:rsidRPr="00DD2C68">
        <w:rPr>
          <w:rFonts w:ascii="Palatino Linotype" w:hAnsi="Palatino Linotype" w:cs="Times New Roman"/>
        </w:rPr>
        <w:t xml:space="preserve">Cal Advocates, CalCCA, and TURN protest the use of studies as pending loads that are allowed to exceed the IEPR. CALSTART and the Joint IOUs argue that studies are necessary to provide the entire picture of load growth beyond customer information. </w:t>
      </w:r>
      <w:r w:rsidRPr="00DD2C68" w:rsidR="00F15252">
        <w:rPr>
          <w:rFonts w:ascii="Palatino Linotype" w:hAnsi="Palatino Linotype" w:cs="Times New Roman"/>
        </w:rPr>
        <w:t xml:space="preserve">The Commission considers the </w:t>
      </w:r>
      <w:r w:rsidRPr="00DD2C68" w:rsidR="007202E5">
        <w:rPr>
          <w:rFonts w:ascii="Palatino Linotype" w:hAnsi="Palatino Linotype" w:cs="Times New Roman"/>
        </w:rPr>
        <w:t>protests</w:t>
      </w:r>
      <w:r w:rsidRPr="00DD2C68" w:rsidR="000B01E9">
        <w:rPr>
          <w:rFonts w:ascii="Palatino Linotype" w:hAnsi="Palatino Linotype" w:cs="Times New Roman"/>
        </w:rPr>
        <w:t xml:space="preserve"> by Cal Advocates, CalCCA, and TURN against studies</w:t>
      </w:r>
      <w:r w:rsidRPr="00DD2C68" w:rsidR="007202E5">
        <w:rPr>
          <w:rFonts w:ascii="Palatino Linotype" w:hAnsi="Palatino Linotype" w:cs="Times New Roman"/>
        </w:rPr>
        <w:t xml:space="preserve"> and</w:t>
      </w:r>
      <w:r w:rsidRPr="00DD2C68" w:rsidR="000B01E9">
        <w:rPr>
          <w:rFonts w:ascii="Palatino Linotype" w:hAnsi="Palatino Linotype" w:cs="Times New Roman"/>
        </w:rPr>
        <w:t xml:space="preserve"> the</w:t>
      </w:r>
      <w:r w:rsidRPr="00DD2C68" w:rsidR="007202E5">
        <w:rPr>
          <w:rFonts w:ascii="Palatino Linotype" w:hAnsi="Palatino Linotype" w:cs="Times New Roman"/>
        </w:rPr>
        <w:t xml:space="preserve"> </w:t>
      </w:r>
      <w:r w:rsidRPr="00DD2C68" w:rsidR="00964DB2">
        <w:rPr>
          <w:rFonts w:ascii="Palatino Linotype" w:hAnsi="Palatino Linotype" w:cs="Times New Roman"/>
        </w:rPr>
        <w:t>replies</w:t>
      </w:r>
      <w:r w:rsidRPr="00DD2C68" w:rsidR="000B01E9">
        <w:rPr>
          <w:rFonts w:ascii="Palatino Linotype" w:hAnsi="Palatino Linotype" w:cs="Times New Roman"/>
        </w:rPr>
        <w:t xml:space="preserve"> by CALSTART and the joint utilities in favor,</w:t>
      </w:r>
      <w:r w:rsidRPr="00DD2C68" w:rsidR="00964DB2">
        <w:rPr>
          <w:rFonts w:ascii="Palatino Linotype" w:hAnsi="Palatino Linotype" w:cs="Times New Roman"/>
        </w:rPr>
        <w:t xml:space="preserve"> and</w:t>
      </w:r>
      <w:r w:rsidRPr="00DD2C68" w:rsidR="007202E5">
        <w:rPr>
          <w:rFonts w:ascii="Palatino Linotype" w:hAnsi="Palatino Linotype" w:cs="Times New Roman"/>
        </w:rPr>
        <w:t xml:space="preserve"> finds it fitting to </w:t>
      </w:r>
      <w:r w:rsidRPr="00DD2C68" w:rsidR="008175D5">
        <w:rPr>
          <w:rFonts w:ascii="Palatino Linotype" w:hAnsi="Palatino Linotype" w:cs="Times New Roman"/>
        </w:rPr>
        <w:t>limit, but not entirely prevent,</w:t>
      </w:r>
      <w:r w:rsidRPr="00DD2C68" w:rsidR="007202E5">
        <w:rPr>
          <w:rFonts w:ascii="Palatino Linotype" w:hAnsi="Palatino Linotype" w:cs="Times New Roman"/>
        </w:rPr>
        <w:t xml:space="preserve"> the ability of pending loads based on studies to exceed the IEPR. </w:t>
      </w:r>
      <w:r w:rsidRPr="00DD2C68" w:rsidR="003603BD">
        <w:rPr>
          <w:rFonts w:ascii="Palatino Linotype" w:hAnsi="Palatino Linotype" w:cs="Times New Roman"/>
        </w:rPr>
        <w:t xml:space="preserve">The core intent of pending loads is to </w:t>
      </w:r>
      <w:r w:rsidRPr="00DD2C68" w:rsidR="00964DB2">
        <w:rPr>
          <w:rFonts w:ascii="Palatino Linotype" w:hAnsi="Palatino Linotype" w:cs="Times New Roman"/>
        </w:rPr>
        <w:t xml:space="preserve">utilize high confidence, customer-based information to </w:t>
      </w:r>
      <w:r w:rsidRPr="00DD2C68" w:rsidR="003603BD">
        <w:rPr>
          <w:rFonts w:ascii="Palatino Linotype" w:hAnsi="Palatino Linotype" w:cs="Times New Roman"/>
        </w:rPr>
        <w:t>i</w:t>
      </w:r>
      <w:r w:rsidRPr="00DD2C68" w:rsidR="00651EE2">
        <w:rPr>
          <w:rFonts w:ascii="Palatino Linotype" w:hAnsi="Palatino Linotype" w:cs="Times New Roman"/>
        </w:rPr>
        <w:t>mprove</w:t>
      </w:r>
      <w:r w:rsidRPr="00DD2C68" w:rsidR="003603BD">
        <w:rPr>
          <w:rFonts w:ascii="Palatino Linotype" w:hAnsi="Palatino Linotype" w:cs="Times New Roman"/>
        </w:rPr>
        <w:t xml:space="preserve"> the </w:t>
      </w:r>
      <w:r w:rsidRPr="00DD2C68" w:rsidR="00651EE2">
        <w:rPr>
          <w:rFonts w:ascii="Palatino Linotype" w:hAnsi="Palatino Linotype" w:cs="Times New Roman"/>
        </w:rPr>
        <w:t xml:space="preserve">forecast </w:t>
      </w:r>
      <w:r w:rsidRPr="00DD2C68" w:rsidR="003603BD">
        <w:rPr>
          <w:rFonts w:ascii="Palatino Linotype" w:hAnsi="Palatino Linotype" w:cs="Times New Roman"/>
        </w:rPr>
        <w:t xml:space="preserve">of where load growth </w:t>
      </w:r>
      <w:r w:rsidRPr="00DD2C68" w:rsidR="00651EE2">
        <w:rPr>
          <w:rFonts w:ascii="Palatino Linotype" w:hAnsi="Palatino Linotype" w:cs="Times New Roman"/>
        </w:rPr>
        <w:t>will</w:t>
      </w:r>
      <w:r w:rsidRPr="00DD2C68" w:rsidR="003603BD">
        <w:rPr>
          <w:rFonts w:ascii="Palatino Linotype" w:hAnsi="Palatino Linotype" w:cs="Times New Roman"/>
        </w:rPr>
        <w:t xml:space="preserve"> occur</w:t>
      </w:r>
      <w:r w:rsidRPr="00DD2C68" w:rsidR="00636CB9">
        <w:rPr>
          <w:rFonts w:ascii="Palatino Linotype" w:hAnsi="Palatino Linotype" w:cs="Times New Roman"/>
        </w:rPr>
        <w:t xml:space="preserve"> to inform planning processes. </w:t>
      </w:r>
      <w:r w:rsidRPr="00DD2C68" w:rsidR="00964DB2">
        <w:rPr>
          <w:rFonts w:ascii="Palatino Linotype" w:hAnsi="Palatino Linotype" w:cs="Times New Roman"/>
        </w:rPr>
        <w:t>We</w:t>
      </w:r>
      <w:r w:rsidRPr="00DD2C68" w:rsidR="005C2781">
        <w:rPr>
          <w:rFonts w:ascii="Palatino Linotype" w:hAnsi="Palatino Linotype" w:cs="Times New Roman"/>
        </w:rPr>
        <w:t xml:space="preserve"> understand that </w:t>
      </w:r>
      <w:r w:rsidRPr="00DD2C68" w:rsidR="002C7F31">
        <w:rPr>
          <w:rFonts w:ascii="Palatino Linotype" w:hAnsi="Palatino Linotype" w:cs="Times New Roman"/>
        </w:rPr>
        <w:t>new</w:t>
      </w:r>
      <w:r w:rsidRPr="00DD2C68" w:rsidR="005C2781">
        <w:rPr>
          <w:rFonts w:ascii="Palatino Linotype" w:hAnsi="Palatino Linotype" w:cs="Times New Roman"/>
        </w:rPr>
        <w:t xml:space="preserve"> reliable, bottom-up information can exceed the IEPR forecast</w:t>
      </w:r>
      <w:r w:rsidRPr="00DD2C68" w:rsidR="002C7F31">
        <w:rPr>
          <w:rFonts w:ascii="Palatino Linotype" w:hAnsi="Palatino Linotype" w:cs="Times New Roman"/>
        </w:rPr>
        <w:t>,</w:t>
      </w:r>
      <w:r w:rsidRPr="00DD2C68" w:rsidR="00064888">
        <w:rPr>
          <w:rFonts w:ascii="Palatino Linotype" w:hAnsi="Palatino Linotype" w:cs="Times New Roman"/>
        </w:rPr>
        <w:t xml:space="preserve"> and </w:t>
      </w:r>
      <w:r w:rsidRPr="00DD2C68" w:rsidR="002C7F31">
        <w:rPr>
          <w:rFonts w:ascii="Palatino Linotype" w:hAnsi="Palatino Linotype" w:cs="Times New Roman"/>
        </w:rPr>
        <w:t xml:space="preserve">we </w:t>
      </w:r>
      <w:r w:rsidRPr="00DD2C68" w:rsidR="00064888">
        <w:rPr>
          <w:rFonts w:ascii="Palatino Linotype" w:hAnsi="Palatino Linotype" w:cs="Times New Roman"/>
        </w:rPr>
        <w:t xml:space="preserve">provide a pathway within pending loads for this </w:t>
      </w:r>
      <w:r w:rsidRPr="00DD2C68" w:rsidR="00CD6229">
        <w:rPr>
          <w:rFonts w:ascii="Palatino Linotype" w:hAnsi="Palatino Linotype" w:cs="Times New Roman"/>
        </w:rPr>
        <w:t>allowance through Category A</w:t>
      </w:r>
      <w:r w:rsidRPr="00DD2C68" w:rsidR="00D45571">
        <w:rPr>
          <w:rFonts w:ascii="Palatino Linotype" w:hAnsi="Palatino Linotype" w:cs="Times New Roman"/>
        </w:rPr>
        <w:t xml:space="preserve"> and B1</w:t>
      </w:r>
      <w:r w:rsidRPr="00DD2C68" w:rsidR="00CD6229">
        <w:rPr>
          <w:rFonts w:ascii="Palatino Linotype" w:hAnsi="Palatino Linotype" w:cs="Times New Roman"/>
        </w:rPr>
        <w:t xml:space="preserve"> pending loads. </w:t>
      </w:r>
    </w:p>
    <w:p w:rsidRPr="00DD2C68" w:rsidR="004928AB" w:rsidP="0078771C" w:rsidRDefault="00475BB1" w14:paraId="1D0EC36F" w14:textId="0093D8CA">
      <w:pPr>
        <w:spacing w:line="259" w:lineRule="auto"/>
        <w:rPr>
          <w:rFonts w:ascii="Palatino Linotype" w:hAnsi="Palatino Linotype" w:cs="Times New Roman"/>
        </w:rPr>
      </w:pPr>
      <w:r w:rsidRPr="00DD2C68">
        <w:rPr>
          <w:rFonts w:ascii="Palatino Linotype" w:hAnsi="Palatino Linotype" w:cs="Times New Roman"/>
        </w:rPr>
        <w:lastRenderedPageBreak/>
        <w:t>We</w:t>
      </w:r>
      <w:r w:rsidRPr="00DD2C68" w:rsidR="000F32D9">
        <w:rPr>
          <w:rFonts w:ascii="Palatino Linotype" w:hAnsi="Palatino Linotype" w:cs="Times New Roman"/>
        </w:rPr>
        <w:t xml:space="preserve"> believe that the IEPR, in conjunction with</w:t>
      </w:r>
      <w:r w:rsidRPr="00DD2C68" w:rsidR="00754C28">
        <w:rPr>
          <w:rFonts w:ascii="Palatino Linotype" w:hAnsi="Palatino Linotype" w:cs="Times New Roman"/>
        </w:rPr>
        <w:t xml:space="preserve"> pending loads,</w:t>
      </w:r>
      <w:r w:rsidRPr="00DD2C68" w:rsidR="00B1581D">
        <w:rPr>
          <w:rFonts w:ascii="Palatino Linotype" w:hAnsi="Palatino Linotype" w:cs="Times New Roman"/>
        </w:rPr>
        <w:t xml:space="preserve"> scenario planning</w:t>
      </w:r>
      <w:r w:rsidRPr="00DD2C68" w:rsidR="000D6098">
        <w:rPr>
          <w:rStyle w:val="FootnoteReference"/>
          <w:rFonts w:ascii="Palatino Linotype" w:hAnsi="Palatino Linotype" w:cs="Times New Roman"/>
        </w:rPr>
        <w:footnoteReference w:id="7"/>
      </w:r>
      <w:r w:rsidRPr="00DD2C68" w:rsidR="000F32D9">
        <w:rPr>
          <w:rFonts w:ascii="Palatino Linotype" w:hAnsi="Palatino Linotype" w:cs="Times New Roman"/>
        </w:rPr>
        <w:t xml:space="preserve"> </w:t>
      </w:r>
      <w:r w:rsidRPr="00DD2C68" w:rsidR="00B1581D">
        <w:rPr>
          <w:rFonts w:ascii="Palatino Linotype" w:hAnsi="Palatino Linotype" w:cs="Times New Roman"/>
        </w:rPr>
        <w:t xml:space="preserve">and </w:t>
      </w:r>
      <w:r w:rsidRPr="00DD2C68" w:rsidR="000F32D9">
        <w:rPr>
          <w:rFonts w:ascii="Palatino Linotype" w:hAnsi="Palatino Linotype" w:cs="Times New Roman"/>
        </w:rPr>
        <w:t xml:space="preserve">upcoming IEPR cap </w:t>
      </w:r>
      <w:r w:rsidRPr="00DD2C68" w:rsidR="00B1581D">
        <w:rPr>
          <w:rFonts w:ascii="Palatino Linotype" w:hAnsi="Palatino Linotype" w:cs="Times New Roman"/>
        </w:rPr>
        <w:t>adjustments</w:t>
      </w:r>
      <w:r w:rsidRPr="00DD2C68" w:rsidR="005F1328">
        <w:rPr>
          <w:rStyle w:val="FootnoteReference"/>
          <w:rFonts w:ascii="Palatino Linotype" w:hAnsi="Palatino Linotype" w:cs="Times New Roman"/>
        </w:rPr>
        <w:footnoteReference w:id="8"/>
      </w:r>
      <w:r w:rsidRPr="00DD2C68" w:rsidR="00B1581D">
        <w:rPr>
          <w:rFonts w:ascii="Palatino Linotype" w:hAnsi="Palatino Linotype" w:cs="Times New Roman"/>
        </w:rPr>
        <w:t xml:space="preserve"> proposals, is sufficient to </w:t>
      </w:r>
      <w:r w:rsidRPr="00DD2C68" w:rsidR="00345D4A">
        <w:rPr>
          <w:rFonts w:ascii="Palatino Linotype" w:hAnsi="Palatino Linotype" w:cs="Times New Roman"/>
        </w:rPr>
        <w:t>provide a</w:t>
      </w:r>
      <w:r w:rsidRPr="00DD2C68" w:rsidR="0087170A">
        <w:rPr>
          <w:rFonts w:ascii="Palatino Linotype" w:hAnsi="Palatino Linotype" w:cs="Times New Roman"/>
        </w:rPr>
        <w:t>n</w:t>
      </w:r>
      <w:r w:rsidRPr="00DD2C68" w:rsidR="00593777">
        <w:rPr>
          <w:rFonts w:ascii="Palatino Linotype" w:hAnsi="Palatino Linotype" w:cs="Times New Roman"/>
        </w:rPr>
        <w:t xml:space="preserve"> </w:t>
      </w:r>
      <w:r w:rsidRPr="00DD2C68" w:rsidR="00345D4A">
        <w:rPr>
          <w:rFonts w:ascii="Palatino Linotype" w:hAnsi="Palatino Linotype" w:cs="Times New Roman"/>
        </w:rPr>
        <w:t>accurate picture of</w:t>
      </w:r>
      <w:r w:rsidRPr="00DD2C68" w:rsidR="002033A8">
        <w:rPr>
          <w:rFonts w:ascii="Palatino Linotype" w:hAnsi="Palatino Linotype" w:cs="Times New Roman"/>
        </w:rPr>
        <w:t xml:space="preserve"> aggregate</w:t>
      </w:r>
      <w:r w:rsidRPr="00DD2C68" w:rsidR="00345D4A">
        <w:rPr>
          <w:rFonts w:ascii="Palatino Linotype" w:hAnsi="Palatino Linotype" w:cs="Times New Roman"/>
        </w:rPr>
        <w:t xml:space="preserve"> load growth</w:t>
      </w:r>
      <w:r w:rsidRPr="00DD2C68" w:rsidR="005236F5">
        <w:rPr>
          <w:rFonts w:ascii="Palatino Linotype" w:hAnsi="Palatino Linotype" w:cs="Times New Roman"/>
        </w:rPr>
        <w:t xml:space="preserve"> at the distribution level</w:t>
      </w:r>
      <w:r w:rsidRPr="00DD2C68" w:rsidR="00345D4A">
        <w:rPr>
          <w:rFonts w:ascii="Palatino Linotype" w:hAnsi="Palatino Linotype" w:cs="Times New Roman"/>
        </w:rPr>
        <w:t>.</w:t>
      </w:r>
      <w:r w:rsidRPr="00DD2C68" w:rsidR="007E6829">
        <w:rPr>
          <w:rFonts w:ascii="Palatino Linotype" w:hAnsi="Palatino Linotype" w:cs="Times New Roman"/>
        </w:rPr>
        <w:t xml:space="preserve"> T</w:t>
      </w:r>
      <w:r w:rsidRPr="00DD2C68" w:rsidR="00A8701F">
        <w:rPr>
          <w:rFonts w:ascii="Palatino Linotype" w:hAnsi="Palatino Linotype" w:cs="Times New Roman"/>
        </w:rPr>
        <w:t xml:space="preserve">he utility proposals lack a clear proposal for how </w:t>
      </w:r>
      <w:r w:rsidRPr="00DD2C68" w:rsidR="00E60195">
        <w:rPr>
          <w:rFonts w:ascii="Palatino Linotype" w:hAnsi="Palatino Linotype" w:cs="Times New Roman"/>
        </w:rPr>
        <w:t xml:space="preserve">studies would be translated into specific </w:t>
      </w:r>
      <w:r w:rsidRPr="00DD2C68" w:rsidR="001F60EC">
        <w:rPr>
          <w:rFonts w:ascii="Palatino Linotype" w:hAnsi="Palatino Linotype" w:cs="Times New Roman"/>
        </w:rPr>
        <w:t xml:space="preserve">pending loads with </w:t>
      </w:r>
      <w:r w:rsidRPr="00DD2C68" w:rsidR="00E60195">
        <w:rPr>
          <w:rFonts w:ascii="Palatino Linotype" w:hAnsi="Palatino Linotype" w:cs="Times New Roman"/>
        </w:rPr>
        <w:t>location, timing, and magnitude</w:t>
      </w:r>
      <w:r w:rsidRPr="00DD2C68" w:rsidR="001F60EC">
        <w:rPr>
          <w:rFonts w:ascii="Palatino Linotype" w:hAnsi="Palatino Linotype" w:cs="Times New Roman"/>
        </w:rPr>
        <w:t xml:space="preserve">. </w:t>
      </w:r>
      <w:r w:rsidRPr="00DD2C68" w:rsidR="00B45A58">
        <w:rPr>
          <w:rFonts w:ascii="Palatino Linotype" w:hAnsi="Palatino Linotype" w:cs="Times New Roman"/>
        </w:rPr>
        <w:t>The Commission agrees with Cal Advocates</w:t>
      </w:r>
      <w:r w:rsidRPr="00DD2C68" w:rsidR="00217786">
        <w:rPr>
          <w:rFonts w:ascii="Palatino Linotype" w:hAnsi="Palatino Linotype" w:cs="Times New Roman"/>
        </w:rPr>
        <w:t>’</w:t>
      </w:r>
      <w:r w:rsidRPr="00DD2C68" w:rsidR="00B45A58">
        <w:rPr>
          <w:rFonts w:ascii="Palatino Linotype" w:hAnsi="Palatino Linotype" w:cs="Times New Roman"/>
        </w:rPr>
        <w:t xml:space="preserve"> suggestion that to the extent bottom-up studies are based on </w:t>
      </w:r>
      <w:r w:rsidRPr="00DD2C68" w:rsidR="009D47C8">
        <w:rPr>
          <w:rFonts w:ascii="Palatino Linotype" w:hAnsi="Palatino Linotype" w:cs="Times New Roman"/>
        </w:rPr>
        <w:t>customer information, that information may be used directly in pending loads</w:t>
      </w:r>
      <w:r w:rsidRPr="00DD2C68" w:rsidR="003D6867">
        <w:rPr>
          <w:rFonts w:ascii="Palatino Linotype" w:hAnsi="Palatino Linotype" w:cs="Times New Roman"/>
        </w:rPr>
        <w:t xml:space="preserve"> Category </w:t>
      </w:r>
      <w:r w:rsidRPr="00DD2C68" w:rsidR="00E62067">
        <w:rPr>
          <w:rFonts w:ascii="Palatino Linotype" w:hAnsi="Palatino Linotype" w:cs="Times New Roman"/>
        </w:rPr>
        <w:t>A or B1</w:t>
      </w:r>
      <w:r w:rsidRPr="00DD2C68" w:rsidR="003022B9">
        <w:rPr>
          <w:rFonts w:ascii="Palatino Linotype" w:hAnsi="Palatino Linotype" w:cs="Times New Roman"/>
        </w:rPr>
        <w:t>, if it meets the minimum criteria established in Table 2,</w:t>
      </w:r>
      <w:r w:rsidRPr="00DD2C68" w:rsidR="009D47C8">
        <w:rPr>
          <w:rFonts w:ascii="Palatino Linotype" w:hAnsi="Palatino Linotype" w:cs="Times New Roman"/>
        </w:rPr>
        <w:t xml:space="preserve"> instead of through the study output.</w:t>
      </w:r>
      <w:r w:rsidRPr="00DD2C68" w:rsidR="00BC0BE5">
        <w:rPr>
          <w:rFonts w:ascii="Palatino Linotype" w:hAnsi="Palatino Linotype" w:cs="Times New Roman"/>
        </w:rPr>
        <w:t xml:space="preserve"> The Commission finds it prudent to </w:t>
      </w:r>
      <w:r w:rsidRPr="00DD2C68" w:rsidR="00943B80">
        <w:rPr>
          <w:rFonts w:ascii="Palatino Linotype" w:hAnsi="Palatino Linotype" w:cs="Times New Roman"/>
        </w:rPr>
        <w:t>prohibit</w:t>
      </w:r>
      <w:r w:rsidRPr="00DD2C68" w:rsidR="00137BA2">
        <w:rPr>
          <w:rFonts w:ascii="Palatino Linotype" w:hAnsi="Palatino Linotype" w:cs="Times New Roman"/>
        </w:rPr>
        <w:t xml:space="preserve"> the use of studies in Category A and B</w:t>
      </w:r>
      <w:r w:rsidRPr="00DD2C68" w:rsidR="00EF1DB8">
        <w:rPr>
          <w:rFonts w:ascii="Palatino Linotype" w:hAnsi="Palatino Linotype" w:cs="Times New Roman"/>
        </w:rPr>
        <w:t>1</w:t>
      </w:r>
      <w:r w:rsidRPr="00DD2C68" w:rsidR="007E6829">
        <w:rPr>
          <w:rFonts w:ascii="Palatino Linotype" w:hAnsi="Palatino Linotype" w:cs="Times New Roman"/>
        </w:rPr>
        <w:t xml:space="preserve"> because these studies are not </w:t>
      </w:r>
      <w:r w:rsidRPr="00DD2C68" w:rsidR="00F17DD9">
        <w:rPr>
          <w:rFonts w:ascii="Palatino Linotype" w:hAnsi="Palatino Linotype" w:cs="Times New Roman"/>
        </w:rPr>
        <w:t>based on high</w:t>
      </w:r>
      <w:r w:rsidRPr="00DD2C68" w:rsidR="0088091E">
        <w:rPr>
          <w:rFonts w:ascii="Palatino Linotype" w:hAnsi="Palatino Linotype" w:cs="Times New Roman"/>
        </w:rPr>
        <w:t xml:space="preserve"> or medium-</w:t>
      </w:r>
      <w:r w:rsidRPr="00DD2C68" w:rsidR="00F17DD9">
        <w:rPr>
          <w:rFonts w:ascii="Palatino Linotype" w:hAnsi="Palatino Linotype" w:cs="Times New Roman"/>
        </w:rPr>
        <w:t>confidence</w:t>
      </w:r>
      <w:r w:rsidRPr="00DD2C68" w:rsidR="0088091E">
        <w:rPr>
          <w:rFonts w:ascii="Palatino Linotype" w:hAnsi="Palatino Linotype" w:cs="Times New Roman"/>
        </w:rPr>
        <w:t xml:space="preserve"> </w:t>
      </w:r>
      <w:r w:rsidRPr="00DD2C68" w:rsidR="00E931BD">
        <w:rPr>
          <w:rFonts w:ascii="Palatino Linotype" w:hAnsi="Palatino Linotype" w:cs="Times New Roman"/>
        </w:rPr>
        <w:t xml:space="preserve">customer-based </w:t>
      </w:r>
      <w:r w:rsidRPr="00DD2C68" w:rsidR="0088091E">
        <w:rPr>
          <w:rFonts w:ascii="Palatino Linotype" w:hAnsi="Palatino Linotype" w:cs="Times New Roman"/>
        </w:rPr>
        <w:t>projects</w:t>
      </w:r>
      <w:r w:rsidRPr="00DD2C68" w:rsidR="00C31229">
        <w:rPr>
          <w:rFonts w:ascii="Palatino Linotype" w:hAnsi="Palatino Linotype" w:cs="Times New Roman"/>
        </w:rPr>
        <w:t xml:space="preserve"> and</w:t>
      </w:r>
      <w:r w:rsidRPr="00DD2C68" w:rsidR="0088091E">
        <w:rPr>
          <w:rFonts w:ascii="Palatino Linotype" w:hAnsi="Palatino Linotype" w:cs="Times New Roman"/>
        </w:rPr>
        <w:t xml:space="preserve"> </w:t>
      </w:r>
      <w:r w:rsidRPr="00DD2C68" w:rsidR="00152AD9">
        <w:rPr>
          <w:rFonts w:ascii="Palatino Linotype" w:hAnsi="Palatino Linotype" w:cs="Times New Roman"/>
        </w:rPr>
        <w:t xml:space="preserve">including studies in these categories </w:t>
      </w:r>
      <w:proofErr w:type="gramStart"/>
      <w:r w:rsidRPr="00DD2C68" w:rsidR="00152AD9">
        <w:rPr>
          <w:rFonts w:ascii="Palatino Linotype" w:hAnsi="Palatino Linotype" w:cs="Times New Roman"/>
        </w:rPr>
        <w:t>risks</w:t>
      </w:r>
      <w:proofErr w:type="gramEnd"/>
      <w:r w:rsidRPr="00DD2C68" w:rsidR="00152AD9">
        <w:rPr>
          <w:rFonts w:ascii="Palatino Linotype" w:hAnsi="Palatino Linotype" w:cs="Times New Roman"/>
        </w:rPr>
        <w:t xml:space="preserve"> over-investing in the system</w:t>
      </w:r>
      <w:r w:rsidRPr="00DD2C68" w:rsidR="00042CEF">
        <w:rPr>
          <w:rFonts w:ascii="Palatino Linotype" w:hAnsi="Palatino Linotype" w:cs="Times New Roman"/>
        </w:rPr>
        <w:t xml:space="preserve"> and </w:t>
      </w:r>
      <w:r w:rsidRPr="00DD2C68" w:rsidR="00350411">
        <w:rPr>
          <w:rFonts w:ascii="Palatino Linotype" w:hAnsi="Palatino Linotype" w:cs="Times New Roman"/>
        </w:rPr>
        <w:t>adding unnecessary costs to ratepayers</w:t>
      </w:r>
      <w:r w:rsidRPr="00DD2C68" w:rsidR="00137BA2">
        <w:rPr>
          <w:rFonts w:ascii="Palatino Linotype" w:hAnsi="Palatino Linotype" w:cs="Times New Roman"/>
        </w:rPr>
        <w:t>.</w:t>
      </w:r>
      <w:r w:rsidRPr="00DD2C68" w:rsidR="009D47C8">
        <w:rPr>
          <w:rFonts w:ascii="Palatino Linotype" w:hAnsi="Palatino Linotype" w:cs="Times New Roman"/>
        </w:rPr>
        <w:t xml:space="preserve"> </w:t>
      </w:r>
      <w:r w:rsidRPr="00DD2C68" w:rsidR="00345D4A">
        <w:rPr>
          <w:rFonts w:ascii="Palatino Linotype" w:hAnsi="Palatino Linotype" w:cs="Times New Roman"/>
        </w:rPr>
        <w:t xml:space="preserve">Studies may </w:t>
      </w:r>
      <w:r w:rsidRPr="00DD2C68" w:rsidR="00083132">
        <w:rPr>
          <w:rFonts w:ascii="Palatino Linotype" w:hAnsi="Palatino Linotype" w:cs="Times New Roman"/>
        </w:rPr>
        <w:t>be used through pending load</w:t>
      </w:r>
      <w:r w:rsidRPr="00DD2C68" w:rsidR="00EF1DB8">
        <w:rPr>
          <w:rFonts w:ascii="Palatino Linotype" w:hAnsi="Palatino Linotype" w:cs="Times New Roman"/>
        </w:rPr>
        <w:t xml:space="preserve"> Category B2</w:t>
      </w:r>
      <w:r w:rsidRPr="00DD2C68" w:rsidR="003D6867">
        <w:rPr>
          <w:rFonts w:ascii="Palatino Linotype" w:hAnsi="Palatino Linotype" w:cs="Times New Roman"/>
        </w:rPr>
        <w:t>, if study criteria are met,</w:t>
      </w:r>
      <w:r w:rsidRPr="00DD2C68" w:rsidR="00EF1DB8">
        <w:rPr>
          <w:rFonts w:ascii="Palatino Linotype" w:hAnsi="Palatino Linotype" w:cs="Times New Roman"/>
        </w:rPr>
        <w:t xml:space="preserve"> and</w:t>
      </w:r>
      <w:r w:rsidRPr="00DD2C68" w:rsidR="003D6867">
        <w:rPr>
          <w:rFonts w:ascii="Palatino Linotype" w:hAnsi="Palatino Linotype" w:cs="Times New Roman"/>
        </w:rPr>
        <w:t xml:space="preserve"> otherwise through</w:t>
      </w:r>
      <w:r w:rsidRPr="00DD2C68" w:rsidR="00083132">
        <w:rPr>
          <w:rFonts w:ascii="Palatino Linotype" w:hAnsi="Palatino Linotype" w:cs="Times New Roman"/>
        </w:rPr>
        <w:t xml:space="preserve"> Category C for disaggregation</w:t>
      </w:r>
      <w:r w:rsidRPr="00DD2C68" w:rsidR="009340F6">
        <w:rPr>
          <w:rFonts w:ascii="Palatino Linotype" w:hAnsi="Palatino Linotype" w:cs="Times New Roman"/>
        </w:rPr>
        <w:t xml:space="preserve"> of the IEPR forecast.</w:t>
      </w:r>
    </w:p>
    <w:p w:rsidRPr="00DD2C68" w:rsidR="00A15C45" w:rsidP="0078771C" w:rsidRDefault="004928AB" w14:paraId="3F4DEC49" w14:textId="268F83FD">
      <w:pPr>
        <w:spacing w:line="259" w:lineRule="auto"/>
        <w:rPr>
          <w:rFonts w:ascii="Palatino Linotype" w:hAnsi="Palatino Linotype" w:cs="Times New Roman"/>
        </w:rPr>
      </w:pPr>
      <w:r w:rsidRPr="00DD2C68">
        <w:rPr>
          <w:rFonts w:ascii="Palatino Linotype" w:hAnsi="Palatino Linotype" w:cs="Times New Roman"/>
        </w:rPr>
        <w:t>The Commission</w:t>
      </w:r>
      <w:r w:rsidRPr="00DD2C68" w:rsidR="00FD58C1">
        <w:rPr>
          <w:rFonts w:ascii="Palatino Linotype" w:hAnsi="Palatino Linotype" w:cs="Times New Roman"/>
        </w:rPr>
        <w:t xml:space="preserve"> may revis</w:t>
      </w:r>
      <w:r w:rsidRPr="00DD2C68" w:rsidR="00047E48">
        <w:rPr>
          <w:rFonts w:ascii="Palatino Linotype" w:hAnsi="Palatino Linotype" w:cs="Times New Roman"/>
        </w:rPr>
        <w:t>i</w:t>
      </w:r>
      <w:r w:rsidRPr="00DD2C68" w:rsidR="00FD58C1">
        <w:rPr>
          <w:rFonts w:ascii="Palatino Linotype" w:hAnsi="Palatino Linotype" w:cs="Times New Roman"/>
        </w:rPr>
        <w:t xml:space="preserve">t the </w:t>
      </w:r>
      <w:r w:rsidRPr="00DD2C68" w:rsidR="00047E48">
        <w:rPr>
          <w:rFonts w:ascii="Palatino Linotype" w:hAnsi="Palatino Linotype" w:cs="Times New Roman"/>
        </w:rPr>
        <w:t xml:space="preserve">use and treatment of studies </w:t>
      </w:r>
      <w:proofErr w:type="gramStart"/>
      <w:r w:rsidRPr="00DD2C68" w:rsidR="00047E48">
        <w:rPr>
          <w:rFonts w:ascii="Palatino Linotype" w:hAnsi="Palatino Linotype" w:cs="Times New Roman"/>
        </w:rPr>
        <w:t>at a later date</w:t>
      </w:r>
      <w:proofErr w:type="gramEnd"/>
      <w:r w:rsidRPr="00DD2C68" w:rsidR="00047E48">
        <w:rPr>
          <w:rFonts w:ascii="Palatino Linotype" w:hAnsi="Palatino Linotype" w:cs="Times New Roman"/>
        </w:rPr>
        <w:t>.</w:t>
      </w:r>
    </w:p>
    <w:p w:rsidRPr="00DD2C68" w:rsidR="00D33F03" w:rsidP="00F41E19" w:rsidRDefault="00D33F03" w14:paraId="309747F7" w14:textId="6AC749AA">
      <w:pPr>
        <w:pStyle w:val="Heading2"/>
        <w:rPr>
          <w:rFonts w:ascii="Palatino Linotype" w:hAnsi="Palatino Linotype"/>
          <w:color w:val="auto"/>
        </w:rPr>
      </w:pPr>
      <w:r w:rsidRPr="00DD2C68">
        <w:rPr>
          <w:rFonts w:ascii="Palatino Linotype" w:hAnsi="Palatino Linotype"/>
          <w:color w:val="auto"/>
        </w:rPr>
        <w:t>Pending Loads Confidence Assessments and Discount Factors</w:t>
      </w:r>
    </w:p>
    <w:p w:rsidRPr="00DD2C68" w:rsidR="00D33F03" w:rsidP="00512EB4" w:rsidRDefault="00A81CBF" w14:paraId="3B3A4856" w14:textId="1372F2EF">
      <w:pPr>
        <w:spacing w:line="259" w:lineRule="auto"/>
        <w:rPr>
          <w:rFonts w:ascii="Palatino Linotype" w:hAnsi="Palatino Linotype" w:cs="Times New Roman"/>
        </w:rPr>
      </w:pPr>
      <w:r w:rsidRPr="00DD2C68">
        <w:rPr>
          <w:rFonts w:ascii="Palatino Linotype" w:hAnsi="Palatino Linotype" w:cs="Times New Roman"/>
        </w:rPr>
        <w:t xml:space="preserve">We agree with CalCCA that the description provided by SCE </w:t>
      </w:r>
      <w:r w:rsidRPr="00DD2C68" w:rsidR="00195A51">
        <w:rPr>
          <w:rFonts w:ascii="Palatino Linotype" w:hAnsi="Palatino Linotype" w:cs="Times New Roman"/>
        </w:rPr>
        <w:t xml:space="preserve">on the </w:t>
      </w:r>
      <w:r w:rsidRPr="00DD2C68" w:rsidR="00263DCA">
        <w:rPr>
          <w:rFonts w:ascii="Palatino Linotype" w:hAnsi="Palatino Linotype" w:cs="Times New Roman"/>
        </w:rPr>
        <w:t xml:space="preserve">creation and application of discount factors </w:t>
      </w:r>
      <w:r w:rsidRPr="00DD2C68" w:rsidR="0023422F">
        <w:rPr>
          <w:rFonts w:ascii="Palatino Linotype" w:hAnsi="Palatino Linotype" w:cs="Times New Roman"/>
        </w:rPr>
        <w:t xml:space="preserve">to individual projects </w:t>
      </w:r>
      <w:r w:rsidRPr="00DD2C68">
        <w:rPr>
          <w:rFonts w:ascii="Palatino Linotype" w:hAnsi="Palatino Linotype" w:cs="Times New Roman"/>
        </w:rPr>
        <w:t xml:space="preserve">lacks sufficient detail for assessing the certainty of pending loads and </w:t>
      </w:r>
      <w:r w:rsidRPr="00DD2C68" w:rsidR="00B90FAD">
        <w:rPr>
          <w:rFonts w:ascii="Palatino Linotype" w:hAnsi="Palatino Linotype" w:cs="Times New Roman"/>
        </w:rPr>
        <w:t>third-party</w:t>
      </w:r>
      <w:r w:rsidRPr="00DD2C68">
        <w:rPr>
          <w:rFonts w:ascii="Palatino Linotype" w:hAnsi="Palatino Linotype" w:cs="Times New Roman"/>
        </w:rPr>
        <w:t xml:space="preserve"> validation of categorization. </w:t>
      </w:r>
      <w:r w:rsidRPr="00DD2C68" w:rsidR="00D33F03">
        <w:rPr>
          <w:rFonts w:ascii="Palatino Linotype" w:hAnsi="Palatino Linotype" w:cs="Times New Roman"/>
        </w:rPr>
        <w:t>SCE does not include the details of the certainty assessment that will be used to evaluate all pending loads.</w:t>
      </w:r>
      <w:r w:rsidRPr="00DD2C68" w:rsidR="00B90FAD">
        <w:rPr>
          <w:rFonts w:ascii="Palatino Linotype" w:hAnsi="Palatino Linotype" w:cs="Times New Roman"/>
        </w:rPr>
        <w:t xml:space="preserve"> We agree with Cal </w:t>
      </w:r>
      <w:proofErr w:type="gramStart"/>
      <w:r w:rsidRPr="00DD2C68" w:rsidR="00B90FAD">
        <w:rPr>
          <w:rFonts w:ascii="Palatino Linotype" w:hAnsi="Palatino Linotype" w:cs="Times New Roman"/>
        </w:rPr>
        <w:t>Advocates</w:t>
      </w:r>
      <w:proofErr w:type="gramEnd"/>
      <w:r w:rsidRPr="00DD2C68" w:rsidR="00B90FAD">
        <w:rPr>
          <w:rFonts w:ascii="Palatino Linotype" w:hAnsi="Palatino Linotype" w:cs="Times New Roman"/>
        </w:rPr>
        <w:t xml:space="preserve"> argument that project-specific confidence assessments applied through discount factors introduces significant complexity and </w:t>
      </w:r>
      <w:r w:rsidRPr="00DD2C68" w:rsidR="00B90FAD">
        <w:rPr>
          <w:rFonts w:ascii="Palatino Linotype" w:hAnsi="Palatino Linotype" w:cs="Times New Roman"/>
        </w:rPr>
        <w:lastRenderedPageBreak/>
        <w:t>difficulty to oversee. We agree with PG&amp;E’s argument that applying discount factors on a per-customer basis may be contentious with customers and it is simpler to apply confidence at the category level.</w:t>
      </w:r>
      <w:r w:rsidRPr="00DD2C68" w:rsidR="00D33F03">
        <w:rPr>
          <w:rFonts w:ascii="Palatino Linotype" w:hAnsi="Palatino Linotype" w:cs="Times New Roman"/>
        </w:rPr>
        <w:t xml:space="preserve"> </w:t>
      </w:r>
      <w:r w:rsidRPr="00DD2C68">
        <w:rPr>
          <w:rFonts w:ascii="Palatino Linotype" w:hAnsi="Palatino Linotype" w:cs="Times New Roman"/>
        </w:rPr>
        <w:t xml:space="preserve">For these reasons, we </w:t>
      </w:r>
      <w:r w:rsidRPr="00DD2C68" w:rsidR="757C685C">
        <w:rPr>
          <w:rFonts w:ascii="Palatino Linotype" w:hAnsi="Palatino Linotype" w:cs="Times New Roman"/>
        </w:rPr>
        <w:t>order</w:t>
      </w:r>
      <w:r w:rsidRPr="00DD2C68">
        <w:rPr>
          <w:rFonts w:ascii="Palatino Linotype" w:hAnsi="Palatino Linotype" w:cs="Times New Roman"/>
        </w:rPr>
        <w:t xml:space="preserve"> the adoption of</w:t>
      </w:r>
      <w:r w:rsidRPr="00DD2C68" w:rsidR="00D33F03">
        <w:rPr>
          <w:rFonts w:ascii="Palatino Linotype" w:hAnsi="Palatino Linotype" w:cs="Times New Roman"/>
        </w:rPr>
        <w:t xml:space="preserve"> </w:t>
      </w:r>
      <w:r w:rsidR="00721AD9">
        <w:rPr>
          <w:rFonts w:ascii="Palatino Linotype" w:hAnsi="Palatino Linotype" w:cs="Times New Roman"/>
        </w:rPr>
        <w:br/>
      </w:r>
      <w:r w:rsidRPr="00DD2C68" w:rsidR="00D33F03">
        <w:rPr>
          <w:rFonts w:ascii="Palatino Linotype" w:hAnsi="Palatino Linotype" w:cs="Times New Roman"/>
        </w:rPr>
        <w:t>PG&amp;E</w:t>
      </w:r>
      <w:r w:rsidRPr="00DD2C68">
        <w:rPr>
          <w:rFonts w:ascii="Palatino Linotype" w:hAnsi="Palatino Linotype" w:cs="Times New Roman"/>
        </w:rPr>
        <w:t>’s</w:t>
      </w:r>
      <w:r w:rsidRPr="00DD2C68" w:rsidR="00D33F03">
        <w:rPr>
          <w:rFonts w:ascii="Palatino Linotype" w:hAnsi="Palatino Linotype" w:cs="Times New Roman"/>
        </w:rPr>
        <w:t xml:space="preserve"> detailed list of minimum criteria </w:t>
      </w:r>
      <w:proofErr w:type="gramStart"/>
      <w:r w:rsidRPr="00DD2C68">
        <w:rPr>
          <w:rFonts w:ascii="Palatino Linotype" w:hAnsi="Palatino Linotype" w:cs="Times New Roman"/>
        </w:rPr>
        <w:t>be</w:t>
      </w:r>
      <w:proofErr w:type="gramEnd"/>
      <w:r w:rsidRPr="00DD2C68">
        <w:rPr>
          <w:rFonts w:ascii="Palatino Linotype" w:hAnsi="Palatino Linotype" w:cs="Times New Roman"/>
        </w:rPr>
        <w:t xml:space="preserve"> </w:t>
      </w:r>
      <w:r w:rsidRPr="00DD2C68" w:rsidR="00D33F03">
        <w:rPr>
          <w:rFonts w:ascii="Palatino Linotype" w:hAnsi="Palatino Linotype" w:cs="Times New Roman"/>
        </w:rPr>
        <w:t xml:space="preserve">applied to each pending load category. Each pending load will be evaluated against the minimum criteria for each category and must meet </w:t>
      </w:r>
      <w:proofErr w:type="gramStart"/>
      <w:r w:rsidRPr="00DD2C68" w:rsidR="00D33F03">
        <w:rPr>
          <w:rFonts w:ascii="Palatino Linotype" w:hAnsi="Palatino Linotype" w:cs="Times New Roman"/>
        </w:rPr>
        <w:t>all of</w:t>
      </w:r>
      <w:proofErr w:type="gramEnd"/>
      <w:r w:rsidRPr="00DD2C68" w:rsidR="00D33F03">
        <w:rPr>
          <w:rFonts w:ascii="Palatino Linotype" w:hAnsi="Palatino Linotype" w:cs="Times New Roman"/>
        </w:rPr>
        <w:t xml:space="preserve"> the minimum criteria </w:t>
      </w:r>
      <w:proofErr w:type="gramStart"/>
      <w:r w:rsidRPr="00DD2C68" w:rsidR="00D33F03">
        <w:rPr>
          <w:rFonts w:ascii="Palatino Linotype" w:hAnsi="Palatino Linotype" w:cs="Times New Roman"/>
        </w:rPr>
        <w:t>in order to</w:t>
      </w:r>
      <w:proofErr w:type="gramEnd"/>
      <w:r w:rsidRPr="00DD2C68" w:rsidR="00D33F03">
        <w:rPr>
          <w:rFonts w:ascii="Palatino Linotype" w:hAnsi="Palatino Linotype" w:cs="Times New Roman"/>
        </w:rPr>
        <w:t xml:space="preserve"> be placed </w:t>
      </w:r>
      <w:proofErr w:type="gramStart"/>
      <w:r w:rsidRPr="00DD2C68" w:rsidR="00D33F03">
        <w:rPr>
          <w:rFonts w:ascii="Palatino Linotype" w:hAnsi="Palatino Linotype" w:cs="Times New Roman"/>
        </w:rPr>
        <w:t>in a given</w:t>
      </w:r>
      <w:proofErr w:type="gramEnd"/>
      <w:r w:rsidRPr="00DD2C68" w:rsidR="00D33F03">
        <w:rPr>
          <w:rFonts w:ascii="Palatino Linotype" w:hAnsi="Palatino Linotype" w:cs="Times New Roman"/>
        </w:rPr>
        <w:t xml:space="preserve"> category. </w:t>
      </w:r>
    </w:p>
    <w:p w:rsidRPr="00DD2C68" w:rsidR="00442F2E" w:rsidP="00F41E19" w:rsidRDefault="00D33F03" w14:paraId="40530682" w14:textId="6292EB1B">
      <w:pPr>
        <w:pStyle w:val="Heading2"/>
        <w:rPr>
          <w:rFonts w:ascii="Palatino Linotype" w:hAnsi="Palatino Linotype"/>
          <w:color w:val="auto"/>
        </w:rPr>
      </w:pPr>
      <w:r w:rsidRPr="00DD2C68">
        <w:rPr>
          <w:rFonts w:ascii="Palatino Linotype" w:hAnsi="Palatino Linotype"/>
          <w:color w:val="auto"/>
        </w:rPr>
        <w:t xml:space="preserve">The </w:t>
      </w:r>
      <w:r w:rsidRPr="00DD2C68" w:rsidR="00442F2E">
        <w:rPr>
          <w:rFonts w:ascii="Palatino Linotype" w:hAnsi="Palatino Linotype"/>
          <w:color w:val="auto"/>
        </w:rPr>
        <w:t>Definition and Use of Hot Spots</w:t>
      </w:r>
    </w:p>
    <w:p w:rsidRPr="00DD2C68" w:rsidR="00710345" w:rsidP="00710345" w:rsidRDefault="6116554F" w14:paraId="40A2FB2E" w14:textId="2D29D054">
      <w:pPr>
        <w:spacing w:line="259" w:lineRule="auto"/>
        <w:rPr>
          <w:rFonts w:ascii="Palatino Linotype" w:hAnsi="Palatino Linotype"/>
        </w:rPr>
      </w:pPr>
      <w:r w:rsidRPr="00DD2C68">
        <w:rPr>
          <w:rFonts w:ascii="Palatino Linotype" w:hAnsi="Palatino Linotype" w:cs="Times New Roman"/>
        </w:rPr>
        <w:t xml:space="preserve">We agree in general with </w:t>
      </w:r>
      <w:r w:rsidRPr="00DD2C68" w:rsidR="6827B00E">
        <w:rPr>
          <w:rFonts w:ascii="Palatino Linotype" w:hAnsi="Palatino Linotype" w:cs="Times New Roman"/>
        </w:rPr>
        <w:t>PG&amp;E that hot spots are areas with multiple indications of load growth resulting in a capacity constrained electrical area</w:t>
      </w:r>
      <w:r w:rsidRPr="00DD2C68" w:rsidR="0CD83EAF">
        <w:rPr>
          <w:rFonts w:ascii="Palatino Linotype" w:hAnsi="Palatino Linotype" w:cs="Times New Roman"/>
        </w:rPr>
        <w:t xml:space="preserve">. </w:t>
      </w:r>
      <w:r w:rsidRPr="00DD2C68" w:rsidR="00B92CEF">
        <w:rPr>
          <w:rFonts w:ascii="Palatino Linotype" w:hAnsi="Palatino Linotype" w:cs="Times New Roman"/>
        </w:rPr>
        <w:t xml:space="preserve">We also agree with PG&amp;E that </w:t>
      </w:r>
      <w:r w:rsidRPr="00DD2C68" w:rsidR="00B92CEF">
        <w:rPr>
          <w:rFonts w:ascii="Palatino Linotype" w:hAnsi="Palatino Linotype"/>
        </w:rPr>
        <w:t xml:space="preserve">for a Pending Load to qualify as </w:t>
      </w:r>
      <w:r w:rsidRPr="00DD2C68" w:rsidR="00C02ABB">
        <w:rPr>
          <w:rFonts w:ascii="Palatino Linotype" w:hAnsi="Palatino Linotype"/>
        </w:rPr>
        <w:t xml:space="preserve">located within </w:t>
      </w:r>
      <w:r w:rsidRPr="00DD2C68" w:rsidR="00B92CEF">
        <w:rPr>
          <w:rFonts w:ascii="Palatino Linotype" w:hAnsi="Palatino Linotype"/>
        </w:rPr>
        <w:t>a hot spot, it must have enough locational specificity to clearly be located within the hot spot.</w:t>
      </w:r>
      <w:r w:rsidRPr="00DD2C68" w:rsidR="006E5A22">
        <w:rPr>
          <w:rFonts w:ascii="Palatino Linotype" w:hAnsi="Palatino Linotype"/>
        </w:rPr>
        <w:t xml:space="preserve">  </w:t>
      </w:r>
      <w:r w:rsidRPr="00DD2C68" w:rsidR="00FC5C76">
        <w:rPr>
          <w:rFonts w:ascii="Palatino Linotype" w:hAnsi="Palatino Linotype"/>
        </w:rPr>
        <w:t>Based on</w:t>
      </w:r>
      <w:r w:rsidRPr="00DD2C68" w:rsidR="00051E35">
        <w:rPr>
          <w:rFonts w:ascii="Palatino Linotype" w:hAnsi="Palatino Linotype"/>
        </w:rPr>
        <w:t xml:space="preserve"> comments</w:t>
      </w:r>
      <w:r w:rsidRPr="00DD2C68" w:rsidR="00674D84">
        <w:rPr>
          <w:rFonts w:ascii="Palatino Linotype" w:hAnsi="Palatino Linotype"/>
        </w:rPr>
        <w:t xml:space="preserve"> t</w:t>
      </w:r>
      <w:r w:rsidRPr="00DD2C68" w:rsidR="6827B00E">
        <w:rPr>
          <w:rFonts w:ascii="Palatino Linotype" w:hAnsi="Palatino Linotype"/>
        </w:rPr>
        <w:t xml:space="preserve">he Commission adopts the following hot spot definition: </w:t>
      </w:r>
    </w:p>
    <w:p w:rsidRPr="00276DF6" w:rsidR="00BF01CE" w:rsidP="00276DF6" w:rsidRDefault="00710345" w14:paraId="0627998A" w14:textId="74634B7E">
      <w:pPr>
        <w:pStyle w:val="ListParagraph"/>
        <w:numPr>
          <w:ilvl w:val="0"/>
          <w:numId w:val="62"/>
        </w:numPr>
        <w:spacing w:line="259" w:lineRule="auto"/>
        <w:rPr>
          <w:rFonts w:ascii="Palatino Linotype" w:hAnsi="Palatino Linotype"/>
        </w:rPr>
      </w:pPr>
      <w:r w:rsidRPr="00290AC3">
        <w:rPr>
          <w:rFonts w:ascii="Palatino Linotype" w:hAnsi="Palatino Linotype"/>
        </w:rPr>
        <w:t xml:space="preserve">a geographical area </w:t>
      </w:r>
      <w:r w:rsidRPr="00290AC3" w:rsidR="00C51172">
        <w:rPr>
          <w:rFonts w:ascii="Palatino Linotype" w:hAnsi="Palatino Linotype"/>
        </w:rPr>
        <w:t xml:space="preserve">that </w:t>
      </w:r>
      <w:r w:rsidRPr="00290AC3" w:rsidR="00C0416E">
        <w:rPr>
          <w:rFonts w:ascii="Palatino Linotype" w:hAnsi="Palatino Linotype"/>
        </w:rPr>
        <w:t xml:space="preserve">is served by </w:t>
      </w:r>
      <w:r w:rsidRPr="00290AC3" w:rsidR="00556682">
        <w:rPr>
          <w:rFonts w:ascii="Palatino Linotype" w:hAnsi="Palatino Linotype"/>
        </w:rPr>
        <w:t xml:space="preserve">electrical infrastructure </w:t>
      </w:r>
      <w:r w:rsidRPr="00290AC3" w:rsidR="00C0416E">
        <w:rPr>
          <w:rFonts w:ascii="Palatino Linotype" w:hAnsi="Palatino Linotype"/>
        </w:rPr>
        <w:t xml:space="preserve">that </w:t>
      </w:r>
      <w:r w:rsidRPr="00290AC3">
        <w:rPr>
          <w:rFonts w:ascii="Palatino Linotype" w:hAnsi="Palatino Linotype"/>
        </w:rPr>
        <w:t xml:space="preserve">is </w:t>
      </w:r>
      <w:r w:rsidRPr="00290AC3" w:rsidR="006A4077">
        <w:rPr>
          <w:rFonts w:ascii="Palatino Linotype" w:hAnsi="Palatino Linotype"/>
        </w:rPr>
        <w:t>forecasted</w:t>
      </w:r>
      <w:r w:rsidRPr="00290AC3">
        <w:rPr>
          <w:rFonts w:ascii="Palatino Linotype" w:hAnsi="Palatino Linotype"/>
        </w:rPr>
        <w:t xml:space="preserve"> to experience substantial load growth from </w:t>
      </w:r>
      <w:r w:rsidRPr="00276DF6" w:rsidR="2FAA3B7E">
        <w:rPr>
          <w:rFonts w:ascii="Palatino Linotype" w:hAnsi="Palatino Linotype"/>
        </w:rPr>
        <w:t xml:space="preserve">any </w:t>
      </w:r>
      <w:proofErr w:type="gramStart"/>
      <w:r w:rsidRPr="00276DF6" w:rsidR="2FAA3B7E">
        <w:rPr>
          <w:rFonts w:ascii="Palatino Linotype" w:hAnsi="Palatino Linotype"/>
        </w:rPr>
        <w:t xml:space="preserve">of </w:t>
      </w:r>
      <w:r w:rsidRPr="00276DF6" w:rsidR="769647CF">
        <w:rPr>
          <w:rFonts w:ascii="Palatino Linotype" w:hAnsi="Palatino Linotype"/>
        </w:rPr>
        <w:t xml:space="preserve"> </w:t>
      </w:r>
      <w:r w:rsidRPr="00290AC3" w:rsidR="00F35FAE">
        <w:rPr>
          <w:rFonts w:ascii="Palatino Linotype" w:hAnsi="Palatino Linotype"/>
        </w:rPr>
        <w:t>these</w:t>
      </w:r>
      <w:proofErr w:type="gramEnd"/>
      <w:r w:rsidRPr="00290AC3" w:rsidR="00F35FAE">
        <w:rPr>
          <w:rFonts w:ascii="Palatino Linotype" w:hAnsi="Palatino Linotype"/>
        </w:rPr>
        <w:t xml:space="preserve"> </w:t>
      </w:r>
      <w:r w:rsidRPr="00290AC3">
        <w:rPr>
          <w:rFonts w:ascii="Palatino Linotype" w:hAnsi="Palatino Linotype"/>
        </w:rPr>
        <w:t xml:space="preserve">sources </w:t>
      </w:r>
      <w:r w:rsidRPr="00276DF6" w:rsidR="474A6B7A">
        <w:rPr>
          <w:rFonts w:ascii="Palatino Linotype" w:hAnsi="Palatino Linotype"/>
        </w:rPr>
        <w:t>of load</w:t>
      </w:r>
      <w:r w:rsidRPr="00276DF6">
        <w:rPr>
          <w:rFonts w:ascii="Palatino Linotype" w:hAnsi="Palatino Linotype"/>
        </w:rPr>
        <w:t xml:space="preserve"> </w:t>
      </w:r>
      <w:r w:rsidRPr="00290AC3">
        <w:rPr>
          <w:rFonts w:ascii="Palatino Linotype" w:hAnsi="Palatino Linotype"/>
        </w:rPr>
        <w:t xml:space="preserve">including </w:t>
      </w:r>
      <w:r w:rsidRPr="00290AC3" w:rsidR="004630B2">
        <w:rPr>
          <w:rFonts w:ascii="Palatino Linotype" w:hAnsi="Palatino Linotype"/>
        </w:rPr>
        <w:t>IEPR disaggregation</w:t>
      </w:r>
      <w:r w:rsidRPr="00276DF6" w:rsidR="004630B2">
        <w:rPr>
          <w:rFonts w:ascii="Palatino Linotype" w:hAnsi="Palatino Linotype"/>
        </w:rPr>
        <w:t xml:space="preserve">, </w:t>
      </w:r>
      <w:r w:rsidRPr="00290AC3">
        <w:rPr>
          <w:rFonts w:ascii="Palatino Linotype" w:hAnsi="Palatino Linotype"/>
        </w:rPr>
        <w:t xml:space="preserve">known loads, Category A, and Category B1 pending loads, </w:t>
      </w:r>
      <w:r w:rsidRPr="00290AC3" w:rsidR="00800EC3">
        <w:rPr>
          <w:rFonts w:ascii="Palatino Linotype" w:hAnsi="Palatino Linotype"/>
        </w:rPr>
        <w:t>and</w:t>
      </w:r>
    </w:p>
    <w:p w:rsidR="00AF04B2" w:rsidP="00710345" w:rsidRDefault="00531AFE" w14:paraId="6C092724" w14:textId="5A685454">
      <w:pPr>
        <w:pStyle w:val="ListParagraph"/>
        <w:numPr>
          <w:ilvl w:val="0"/>
          <w:numId w:val="62"/>
        </w:numPr>
        <w:spacing w:line="259" w:lineRule="auto"/>
        <w:rPr>
          <w:rFonts w:ascii="Palatino Linotype" w:hAnsi="Palatino Linotype"/>
        </w:rPr>
      </w:pPr>
      <w:proofErr w:type="gramStart"/>
      <w:r w:rsidRPr="00290AC3">
        <w:rPr>
          <w:rFonts w:ascii="Palatino Linotype" w:hAnsi="Palatino Linotype"/>
        </w:rPr>
        <w:t>that</w:t>
      </w:r>
      <w:proofErr w:type="gramEnd"/>
      <w:r w:rsidRPr="00290AC3">
        <w:rPr>
          <w:rFonts w:ascii="Palatino Linotype" w:hAnsi="Palatino Linotype"/>
        </w:rPr>
        <w:t xml:space="preserve"> </w:t>
      </w:r>
      <w:r w:rsidRPr="00290AC3" w:rsidR="00710345">
        <w:rPr>
          <w:rFonts w:ascii="Palatino Linotype" w:hAnsi="Palatino Linotype"/>
        </w:rPr>
        <w:t xml:space="preserve">area includes specific electrical infrastructure, i.e., substations and circuits which </w:t>
      </w:r>
      <w:r w:rsidRPr="00290AC3" w:rsidR="00F91A73">
        <w:rPr>
          <w:rFonts w:ascii="Palatino Linotype" w:hAnsi="Palatino Linotype"/>
        </w:rPr>
        <w:t>are</w:t>
      </w:r>
      <w:r w:rsidRPr="00290AC3" w:rsidR="00710345">
        <w:rPr>
          <w:rFonts w:ascii="Palatino Linotype" w:hAnsi="Palatino Linotype"/>
        </w:rPr>
        <w:t xml:space="preserve"> forecasted to be capacity-constrained within the </w:t>
      </w:r>
      <w:r w:rsidRPr="00276DF6" w:rsidR="6C454AE1">
        <w:rPr>
          <w:rFonts w:ascii="Palatino Linotype" w:hAnsi="Palatino Linotype"/>
        </w:rPr>
        <w:t>ten</w:t>
      </w:r>
      <w:r w:rsidRPr="00290AC3" w:rsidR="00710345">
        <w:rPr>
          <w:rFonts w:ascii="Palatino Linotype" w:hAnsi="Palatino Linotype"/>
        </w:rPr>
        <w:t>-year planning period.</w:t>
      </w:r>
    </w:p>
    <w:p w:rsidRPr="00AF04B2" w:rsidR="00AF04B2" w:rsidP="00710345" w:rsidRDefault="00710345" w14:paraId="43EDDA85" w14:textId="6F780B94">
      <w:pPr>
        <w:pStyle w:val="ListParagraph"/>
        <w:numPr>
          <w:ilvl w:val="0"/>
          <w:numId w:val="62"/>
        </w:numPr>
        <w:spacing w:line="259" w:lineRule="auto"/>
        <w:rPr>
          <w:rFonts w:ascii="Palatino Linotype" w:hAnsi="Palatino Linotype"/>
        </w:rPr>
      </w:pPr>
      <w:r w:rsidRPr="00290AC3" w:rsidDel="001A73AA">
        <w:rPr>
          <w:rFonts w:ascii="Palatino Linotype" w:hAnsi="Palatino Linotype"/>
        </w:rPr>
        <w:t xml:space="preserve">An area </w:t>
      </w:r>
      <w:r w:rsidRPr="00290AC3" w:rsidDel="001A73AA" w:rsidR="00A82ADA">
        <w:rPr>
          <w:rFonts w:ascii="Palatino Linotype" w:hAnsi="Palatino Linotype"/>
        </w:rPr>
        <w:t>is</w:t>
      </w:r>
      <w:r w:rsidRPr="00290AC3" w:rsidR="003761CF">
        <w:rPr>
          <w:rFonts w:ascii="Palatino Linotype" w:hAnsi="Palatino Linotype"/>
        </w:rPr>
        <w:t xml:space="preserve"> considered</w:t>
      </w:r>
      <w:r w:rsidRPr="00290AC3" w:rsidDel="001A73AA">
        <w:rPr>
          <w:rFonts w:ascii="Palatino Linotype" w:hAnsi="Palatino Linotype"/>
        </w:rPr>
        <w:t xml:space="preserve"> capacity constrained if the total capability of its infrastructure is only marginally greater than the demand served by the infrastructure after all low cost/no cost solutions have been considered. </w:t>
      </w:r>
      <w:r w:rsidRPr="00290AC3" w:rsidDel="007A2E86" w:rsidR="00A71512">
        <w:rPr>
          <w:rFonts w:ascii="Palatino Linotype" w:hAnsi="Palatino Linotype" w:cs="Times New Roman"/>
        </w:rPr>
        <w:t xml:space="preserve">A hot spot will be considered </w:t>
      </w:r>
      <w:r w:rsidRPr="00290AC3" w:rsidDel="007A2E86" w:rsidR="00B2635D">
        <w:rPr>
          <w:rFonts w:ascii="Palatino Linotype" w:hAnsi="Palatino Linotype" w:cs="Times New Roman"/>
        </w:rPr>
        <w:t xml:space="preserve">a </w:t>
      </w:r>
      <w:r w:rsidRPr="00290AC3" w:rsidDel="007A2E86" w:rsidR="00A71512">
        <w:rPr>
          <w:rFonts w:ascii="Palatino Linotype" w:hAnsi="Palatino Linotype" w:cs="Times New Roman"/>
        </w:rPr>
        <w:t xml:space="preserve">constrained area </w:t>
      </w:r>
      <w:r w:rsidRPr="00290AC3" w:rsidR="00D00D8D">
        <w:rPr>
          <w:rFonts w:ascii="Palatino Linotype" w:hAnsi="Palatino Linotype" w:cs="Times New Roman"/>
        </w:rPr>
        <w:t xml:space="preserve">if the total demand from the </w:t>
      </w:r>
      <w:proofErr w:type="gramStart"/>
      <w:r w:rsidRPr="00290AC3" w:rsidR="00D00D8D">
        <w:rPr>
          <w:rFonts w:ascii="Palatino Linotype" w:hAnsi="Palatino Linotype" w:cs="Times New Roman"/>
        </w:rPr>
        <w:t>aforementioned load</w:t>
      </w:r>
      <w:proofErr w:type="gramEnd"/>
      <w:r w:rsidRPr="00290AC3" w:rsidR="00D00D8D">
        <w:rPr>
          <w:rFonts w:ascii="Palatino Linotype" w:hAnsi="Palatino Linotype" w:cs="Times New Roman"/>
        </w:rPr>
        <w:t xml:space="preserve"> </w:t>
      </w:r>
      <w:proofErr w:type="gramStart"/>
      <w:r w:rsidRPr="00290AC3" w:rsidR="00D00D8D">
        <w:rPr>
          <w:rFonts w:ascii="Palatino Linotype" w:hAnsi="Palatino Linotype" w:cs="Times New Roman"/>
        </w:rPr>
        <w:t>sources,</w:t>
      </w:r>
      <w:proofErr w:type="gramEnd"/>
      <w:r w:rsidRPr="00290AC3" w:rsidR="00D00D8D">
        <w:rPr>
          <w:rFonts w:ascii="Palatino Linotype" w:hAnsi="Palatino Linotype" w:cs="Times New Roman"/>
        </w:rPr>
        <w:t xml:space="preserve"> is greater than or equal to 80% of the total capacity</w:t>
      </w:r>
      <w:r w:rsidRPr="00290AC3" w:rsidR="00B74A17">
        <w:rPr>
          <w:rFonts w:ascii="Palatino Linotype" w:hAnsi="Palatino Linotype" w:cs="Times New Roman"/>
        </w:rPr>
        <w:t>.</w:t>
      </w:r>
    </w:p>
    <w:p w:rsidRPr="00290AC3" w:rsidR="00710345" w:rsidP="00276DF6" w:rsidRDefault="009F389B" w14:paraId="1FC8310D" w14:textId="504D6378">
      <w:pPr>
        <w:pStyle w:val="ListParagraph"/>
        <w:numPr>
          <w:ilvl w:val="0"/>
          <w:numId w:val="62"/>
        </w:numPr>
        <w:spacing w:line="259" w:lineRule="auto"/>
        <w:rPr>
          <w:rFonts w:ascii="Palatino Linotype" w:hAnsi="Palatino Linotype"/>
        </w:rPr>
      </w:pPr>
      <w:r w:rsidRPr="00290AC3" w:rsidDel="007400D7">
        <w:rPr>
          <w:rFonts w:ascii="Palatino Linotype" w:hAnsi="Palatino Linotype" w:cs="Times New Roman"/>
        </w:rPr>
        <w:t xml:space="preserve">If this </w:t>
      </w:r>
      <w:r w:rsidRPr="00290AC3" w:rsidDel="007400D7" w:rsidR="00754F78">
        <w:rPr>
          <w:rFonts w:ascii="Palatino Linotype" w:hAnsi="Palatino Linotype" w:cs="Times New Roman"/>
        </w:rPr>
        <w:t xml:space="preserve">occurs, </w:t>
      </w:r>
      <w:r w:rsidRPr="00290AC3" w:rsidDel="007400D7" w:rsidR="00903A93">
        <w:rPr>
          <w:rFonts w:ascii="Palatino Linotype" w:hAnsi="Palatino Linotype" w:cs="Times New Roman"/>
        </w:rPr>
        <w:t xml:space="preserve">all </w:t>
      </w:r>
      <w:r w:rsidRPr="00290AC3" w:rsidDel="007400D7" w:rsidR="00FB0A5F">
        <w:rPr>
          <w:rFonts w:ascii="Palatino Linotype" w:hAnsi="Palatino Linotype" w:cs="Times New Roman"/>
        </w:rPr>
        <w:t xml:space="preserve">Category </w:t>
      </w:r>
      <w:r w:rsidRPr="00290AC3" w:rsidDel="007400D7" w:rsidR="00243384">
        <w:rPr>
          <w:rFonts w:ascii="Palatino Linotype" w:hAnsi="Palatino Linotype" w:cs="Times New Roman"/>
        </w:rPr>
        <w:t xml:space="preserve">B2 pending loads </w:t>
      </w:r>
      <w:r w:rsidRPr="00290AC3" w:rsidDel="007400D7" w:rsidR="00F17948">
        <w:rPr>
          <w:rFonts w:ascii="Palatino Linotype" w:hAnsi="Palatino Linotype" w:cs="Times New Roman"/>
        </w:rPr>
        <w:t>served</w:t>
      </w:r>
      <w:r w:rsidRPr="00290AC3" w:rsidDel="007400D7" w:rsidR="00D54773">
        <w:rPr>
          <w:rFonts w:ascii="Palatino Linotype" w:hAnsi="Palatino Linotype" w:cs="Times New Roman"/>
        </w:rPr>
        <w:t xml:space="preserve"> </w:t>
      </w:r>
      <w:r w:rsidRPr="00290AC3" w:rsidDel="007400D7" w:rsidR="005E214F">
        <w:rPr>
          <w:rFonts w:ascii="Palatino Linotype" w:hAnsi="Palatino Linotype" w:cs="Times New Roman"/>
        </w:rPr>
        <w:t xml:space="preserve">in the </w:t>
      </w:r>
      <w:r w:rsidRPr="00290AC3" w:rsidDel="007400D7" w:rsidR="00AC7DB7">
        <w:rPr>
          <w:rFonts w:ascii="Palatino Linotype" w:hAnsi="Palatino Linotype" w:cs="Times New Roman"/>
        </w:rPr>
        <w:t xml:space="preserve">specific </w:t>
      </w:r>
      <w:r w:rsidRPr="00290AC3" w:rsidDel="007400D7" w:rsidR="00400500">
        <w:rPr>
          <w:rFonts w:ascii="Palatino Linotype" w:hAnsi="Palatino Linotype" w:cs="Times New Roman"/>
        </w:rPr>
        <w:t>capacity constrained</w:t>
      </w:r>
      <w:r w:rsidRPr="00290AC3" w:rsidDel="007400D7" w:rsidR="00AC7DB7">
        <w:rPr>
          <w:rFonts w:ascii="Palatino Linotype" w:hAnsi="Palatino Linotype" w:cs="Times New Roman"/>
        </w:rPr>
        <w:t xml:space="preserve"> area </w:t>
      </w:r>
      <w:r w:rsidRPr="00290AC3" w:rsidDel="007400D7" w:rsidR="00032A87">
        <w:rPr>
          <w:rFonts w:ascii="Palatino Linotype" w:hAnsi="Palatino Linotype" w:cs="Times New Roman"/>
        </w:rPr>
        <w:t>may exceed the IEPR</w:t>
      </w:r>
      <w:r w:rsidRPr="00290AC3" w:rsidDel="007400D7" w:rsidR="0196C98A">
        <w:rPr>
          <w:rFonts w:ascii="Palatino Linotype" w:hAnsi="Palatino Linotype" w:cs="Times New Roman"/>
        </w:rPr>
        <w:t xml:space="preserve"> if </w:t>
      </w:r>
      <w:r w:rsidRPr="00290AC3" w:rsidR="000E0281">
        <w:rPr>
          <w:rFonts w:ascii="Palatino Linotype" w:hAnsi="Palatino Linotype" w:cs="Times New Roman"/>
        </w:rPr>
        <w:t>necessary</w:t>
      </w:r>
      <w:r w:rsidRPr="00290AC3" w:rsidR="00032A87">
        <w:rPr>
          <w:rFonts w:ascii="Palatino Linotype" w:hAnsi="Palatino Linotype" w:cs="Times New Roman"/>
        </w:rPr>
        <w:t xml:space="preserve">. </w:t>
      </w:r>
      <w:r w:rsidRPr="00290AC3" w:rsidR="00291980">
        <w:rPr>
          <w:rFonts w:ascii="Palatino Linotype" w:hAnsi="Palatino Linotype" w:cs="Times New Roman"/>
        </w:rPr>
        <w:t xml:space="preserve"> </w:t>
      </w:r>
    </w:p>
    <w:p w:rsidRPr="00DD2C68" w:rsidR="009B3482" w:rsidDel="007A5175" w:rsidP="00710345" w:rsidRDefault="009B3482" w14:paraId="42B09F27" w14:textId="0A93D16F">
      <w:pPr>
        <w:spacing w:line="259" w:lineRule="auto"/>
        <w:rPr>
          <w:rFonts w:ascii="Palatino Linotype" w:hAnsi="Palatino Linotype"/>
        </w:rPr>
      </w:pPr>
      <w:r w:rsidRPr="00DD2C68" w:rsidDel="007A5175">
        <w:rPr>
          <w:rFonts w:ascii="Palatino Linotype" w:hAnsi="Palatino Linotype"/>
        </w:rPr>
        <w:t>A</w:t>
      </w:r>
      <w:r w:rsidRPr="00DD2C68" w:rsidDel="007A5175" w:rsidR="0098547A">
        <w:rPr>
          <w:rFonts w:ascii="Palatino Linotype" w:hAnsi="Palatino Linotype"/>
        </w:rPr>
        <w:t xml:space="preserve"> hypothetical illustrative example</w:t>
      </w:r>
      <w:r w:rsidRPr="00DD2C68" w:rsidDel="007A5175" w:rsidR="001C0565">
        <w:rPr>
          <w:rFonts w:ascii="Palatino Linotype" w:hAnsi="Palatino Linotype"/>
        </w:rPr>
        <w:t xml:space="preserve">: </w:t>
      </w:r>
      <w:r w:rsidRPr="00DD2C68" w:rsidDel="007A5175" w:rsidR="004F51CE">
        <w:rPr>
          <w:rFonts w:ascii="Palatino Linotype" w:hAnsi="Palatino Linotype"/>
        </w:rPr>
        <w:t>T</w:t>
      </w:r>
      <w:r w:rsidRPr="00DD2C68" w:rsidDel="007A5175" w:rsidR="003B0D9A">
        <w:rPr>
          <w:rFonts w:ascii="Palatino Linotype" w:hAnsi="Palatino Linotype"/>
        </w:rPr>
        <w:t xml:space="preserve">otal capacity </w:t>
      </w:r>
      <w:r w:rsidRPr="00DD2C68" w:rsidDel="007A5175" w:rsidR="00D537EC">
        <w:rPr>
          <w:rFonts w:ascii="Palatino Linotype" w:hAnsi="Palatino Linotype"/>
        </w:rPr>
        <w:t>is 100 MW, total demand is</w:t>
      </w:r>
      <w:r w:rsidRPr="00DD2C68" w:rsidDel="007A5175" w:rsidR="00452EA2">
        <w:rPr>
          <w:rFonts w:ascii="Palatino Linotype" w:hAnsi="Palatino Linotype"/>
        </w:rPr>
        <w:t xml:space="preserve"> 90 MW</w:t>
      </w:r>
      <w:r w:rsidRPr="00DD2C68" w:rsidDel="007A5175" w:rsidR="00651092">
        <w:rPr>
          <w:rFonts w:ascii="Palatino Linotype" w:hAnsi="Palatino Linotype"/>
        </w:rPr>
        <w:t>,</w:t>
      </w:r>
      <w:r w:rsidRPr="00DD2C68" w:rsidDel="007A5175" w:rsidR="00B62592">
        <w:rPr>
          <w:rFonts w:ascii="Palatino Linotype" w:hAnsi="Palatino Linotype"/>
        </w:rPr>
        <w:t xml:space="preserve"> the </w:t>
      </w:r>
      <w:r w:rsidR="000A10E7">
        <w:rPr>
          <w:rFonts w:ascii="Palatino Linotype" w:hAnsi="Palatino Linotype"/>
        </w:rPr>
        <w:t>demand is</w:t>
      </w:r>
      <w:r w:rsidR="00F148D5">
        <w:rPr>
          <w:rFonts w:ascii="Palatino Linotype" w:hAnsi="Palatino Linotype"/>
        </w:rPr>
        <w:t xml:space="preserve"> greater </w:t>
      </w:r>
      <w:r w:rsidR="00494A9A">
        <w:rPr>
          <w:rFonts w:ascii="Palatino Linotype" w:hAnsi="Palatino Linotype"/>
        </w:rPr>
        <w:t>than</w:t>
      </w:r>
      <w:r w:rsidR="00F148D5">
        <w:rPr>
          <w:rFonts w:ascii="Palatino Linotype" w:hAnsi="Palatino Linotype"/>
        </w:rPr>
        <w:t xml:space="preserve"> </w:t>
      </w:r>
      <w:r w:rsidR="008C28DB">
        <w:rPr>
          <w:rFonts w:ascii="Palatino Linotype" w:hAnsi="Palatino Linotype"/>
        </w:rPr>
        <w:t>80% of</w:t>
      </w:r>
      <w:r w:rsidR="006E51D8">
        <w:rPr>
          <w:rFonts w:ascii="Palatino Linotype" w:hAnsi="Palatino Linotype"/>
        </w:rPr>
        <w:t xml:space="preserve"> the</w:t>
      </w:r>
      <w:r w:rsidR="00166C9C">
        <w:rPr>
          <w:rFonts w:ascii="Palatino Linotype" w:hAnsi="Palatino Linotype"/>
        </w:rPr>
        <w:t xml:space="preserve"> capacity</w:t>
      </w:r>
      <w:r w:rsidRPr="00DD2C68" w:rsidDel="007A5175" w:rsidR="00711BF1">
        <w:rPr>
          <w:rFonts w:ascii="Palatino Linotype" w:hAnsi="Palatino Linotype"/>
        </w:rPr>
        <w:t xml:space="preserve"> (90</w:t>
      </w:r>
      <w:r w:rsidR="00584A6D">
        <w:rPr>
          <w:rFonts w:ascii="Palatino Linotype" w:hAnsi="Palatino Linotype"/>
        </w:rPr>
        <w:t>/</w:t>
      </w:r>
      <w:r w:rsidRPr="00DD2C68" w:rsidR="00711BF1">
        <w:rPr>
          <w:rFonts w:ascii="Palatino Linotype" w:hAnsi="Palatino Linotype"/>
        </w:rPr>
        <w:t>100</w:t>
      </w:r>
      <w:r w:rsidR="00BE72CD">
        <w:rPr>
          <w:rFonts w:ascii="Palatino Linotype" w:hAnsi="Palatino Linotype"/>
        </w:rPr>
        <w:t xml:space="preserve"> </w:t>
      </w:r>
      <w:r w:rsidRPr="00DD2C68" w:rsidR="00711BF1">
        <w:rPr>
          <w:rFonts w:ascii="Palatino Linotype" w:hAnsi="Palatino Linotype"/>
        </w:rPr>
        <w:t>=</w:t>
      </w:r>
      <w:r w:rsidR="00BE72CD">
        <w:rPr>
          <w:rFonts w:ascii="Palatino Linotype" w:hAnsi="Palatino Linotype"/>
        </w:rPr>
        <w:t xml:space="preserve"> </w:t>
      </w:r>
      <w:r w:rsidR="00A939AE">
        <w:rPr>
          <w:rFonts w:ascii="Palatino Linotype" w:hAnsi="Palatino Linotype"/>
        </w:rPr>
        <w:t>&gt;8</w:t>
      </w:r>
      <w:r w:rsidRPr="00DD2C68" w:rsidDel="007A5175" w:rsidR="00711BF1">
        <w:rPr>
          <w:rFonts w:ascii="Palatino Linotype" w:hAnsi="Palatino Linotype"/>
        </w:rPr>
        <w:t>0</w:t>
      </w:r>
      <w:r w:rsidRPr="00DD2C68" w:rsidR="00711BF1">
        <w:rPr>
          <w:rFonts w:ascii="Palatino Linotype" w:hAnsi="Palatino Linotype"/>
        </w:rPr>
        <w:t>)</w:t>
      </w:r>
      <w:r w:rsidR="00663C8A">
        <w:rPr>
          <w:rFonts w:ascii="Palatino Linotype" w:hAnsi="Palatino Linotype"/>
        </w:rPr>
        <w:t xml:space="preserve"> the area is capacity constrained</w:t>
      </w:r>
      <w:r w:rsidR="00BE72CD">
        <w:rPr>
          <w:rFonts w:ascii="Palatino Linotype" w:hAnsi="Palatino Linotype"/>
        </w:rPr>
        <w:t>.</w:t>
      </w:r>
      <w:r w:rsidRPr="00DD2C68" w:rsidDel="007A5175" w:rsidR="00711BF1">
        <w:rPr>
          <w:rFonts w:ascii="Palatino Linotype" w:hAnsi="Palatino Linotype"/>
        </w:rPr>
        <w:t xml:space="preserve">  </w:t>
      </w:r>
      <w:r w:rsidRPr="00DD2C68" w:rsidDel="007A5175" w:rsidR="00982F6C">
        <w:rPr>
          <w:rFonts w:ascii="Palatino Linotype" w:hAnsi="Palatino Linotype"/>
        </w:rPr>
        <w:t xml:space="preserve">All </w:t>
      </w:r>
      <w:r w:rsidRPr="00DD2C68" w:rsidDel="007A5175" w:rsidR="0026259C">
        <w:rPr>
          <w:rFonts w:ascii="Palatino Linotype" w:hAnsi="Palatino Linotype" w:cs="Times New Roman"/>
        </w:rPr>
        <w:t>Category</w:t>
      </w:r>
      <w:r w:rsidRPr="00DD2C68" w:rsidDel="007A5175" w:rsidR="0026259C">
        <w:rPr>
          <w:rFonts w:ascii="Palatino Linotype" w:hAnsi="Palatino Linotype"/>
        </w:rPr>
        <w:t xml:space="preserve"> </w:t>
      </w:r>
      <w:r w:rsidRPr="00DD2C68" w:rsidDel="007A5175" w:rsidR="0052045A">
        <w:rPr>
          <w:rFonts w:ascii="Palatino Linotype" w:hAnsi="Palatino Linotype"/>
        </w:rPr>
        <w:t>B2 loads in this hot spot would be allowed to exceed the IEPR</w:t>
      </w:r>
      <w:r w:rsidRPr="00DD2C68" w:rsidDel="007A5175" w:rsidR="52C4BC00">
        <w:rPr>
          <w:rFonts w:ascii="Palatino Linotype" w:hAnsi="Palatino Linotype"/>
        </w:rPr>
        <w:t xml:space="preserve"> if necessary</w:t>
      </w:r>
      <w:r w:rsidRPr="00DD2C68" w:rsidDel="007A5175" w:rsidR="0052045A">
        <w:rPr>
          <w:rFonts w:ascii="Palatino Linotype" w:hAnsi="Palatino Linotype"/>
        </w:rPr>
        <w:t>.</w:t>
      </w:r>
    </w:p>
    <w:p w:rsidR="00692F3E" w:rsidRDefault="00E63C8F" w14:paraId="156B0561" w14:textId="25C3FEC6">
      <w:pPr>
        <w:rPr>
          <w:rFonts w:ascii="Palatino Linotype" w:hAnsi="Palatino Linotype" w:cs="Times New Roman"/>
        </w:rPr>
      </w:pPr>
      <w:r w:rsidRPr="00DD2C68">
        <w:rPr>
          <w:rFonts w:ascii="Palatino Linotype" w:hAnsi="Palatino Linotype" w:cs="Times New Roman"/>
        </w:rPr>
        <w:lastRenderedPageBreak/>
        <w:t>T</w:t>
      </w:r>
      <w:r w:rsidRPr="00DD2C68" w:rsidR="3B474728">
        <w:rPr>
          <w:rFonts w:ascii="Palatino Linotype" w:hAnsi="Palatino Linotype" w:cs="Times New Roman"/>
        </w:rPr>
        <w:t>his hot spot definition will help identify least</w:t>
      </w:r>
      <w:r w:rsidRPr="00DD2C68" w:rsidR="001D6664">
        <w:rPr>
          <w:rFonts w:ascii="Palatino Linotype" w:hAnsi="Palatino Linotype" w:cs="Times New Roman"/>
        </w:rPr>
        <w:t>-</w:t>
      </w:r>
      <w:r w:rsidRPr="00DD2C68" w:rsidR="3B474728">
        <w:rPr>
          <w:rFonts w:ascii="Palatino Linotype" w:hAnsi="Palatino Linotype" w:cs="Times New Roman"/>
        </w:rPr>
        <w:t>regrets investment areas where it is appropriate to include lower certainty pending loads data from Category B2 above the IEPR forecast.</w:t>
      </w:r>
    </w:p>
    <w:p w:rsidRPr="00DD2C68" w:rsidR="00CE052B" w:rsidRDefault="00CE052B" w14:paraId="16D78940" w14:textId="226E918A">
      <w:pPr>
        <w:rPr>
          <w:rFonts w:ascii="Palatino Linotype" w:hAnsi="Palatino Linotype" w:cs="Times New Roman"/>
        </w:rPr>
      </w:pPr>
      <w:r w:rsidRPr="00CE052B">
        <w:rPr>
          <w:rFonts w:ascii="Palatino Linotype" w:hAnsi="Palatino Linotype" w:cs="Times New Roman"/>
        </w:rPr>
        <w:t xml:space="preserve">To ensure consistent interpretation of the prescribed calculation, the </w:t>
      </w:r>
      <w:r w:rsidR="00C653E0">
        <w:rPr>
          <w:rFonts w:ascii="Palatino Linotype" w:hAnsi="Palatino Linotype" w:cs="Times New Roman"/>
        </w:rPr>
        <w:t>utilities</w:t>
      </w:r>
      <w:r w:rsidRPr="00CE052B">
        <w:rPr>
          <w:rFonts w:ascii="Palatino Linotype" w:hAnsi="Palatino Linotype" w:cs="Times New Roman"/>
        </w:rPr>
        <w:t xml:space="preserve"> are required to </w:t>
      </w:r>
      <w:r>
        <w:rPr>
          <w:rFonts w:ascii="Palatino Linotype" w:hAnsi="Palatino Linotype" w:cs="Times New Roman"/>
        </w:rPr>
        <w:t>present</w:t>
      </w:r>
      <w:r w:rsidRPr="00CE052B">
        <w:rPr>
          <w:rFonts w:ascii="Palatino Linotype" w:hAnsi="Palatino Linotype" w:cs="Times New Roman"/>
        </w:rPr>
        <w:t xml:space="preserve"> their proposed calculation methodology to Energy Division for review prior to implementation. Following this review, the IOUs must </w:t>
      </w:r>
      <w:r w:rsidR="001F5AA2">
        <w:rPr>
          <w:rFonts w:ascii="Palatino Linotype" w:hAnsi="Palatino Linotype" w:cs="Times New Roman"/>
        </w:rPr>
        <w:t>provide</w:t>
      </w:r>
      <w:r w:rsidRPr="00CE052B">
        <w:rPr>
          <w:rFonts w:ascii="Palatino Linotype" w:hAnsi="Palatino Linotype" w:cs="Times New Roman"/>
        </w:rPr>
        <w:t xml:space="preserve"> a preview of their approach at </w:t>
      </w:r>
      <w:r w:rsidR="00C653E0">
        <w:rPr>
          <w:rFonts w:ascii="Palatino Linotype" w:hAnsi="Palatino Linotype" w:cs="Times New Roman"/>
        </w:rPr>
        <w:t xml:space="preserve">the Distribution </w:t>
      </w:r>
      <w:r w:rsidR="00F74EEE">
        <w:rPr>
          <w:rFonts w:ascii="Palatino Linotype" w:hAnsi="Palatino Linotype" w:cs="Times New Roman"/>
        </w:rPr>
        <w:t>Forecasting</w:t>
      </w:r>
      <w:r w:rsidR="00C653E0">
        <w:rPr>
          <w:rFonts w:ascii="Palatino Linotype" w:hAnsi="Palatino Linotype" w:cs="Times New Roman"/>
        </w:rPr>
        <w:t xml:space="preserve"> Working Group</w:t>
      </w:r>
      <w:r w:rsidRPr="00CE052B">
        <w:rPr>
          <w:rFonts w:ascii="Palatino Linotype" w:hAnsi="Palatino Linotype" w:cs="Times New Roman"/>
        </w:rPr>
        <w:t>.</w:t>
      </w:r>
    </w:p>
    <w:p w:rsidRPr="00DD2C68" w:rsidR="00424C90" w:rsidP="4708E492" w:rsidRDefault="00424C90" w14:paraId="08D4A5B6" w14:textId="2E18BF0B">
      <w:pPr>
        <w:pStyle w:val="paragraph"/>
        <w:textAlignment w:val="baseline"/>
        <w:rPr>
          <w:rFonts w:ascii="Palatino Linotype" w:hAnsi="Palatino Linotype"/>
        </w:rPr>
      </w:pPr>
      <w:r w:rsidRPr="00DD2C68">
        <w:rPr>
          <w:rFonts w:ascii="Palatino Linotype" w:hAnsi="Palatino Linotype"/>
        </w:rPr>
        <w:t>The Commission agrees with the joint utilities that annual Advice Letter approval of hot spots is burdensome and declines to adopt this requirement. However, the response that the Joint Utilities provided on how</w:t>
      </w:r>
      <w:r w:rsidRPr="00DD2C68" w:rsidR="00E93C0F">
        <w:rPr>
          <w:rFonts w:ascii="Palatino Linotype" w:hAnsi="Palatino Linotype"/>
        </w:rPr>
        <w:t xml:space="preserve"> the utilities will identify hot spots</w:t>
      </w:r>
      <w:r w:rsidRPr="00DD2C68" w:rsidR="00152491">
        <w:rPr>
          <w:rFonts w:ascii="Palatino Linotype" w:hAnsi="Palatino Linotype"/>
        </w:rPr>
        <w:t xml:space="preserve"> is inadequate</w:t>
      </w:r>
      <w:r w:rsidRPr="00DD2C68" w:rsidR="00E93C0F">
        <w:rPr>
          <w:rFonts w:ascii="Palatino Linotype" w:hAnsi="Palatino Linotype"/>
        </w:rPr>
        <w:t xml:space="preserve"> and we provide </w:t>
      </w:r>
      <w:r w:rsidRPr="00DD2C68" w:rsidR="005F3C06">
        <w:rPr>
          <w:rFonts w:ascii="Palatino Linotype" w:hAnsi="Palatino Linotype"/>
        </w:rPr>
        <w:t>a more</w:t>
      </w:r>
      <w:r w:rsidRPr="00DD2C68" w:rsidR="00152491">
        <w:rPr>
          <w:rFonts w:ascii="Palatino Linotype" w:hAnsi="Palatino Linotype"/>
        </w:rPr>
        <w:t xml:space="preserve"> </w:t>
      </w:r>
      <w:r w:rsidRPr="00DD2C68" w:rsidR="00E93C0F">
        <w:rPr>
          <w:rFonts w:ascii="Palatino Linotype" w:hAnsi="Palatino Linotype"/>
        </w:rPr>
        <w:t>specific and transparent approach</w:t>
      </w:r>
      <w:r w:rsidRPr="00DD2C68" w:rsidR="00152491">
        <w:rPr>
          <w:rFonts w:ascii="Palatino Linotype" w:hAnsi="Palatino Linotype"/>
        </w:rPr>
        <w:t xml:space="preserve"> below.</w:t>
      </w:r>
    </w:p>
    <w:p w:rsidRPr="00DD2C68" w:rsidR="00E24C4A" w:rsidRDefault="000B62B0" w14:paraId="03C5AF14" w14:textId="63D6384F">
      <w:pPr>
        <w:spacing w:line="259" w:lineRule="auto"/>
        <w:rPr>
          <w:rFonts w:ascii="Palatino Linotype" w:hAnsi="Palatino Linotype" w:cs="Times New Roman"/>
        </w:rPr>
      </w:pPr>
      <w:r w:rsidRPr="00DD2C68">
        <w:rPr>
          <w:rFonts w:ascii="Palatino Linotype" w:hAnsi="Palatino Linotype" w:cs="Times New Roman"/>
        </w:rPr>
        <w:t>The Commission finds it</w:t>
      </w:r>
      <w:r w:rsidRPr="00DD2C68" w:rsidR="00EE29A5">
        <w:rPr>
          <w:rFonts w:ascii="Palatino Linotype" w:hAnsi="Palatino Linotype" w:cs="Times New Roman"/>
        </w:rPr>
        <w:t xml:space="preserve"> necessary for the utilities to report a list of identified hot spots and utilized hot spots in the GNA/DUPR</w:t>
      </w:r>
      <w:r w:rsidR="00505846">
        <w:rPr>
          <w:rFonts w:ascii="Palatino Linotype" w:hAnsi="Palatino Linotype" w:cs="Times New Roman"/>
        </w:rPr>
        <w:t>, but only</w:t>
      </w:r>
      <w:r w:rsidR="00D03766">
        <w:rPr>
          <w:rFonts w:ascii="Palatino Linotype" w:hAnsi="Palatino Linotype" w:cs="Times New Roman"/>
        </w:rPr>
        <w:t xml:space="preserve"> </w:t>
      </w:r>
      <w:r w:rsidR="00440869">
        <w:rPr>
          <w:rFonts w:ascii="Palatino Linotype" w:hAnsi="Palatino Linotype" w:cs="Times New Roman"/>
        </w:rPr>
        <w:t>the hot spots that are</w:t>
      </w:r>
      <w:r w:rsidR="00F61E3B">
        <w:rPr>
          <w:rFonts w:ascii="Palatino Linotype" w:hAnsi="Palatino Linotype" w:cs="Times New Roman"/>
        </w:rPr>
        <w:t xml:space="preserve"> the basis of allowing B2 pending loads exceed the IEPR</w:t>
      </w:r>
      <w:r w:rsidRPr="00DD2C68" w:rsidR="00D11DB7">
        <w:rPr>
          <w:rFonts w:ascii="Palatino Linotype" w:hAnsi="Palatino Linotype" w:cs="Times New Roman"/>
        </w:rPr>
        <w:t xml:space="preserve">.  </w:t>
      </w:r>
      <w:r w:rsidRPr="00DD2C68" w:rsidR="004948F5">
        <w:rPr>
          <w:rFonts w:ascii="Palatino Linotype" w:hAnsi="Palatino Linotype" w:cs="Times New Roman"/>
        </w:rPr>
        <w:t>I</w:t>
      </w:r>
      <w:r w:rsidRPr="00DD2C68" w:rsidR="00152491">
        <w:rPr>
          <w:rFonts w:ascii="Palatino Linotype" w:hAnsi="Palatino Linotype" w:cs="Times New Roman"/>
        </w:rPr>
        <w:t>n their GNA/DUPR filings</w:t>
      </w:r>
      <w:r w:rsidRPr="00DD2C68" w:rsidR="004948F5">
        <w:rPr>
          <w:rFonts w:ascii="Palatino Linotype" w:hAnsi="Palatino Linotype" w:cs="Times New Roman"/>
        </w:rPr>
        <w:t>, the utilities</w:t>
      </w:r>
      <w:r w:rsidRPr="00DD2C68" w:rsidR="3B474728">
        <w:rPr>
          <w:rFonts w:ascii="Palatino Linotype" w:hAnsi="Palatino Linotype" w:cs="Times New Roman"/>
        </w:rPr>
        <w:t xml:space="preserve"> </w:t>
      </w:r>
      <w:r w:rsidRPr="00DD2C68" w:rsidR="00095CC1">
        <w:rPr>
          <w:rFonts w:ascii="Palatino Linotype" w:hAnsi="Palatino Linotype" w:cs="Times New Roman"/>
        </w:rPr>
        <w:t>shall</w:t>
      </w:r>
      <w:r w:rsidRPr="00DD2C68" w:rsidR="009A2B60">
        <w:rPr>
          <w:rFonts w:ascii="Palatino Linotype" w:hAnsi="Palatino Linotype" w:cs="Times New Roman"/>
        </w:rPr>
        <w:t xml:space="preserve"> </w:t>
      </w:r>
      <w:r w:rsidRPr="00DD2C68" w:rsidR="3B474728">
        <w:rPr>
          <w:rFonts w:ascii="Palatino Linotype" w:hAnsi="Palatino Linotype" w:cs="Times New Roman"/>
        </w:rPr>
        <w:t xml:space="preserve">provide quantitative support for each </w:t>
      </w:r>
      <w:r w:rsidRPr="00DD2C68" w:rsidR="13CD2D01">
        <w:rPr>
          <w:rFonts w:ascii="Palatino Linotype" w:hAnsi="Palatino Linotype" w:cs="Times New Roman"/>
        </w:rPr>
        <w:t xml:space="preserve">forecast </w:t>
      </w:r>
      <w:r w:rsidRPr="00DD2C68" w:rsidR="3B474728">
        <w:rPr>
          <w:rFonts w:ascii="Palatino Linotype" w:hAnsi="Palatino Linotype" w:cs="Times New Roman"/>
        </w:rPr>
        <w:t xml:space="preserve">year of the </w:t>
      </w:r>
      <w:r w:rsidR="00DE1C4F">
        <w:rPr>
          <w:rFonts w:ascii="Palatino Linotype" w:hAnsi="Palatino Linotype" w:cs="Times New Roman"/>
        </w:rPr>
        <w:t>ten</w:t>
      </w:r>
      <w:r w:rsidRPr="00DD2C68" w:rsidR="15430152">
        <w:rPr>
          <w:rFonts w:ascii="Palatino Linotype" w:hAnsi="Palatino Linotype" w:cs="Times New Roman"/>
        </w:rPr>
        <w:t xml:space="preserve">-year </w:t>
      </w:r>
      <w:r w:rsidRPr="00DD2C68" w:rsidR="3B474728">
        <w:rPr>
          <w:rFonts w:ascii="Palatino Linotype" w:hAnsi="Palatino Linotype" w:cs="Times New Roman"/>
        </w:rPr>
        <w:t xml:space="preserve">planning period </w:t>
      </w:r>
      <w:r w:rsidRPr="00DD2C68" w:rsidR="1DD4BE50">
        <w:rPr>
          <w:rFonts w:ascii="Palatino Linotype" w:hAnsi="Palatino Linotype" w:cs="Times New Roman"/>
        </w:rPr>
        <w:t>for each hot spot</w:t>
      </w:r>
      <w:r w:rsidRPr="00DD2C68" w:rsidR="00152491">
        <w:rPr>
          <w:rFonts w:ascii="Palatino Linotype" w:hAnsi="Palatino Linotype" w:cs="Times New Roman"/>
        </w:rPr>
        <w:t>:</w:t>
      </w:r>
      <w:r w:rsidRPr="00DD2C68" w:rsidR="1DD4BE50">
        <w:rPr>
          <w:rFonts w:ascii="Palatino Linotype" w:hAnsi="Palatino Linotype" w:cs="Times New Roman"/>
        </w:rPr>
        <w:t xml:space="preserve"> </w:t>
      </w:r>
      <w:r w:rsidRPr="00DD2C68" w:rsidR="3B474728">
        <w:rPr>
          <w:rFonts w:ascii="Palatino Linotype" w:hAnsi="Palatino Linotype" w:cs="Times New Roman"/>
        </w:rPr>
        <w:t>(</w:t>
      </w:r>
      <w:proofErr w:type="spellStart"/>
      <w:r w:rsidRPr="00DD2C68" w:rsidR="3B474728">
        <w:rPr>
          <w:rFonts w:ascii="Palatino Linotype" w:hAnsi="Palatino Linotype" w:cs="Times New Roman"/>
        </w:rPr>
        <w:t>i</w:t>
      </w:r>
      <w:proofErr w:type="spellEnd"/>
      <w:r w:rsidRPr="00DD2C68" w:rsidR="3B474728">
        <w:rPr>
          <w:rFonts w:ascii="Palatino Linotype" w:hAnsi="Palatino Linotype" w:cs="Times New Roman"/>
        </w:rPr>
        <w:t xml:space="preserve">) </w:t>
      </w:r>
      <w:r w:rsidR="003430BE">
        <w:rPr>
          <w:rFonts w:ascii="Palatino Linotype" w:hAnsi="Palatino Linotype" w:cs="Times New Roman"/>
        </w:rPr>
        <w:t xml:space="preserve">the amount of IEPR load </w:t>
      </w:r>
      <w:r w:rsidR="00117A86">
        <w:rPr>
          <w:rFonts w:ascii="Palatino Linotype" w:hAnsi="Palatino Linotype" w:cs="Times New Roman"/>
        </w:rPr>
        <w:t>disaggregation</w:t>
      </w:r>
      <w:r w:rsidR="003430BE">
        <w:rPr>
          <w:rFonts w:ascii="Palatino Linotype" w:hAnsi="Palatino Linotype" w:cs="Times New Roman"/>
        </w:rPr>
        <w:t xml:space="preserve">, </w:t>
      </w:r>
      <w:r w:rsidRPr="00DD2C68" w:rsidR="3B474728">
        <w:rPr>
          <w:rFonts w:ascii="Palatino Linotype" w:hAnsi="Palatino Linotype" w:cs="Times New Roman"/>
        </w:rPr>
        <w:t>the list of Known Loads and Pending Loads in the hot spot, and (ii) the calculations used for determining that the hot spot is capacity constrained including the list of infrastructure (</w:t>
      </w:r>
      <w:r w:rsidRPr="00DD2C68" w:rsidR="414CB821">
        <w:rPr>
          <w:rFonts w:ascii="Palatino Linotype" w:hAnsi="Palatino Linotype" w:cs="Times New Roman"/>
        </w:rPr>
        <w:t xml:space="preserve">including but not limited to </w:t>
      </w:r>
      <w:r w:rsidRPr="00DD2C68" w:rsidR="3B474728">
        <w:rPr>
          <w:rFonts w:ascii="Palatino Linotype" w:hAnsi="Palatino Linotype" w:cs="Times New Roman"/>
        </w:rPr>
        <w:t>substation bank</w:t>
      </w:r>
      <w:r w:rsidRPr="00DD2C68" w:rsidR="299AF483">
        <w:rPr>
          <w:rFonts w:ascii="Palatino Linotype" w:hAnsi="Palatino Linotype" w:cs="Times New Roman"/>
        </w:rPr>
        <w:t>s</w:t>
      </w:r>
      <w:r w:rsidRPr="00DD2C68" w:rsidR="3B474728">
        <w:rPr>
          <w:rFonts w:ascii="Palatino Linotype" w:hAnsi="Palatino Linotype" w:cs="Times New Roman"/>
        </w:rPr>
        <w:t>, circuits and ties) and their capabilities, the forecasted demand within the hot spot and the available margin between the two.</w:t>
      </w:r>
    </w:p>
    <w:p w:rsidR="00C761A4" w:rsidP="4708E492" w:rsidRDefault="003232D3" w14:paraId="5BA687F2" w14:textId="77777777">
      <w:pPr>
        <w:rPr>
          <w:rFonts w:ascii="Palatino Linotype" w:hAnsi="Palatino Linotype"/>
        </w:rPr>
      </w:pPr>
      <w:r w:rsidRPr="00DD2C68">
        <w:rPr>
          <w:rFonts w:ascii="Palatino Linotype" w:hAnsi="Palatino Linotype"/>
        </w:rPr>
        <w:t xml:space="preserve">The Commission </w:t>
      </w:r>
      <w:r w:rsidRPr="00DD2C68" w:rsidR="00B90FAD">
        <w:rPr>
          <w:rFonts w:ascii="Palatino Linotype" w:hAnsi="Palatino Linotype"/>
        </w:rPr>
        <w:t>declines to adopt EDF/NRDC’s proposal to include state policy into hot spots because</w:t>
      </w:r>
      <w:r w:rsidRPr="00DD2C68">
        <w:rPr>
          <w:rFonts w:ascii="Palatino Linotype" w:hAnsi="Palatino Linotype"/>
        </w:rPr>
        <w:t xml:space="preserve"> </w:t>
      </w:r>
      <w:r w:rsidRPr="00DD2C68" w:rsidR="00D63859">
        <w:rPr>
          <w:rFonts w:ascii="Palatino Linotype" w:hAnsi="Palatino Linotype"/>
        </w:rPr>
        <w:t xml:space="preserve">there is no direct </w:t>
      </w:r>
      <w:r w:rsidRPr="00DD2C68" w:rsidR="00B07081">
        <w:rPr>
          <w:rFonts w:ascii="Palatino Linotype" w:hAnsi="Palatino Linotype"/>
        </w:rPr>
        <w:t xml:space="preserve">method to incorporate </w:t>
      </w:r>
      <w:r w:rsidRPr="00DD2C68" w:rsidR="00B90FAD">
        <w:rPr>
          <w:rFonts w:ascii="Palatino Linotype" w:hAnsi="Palatino Linotype"/>
        </w:rPr>
        <w:t>them</w:t>
      </w:r>
      <w:r w:rsidRPr="00DD2C68" w:rsidR="00B07081">
        <w:rPr>
          <w:rFonts w:ascii="Palatino Linotype" w:hAnsi="Palatino Linotype"/>
        </w:rPr>
        <w:t xml:space="preserve"> into distribution planning</w:t>
      </w:r>
      <w:r w:rsidRPr="00DD2C68" w:rsidR="5A3682FC">
        <w:rPr>
          <w:rFonts w:ascii="Palatino Linotype" w:hAnsi="Palatino Linotype"/>
        </w:rPr>
        <w:t xml:space="preserve"> and the IEPR already reflects state policy</w:t>
      </w:r>
      <w:r w:rsidRPr="00DD2C68" w:rsidR="00B07081">
        <w:rPr>
          <w:rFonts w:ascii="Palatino Linotype" w:hAnsi="Palatino Linotype"/>
        </w:rPr>
        <w:t xml:space="preserve">. However, </w:t>
      </w:r>
      <w:r w:rsidRPr="00DD2C68">
        <w:rPr>
          <w:rFonts w:ascii="Palatino Linotype" w:hAnsi="Palatino Linotype"/>
        </w:rPr>
        <w:t>to the exten</w:t>
      </w:r>
      <w:r w:rsidRPr="00DD2C68" w:rsidR="00B07081">
        <w:rPr>
          <w:rFonts w:ascii="Palatino Linotype" w:hAnsi="Palatino Linotype"/>
        </w:rPr>
        <w:t>t</w:t>
      </w:r>
      <w:r w:rsidRPr="00DD2C68">
        <w:rPr>
          <w:rFonts w:ascii="Palatino Linotype" w:hAnsi="Palatino Linotype"/>
        </w:rPr>
        <w:t xml:space="preserve"> that a study </w:t>
      </w:r>
      <w:r w:rsidRPr="00DD2C68" w:rsidR="00D63859">
        <w:rPr>
          <w:rFonts w:ascii="Palatino Linotype" w:hAnsi="Palatino Linotype"/>
        </w:rPr>
        <w:t>identifies the</w:t>
      </w:r>
      <w:r w:rsidRPr="00DD2C68" w:rsidR="00AE149A">
        <w:rPr>
          <w:rFonts w:ascii="Palatino Linotype" w:hAnsi="Palatino Linotype"/>
        </w:rPr>
        <w:t xml:space="preserve"> locational</w:t>
      </w:r>
      <w:r w:rsidRPr="00DD2C68" w:rsidR="00D63859">
        <w:rPr>
          <w:rFonts w:ascii="Palatino Linotype" w:hAnsi="Palatino Linotype"/>
        </w:rPr>
        <w:t xml:space="preserve"> impacts of these policies</w:t>
      </w:r>
      <w:r w:rsidRPr="00DD2C68" w:rsidR="00AE149A">
        <w:rPr>
          <w:rFonts w:ascii="Palatino Linotype" w:hAnsi="Palatino Linotype"/>
        </w:rPr>
        <w:t>, the utilities are encouraged to use them to</w:t>
      </w:r>
      <w:r w:rsidRPr="00DD2C68" w:rsidR="00A21DB4">
        <w:rPr>
          <w:rFonts w:ascii="Palatino Linotype" w:hAnsi="Palatino Linotype"/>
        </w:rPr>
        <w:t xml:space="preserve"> help</w:t>
      </w:r>
      <w:r w:rsidRPr="00DD2C68" w:rsidR="00AE149A">
        <w:rPr>
          <w:rFonts w:ascii="Palatino Linotype" w:hAnsi="Palatino Linotype"/>
        </w:rPr>
        <w:t xml:space="preserve"> identify hot spots.</w:t>
      </w:r>
    </w:p>
    <w:p w:rsidR="000C678C" w:rsidP="4708E492" w:rsidRDefault="00ED216A" w14:paraId="4AFB5BA9" w14:textId="7241CE58">
      <w:pPr>
        <w:rPr>
          <w:rFonts w:ascii="Palatino Linotype" w:hAnsi="Palatino Linotype"/>
        </w:rPr>
      </w:pPr>
      <w:r w:rsidRPr="00DD2C68">
        <w:rPr>
          <w:rFonts w:ascii="Palatino Linotype" w:hAnsi="Palatino Linotype"/>
        </w:rPr>
        <w:t xml:space="preserve">The Commission also acknowledges the </w:t>
      </w:r>
      <w:r w:rsidRPr="00DD2C68" w:rsidR="00F76424">
        <w:rPr>
          <w:rFonts w:ascii="Palatino Linotype" w:hAnsi="Palatino Linotype"/>
        </w:rPr>
        <w:t>role that the Transportation Electrification Proactive Planning (TEPP) work product</w:t>
      </w:r>
      <w:r w:rsidRPr="00DD2C68" w:rsidR="007B044F">
        <w:rPr>
          <w:rFonts w:ascii="Palatino Linotype" w:hAnsi="Palatino Linotype"/>
        </w:rPr>
        <w:t xml:space="preserve"> originating</w:t>
      </w:r>
      <w:r w:rsidRPr="00DD2C68" w:rsidR="00F76424">
        <w:rPr>
          <w:rFonts w:ascii="Palatino Linotype" w:hAnsi="Palatino Linotype"/>
        </w:rPr>
        <w:t xml:space="preserve"> from the </w:t>
      </w:r>
      <w:r w:rsidRPr="00DD2C68" w:rsidR="00CF0853">
        <w:rPr>
          <w:rFonts w:ascii="Palatino Linotype" w:hAnsi="Palatino Linotype"/>
        </w:rPr>
        <w:t xml:space="preserve">R.23-12-008 </w:t>
      </w:r>
      <w:r w:rsidRPr="00DD2C68" w:rsidR="00CE210A">
        <w:rPr>
          <w:rFonts w:ascii="Palatino Linotype" w:hAnsi="Palatino Linotype"/>
        </w:rPr>
        <w:t>Transportation Electrification Policy and Infrastructure proceeding</w:t>
      </w:r>
      <w:r w:rsidRPr="00DD2C68" w:rsidR="004424D8">
        <w:rPr>
          <w:rFonts w:ascii="Palatino Linotype" w:hAnsi="Palatino Linotype"/>
        </w:rPr>
        <w:t xml:space="preserve"> may play</w:t>
      </w:r>
      <w:r w:rsidRPr="00DD2C68" w:rsidR="00CE210A">
        <w:rPr>
          <w:rFonts w:ascii="Palatino Linotype" w:hAnsi="Palatino Linotype"/>
        </w:rPr>
        <w:t xml:space="preserve"> as </w:t>
      </w:r>
      <w:r w:rsidRPr="00DD2C68" w:rsidR="004C2AEF">
        <w:rPr>
          <w:rFonts w:ascii="Palatino Linotype" w:hAnsi="Palatino Linotype"/>
        </w:rPr>
        <w:t>a potential future source of dat</w:t>
      </w:r>
      <w:r w:rsidRPr="00DD2C68" w:rsidR="00714A98">
        <w:rPr>
          <w:rFonts w:ascii="Palatino Linotype" w:hAnsi="Palatino Linotype"/>
        </w:rPr>
        <w:t>a</w:t>
      </w:r>
      <w:r w:rsidRPr="00DD2C68" w:rsidR="00801697">
        <w:rPr>
          <w:rFonts w:ascii="Palatino Linotype" w:hAnsi="Palatino Linotype"/>
        </w:rPr>
        <w:t xml:space="preserve"> focused on </w:t>
      </w:r>
      <w:r w:rsidRPr="00DD2C68" w:rsidR="004424D8">
        <w:rPr>
          <w:rFonts w:ascii="Palatino Linotype" w:hAnsi="Palatino Linotype"/>
        </w:rPr>
        <w:t xml:space="preserve">identifying hot spots </w:t>
      </w:r>
      <w:r w:rsidRPr="14980F57" w:rsidR="70FB0DFD">
        <w:rPr>
          <w:rFonts w:ascii="Palatino Linotype" w:hAnsi="Palatino Linotype"/>
        </w:rPr>
        <w:t>o</w:t>
      </w:r>
      <w:r w:rsidRPr="00DD2C68" w:rsidR="004424D8">
        <w:rPr>
          <w:rFonts w:ascii="Palatino Linotype" w:hAnsi="Palatino Linotype"/>
        </w:rPr>
        <w:t xml:space="preserve">n </w:t>
      </w:r>
      <w:r w:rsidRPr="00DD2C68" w:rsidR="00CA10D1">
        <w:rPr>
          <w:rFonts w:ascii="Palatino Linotype" w:hAnsi="Palatino Linotype"/>
        </w:rPr>
        <w:t>transportation corridors</w:t>
      </w:r>
      <w:r w:rsidRPr="00DD2C68" w:rsidR="00714A98">
        <w:rPr>
          <w:rFonts w:ascii="Palatino Linotype" w:hAnsi="Palatino Linotype"/>
        </w:rPr>
        <w:t>. The TEP</w:t>
      </w:r>
      <w:r w:rsidRPr="00DD2C68" w:rsidR="00025117">
        <w:rPr>
          <w:rFonts w:ascii="Palatino Linotype" w:hAnsi="Palatino Linotype"/>
        </w:rPr>
        <w:t xml:space="preserve">P </w:t>
      </w:r>
      <w:r w:rsidRPr="253BC68E" w:rsidR="6B413ECC">
        <w:rPr>
          <w:rFonts w:ascii="Palatino Linotype" w:hAnsi="Palatino Linotype"/>
        </w:rPr>
        <w:t xml:space="preserve">is </w:t>
      </w:r>
      <w:r w:rsidRPr="00DD2C68" w:rsidR="00025117">
        <w:rPr>
          <w:rFonts w:ascii="Palatino Linotype" w:hAnsi="Palatino Linotype"/>
        </w:rPr>
        <w:t xml:space="preserve">informed by </w:t>
      </w:r>
      <w:r w:rsidRPr="00DD2C68" w:rsidR="00610028">
        <w:rPr>
          <w:rFonts w:ascii="Palatino Linotype" w:hAnsi="Palatino Linotype"/>
        </w:rPr>
        <w:t>state transportation electrification</w:t>
      </w:r>
      <w:r w:rsidRPr="00DD2C68" w:rsidR="00025117">
        <w:rPr>
          <w:rFonts w:ascii="Palatino Linotype" w:hAnsi="Palatino Linotype"/>
        </w:rPr>
        <w:t xml:space="preserve"> policies </w:t>
      </w:r>
      <w:proofErr w:type="gramStart"/>
      <w:r w:rsidRPr="00DD2C68" w:rsidR="00025117">
        <w:rPr>
          <w:rFonts w:ascii="Palatino Linotype" w:hAnsi="Palatino Linotype"/>
        </w:rPr>
        <w:t xml:space="preserve">and </w:t>
      </w:r>
      <w:r w:rsidRPr="14980F57" w:rsidR="424EC33D">
        <w:rPr>
          <w:rFonts w:ascii="Palatino Linotype" w:hAnsi="Palatino Linotype"/>
        </w:rPr>
        <w:t xml:space="preserve"> </w:t>
      </w:r>
      <w:r w:rsidRPr="00DD2C68" w:rsidR="00025117">
        <w:rPr>
          <w:rFonts w:ascii="Palatino Linotype" w:hAnsi="Palatino Linotype"/>
        </w:rPr>
        <w:t>could</w:t>
      </w:r>
      <w:proofErr w:type="gramEnd"/>
      <w:r w:rsidRPr="00DD2C68" w:rsidR="00025117">
        <w:rPr>
          <w:rFonts w:ascii="Palatino Linotype" w:hAnsi="Palatino Linotype"/>
        </w:rPr>
        <w:t xml:space="preserve"> </w:t>
      </w:r>
      <w:r w:rsidRPr="00DD2C68" w:rsidR="00982EC8">
        <w:rPr>
          <w:rFonts w:ascii="Palatino Linotype" w:hAnsi="Palatino Linotype"/>
        </w:rPr>
        <w:t>eventually</w:t>
      </w:r>
      <w:r w:rsidRPr="00DD2C68" w:rsidR="00025117">
        <w:rPr>
          <w:rFonts w:ascii="Palatino Linotype" w:hAnsi="Palatino Linotype"/>
        </w:rPr>
        <w:t xml:space="preserve"> serve as </w:t>
      </w:r>
      <w:r w:rsidRPr="00DD2C68" w:rsidR="00B00AEA">
        <w:rPr>
          <w:rFonts w:ascii="Palatino Linotype" w:hAnsi="Palatino Linotype"/>
        </w:rPr>
        <w:t xml:space="preserve">a source for </w:t>
      </w:r>
      <w:r w:rsidRPr="253BC68E" w:rsidR="7954C159">
        <w:rPr>
          <w:rFonts w:ascii="Palatino Linotype" w:hAnsi="Palatino Linotype"/>
        </w:rPr>
        <w:t xml:space="preserve">the </w:t>
      </w:r>
      <w:r w:rsidRPr="253BC68E" w:rsidR="793098F8">
        <w:rPr>
          <w:rFonts w:ascii="Palatino Linotype" w:hAnsi="Palatino Linotype"/>
        </w:rPr>
        <w:t xml:space="preserve">B2 </w:t>
      </w:r>
      <w:r w:rsidRPr="253BC68E" w:rsidR="5E574DDD">
        <w:rPr>
          <w:rFonts w:ascii="Palatino Linotype" w:hAnsi="Palatino Linotype"/>
        </w:rPr>
        <w:t xml:space="preserve">category of </w:t>
      </w:r>
      <w:r w:rsidRPr="253BC68E" w:rsidR="793098F8">
        <w:rPr>
          <w:rFonts w:ascii="Palatino Linotype" w:hAnsi="Palatino Linotype"/>
        </w:rPr>
        <w:t xml:space="preserve">pending loads. </w:t>
      </w:r>
      <w:r w:rsidRPr="253BC68E" w:rsidR="7181CCA2">
        <w:rPr>
          <w:rFonts w:ascii="Palatino Linotype" w:hAnsi="Palatino Linotype" w:eastAsia="Palatino Linotype" w:cs="Palatino Linotype"/>
          <w:color w:val="000000" w:themeColor="text1"/>
        </w:rPr>
        <w:t xml:space="preserve">Because TEPP loads represent a disaggregation of IEPR and are being developed through a formal </w:t>
      </w:r>
      <w:r w:rsidRPr="253BC68E" w:rsidR="7181CCA2">
        <w:rPr>
          <w:rFonts w:ascii="Palatino Linotype" w:hAnsi="Palatino Linotype" w:eastAsia="Palatino Linotype" w:cs="Palatino Linotype"/>
          <w:color w:val="000000" w:themeColor="text1"/>
        </w:rPr>
        <w:lastRenderedPageBreak/>
        <w:t xml:space="preserve">Commission proceeding, TEPP outputs may </w:t>
      </w:r>
      <w:r w:rsidRPr="63B5AEE6" w:rsidR="2166D43D">
        <w:rPr>
          <w:rFonts w:ascii="Palatino Linotype" w:hAnsi="Palatino Linotype" w:eastAsia="Palatino Linotype" w:cs="Palatino Linotype"/>
          <w:color w:val="000000" w:themeColor="text1"/>
        </w:rPr>
        <w:t>in the future</w:t>
      </w:r>
      <w:r w:rsidRPr="63B5AEE6" w:rsidR="7181CCA2">
        <w:rPr>
          <w:rFonts w:ascii="Palatino Linotype" w:hAnsi="Palatino Linotype" w:eastAsia="Palatino Linotype" w:cs="Palatino Linotype"/>
          <w:color w:val="000000" w:themeColor="text1"/>
        </w:rPr>
        <w:t xml:space="preserve"> </w:t>
      </w:r>
      <w:r w:rsidRPr="14980F57" w:rsidR="00701142">
        <w:rPr>
          <w:rFonts w:ascii="Palatino Linotype" w:hAnsi="Palatino Linotype" w:eastAsia="Palatino Linotype" w:cs="Palatino Linotype"/>
          <w:color w:val="000000" w:themeColor="text1"/>
        </w:rPr>
        <w:t xml:space="preserve">inform the </w:t>
      </w:r>
      <w:r w:rsidRPr="63B5AEE6" w:rsidR="21C92ABE">
        <w:rPr>
          <w:rFonts w:ascii="Palatino Linotype" w:hAnsi="Palatino Linotype" w:eastAsia="Palatino Linotype" w:cs="Palatino Linotype"/>
          <w:color w:val="000000" w:themeColor="text1"/>
        </w:rPr>
        <w:t>DPEP and related frameworks of Pending Loads</w:t>
      </w:r>
      <w:r w:rsidRPr="63B5AEE6" w:rsidR="11101A17">
        <w:rPr>
          <w:rFonts w:ascii="Palatino Linotype" w:hAnsi="Palatino Linotype" w:eastAsia="Palatino Linotype" w:cs="Palatino Linotype"/>
          <w:color w:val="000000" w:themeColor="text1"/>
        </w:rPr>
        <w:t xml:space="preserve">, including informing hot </w:t>
      </w:r>
      <w:r w:rsidRPr="14980F57" w:rsidR="11101A17">
        <w:rPr>
          <w:rFonts w:ascii="Palatino Linotype" w:hAnsi="Palatino Linotype" w:eastAsia="Palatino Linotype" w:cs="Palatino Linotype"/>
          <w:color w:val="000000" w:themeColor="text1"/>
        </w:rPr>
        <w:t>spot</w:t>
      </w:r>
      <w:r w:rsidRPr="14980F57" w:rsidR="00BB1F54">
        <w:rPr>
          <w:rFonts w:ascii="Palatino Linotype" w:hAnsi="Palatino Linotype" w:eastAsia="Palatino Linotype" w:cs="Palatino Linotype"/>
          <w:color w:val="000000" w:themeColor="text1"/>
        </w:rPr>
        <w:t xml:space="preserve"> identification</w:t>
      </w:r>
      <w:r w:rsidRPr="63B5AEE6" w:rsidR="11101A17">
        <w:rPr>
          <w:rFonts w:ascii="Palatino Linotype" w:hAnsi="Palatino Linotype" w:eastAsia="Palatino Linotype" w:cs="Palatino Linotype"/>
          <w:color w:val="000000" w:themeColor="text1"/>
        </w:rPr>
        <w:t>,</w:t>
      </w:r>
      <w:r w:rsidRPr="63B5AEE6" w:rsidR="21C92ABE">
        <w:rPr>
          <w:rFonts w:ascii="Palatino Linotype" w:hAnsi="Palatino Linotype" w:eastAsia="Palatino Linotype" w:cs="Palatino Linotype"/>
          <w:color w:val="000000" w:themeColor="text1"/>
        </w:rPr>
        <w:t xml:space="preserve"> and Scenario Planning.  Any </w:t>
      </w:r>
      <w:r w:rsidR="000079EF">
        <w:rPr>
          <w:rFonts w:ascii="Palatino Linotype" w:hAnsi="Palatino Linotype" w:eastAsia="Palatino Linotype" w:cs="Palatino Linotype"/>
          <w:color w:val="000000" w:themeColor="text1"/>
        </w:rPr>
        <w:t>necessary</w:t>
      </w:r>
      <w:r w:rsidRPr="63B5AEE6" w:rsidR="21C92ABE">
        <w:rPr>
          <w:rFonts w:ascii="Palatino Linotype" w:hAnsi="Palatino Linotype" w:eastAsia="Palatino Linotype" w:cs="Palatino Linotype"/>
          <w:color w:val="000000" w:themeColor="text1"/>
        </w:rPr>
        <w:t xml:space="preserve"> changes</w:t>
      </w:r>
      <w:r w:rsidRPr="63B5AEE6" w:rsidR="7839E240">
        <w:rPr>
          <w:rFonts w:ascii="Palatino Linotype" w:hAnsi="Palatino Linotype" w:eastAsia="Palatino Linotype" w:cs="Palatino Linotype"/>
          <w:color w:val="000000" w:themeColor="text1"/>
        </w:rPr>
        <w:t xml:space="preserve"> </w:t>
      </w:r>
      <w:r w:rsidRPr="14980F57" w:rsidDel="7181CCA2" w:rsidR="003232D3">
        <w:rPr>
          <w:rFonts w:ascii="Palatino Linotype" w:hAnsi="Palatino Linotype" w:eastAsia="Palatino Linotype" w:cs="Palatino Linotype"/>
          <w:color w:val="000000" w:themeColor="text1"/>
        </w:rPr>
        <w:t>used to inform hotspots</w:t>
      </w:r>
      <w:r w:rsidRPr="14980F57" w:rsidDel="008F178E" w:rsidR="003232D3">
        <w:rPr>
          <w:rFonts w:ascii="Palatino Linotype" w:hAnsi="Palatino Linotype" w:eastAsia="Palatino Linotype" w:cs="Palatino Linotype"/>
          <w:color w:val="000000" w:themeColor="text1"/>
        </w:rPr>
        <w:t xml:space="preserve"> </w:t>
      </w:r>
      <w:r w:rsidRPr="63B5AEE6" w:rsidR="7839E240">
        <w:rPr>
          <w:rFonts w:ascii="Palatino Linotype" w:hAnsi="Palatino Linotype" w:eastAsia="Palatino Linotype" w:cs="Palatino Linotype"/>
          <w:color w:val="000000" w:themeColor="text1"/>
        </w:rPr>
        <w:t xml:space="preserve">should be determined in the High DER </w:t>
      </w:r>
      <w:r w:rsidRPr="14980F57" w:rsidDel="7839E240" w:rsidR="003232D3">
        <w:rPr>
          <w:rFonts w:ascii="Palatino Linotype" w:hAnsi="Palatino Linotype" w:eastAsia="Palatino Linotype" w:cs="Palatino Linotype"/>
          <w:color w:val="000000" w:themeColor="text1"/>
        </w:rPr>
        <w:t>proceeding.</w:t>
      </w:r>
      <w:r w:rsidRPr="63B5AEE6" w:rsidR="7839E240">
        <w:rPr>
          <w:rFonts w:ascii="Palatino Linotype" w:hAnsi="Palatino Linotype" w:eastAsia="Palatino Linotype" w:cs="Palatino Linotype"/>
          <w:color w:val="000000" w:themeColor="text1"/>
        </w:rPr>
        <w:t xml:space="preserve"> </w:t>
      </w:r>
    </w:p>
    <w:p w:rsidRPr="00E83FD8" w:rsidR="007A6296" w:rsidP="007A6296" w:rsidRDefault="009F217C" w14:paraId="6894C046" w14:textId="3BAF7530">
      <w:r w:rsidRPr="007A6296">
        <w:rPr>
          <w:rFonts w:ascii="Palatino Linotype" w:hAnsi="Palatino Linotype"/>
        </w:rPr>
        <w:t>Should revisions to the hot spots definition or the formula for determining capacity-constrained areas be required earlier</w:t>
      </w:r>
      <w:r w:rsidRPr="007A6296" w:rsidR="008C4876">
        <w:rPr>
          <w:rFonts w:ascii="Palatino Linotype" w:hAnsi="Palatino Linotype"/>
        </w:rPr>
        <w:t xml:space="preserve"> than the 2027</w:t>
      </w:r>
      <w:r w:rsidRPr="007A6296" w:rsidR="003D3805">
        <w:rPr>
          <w:rFonts w:ascii="Palatino Linotype" w:hAnsi="Palatino Linotype"/>
        </w:rPr>
        <w:t xml:space="preserve"> Pending Load</w:t>
      </w:r>
      <w:r w:rsidRPr="007A6296" w:rsidR="00CB5BC4">
        <w:rPr>
          <w:rFonts w:ascii="Palatino Linotype" w:hAnsi="Palatino Linotype"/>
        </w:rPr>
        <w:t>s Evaluation Workshop and Advice Letter</w:t>
      </w:r>
      <w:r w:rsidRPr="007A6296">
        <w:rPr>
          <w:rFonts w:ascii="Palatino Linotype" w:hAnsi="Palatino Linotype"/>
        </w:rPr>
        <w:t xml:space="preserve">, the utilities may submit a Tier 2 Advice Letter addressing those matters. </w:t>
      </w:r>
    </w:p>
    <w:p w:rsidRPr="00DD2C68" w:rsidR="00D33F03" w:rsidP="00F3770B" w:rsidRDefault="00D33F03" w14:paraId="656EF031" w14:textId="0CFD92F4">
      <w:pPr>
        <w:pStyle w:val="Heading2"/>
        <w:rPr>
          <w:rFonts w:ascii="Palatino Linotype" w:hAnsi="Palatino Linotype"/>
          <w:color w:val="auto"/>
        </w:rPr>
      </w:pPr>
      <w:r w:rsidRPr="00DD2C68">
        <w:rPr>
          <w:rFonts w:ascii="Palatino Linotype" w:hAnsi="Palatino Linotype"/>
          <w:color w:val="auto"/>
        </w:rPr>
        <w:t>Reconciling Pending Loads with the IEPR</w:t>
      </w:r>
    </w:p>
    <w:p w:rsidRPr="00DD2C68" w:rsidR="00D33F03" w:rsidP="00D33F03" w:rsidRDefault="00000326" w14:paraId="4DA7DCD1" w14:textId="097C2446">
      <w:pPr>
        <w:rPr>
          <w:rFonts w:ascii="Palatino Linotype" w:hAnsi="Palatino Linotype"/>
        </w:rPr>
      </w:pPr>
      <w:r w:rsidRPr="00DD2C68">
        <w:rPr>
          <w:rFonts w:ascii="Palatino Linotype" w:hAnsi="Palatino Linotype"/>
        </w:rPr>
        <w:t>The Commission</w:t>
      </w:r>
      <w:r w:rsidRPr="00DD2C68" w:rsidR="00625571">
        <w:rPr>
          <w:rFonts w:ascii="Palatino Linotype" w:hAnsi="Palatino Linotype"/>
        </w:rPr>
        <w:t xml:space="preserve"> agrees with Cal Advocates, TURN, CalCCA, and EDF/NRDC </w:t>
      </w:r>
      <w:r w:rsidRPr="00DD2C68" w:rsidR="3E9E493B">
        <w:rPr>
          <w:rFonts w:ascii="Palatino Linotype" w:hAnsi="Palatino Linotype"/>
        </w:rPr>
        <w:t>call</w:t>
      </w:r>
      <w:r w:rsidRPr="00DD2C68" w:rsidR="0022455E">
        <w:rPr>
          <w:rFonts w:ascii="Palatino Linotype" w:hAnsi="Palatino Linotype"/>
        </w:rPr>
        <w:t>s</w:t>
      </w:r>
      <w:r w:rsidRPr="00DD2C68" w:rsidR="3E9E493B">
        <w:rPr>
          <w:rFonts w:ascii="Palatino Linotype" w:hAnsi="Palatino Linotype"/>
        </w:rPr>
        <w:t xml:space="preserve"> </w:t>
      </w:r>
      <w:r w:rsidRPr="00DD2C68" w:rsidR="0C6B61EA">
        <w:rPr>
          <w:rFonts w:ascii="Palatino Linotype" w:hAnsi="Palatino Linotype"/>
        </w:rPr>
        <w:t>for</w:t>
      </w:r>
      <w:r w:rsidRPr="00DD2C68" w:rsidR="00625571">
        <w:rPr>
          <w:rFonts w:ascii="Palatino Linotype" w:hAnsi="Palatino Linotype"/>
        </w:rPr>
        <w:t xml:space="preserve"> clear and consistent rules for how pending loads are reconciled with the IEPR and when they are allowed to exceed it</w:t>
      </w:r>
      <w:r w:rsidRPr="00DD2C68" w:rsidR="0040685F">
        <w:rPr>
          <w:rFonts w:ascii="Palatino Linotype" w:hAnsi="Palatino Linotype"/>
        </w:rPr>
        <w:t>, for the purpose of informing distribution planning efforts</w:t>
      </w:r>
      <w:r w:rsidRPr="00DD2C68" w:rsidR="00625571">
        <w:rPr>
          <w:rFonts w:ascii="Palatino Linotype" w:hAnsi="Palatino Linotype"/>
        </w:rPr>
        <w:t>. We</w:t>
      </w:r>
      <w:r w:rsidRPr="00DD2C68">
        <w:rPr>
          <w:rFonts w:ascii="Palatino Linotype" w:hAnsi="Palatino Linotype"/>
        </w:rPr>
        <w:t xml:space="preserve"> find that bottom-up studies should be allowed to be included in Category B</w:t>
      </w:r>
      <w:r w:rsidRPr="00DD2C68" w:rsidR="007F5A21">
        <w:rPr>
          <w:rFonts w:ascii="Palatino Linotype" w:hAnsi="Palatino Linotype"/>
        </w:rPr>
        <w:t>2</w:t>
      </w:r>
      <w:r w:rsidRPr="00DD2C68" w:rsidR="00ED2572">
        <w:rPr>
          <w:rFonts w:ascii="Palatino Linotype" w:hAnsi="Palatino Linotype"/>
        </w:rPr>
        <w:t xml:space="preserve"> </w:t>
      </w:r>
      <w:r w:rsidRPr="00DD2C68">
        <w:rPr>
          <w:rFonts w:ascii="Palatino Linotype" w:hAnsi="Palatino Linotype"/>
        </w:rPr>
        <w:t>but not</w:t>
      </w:r>
      <w:r w:rsidRPr="00DD2C68" w:rsidR="00ED2572">
        <w:rPr>
          <w:rFonts w:ascii="Palatino Linotype" w:hAnsi="Palatino Linotype"/>
        </w:rPr>
        <w:t xml:space="preserve"> be</w:t>
      </w:r>
      <w:r w:rsidRPr="00DD2C68">
        <w:rPr>
          <w:rFonts w:ascii="Palatino Linotype" w:hAnsi="Palatino Linotype"/>
        </w:rPr>
        <w:t xml:space="preserve"> allowed to exceed the IEPR forecast</w:t>
      </w:r>
      <w:r w:rsidRPr="00DD2C68" w:rsidR="00625571">
        <w:rPr>
          <w:rFonts w:ascii="Palatino Linotype" w:hAnsi="Palatino Linotype"/>
        </w:rPr>
        <w:t>, except for in a hot spot</w:t>
      </w:r>
      <w:r w:rsidRPr="00DD2C68">
        <w:rPr>
          <w:rFonts w:ascii="Palatino Linotype" w:hAnsi="Palatino Linotype"/>
        </w:rPr>
        <w:t xml:space="preserve">. </w:t>
      </w:r>
      <w:r w:rsidRPr="00DD2C68" w:rsidR="007F5A21">
        <w:rPr>
          <w:rFonts w:ascii="Palatino Linotype" w:hAnsi="Palatino Linotype"/>
        </w:rPr>
        <w:t>To accomplish this</w:t>
      </w:r>
      <w:r w:rsidRPr="00DD2C68" w:rsidR="000F3C09">
        <w:rPr>
          <w:rFonts w:ascii="Palatino Linotype" w:hAnsi="Palatino Linotype"/>
        </w:rPr>
        <w:t xml:space="preserve">, all IOUs </w:t>
      </w:r>
      <w:r w:rsidRPr="00DD2C68" w:rsidR="007F5A21">
        <w:rPr>
          <w:rFonts w:ascii="Palatino Linotype" w:hAnsi="Palatino Linotype"/>
        </w:rPr>
        <w:t xml:space="preserve">must </w:t>
      </w:r>
      <w:r w:rsidRPr="00DD2C68" w:rsidR="000F3C09">
        <w:rPr>
          <w:rFonts w:ascii="Palatino Linotype" w:hAnsi="Palatino Linotype"/>
        </w:rPr>
        <w:t>adopt the pending loads categor</w:t>
      </w:r>
      <w:r w:rsidRPr="00DD2C68" w:rsidR="00A80FF1">
        <w:rPr>
          <w:rFonts w:ascii="Palatino Linotype" w:hAnsi="Palatino Linotype"/>
        </w:rPr>
        <w:t>ies and</w:t>
      </w:r>
      <w:r w:rsidRPr="00DD2C68" w:rsidR="000F3C09">
        <w:rPr>
          <w:rFonts w:ascii="Palatino Linotype" w:hAnsi="Palatino Linotype"/>
        </w:rPr>
        <w:t xml:space="preserve"> structure of SCE</w:t>
      </w:r>
      <w:r w:rsidRPr="00DD2C68" w:rsidR="004E53D9">
        <w:rPr>
          <w:rFonts w:ascii="Palatino Linotype" w:hAnsi="Palatino Linotype"/>
        </w:rPr>
        <w:t xml:space="preserve">, including </w:t>
      </w:r>
      <w:r w:rsidRPr="00DD2C68" w:rsidR="00F003B0">
        <w:rPr>
          <w:rFonts w:ascii="Palatino Linotype" w:hAnsi="Palatino Linotype" w:eastAsia="Palatino Linotype" w:cs="Palatino Linotype"/>
        </w:rPr>
        <w:t>Category A (high confidence customer loads), Category B1 (medium confidence customer loads), Category B2 (high confidence</w:t>
      </w:r>
      <w:r w:rsidRPr="00DD2C68" w:rsidR="00B41E6A">
        <w:rPr>
          <w:rFonts w:ascii="Palatino Linotype" w:hAnsi="Palatino Linotype" w:eastAsia="Palatino Linotype" w:cs="Palatino Linotype"/>
        </w:rPr>
        <w:t>, bottom-up</w:t>
      </w:r>
      <w:r w:rsidRPr="00DD2C68" w:rsidR="00F003B0">
        <w:rPr>
          <w:rFonts w:ascii="Palatino Linotype" w:hAnsi="Palatino Linotype" w:eastAsia="Palatino Linotype" w:cs="Palatino Linotype"/>
        </w:rPr>
        <w:t xml:space="preserve"> studies), and Category C (</w:t>
      </w:r>
      <w:r w:rsidRPr="00DD2C68" w:rsidR="00B41E6A">
        <w:rPr>
          <w:rFonts w:ascii="Palatino Linotype" w:hAnsi="Palatino Linotype" w:eastAsia="Palatino Linotype" w:cs="Palatino Linotype"/>
        </w:rPr>
        <w:t xml:space="preserve">low confidence customer loads and </w:t>
      </w:r>
      <w:r w:rsidRPr="00DD2C68" w:rsidR="00F003B0">
        <w:rPr>
          <w:rFonts w:ascii="Palatino Linotype" w:hAnsi="Palatino Linotype" w:eastAsia="Palatino Linotype" w:cs="Palatino Linotype"/>
        </w:rPr>
        <w:t xml:space="preserve">medium confidence studies). </w:t>
      </w:r>
      <w:r w:rsidRPr="00DD2C68" w:rsidR="00625571">
        <w:rPr>
          <w:rFonts w:ascii="Palatino Linotype" w:hAnsi="Palatino Linotype" w:cs="Arial"/>
        </w:rPr>
        <w:t>Further, additional details of how and when pending loads can exceed the IEPR are included in the resolution to the joint IOU scenario planning advice letter.</w:t>
      </w:r>
    </w:p>
    <w:p w:rsidRPr="00DD2C68" w:rsidR="00D10A0C" w:rsidP="00D10A0C" w:rsidRDefault="00D10A0C" w14:paraId="0161FC7A" w14:textId="7A8848B9">
      <w:pPr>
        <w:pStyle w:val="Heading2"/>
        <w:rPr>
          <w:rFonts w:ascii="Palatino Linotype" w:hAnsi="Palatino Linotype"/>
          <w:color w:val="auto"/>
        </w:rPr>
      </w:pPr>
      <w:r w:rsidRPr="00DD2C68">
        <w:rPr>
          <w:rFonts w:ascii="Palatino Linotype" w:hAnsi="Palatino Linotype"/>
          <w:color w:val="auto"/>
        </w:rPr>
        <w:t>Future Changes to Pending Loads</w:t>
      </w:r>
    </w:p>
    <w:p w:rsidRPr="001D732B" w:rsidR="00D10A0C" w:rsidP="00B031AB" w:rsidRDefault="00D10A0C" w14:paraId="01B49740" w14:textId="5E74E168">
      <w:pPr>
        <w:spacing w:line="259" w:lineRule="auto"/>
        <w:rPr>
          <w:rFonts w:ascii="Palatino Linotype" w:hAnsi="Palatino Linotype" w:cs="Times New Roman"/>
        </w:rPr>
      </w:pPr>
      <w:r w:rsidRPr="0B6A44FD">
        <w:rPr>
          <w:rFonts w:ascii="Palatino Linotype" w:hAnsi="Palatino Linotype"/>
        </w:rPr>
        <w:t xml:space="preserve">The Commission agrees with CalCCA and TURN that changes to the pending load framework must not be at the utilities’ sole discretion. Specifically, the Commission agrees that utilities should not be able to alter the treatment of, or add, </w:t>
      </w:r>
      <w:r w:rsidRPr="0B6A44FD">
        <w:rPr>
          <w:rFonts w:ascii="Palatino Linotype" w:hAnsi="Palatino Linotype"/>
          <w:i/>
          <w:iCs/>
        </w:rPr>
        <w:t>types</w:t>
      </w:r>
      <w:r w:rsidRPr="0B6A44FD">
        <w:rPr>
          <w:rFonts w:ascii="Palatino Linotype" w:hAnsi="Palatino Linotype"/>
        </w:rPr>
        <w:t xml:space="preserve"> (e.g., customer information, studies, alternate forecasts, etc.) of pending load data. However, utilities should be able to add </w:t>
      </w:r>
      <w:r w:rsidRPr="0B6A44FD">
        <w:rPr>
          <w:rFonts w:ascii="Palatino Linotype" w:hAnsi="Palatino Linotype"/>
          <w:i/>
          <w:iCs/>
        </w:rPr>
        <w:t>sources</w:t>
      </w:r>
      <w:r w:rsidRPr="0B6A44FD">
        <w:rPr>
          <w:rFonts w:ascii="Palatino Linotype" w:hAnsi="Palatino Linotype"/>
        </w:rPr>
        <w:t xml:space="preserve"> </w:t>
      </w:r>
      <w:r w:rsidRPr="0B6A44FD" w:rsidR="006A52AB">
        <w:rPr>
          <w:rFonts w:ascii="Palatino Linotype" w:hAnsi="Palatino Linotype"/>
        </w:rPr>
        <w:t xml:space="preserve">(e.g., </w:t>
      </w:r>
      <w:r w:rsidRPr="0B6A44FD" w:rsidR="002B39EE">
        <w:rPr>
          <w:rFonts w:ascii="Palatino Linotype" w:hAnsi="Palatino Linotype"/>
        </w:rPr>
        <w:t>individual customer plans</w:t>
      </w:r>
      <w:r w:rsidRPr="0B6A44FD" w:rsidR="00BB460C">
        <w:rPr>
          <w:rFonts w:ascii="Palatino Linotype" w:hAnsi="Palatino Linotype"/>
        </w:rPr>
        <w:t xml:space="preserve">, </w:t>
      </w:r>
      <w:r w:rsidRPr="0B6A44FD" w:rsidR="00A35184">
        <w:rPr>
          <w:rFonts w:ascii="Palatino Linotype" w:hAnsi="Palatino Linotype"/>
        </w:rPr>
        <w:t>each study</w:t>
      </w:r>
      <w:r w:rsidRPr="0B6A44FD" w:rsidR="002B39EE">
        <w:rPr>
          <w:rFonts w:ascii="Palatino Linotype" w:hAnsi="Palatino Linotype"/>
        </w:rPr>
        <w:t xml:space="preserve">) </w:t>
      </w:r>
      <w:r w:rsidRPr="0B6A44FD">
        <w:rPr>
          <w:rFonts w:ascii="Palatino Linotype" w:hAnsi="Palatino Linotype"/>
        </w:rPr>
        <w:t xml:space="preserve">of pending load data without an extended approval process, so long as the sources of data are of the </w:t>
      </w:r>
      <w:r w:rsidRPr="0B6A44FD">
        <w:rPr>
          <w:rFonts w:ascii="Palatino Linotype" w:hAnsi="Palatino Linotype"/>
          <w:i/>
          <w:iCs/>
        </w:rPr>
        <w:t>types</w:t>
      </w:r>
      <w:r w:rsidRPr="0B6A44FD">
        <w:rPr>
          <w:rFonts w:ascii="Palatino Linotype" w:hAnsi="Palatino Linotype"/>
        </w:rPr>
        <w:t xml:space="preserve"> of data allowed in pending loads and meet the criteria of a category. </w:t>
      </w:r>
      <w:r w:rsidRPr="0B6A44FD" w:rsidR="00140E65">
        <w:rPr>
          <w:rFonts w:ascii="Palatino Linotype" w:hAnsi="Palatino Linotype" w:eastAsia="Palatino Linotype" w:cs="Times New Roman"/>
        </w:rPr>
        <w:t xml:space="preserve"> </w:t>
      </w:r>
    </w:p>
    <w:p w:rsidRPr="00DD2C68" w:rsidR="0051418F" w:rsidP="00D10A0C" w:rsidRDefault="00D10A0C" w14:paraId="742C8241" w14:textId="46EF5E71">
      <w:pPr>
        <w:rPr>
          <w:rFonts w:ascii="Palatino Linotype" w:hAnsi="Palatino Linotype"/>
        </w:rPr>
      </w:pPr>
      <w:r w:rsidRPr="00DD2C68">
        <w:rPr>
          <w:rFonts w:ascii="Palatino Linotype" w:hAnsi="Palatino Linotype"/>
        </w:rPr>
        <w:t xml:space="preserve">Furthermore, there must be an opportunity for stakeholder input and reform to the pending loads framework. </w:t>
      </w:r>
      <w:r w:rsidRPr="00DD2C68" w:rsidR="00911272">
        <w:rPr>
          <w:rFonts w:ascii="Palatino Linotype" w:hAnsi="Palatino Linotype"/>
        </w:rPr>
        <w:t>To ensure</w:t>
      </w:r>
      <w:r w:rsidRPr="00DD2C68" w:rsidR="004B3D3C">
        <w:rPr>
          <w:rFonts w:ascii="Palatino Linotype" w:hAnsi="Palatino Linotype"/>
        </w:rPr>
        <w:t xml:space="preserve"> the </w:t>
      </w:r>
      <w:r w:rsidRPr="00DD2C68">
        <w:rPr>
          <w:rFonts w:ascii="Palatino Linotype" w:hAnsi="Palatino Linotype"/>
        </w:rPr>
        <w:t xml:space="preserve">success of pending loads </w:t>
      </w:r>
      <w:r w:rsidRPr="00DD2C68" w:rsidR="004B3D3C">
        <w:rPr>
          <w:rFonts w:ascii="Palatino Linotype" w:hAnsi="Palatino Linotype"/>
        </w:rPr>
        <w:t xml:space="preserve">framework </w:t>
      </w:r>
      <w:r w:rsidRPr="00DD2C68">
        <w:rPr>
          <w:rFonts w:ascii="Palatino Linotype" w:hAnsi="Palatino Linotype"/>
        </w:rPr>
        <w:t xml:space="preserve">and to </w:t>
      </w:r>
      <w:r w:rsidRPr="00DD2C68" w:rsidR="002619AC">
        <w:rPr>
          <w:rFonts w:ascii="Palatino Linotype" w:hAnsi="Palatino Linotype"/>
        </w:rPr>
        <w:t xml:space="preserve">protect </w:t>
      </w:r>
      <w:r w:rsidRPr="00DD2C68">
        <w:rPr>
          <w:rFonts w:ascii="Palatino Linotype" w:hAnsi="Palatino Linotype"/>
        </w:rPr>
        <w:t xml:space="preserve">ratepayers that </w:t>
      </w:r>
      <w:r w:rsidRPr="00DD2C68" w:rsidR="43E8FA45">
        <w:rPr>
          <w:rFonts w:ascii="Palatino Linotype" w:hAnsi="Palatino Linotype"/>
        </w:rPr>
        <w:t>t</w:t>
      </w:r>
      <w:r w:rsidRPr="00DD2C68">
        <w:rPr>
          <w:rFonts w:ascii="Palatino Linotype" w:hAnsi="Palatino Linotype"/>
        </w:rPr>
        <w:t xml:space="preserve">he Commission be able to collect stakeholder input and make </w:t>
      </w:r>
      <w:r w:rsidRPr="00DD2C68">
        <w:rPr>
          <w:rFonts w:ascii="Palatino Linotype" w:hAnsi="Palatino Linotype"/>
        </w:rPr>
        <w:lastRenderedPageBreak/>
        <w:t xml:space="preserve">timely adjustments </w:t>
      </w:r>
      <w:r w:rsidRPr="00DD2C68" w:rsidR="3612A024">
        <w:rPr>
          <w:rFonts w:ascii="Palatino Linotype" w:hAnsi="Palatino Linotype"/>
        </w:rPr>
        <w:t>given the annual DP</w:t>
      </w:r>
      <w:r w:rsidRPr="00DD2C68" w:rsidR="002F26BB">
        <w:rPr>
          <w:rFonts w:ascii="Palatino Linotype" w:hAnsi="Palatino Linotype"/>
        </w:rPr>
        <w:t>E</w:t>
      </w:r>
      <w:r w:rsidRPr="00DD2C68" w:rsidR="3612A024">
        <w:rPr>
          <w:rFonts w:ascii="Palatino Linotype" w:hAnsi="Palatino Linotype"/>
        </w:rPr>
        <w:t>P cycle</w:t>
      </w:r>
      <w:r w:rsidRPr="00DD2C68">
        <w:rPr>
          <w:rFonts w:ascii="Palatino Linotype" w:hAnsi="Palatino Linotype"/>
        </w:rPr>
        <w:t>. Therefore,</w:t>
      </w:r>
      <w:r w:rsidRPr="00DD2C68" w:rsidR="002F26BB">
        <w:rPr>
          <w:rFonts w:ascii="Palatino Linotype" w:hAnsi="Palatino Linotype"/>
        </w:rPr>
        <w:t xml:space="preserve"> Energy Division </w:t>
      </w:r>
      <w:proofErr w:type="gramStart"/>
      <w:r w:rsidRPr="00DD2C68" w:rsidR="002F26BB">
        <w:rPr>
          <w:rFonts w:ascii="Palatino Linotype" w:hAnsi="Palatino Linotype"/>
        </w:rPr>
        <w:t>is</w:t>
      </w:r>
      <w:proofErr w:type="gramEnd"/>
      <w:r w:rsidRPr="00DD2C68" w:rsidR="002F26BB">
        <w:rPr>
          <w:rFonts w:ascii="Palatino Linotype" w:hAnsi="Palatino Linotype"/>
        </w:rPr>
        <w:t xml:space="preserve"> granted authority to </w:t>
      </w:r>
      <w:r w:rsidRPr="00DD2C68" w:rsidR="001547E1">
        <w:rPr>
          <w:rFonts w:ascii="Palatino Linotype" w:hAnsi="Palatino Linotype"/>
        </w:rPr>
        <w:t>direct the three utilities to make</w:t>
      </w:r>
      <w:r w:rsidRPr="00DD2C68" w:rsidR="002F26BB">
        <w:rPr>
          <w:rFonts w:ascii="Palatino Linotype" w:hAnsi="Palatino Linotype"/>
        </w:rPr>
        <w:t xml:space="preserve"> changes to the pending loads reporting </w:t>
      </w:r>
      <w:r w:rsidR="005D6300">
        <w:rPr>
          <w:rFonts w:ascii="Palatino Linotype" w:hAnsi="Palatino Linotype"/>
        </w:rPr>
        <w:t xml:space="preserve">and known loads reporting </w:t>
      </w:r>
      <w:r w:rsidRPr="00DD2C68" w:rsidR="002F26BB">
        <w:rPr>
          <w:rFonts w:ascii="Palatino Linotype" w:hAnsi="Palatino Linotype"/>
        </w:rPr>
        <w:t xml:space="preserve">requirements </w:t>
      </w:r>
      <w:r w:rsidRPr="00DD2C68" w:rsidR="001547E1">
        <w:rPr>
          <w:rFonts w:ascii="Palatino Linotype" w:hAnsi="Palatino Linotype"/>
        </w:rPr>
        <w:t xml:space="preserve">on an annual basis </w:t>
      </w:r>
      <w:r w:rsidRPr="00DD2C68" w:rsidR="00612E73">
        <w:rPr>
          <w:rFonts w:ascii="Palatino Linotype" w:hAnsi="Palatino Linotype"/>
        </w:rPr>
        <w:t>so that</w:t>
      </w:r>
      <w:r w:rsidRPr="00DD2C68" w:rsidR="001547E1">
        <w:rPr>
          <w:rFonts w:ascii="Palatino Linotype" w:hAnsi="Palatino Linotype"/>
        </w:rPr>
        <w:t xml:space="preserve"> valuable </w:t>
      </w:r>
      <w:r w:rsidRPr="00DD2C68" w:rsidR="008F07EA">
        <w:rPr>
          <w:rFonts w:ascii="Palatino Linotype" w:hAnsi="Palatino Linotype"/>
        </w:rPr>
        <w:t xml:space="preserve">data is collected </w:t>
      </w:r>
      <w:r w:rsidRPr="00DD2C68" w:rsidR="0998C059">
        <w:rPr>
          <w:rFonts w:ascii="Palatino Linotype" w:hAnsi="Palatino Linotype"/>
        </w:rPr>
        <w:t xml:space="preserve">and reported </w:t>
      </w:r>
      <w:r w:rsidRPr="00DD2C68" w:rsidR="008F07EA">
        <w:rPr>
          <w:rFonts w:ascii="Palatino Linotype" w:hAnsi="Palatino Linotype"/>
        </w:rPr>
        <w:t xml:space="preserve">correctly </w:t>
      </w:r>
      <w:r w:rsidRPr="00DD2C68" w:rsidR="003274DE">
        <w:rPr>
          <w:rFonts w:ascii="Palatino Linotype" w:hAnsi="Palatino Linotype"/>
        </w:rPr>
        <w:t xml:space="preserve">and consistently to inform </w:t>
      </w:r>
      <w:r w:rsidRPr="00DD2C68" w:rsidR="32BD3C78">
        <w:rPr>
          <w:rFonts w:ascii="Palatino Linotype" w:hAnsi="Palatino Linotype"/>
        </w:rPr>
        <w:t>the DPEP process</w:t>
      </w:r>
      <w:r w:rsidRPr="00DD2C68" w:rsidR="003274DE">
        <w:rPr>
          <w:rFonts w:ascii="Palatino Linotype" w:hAnsi="Palatino Linotype"/>
        </w:rPr>
        <w:t>.</w:t>
      </w:r>
      <w:r w:rsidRPr="00DD2C68" w:rsidR="002F26BB">
        <w:rPr>
          <w:rFonts w:ascii="Palatino Linotype" w:hAnsi="Palatino Linotype"/>
        </w:rPr>
        <w:t xml:space="preserve"> </w:t>
      </w:r>
      <w:r w:rsidR="00BB28E1">
        <w:rPr>
          <w:rFonts w:ascii="Palatino Linotype" w:hAnsi="Palatino Linotype"/>
        </w:rPr>
        <w:t>P</w:t>
      </w:r>
      <w:r w:rsidR="00396EC4">
        <w:rPr>
          <w:rFonts w:ascii="Palatino Linotype" w:hAnsi="Palatino Linotype"/>
        </w:rPr>
        <w:t xml:space="preserve">ending loads </w:t>
      </w:r>
      <w:r w:rsidR="005875C8">
        <w:rPr>
          <w:rFonts w:ascii="Palatino Linotype" w:hAnsi="Palatino Linotype"/>
        </w:rPr>
        <w:t xml:space="preserve">reporting must be </w:t>
      </w:r>
      <w:r w:rsidR="00396EC4">
        <w:rPr>
          <w:rFonts w:ascii="Palatino Linotype" w:hAnsi="Palatino Linotype"/>
        </w:rPr>
        <w:t>closely</w:t>
      </w:r>
      <w:r w:rsidR="005875C8">
        <w:rPr>
          <w:rFonts w:ascii="Palatino Linotype" w:hAnsi="Palatino Linotype"/>
        </w:rPr>
        <w:t xml:space="preserve"> coordinated with </w:t>
      </w:r>
      <w:r w:rsidR="00050071">
        <w:rPr>
          <w:rFonts w:ascii="Palatino Linotype" w:hAnsi="Palatino Linotype"/>
        </w:rPr>
        <w:t xml:space="preserve">the </w:t>
      </w:r>
      <w:r w:rsidR="005875C8">
        <w:rPr>
          <w:rFonts w:ascii="Palatino Linotype" w:hAnsi="Palatino Linotype"/>
        </w:rPr>
        <w:t>known loads</w:t>
      </w:r>
      <w:r w:rsidR="006B6C72">
        <w:rPr>
          <w:rFonts w:ascii="Palatino Linotype" w:hAnsi="Palatino Linotype"/>
        </w:rPr>
        <w:t xml:space="preserve"> reporting in the GNA/DUPR</w:t>
      </w:r>
      <w:r w:rsidR="003B36F2">
        <w:rPr>
          <w:rFonts w:ascii="Palatino Linotype" w:hAnsi="Palatino Linotype"/>
        </w:rPr>
        <w:t xml:space="preserve"> </w:t>
      </w:r>
      <w:r w:rsidR="0037294C">
        <w:rPr>
          <w:rFonts w:ascii="Palatino Linotype" w:hAnsi="Palatino Linotype"/>
        </w:rPr>
        <w:t xml:space="preserve">which </w:t>
      </w:r>
      <w:r w:rsidR="003B36F2">
        <w:rPr>
          <w:rFonts w:ascii="Palatino Linotype" w:hAnsi="Palatino Linotype"/>
        </w:rPr>
        <w:t>was established by D</w:t>
      </w:r>
      <w:r w:rsidR="00DC0E23">
        <w:rPr>
          <w:rFonts w:ascii="Palatino Linotype" w:hAnsi="Palatino Linotype"/>
        </w:rPr>
        <w:t>.24-10-030</w:t>
      </w:r>
      <w:r w:rsidR="00FC7E0D">
        <w:rPr>
          <w:rFonts w:ascii="Palatino Linotype" w:hAnsi="Palatino Linotype"/>
        </w:rPr>
        <w:t>, OP 26</w:t>
      </w:r>
      <w:r w:rsidR="00050071">
        <w:rPr>
          <w:rFonts w:ascii="Palatino Linotype" w:hAnsi="Palatino Linotype"/>
        </w:rPr>
        <w:t xml:space="preserve"> and directed the IOUs to </w:t>
      </w:r>
      <w:r w:rsidR="00AE030C">
        <w:rPr>
          <w:rFonts w:ascii="Palatino Linotype" w:hAnsi="Palatino Linotype"/>
        </w:rPr>
        <w:t>work with Energy Division</w:t>
      </w:r>
      <w:r w:rsidR="00712895">
        <w:rPr>
          <w:rFonts w:ascii="Palatino Linotype" w:hAnsi="Palatino Linotype"/>
        </w:rPr>
        <w:t>.</w:t>
      </w:r>
      <w:r w:rsidR="00F95FA1">
        <w:rPr>
          <w:rFonts w:ascii="Palatino Linotype" w:hAnsi="Palatino Linotype"/>
        </w:rPr>
        <w:t xml:space="preserve">  </w:t>
      </w:r>
      <w:r w:rsidRPr="00DD2C68" w:rsidR="65BC30F9">
        <w:rPr>
          <w:rFonts w:ascii="Palatino Linotype" w:hAnsi="Palatino Linotype"/>
        </w:rPr>
        <w:t>Energy Division shall post such changes to the R.21</w:t>
      </w:r>
      <w:r w:rsidRPr="00DD2C68" w:rsidR="7D20AB86">
        <w:rPr>
          <w:rFonts w:ascii="Palatino Linotype" w:hAnsi="Palatino Linotype"/>
        </w:rPr>
        <w:t>-06-017 service list.</w:t>
      </w:r>
    </w:p>
    <w:p w:rsidRPr="00DD2C68" w:rsidR="004A5D8D" w:rsidP="00D10A0C" w:rsidRDefault="001370A1" w14:paraId="3A47F06C" w14:textId="4894F092">
      <w:pPr>
        <w:rPr>
          <w:rFonts w:ascii="Palatino Linotype" w:hAnsi="Palatino Linotype"/>
        </w:rPr>
      </w:pPr>
      <w:r w:rsidRPr="00DD2C68">
        <w:rPr>
          <w:rFonts w:ascii="Palatino Linotype" w:hAnsi="Palatino Linotype"/>
        </w:rPr>
        <w:t>However, t</w:t>
      </w:r>
      <w:r w:rsidRPr="00DD2C68" w:rsidR="00FD0EA3">
        <w:rPr>
          <w:rFonts w:ascii="Palatino Linotype" w:hAnsi="Palatino Linotype"/>
        </w:rPr>
        <w:t xml:space="preserve">he </w:t>
      </w:r>
      <w:r w:rsidRPr="00DD2C68" w:rsidR="0002793E">
        <w:rPr>
          <w:rFonts w:ascii="Palatino Linotype" w:hAnsi="Palatino Linotype"/>
        </w:rPr>
        <w:t>Commission, through this proceeding or a successor, may</w:t>
      </w:r>
      <w:r w:rsidRPr="00DD2C68" w:rsidDel="004B0A54" w:rsidR="0002793E">
        <w:rPr>
          <w:rFonts w:ascii="Palatino Linotype" w:hAnsi="Palatino Linotype"/>
        </w:rPr>
        <w:t xml:space="preserve"> </w:t>
      </w:r>
      <w:r w:rsidRPr="00DD2C68" w:rsidR="0002793E">
        <w:rPr>
          <w:rFonts w:ascii="Palatino Linotype" w:hAnsi="Palatino Linotype"/>
        </w:rPr>
        <w:t xml:space="preserve">seek </w:t>
      </w:r>
      <w:r w:rsidRPr="00DD2C68" w:rsidR="002433E8">
        <w:rPr>
          <w:rFonts w:ascii="Palatino Linotype" w:hAnsi="Palatino Linotype"/>
        </w:rPr>
        <w:t xml:space="preserve">additional </w:t>
      </w:r>
      <w:r w:rsidRPr="00DD2C68" w:rsidR="0002793E">
        <w:rPr>
          <w:rFonts w:ascii="Palatino Linotype" w:hAnsi="Palatino Linotype"/>
        </w:rPr>
        <w:t>comment</w:t>
      </w:r>
      <w:r w:rsidRPr="00DD2C68" w:rsidR="004B0A54">
        <w:rPr>
          <w:rFonts w:ascii="Palatino Linotype" w:hAnsi="Palatino Linotype"/>
        </w:rPr>
        <w:t>s</w:t>
      </w:r>
      <w:r w:rsidRPr="00DD2C68" w:rsidR="0002793E">
        <w:rPr>
          <w:rFonts w:ascii="Palatino Linotype" w:hAnsi="Palatino Linotype"/>
        </w:rPr>
        <w:t xml:space="preserve"> on potential adjustments to the pending loads framework</w:t>
      </w:r>
      <w:r w:rsidRPr="00DD2C68" w:rsidR="006F0DEC">
        <w:rPr>
          <w:rFonts w:ascii="Palatino Linotype" w:hAnsi="Palatino Linotype"/>
        </w:rPr>
        <w:t xml:space="preserve"> as </w:t>
      </w:r>
      <w:r w:rsidR="00943E88">
        <w:rPr>
          <w:rFonts w:ascii="Palatino Linotype" w:hAnsi="Palatino Linotype"/>
        </w:rPr>
        <w:t>necessary</w:t>
      </w:r>
      <w:r w:rsidRPr="00DD2C68" w:rsidR="006F0DEC">
        <w:rPr>
          <w:rFonts w:ascii="Palatino Linotype" w:hAnsi="Palatino Linotype"/>
        </w:rPr>
        <w:t>.</w:t>
      </w:r>
    </w:p>
    <w:p w:rsidRPr="00DD2C68" w:rsidR="00D10A0C" w:rsidP="00D10A0C" w:rsidRDefault="006A5503" w14:paraId="081B1BA7" w14:textId="68E06F97">
      <w:pPr>
        <w:rPr>
          <w:rFonts w:ascii="Palatino Linotype" w:hAnsi="Palatino Linotype"/>
        </w:rPr>
      </w:pPr>
      <w:r w:rsidRPr="00DD2C68">
        <w:rPr>
          <w:rFonts w:ascii="Palatino Linotype" w:hAnsi="Palatino Linotype"/>
        </w:rPr>
        <w:t>Finally,</w:t>
      </w:r>
      <w:r w:rsidRPr="00DD2C68" w:rsidR="00787B02">
        <w:rPr>
          <w:rFonts w:ascii="Palatino Linotype" w:hAnsi="Palatino Linotype"/>
        </w:rPr>
        <w:t xml:space="preserve"> </w:t>
      </w:r>
      <w:r w:rsidRPr="00DD2C68" w:rsidR="00D90D08">
        <w:rPr>
          <w:rFonts w:ascii="Palatino Linotype" w:hAnsi="Palatino Linotype"/>
        </w:rPr>
        <w:t>D.24-</w:t>
      </w:r>
      <w:r w:rsidRPr="00DD2C68" w:rsidR="00013C27">
        <w:rPr>
          <w:rFonts w:ascii="Palatino Linotype" w:hAnsi="Palatino Linotype"/>
        </w:rPr>
        <w:t>10</w:t>
      </w:r>
      <w:r w:rsidRPr="00DD2C68" w:rsidR="00D90D08">
        <w:rPr>
          <w:rFonts w:ascii="Palatino Linotype" w:hAnsi="Palatino Linotype"/>
        </w:rPr>
        <w:t>-0</w:t>
      </w:r>
      <w:r w:rsidRPr="00DD2C68" w:rsidR="00013C27">
        <w:rPr>
          <w:rFonts w:ascii="Palatino Linotype" w:hAnsi="Palatino Linotype"/>
        </w:rPr>
        <w:t>3</w:t>
      </w:r>
      <w:r w:rsidRPr="00DD2C68" w:rsidR="00D90D08">
        <w:rPr>
          <w:rFonts w:ascii="Palatino Linotype" w:hAnsi="Palatino Linotype"/>
        </w:rPr>
        <w:t>0</w:t>
      </w:r>
      <w:r w:rsidRPr="00DD2C68" w:rsidR="00013C27">
        <w:rPr>
          <w:rFonts w:ascii="Palatino Linotype" w:hAnsi="Palatino Linotype"/>
        </w:rPr>
        <w:t xml:space="preserve"> in Ordering Paragraph</w:t>
      </w:r>
      <w:r w:rsidRPr="00DD2C68" w:rsidR="00A332FC">
        <w:rPr>
          <w:rFonts w:ascii="Palatino Linotype" w:hAnsi="Palatino Linotype"/>
        </w:rPr>
        <w:t xml:space="preserve"> 14 established an evaluation process for</w:t>
      </w:r>
      <w:r w:rsidRPr="00DD2C68" w:rsidR="00DC0E0F">
        <w:rPr>
          <w:rFonts w:ascii="Palatino Linotype" w:hAnsi="Palatino Linotype"/>
        </w:rPr>
        <w:t xml:space="preserve"> pending loads</w:t>
      </w:r>
      <w:r w:rsidRPr="00DD2C68" w:rsidR="00887188">
        <w:rPr>
          <w:rFonts w:ascii="Palatino Linotype" w:hAnsi="Palatino Linotype"/>
        </w:rPr>
        <w:t xml:space="preserve"> that includes</w:t>
      </w:r>
      <w:r w:rsidRPr="00DD2C68" w:rsidR="00302528">
        <w:rPr>
          <w:rFonts w:ascii="Palatino Linotype" w:hAnsi="Palatino Linotype"/>
        </w:rPr>
        <w:t xml:space="preserve"> </w:t>
      </w:r>
      <w:r w:rsidRPr="00DD2C68" w:rsidR="007C09C5">
        <w:rPr>
          <w:rFonts w:ascii="Palatino Linotype" w:hAnsi="Palatino Linotype"/>
        </w:rPr>
        <w:t>minimum</w:t>
      </w:r>
      <w:r w:rsidRPr="00DD2C68" w:rsidR="00302528">
        <w:rPr>
          <w:rFonts w:ascii="Palatino Linotype" w:hAnsi="Palatino Linotype"/>
        </w:rPr>
        <w:t xml:space="preserve"> reporting criteria, </w:t>
      </w:r>
      <w:r w:rsidRPr="00DD2C68" w:rsidR="009C67E9">
        <w:rPr>
          <w:rFonts w:ascii="Palatino Linotype" w:hAnsi="Palatino Linotype"/>
        </w:rPr>
        <w:t>annual</w:t>
      </w:r>
      <w:r w:rsidRPr="00DD2C68" w:rsidR="009F1DDC">
        <w:rPr>
          <w:rFonts w:ascii="Palatino Linotype" w:hAnsi="Palatino Linotype"/>
        </w:rPr>
        <w:t xml:space="preserve"> reporting on the use and impact of pending</w:t>
      </w:r>
      <w:r w:rsidRPr="00DD2C68" w:rsidR="006B0B7F">
        <w:rPr>
          <w:rFonts w:ascii="Palatino Linotype" w:hAnsi="Palatino Linotype"/>
        </w:rPr>
        <w:t xml:space="preserve"> loads in the </w:t>
      </w:r>
      <w:r w:rsidRPr="00DD2C68" w:rsidR="004572EE">
        <w:rPr>
          <w:rFonts w:ascii="Palatino Linotype" w:hAnsi="Palatino Linotype"/>
        </w:rPr>
        <w:t xml:space="preserve">annual DPAG Workshop in September, </w:t>
      </w:r>
      <w:r w:rsidRPr="00DD2C68" w:rsidR="00302528">
        <w:rPr>
          <w:rFonts w:ascii="Palatino Linotype" w:hAnsi="Palatino Linotype"/>
        </w:rPr>
        <w:t xml:space="preserve">a </w:t>
      </w:r>
      <w:r w:rsidRPr="00DD2C68" w:rsidR="004572EE">
        <w:rPr>
          <w:rFonts w:ascii="Palatino Linotype" w:hAnsi="Palatino Linotype"/>
        </w:rPr>
        <w:t xml:space="preserve">pending loads evaluation </w:t>
      </w:r>
      <w:r w:rsidRPr="00DD2C68" w:rsidR="00302528">
        <w:rPr>
          <w:rFonts w:ascii="Palatino Linotype" w:hAnsi="Palatino Linotype"/>
        </w:rPr>
        <w:t>workshop and a Tier 3 Pending Loads Evaluation Advice Letter</w:t>
      </w:r>
      <w:r w:rsidRPr="00DD2C68" w:rsidR="004572EE">
        <w:rPr>
          <w:rFonts w:ascii="Palatino Linotype" w:hAnsi="Palatino Linotype"/>
        </w:rPr>
        <w:t xml:space="preserve"> in September 2027.</w:t>
      </w:r>
      <w:r w:rsidRPr="00DD2C68" w:rsidR="00E4378A">
        <w:rPr>
          <w:rFonts w:ascii="Palatino Linotype" w:hAnsi="Palatino Linotype"/>
        </w:rPr>
        <w:t xml:space="preserve">  The contents of this </w:t>
      </w:r>
      <w:r w:rsidRPr="00DD2C68" w:rsidR="20108543">
        <w:rPr>
          <w:rFonts w:ascii="Palatino Linotype" w:hAnsi="Palatino Linotype"/>
        </w:rPr>
        <w:t>Pending Loads Evaluation Advice Letter</w:t>
      </w:r>
      <w:r w:rsidRPr="00DD2C68" w:rsidR="00E4378A">
        <w:rPr>
          <w:rFonts w:ascii="Palatino Linotype" w:hAnsi="Palatino Linotype"/>
        </w:rPr>
        <w:t xml:space="preserve"> </w:t>
      </w:r>
      <w:r w:rsidRPr="00DD2C68" w:rsidR="00FA5924">
        <w:rPr>
          <w:rFonts w:ascii="Palatino Linotype" w:hAnsi="Palatino Linotype"/>
        </w:rPr>
        <w:t>are</w:t>
      </w:r>
      <w:r w:rsidRPr="00DD2C68" w:rsidR="00E4378A">
        <w:rPr>
          <w:rFonts w:ascii="Palatino Linotype" w:hAnsi="Palatino Linotype"/>
        </w:rPr>
        <w:t xml:space="preserve"> further discussed in </w:t>
      </w:r>
      <w:r w:rsidRPr="00DD2C68" w:rsidR="00072D74">
        <w:rPr>
          <w:rFonts w:ascii="Palatino Linotype" w:hAnsi="Palatino Linotype"/>
        </w:rPr>
        <w:t>subsequent sections of</w:t>
      </w:r>
      <w:r w:rsidRPr="00DD2C68" w:rsidR="00E50A76">
        <w:rPr>
          <w:rFonts w:ascii="Palatino Linotype" w:hAnsi="Palatino Linotype"/>
        </w:rPr>
        <w:t xml:space="preserve"> this Resolution.</w:t>
      </w:r>
    </w:p>
    <w:p w:rsidRPr="00DD2C68" w:rsidR="00D10A0C" w:rsidP="00D10A0C" w:rsidRDefault="009110FB" w14:paraId="130083A4" w14:textId="6074EB74">
      <w:pPr>
        <w:rPr>
          <w:rFonts w:ascii="Palatino Linotype" w:hAnsi="Palatino Linotype"/>
        </w:rPr>
      </w:pPr>
      <w:r w:rsidRPr="00DD2C68">
        <w:rPr>
          <w:rFonts w:ascii="Palatino Linotype" w:hAnsi="Palatino Linotype"/>
        </w:rPr>
        <w:t xml:space="preserve">The Commission agrees with </w:t>
      </w:r>
      <w:r w:rsidRPr="00DD2C68" w:rsidR="00D10A0C">
        <w:rPr>
          <w:rFonts w:ascii="Palatino Linotype" w:hAnsi="Palatino Linotype"/>
        </w:rPr>
        <w:t>TURN, CalCCA, and EDF/NRDC object</w:t>
      </w:r>
      <w:r w:rsidRPr="00DD2C68">
        <w:rPr>
          <w:rFonts w:ascii="Palatino Linotype" w:hAnsi="Palatino Linotype"/>
        </w:rPr>
        <w:t>ions</w:t>
      </w:r>
      <w:r w:rsidRPr="00DD2C68" w:rsidR="00D10A0C">
        <w:rPr>
          <w:rFonts w:ascii="Palatino Linotype" w:hAnsi="Palatino Linotype"/>
        </w:rPr>
        <w:t xml:space="preserve"> to leaving it to SDG&amp;E’s discretion as to whether, when, and how to include the additional </w:t>
      </w:r>
      <w:r w:rsidR="00E96194">
        <w:rPr>
          <w:rFonts w:ascii="Palatino Linotype" w:hAnsi="Palatino Linotype"/>
        </w:rPr>
        <w:br/>
      </w:r>
      <w:r w:rsidRPr="00DD2C68" w:rsidR="00D10A0C">
        <w:rPr>
          <w:rFonts w:ascii="Palatino Linotype" w:hAnsi="Palatino Linotype"/>
        </w:rPr>
        <w:t>bottom-up studies in future iterations of the pending loads category. As described in the section</w:t>
      </w:r>
      <w:r w:rsidRPr="00DD2C68">
        <w:rPr>
          <w:rFonts w:ascii="Palatino Linotype" w:hAnsi="Palatino Linotype"/>
        </w:rPr>
        <w:t>s</w:t>
      </w:r>
      <w:r w:rsidRPr="00DD2C68" w:rsidR="00D10A0C">
        <w:rPr>
          <w:rFonts w:ascii="Palatino Linotype" w:hAnsi="Palatino Linotype"/>
        </w:rPr>
        <w:t xml:space="preserve"> above, </w:t>
      </w:r>
      <w:r w:rsidRPr="00DD2C68" w:rsidR="32D61792">
        <w:rPr>
          <w:rFonts w:ascii="Palatino Linotype" w:hAnsi="Palatino Linotype"/>
        </w:rPr>
        <w:t>t</w:t>
      </w:r>
      <w:r w:rsidRPr="00DD2C68" w:rsidR="00D10A0C">
        <w:rPr>
          <w:rFonts w:ascii="Palatino Linotype" w:hAnsi="Palatino Linotype"/>
        </w:rPr>
        <w:t>he Commission directs SDG&amp;E to adopt the minimum criteria for bottom-up studies</w:t>
      </w:r>
      <w:r w:rsidRPr="00DD2C68" w:rsidR="009E0DC4">
        <w:rPr>
          <w:rFonts w:ascii="Palatino Linotype" w:hAnsi="Palatino Linotype"/>
        </w:rPr>
        <w:t>,</w:t>
      </w:r>
      <w:r w:rsidRPr="00DD2C68" w:rsidR="00D10A0C">
        <w:rPr>
          <w:rFonts w:ascii="Palatino Linotype" w:hAnsi="Palatino Linotype"/>
        </w:rPr>
        <w:t xml:space="preserve"> </w:t>
      </w:r>
      <w:r w:rsidRPr="00DD2C68" w:rsidR="007E4EBC">
        <w:rPr>
          <w:rFonts w:ascii="Palatino Linotype" w:hAnsi="Palatino Linotype"/>
        </w:rPr>
        <w:t xml:space="preserve">as detailed in </w:t>
      </w:r>
      <w:r w:rsidRPr="00DD2C68" w:rsidR="009E0DC4">
        <w:rPr>
          <w:rFonts w:ascii="Palatino Linotype" w:hAnsi="Palatino Linotype"/>
        </w:rPr>
        <w:t xml:space="preserve">Category B2 in </w:t>
      </w:r>
      <w:r w:rsidRPr="00DD2C68" w:rsidR="007E4EBC">
        <w:rPr>
          <w:rFonts w:ascii="Palatino Linotype" w:hAnsi="Palatino Linotype"/>
        </w:rPr>
        <w:t>Table 2</w:t>
      </w:r>
      <w:r w:rsidRPr="00DD2C68" w:rsidR="009E0DC4">
        <w:rPr>
          <w:rFonts w:ascii="Palatino Linotype" w:hAnsi="Palatino Linotype"/>
        </w:rPr>
        <w:t>,</w:t>
      </w:r>
      <w:r w:rsidRPr="00DD2C68" w:rsidR="007E4EBC">
        <w:rPr>
          <w:rFonts w:ascii="Palatino Linotype" w:hAnsi="Palatino Linotype"/>
        </w:rPr>
        <w:t xml:space="preserve"> </w:t>
      </w:r>
      <w:r w:rsidRPr="00DD2C68" w:rsidR="00D10A0C">
        <w:rPr>
          <w:rFonts w:ascii="Palatino Linotype" w:hAnsi="Palatino Linotype"/>
        </w:rPr>
        <w:t>if SDG&amp;E is to include additional bottom-up studies.</w:t>
      </w:r>
    </w:p>
    <w:p w:rsidRPr="00DD2C68" w:rsidR="00685AF8" w:rsidP="00F41E19" w:rsidRDefault="00685AF8" w14:paraId="09749561" w14:textId="0079B5F5">
      <w:pPr>
        <w:pStyle w:val="Heading2"/>
        <w:rPr>
          <w:rFonts w:ascii="Palatino Linotype" w:hAnsi="Palatino Linotype"/>
          <w:color w:val="auto"/>
        </w:rPr>
      </w:pPr>
      <w:r w:rsidRPr="00DD2C68">
        <w:rPr>
          <w:rFonts w:ascii="Palatino Linotype" w:hAnsi="Palatino Linotype"/>
          <w:color w:val="auto"/>
        </w:rPr>
        <w:t>SDG&amp;E Proposal</w:t>
      </w:r>
    </w:p>
    <w:p w:rsidRPr="00DD2C68" w:rsidR="00685AF8" w:rsidP="4708E492" w:rsidRDefault="0022579B" w14:paraId="6B6DE7A1" w14:textId="2F5E3E8B">
      <w:pPr>
        <w:spacing w:line="259" w:lineRule="auto"/>
        <w:rPr>
          <w:rFonts w:ascii="Palatino Linotype" w:hAnsi="Palatino Linotype" w:cs="Times New Roman"/>
          <w:bCs/>
        </w:rPr>
      </w:pPr>
      <w:r w:rsidRPr="00DD2C68">
        <w:rPr>
          <w:rFonts w:ascii="Palatino Linotype" w:hAnsi="Palatino Linotype" w:cs="Times New Roman"/>
          <w:bCs/>
        </w:rPr>
        <w:t>The Commission finds that SDG</w:t>
      </w:r>
      <w:r w:rsidRPr="00DD2C68" w:rsidR="00685AF8">
        <w:rPr>
          <w:rFonts w:ascii="Palatino Linotype" w:hAnsi="Palatino Linotype" w:cs="Times New Roman"/>
        </w:rPr>
        <w:t>&amp;E sufficiently describe</w:t>
      </w:r>
      <w:r w:rsidRPr="00DD2C68" w:rsidR="0774DEC5">
        <w:rPr>
          <w:rFonts w:ascii="Palatino Linotype" w:hAnsi="Palatino Linotype" w:cs="Times New Roman"/>
        </w:rPr>
        <w:t xml:space="preserve">s its MD/HD TE Study, </w:t>
      </w:r>
      <w:r w:rsidRPr="00DD2C68" w:rsidR="00685AF8">
        <w:rPr>
          <w:rFonts w:ascii="Palatino Linotype" w:hAnsi="Palatino Linotype" w:cs="Times New Roman"/>
        </w:rPr>
        <w:t xml:space="preserve">the only source of pending load information </w:t>
      </w:r>
      <w:r w:rsidRPr="00DD2C68" w:rsidR="6290484B">
        <w:rPr>
          <w:rFonts w:ascii="Palatino Linotype" w:hAnsi="Palatino Linotype" w:cs="Times New Roman"/>
        </w:rPr>
        <w:t>it</w:t>
      </w:r>
      <w:r w:rsidRPr="00DD2C68" w:rsidR="00685AF8">
        <w:rPr>
          <w:rFonts w:ascii="Palatino Linotype" w:hAnsi="Palatino Linotype" w:cs="Times New Roman"/>
        </w:rPr>
        <w:t xml:space="preserve"> proposed</w:t>
      </w:r>
      <w:r w:rsidRPr="00DD2C68" w:rsidR="71CF40C8">
        <w:rPr>
          <w:rFonts w:ascii="Palatino Linotype" w:hAnsi="Palatino Linotype" w:cs="Times New Roman"/>
        </w:rPr>
        <w:t>.</w:t>
      </w:r>
      <w:r w:rsidRPr="00DD2C68" w:rsidR="00685AF8">
        <w:rPr>
          <w:rFonts w:ascii="Palatino Linotype" w:hAnsi="Palatino Linotype" w:cs="Times New Roman"/>
        </w:rPr>
        <w:t xml:space="preserve"> </w:t>
      </w:r>
      <w:r w:rsidRPr="00DD2C68" w:rsidR="317AB900">
        <w:rPr>
          <w:rFonts w:ascii="Palatino Linotype" w:hAnsi="Palatino Linotype" w:cs="Times New Roman"/>
        </w:rPr>
        <w:t>SDG&amp;E also</w:t>
      </w:r>
      <w:r w:rsidRPr="00DD2C68" w:rsidR="00685AF8">
        <w:rPr>
          <w:rFonts w:ascii="Palatino Linotype" w:hAnsi="Palatino Linotype" w:cs="Times New Roman"/>
        </w:rPr>
        <w:t xml:space="preserve"> propose</w:t>
      </w:r>
      <w:r w:rsidRPr="00DD2C68" w:rsidR="004F0BBF">
        <w:rPr>
          <w:rFonts w:ascii="Palatino Linotype" w:hAnsi="Palatino Linotype" w:cs="Times New Roman"/>
        </w:rPr>
        <w:t>s</w:t>
      </w:r>
      <w:r w:rsidRPr="00DD2C68" w:rsidR="00685AF8">
        <w:rPr>
          <w:rFonts w:ascii="Palatino Linotype" w:hAnsi="Palatino Linotype" w:cs="Times New Roman"/>
        </w:rPr>
        <w:t xml:space="preserve"> that “localized forecast of other load forecast components</w:t>
      </w:r>
      <w:r w:rsidRPr="00DD2C68" w:rsidR="4D71AC10">
        <w:rPr>
          <w:rFonts w:ascii="Palatino Linotype" w:hAnsi="Palatino Linotype" w:cs="Times New Roman"/>
        </w:rPr>
        <w:t>,</w:t>
      </w:r>
      <w:r w:rsidRPr="00DD2C68" w:rsidR="00685AF8">
        <w:rPr>
          <w:rFonts w:ascii="Palatino Linotype" w:hAnsi="Palatino Linotype" w:cs="Times New Roman"/>
        </w:rPr>
        <w:t>”</w:t>
      </w:r>
      <w:r w:rsidRPr="00DD2C68" w:rsidR="4CBA37E3">
        <w:rPr>
          <w:rFonts w:ascii="Palatino Linotype" w:hAnsi="Palatino Linotype" w:cs="Times New Roman"/>
        </w:rPr>
        <w:t xml:space="preserve"> like its MD/HD TE Study,</w:t>
      </w:r>
      <w:r w:rsidRPr="00DD2C68" w:rsidR="00685AF8">
        <w:rPr>
          <w:rFonts w:ascii="Palatino Linotype" w:hAnsi="Palatino Linotype" w:cs="Times New Roman"/>
        </w:rPr>
        <w:t xml:space="preserve"> may be included as sources of pending loads in the future. While we believe there is a place for </w:t>
      </w:r>
      <w:r w:rsidR="00E96194">
        <w:rPr>
          <w:rFonts w:ascii="Palatino Linotype" w:hAnsi="Palatino Linotype" w:cs="Times New Roman"/>
        </w:rPr>
        <w:br/>
      </w:r>
      <w:r w:rsidRPr="00DD2C68" w:rsidR="00685AF8">
        <w:rPr>
          <w:rFonts w:ascii="Palatino Linotype" w:hAnsi="Palatino Linotype" w:cs="Times New Roman"/>
        </w:rPr>
        <w:t>bottom-up, customer-based studies in the pending loads framework, Category B</w:t>
      </w:r>
      <w:r w:rsidRPr="00DD2C68" w:rsidR="00ED2556">
        <w:rPr>
          <w:rFonts w:ascii="Palatino Linotype" w:hAnsi="Palatino Linotype" w:cs="Times New Roman"/>
        </w:rPr>
        <w:t>2</w:t>
      </w:r>
      <w:r w:rsidRPr="00DD2C68" w:rsidR="00685AF8">
        <w:rPr>
          <w:rFonts w:ascii="Palatino Linotype" w:hAnsi="Palatino Linotype" w:cs="Times New Roman"/>
        </w:rPr>
        <w:t xml:space="preserve"> in particular, we are not convinced by SDG&amp;E’s loose descriptions of what constitutes these studies. We are more convinced by the definition offered by PG&amp;E: “Pending Load Category </w:t>
      </w:r>
      <w:proofErr w:type="gramStart"/>
      <w:r w:rsidRPr="00DD2C68" w:rsidR="00685AF8">
        <w:rPr>
          <w:rFonts w:ascii="Palatino Linotype" w:hAnsi="Palatino Linotype" w:cs="Times New Roman"/>
        </w:rPr>
        <w:t>B</w:t>
      </w:r>
      <w:r w:rsidRPr="00DD2C68" w:rsidR="00B41E6A">
        <w:rPr>
          <w:rFonts w:ascii="Palatino Linotype" w:hAnsi="Palatino Linotype" w:cs="Times New Roman"/>
        </w:rPr>
        <w:t>[</w:t>
      </w:r>
      <w:proofErr w:type="gramEnd"/>
      <w:r w:rsidRPr="00DD2C68" w:rsidR="00B41E6A">
        <w:rPr>
          <w:rFonts w:ascii="Palatino Linotype" w:hAnsi="Palatino Linotype" w:cs="Times New Roman"/>
        </w:rPr>
        <w:t>2]</w:t>
      </w:r>
      <w:r w:rsidRPr="00DD2C68" w:rsidR="00685AF8">
        <w:rPr>
          <w:rFonts w:ascii="Palatino Linotype" w:hAnsi="Palatino Linotype" w:cs="Times New Roman"/>
        </w:rPr>
        <w:t xml:space="preserve"> also includes studies that are primarily based on data from customers and analysis-based studies of load growth for regulatory compliance </w:t>
      </w:r>
      <w:r w:rsidRPr="00DD2C68" w:rsidR="00685AF8">
        <w:rPr>
          <w:rFonts w:ascii="Palatino Linotype" w:hAnsi="Palatino Linotype" w:cs="Times New Roman"/>
        </w:rPr>
        <w:lastRenderedPageBreak/>
        <w:t>obligations where substantial load growth is expected in a specific area where the exact customer is not yet known.”</w:t>
      </w:r>
      <w:r w:rsidRPr="00DD2C68" w:rsidR="006642A7">
        <w:rPr>
          <w:rFonts w:ascii="Palatino Linotype" w:hAnsi="Palatino Linotype" w:cs="Times New Roman"/>
        </w:rPr>
        <w:t xml:space="preserve"> </w:t>
      </w:r>
      <w:r w:rsidRPr="00DD2C68" w:rsidR="00685AF8">
        <w:rPr>
          <w:rFonts w:ascii="Palatino Linotype" w:hAnsi="Palatino Linotype" w:cs="Times New Roman"/>
        </w:rPr>
        <w:t xml:space="preserve">We find it reasonable to hold SDG&amp;E to the same standard set by PG&amp;E for the inclusion of bottom-up studies in the pending load category. For SDG&amp;E to include </w:t>
      </w:r>
      <w:proofErr w:type="gramStart"/>
      <w:r w:rsidRPr="00DD2C68" w:rsidR="00685AF8">
        <w:rPr>
          <w:rFonts w:ascii="Palatino Linotype" w:hAnsi="Palatino Linotype" w:cs="Times New Roman"/>
        </w:rPr>
        <w:t>other load</w:t>
      </w:r>
      <w:proofErr w:type="gramEnd"/>
      <w:r w:rsidRPr="00DD2C68" w:rsidR="00685AF8">
        <w:rPr>
          <w:rFonts w:ascii="Palatino Linotype" w:hAnsi="Palatino Linotype" w:cs="Times New Roman"/>
        </w:rPr>
        <w:t xml:space="preserve"> forecast components in the future, they must meet </w:t>
      </w:r>
      <w:r w:rsidRPr="00DD2C68">
        <w:rPr>
          <w:rFonts w:ascii="Palatino Linotype" w:hAnsi="Palatino Linotype" w:cs="Times New Roman"/>
        </w:rPr>
        <w:t>these criteria</w:t>
      </w:r>
      <w:r w:rsidRPr="00DD2C68" w:rsidR="00685AF8">
        <w:rPr>
          <w:rFonts w:ascii="Palatino Linotype" w:hAnsi="Palatino Linotype" w:cs="Times New Roman"/>
        </w:rPr>
        <w:t xml:space="preserve"> </w:t>
      </w:r>
      <w:r w:rsidRPr="00DD2C68">
        <w:rPr>
          <w:rFonts w:ascii="Palatino Linotype" w:hAnsi="Palatino Linotype" w:cs="Times New Roman"/>
        </w:rPr>
        <w:t>to</w:t>
      </w:r>
      <w:r w:rsidRPr="00DD2C68" w:rsidR="00685AF8">
        <w:rPr>
          <w:rFonts w:ascii="Palatino Linotype" w:hAnsi="Palatino Linotype" w:cs="Times New Roman"/>
        </w:rPr>
        <w:t xml:space="preserve"> be categorized as Category B</w:t>
      </w:r>
      <w:r w:rsidRPr="00DD2C68" w:rsidR="002405CD">
        <w:rPr>
          <w:rFonts w:ascii="Palatino Linotype" w:hAnsi="Palatino Linotype" w:cs="Times New Roman"/>
        </w:rPr>
        <w:t>2</w:t>
      </w:r>
      <w:r w:rsidRPr="00DD2C68" w:rsidR="00685AF8">
        <w:rPr>
          <w:rFonts w:ascii="Palatino Linotype" w:hAnsi="Palatino Linotype" w:cs="Times New Roman"/>
        </w:rPr>
        <w:t xml:space="preserve"> and therefore utilized as a Category B</w:t>
      </w:r>
      <w:r w:rsidRPr="00DD2C68" w:rsidR="002405CD">
        <w:rPr>
          <w:rFonts w:ascii="Palatino Linotype" w:hAnsi="Palatino Linotype" w:cs="Times New Roman"/>
        </w:rPr>
        <w:t>2</w:t>
      </w:r>
      <w:r w:rsidRPr="00DD2C68" w:rsidR="00685AF8">
        <w:rPr>
          <w:rFonts w:ascii="Palatino Linotype" w:hAnsi="Palatino Linotype" w:cs="Times New Roman"/>
        </w:rPr>
        <w:t xml:space="preserve"> pending load. If the future load forecast components do not meet this standard, they are to be categorized </w:t>
      </w:r>
      <w:r w:rsidRPr="00DD2C68">
        <w:rPr>
          <w:rFonts w:ascii="Palatino Linotype" w:hAnsi="Palatino Linotype" w:cs="Times New Roman"/>
        </w:rPr>
        <w:t>as</w:t>
      </w:r>
      <w:r w:rsidRPr="00DD2C68" w:rsidR="00685AF8">
        <w:rPr>
          <w:rFonts w:ascii="Palatino Linotype" w:hAnsi="Palatino Linotype" w:cs="Times New Roman"/>
        </w:rPr>
        <w:t xml:space="preserve"> Category C and utilized as such. </w:t>
      </w:r>
    </w:p>
    <w:p w:rsidRPr="00DD2C68" w:rsidR="00685AF8" w:rsidP="001E3046" w:rsidRDefault="0022579B" w14:paraId="4F929E8C" w14:textId="2E4D2B02">
      <w:pPr>
        <w:spacing w:line="259" w:lineRule="auto"/>
        <w:rPr>
          <w:rFonts w:ascii="Palatino Linotype" w:hAnsi="Palatino Linotype" w:cs="Times New Roman"/>
        </w:rPr>
      </w:pPr>
      <w:r w:rsidRPr="00DD2C68">
        <w:rPr>
          <w:rFonts w:ascii="Palatino Linotype" w:hAnsi="Palatino Linotype" w:cs="Times New Roman"/>
          <w:bCs/>
        </w:rPr>
        <w:t>We</w:t>
      </w:r>
      <w:r w:rsidRPr="00DD2C68" w:rsidR="00685AF8">
        <w:rPr>
          <w:rFonts w:ascii="Palatino Linotype" w:hAnsi="Palatino Linotype" w:cs="Times New Roman"/>
          <w:bCs/>
        </w:rPr>
        <w:t xml:space="preserve"> </w:t>
      </w:r>
      <w:r w:rsidRPr="00DD2C68" w:rsidR="001B6CFC">
        <w:rPr>
          <w:rFonts w:ascii="Palatino Linotype" w:hAnsi="Palatino Linotype" w:cs="Times New Roman"/>
          <w:bCs/>
        </w:rPr>
        <w:t>agree with the protests of CALSTART, Cal Advocates and CalCCA that</w:t>
      </w:r>
      <w:r w:rsidRPr="00DD2C68" w:rsidR="00685AF8">
        <w:rPr>
          <w:rFonts w:ascii="Palatino Linotype" w:hAnsi="Palatino Linotype" w:cs="Times New Roman"/>
          <w:bCs/>
        </w:rPr>
        <w:t xml:space="preserve"> </w:t>
      </w:r>
      <w:r w:rsidR="00E96194">
        <w:rPr>
          <w:rFonts w:ascii="Palatino Linotype" w:hAnsi="Palatino Linotype" w:cs="Times New Roman"/>
          <w:bCs/>
        </w:rPr>
        <w:br/>
      </w:r>
      <w:r w:rsidRPr="00DD2C68">
        <w:rPr>
          <w:rFonts w:ascii="Palatino Linotype" w:hAnsi="Palatino Linotype" w:cs="Times New Roman"/>
          <w:bCs/>
        </w:rPr>
        <w:t>SDG&amp;E’s</w:t>
      </w:r>
      <w:r w:rsidRPr="00DD2C68" w:rsidR="00685AF8">
        <w:rPr>
          <w:rFonts w:ascii="Palatino Linotype" w:hAnsi="Palatino Linotype" w:cs="Times New Roman"/>
          <w:bCs/>
        </w:rPr>
        <w:t xml:space="preserve"> proposal does not includ</w:t>
      </w:r>
      <w:r w:rsidRPr="00DD2C68" w:rsidR="00004F9E">
        <w:rPr>
          <w:rFonts w:ascii="Palatino Linotype" w:hAnsi="Palatino Linotype" w:cs="Times New Roman"/>
          <w:bCs/>
        </w:rPr>
        <w:t>e</w:t>
      </w:r>
      <w:r w:rsidRPr="00DD2C68" w:rsidR="00685AF8">
        <w:rPr>
          <w:rFonts w:ascii="Palatino Linotype" w:hAnsi="Palatino Linotype" w:cs="Times New Roman"/>
          <w:bCs/>
        </w:rPr>
        <w:t xml:space="preserve"> any data sources that leverage incomplete customer applications, customer pre-applications, or customer plans. </w:t>
      </w:r>
      <w:r w:rsidRPr="00DD2C68" w:rsidR="00685AF8">
        <w:rPr>
          <w:rFonts w:ascii="Palatino Linotype" w:hAnsi="Palatino Linotype" w:cs="Times New Roman"/>
        </w:rPr>
        <w:t xml:space="preserve">While portions of </w:t>
      </w:r>
      <w:r w:rsidR="00E96194">
        <w:rPr>
          <w:rFonts w:ascii="Palatino Linotype" w:hAnsi="Palatino Linotype" w:cs="Times New Roman"/>
        </w:rPr>
        <w:br/>
      </w:r>
      <w:r w:rsidRPr="00DD2C68">
        <w:rPr>
          <w:rFonts w:ascii="Palatino Linotype" w:hAnsi="Palatino Linotype" w:cs="Times New Roman"/>
        </w:rPr>
        <w:t>SDG&amp;E’s MD/HD study</w:t>
      </w:r>
      <w:r w:rsidRPr="00DD2C68" w:rsidR="00685AF8">
        <w:rPr>
          <w:rFonts w:ascii="Palatino Linotype" w:hAnsi="Palatino Linotype" w:cs="Times New Roman"/>
        </w:rPr>
        <w:t xml:space="preserve"> data represent bottom-up localized inputs, this does not reflect the valuable data that may be obtained through direct utility outreach to customers or customer pre-application information or plans that are submitted to the utility. This type of information is central to the pending loads category. We disagree with </w:t>
      </w:r>
      <w:r w:rsidR="00E96194">
        <w:rPr>
          <w:rFonts w:ascii="Palatino Linotype" w:hAnsi="Palatino Linotype" w:cs="Times New Roman"/>
        </w:rPr>
        <w:br/>
      </w:r>
      <w:r w:rsidRPr="00DD2C68" w:rsidR="00685AF8">
        <w:rPr>
          <w:rFonts w:ascii="Palatino Linotype" w:hAnsi="Palatino Linotype" w:cs="Times New Roman"/>
        </w:rPr>
        <w:t>SDG&amp;E’s assertion that creating a pending loads category has no practical benefit, even if SDG&amp;E already utilizes this information. First, SDG&amp;E does not make it clear in its response how this data is used in its DPP. Second, pending loads are of a different quality than known loads and should therefore be reported distinctly. Furthermore, this creates the opportunity to differentiate pre-applications and customer plans at different stages of completeness to be assigned to Category A or Category B</w:t>
      </w:r>
      <w:r w:rsidRPr="00DD2C68">
        <w:rPr>
          <w:rFonts w:ascii="Palatino Linotype" w:hAnsi="Palatino Linotype" w:cs="Times New Roman"/>
        </w:rPr>
        <w:t>1</w:t>
      </w:r>
      <w:r w:rsidRPr="00DD2C68" w:rsidR="00685AF8">
        <w:rPr>
          <w:rFonts w:ascii="Palatino Linotype" w:hAnsi="Palatino Linotype" w:cs="Times New Roman"/>
        </w:rPr>
        <w:t xml:space="preserve">. This reflects the certainty of </w:t>
      </w:r>
      <w:proofErr w:type="gramStart"/>
      <w:r w:rsidRPr="00DD2C68" w:rsidR="00685AF8">
        <w:rPr>
          <w:rFonts w:ascii="Palatino Linotype" w:hAnsi="Palatino Linotype" w:cs="Times New Roman"/>
        </w:rPr>
        <w:t>these</w:t>
      </w:r>
      <w:proofErr w:type="gramEnd"/>
      <w:r w:rsidRPr="00DD2C68" w:rsidR="00685AF8">
        <w:rPr>
          <w:rFonts w:ascii="Palatino Linotype" w:hAnsi="Palatino Linotype" w:cs="Times New Roman"/>
        </w:rPr>
        <w:t xml:space="preserve"> data clearly and transparently. </w:t>
      </w:r>
    </w:p>
    <w:p w:rsidRPr="00DD2C68" w:rsidR="00685AF8" w:rsidP="00685AF8" w:rsidRDefault="00685AF8" w14:paraId="46D94A22" w14:textId="059D9CDF">
      <w:pPr>
        <w:spacing w:line="259" w:lineRule="auto"/>
        <w:rPr>
          <w:rFonts w:ascii="Palatino Linotype" w:hAnsi="Palatino Linotype" w:cs="Times New Roman"/>
        </w:rPr>
      </w:pPr>
      <w:r w:rsidRPr="00DD2C68">
        <w:rPr>
          <w:rFonts w:ascii="Palatino Linotype" w:hAnsi="Palatino Linotype" w:cs="Times New Roman"/>
        </w:rPr>
        <w:t xml:space="preserve">We find it reasonable to require SDG&amp;E </w:t>
      </w:r>
      <w:r w:rsidRPr="00DD2C68" w:rsidR="0059234E">
        <w:rPr>
          <w:rFonts w:ascii="Palatino Linotype" w:hAnsi="Palatino Linotype" w:cs="Times New Roman"/>
        </w:rPr>
        <w:t xml:space="preserve">to </w:t>
      </w:r>
      <w:r w:rsidRPr="00DD2C68" w:rsidR="00144849">
        <w:rPr>
          <w:rFonts w:ascii="Palatino Linotype" w:hAnsi="Palatino Linotype" w:cs="Times New Roman"/>
        </w:rPr>
        <w:t xml:space="preserve">align with the categories and treatments of pending loads in tables 1 and 2 above, including </w:t>
      </w:r>
      <w:proofErr w:type="gramStart"/>
      <w:r w:rsidRPr="00DD2C68">
        <w:rPr>
          <w:rFonts w:ascii="Palatino Linotype" w:hAnsi="Palatino Linotype" w:cs="Times New Roman"/>
        </w:rPr>
        <w:t>to create</w:t>
      </w:r>
      <w:proofErr w:type="gramEnd"/>
      <w:r w:rsidRPr="00DD2C68">
        <w:rPr>
          <w:rFonts w:ascii="Palatino Linotype" w:hAnsi="Palatino Linotype" w:cs="Times New Roman"/>
        </w:rPr>
        <w:t xml:space="preserve"> Category A of pending loads that include customer plans and pre-application data informed by direct customer engagement and community plans, as proposed by PG&amp;E and SCE.</w:t>
      </w:r>
      <w:r w:rsidRPr="00DD2C68" w:rsidR="000E24C8">
        <w:rPr>
          <w:rFonts w:ascii="Palatino Linotype" w:hAnsi="Palatino Linotype" w:cs="Times New Roman"/>
        </w:rPr>
        <w:t xml:space="preserve"> We direct SDG&amp;E to incorporate th</w:t>
      </w:r>
      <w:r w:rsidRPr="00DD2C68" w:rsidR="000B1941">
        <w:rPr>
          <w:rFonts w:ascii="Palatino Linotype" w:hAnsi="Palatino Linotype" w:cs="Times New Roman"/>
        </w:rPr>
        <w:t>ese Category A loads into its pending load framework in the 2025-2026 DPP cyc</w:t>
      </w:r>
      <w:r w:rsidRPr="00DD2C68" w:rsidR="00512212">
        <w:rPr>
          <w:rFonts w:ascii="Palatino Linotype" w:hAnsi="Palatino Linotype" w:cs="Times New Roman"/>
        </w:rPr>
        <w:t>le.</w:t>
      </w:r>
      <w:r w:rsidRPr="00DD2C68">
        <w:rPr>
          <w:rFonts w:ascii="Palatino Linotype" w:hAnsi="Palatino Linotype" w:cs="Times New Roman"/>
        </w:rPr>
        <w:t xml:space="preserve"> We find SDG&amp;E’s proposed use of the MD/HD TE study</w:t>
      </w:r>
      <w:r w:rsidRPr="00DD2C68" w:rsidR="005C32DE">
        <w:rPr>
          <w:rFonts w:ascii="Palatino Linotype" w:hAnsi="Palatino Linotype" w:cs="Times New Roman"/>
        </w:rPr>
        <w:t>, once published,</w:t>
      </w:r>
      <w:r w:rsidRPr="00DD2C68">
        <w:rPr>
          <w:rFonts w:ascii="Palatino Linotype" w:hAnsi="Palatino Linotype" w:cs="Times New Roman"/>
        </w:rPr>
        <w:t xml:space="preserve"> to be sufficiently informed by bottom-up localized data as to be included in pending load Category B</w:t>
      </w:r>
      <w:r w:rsidRPr="00DD2C68" w:rsidR="002C2FB7">
        <w:rPr>
          <w:rFonts w:ascii="Palatino Linotype" w:hAnsi="Palatino Linotype" w:cs="Times New Roman"/>
        </w:rPr>
        <w:t>2</w:t>
      </w:r>
      <w:r w:rsidRPr="00DD2C68">
        <w:rPr>
          <w:rFonts w:ascii="Palatino Linotype" w:hAnsi="Palatino Linotype" w:cs="Times New Roman"/>
        </w:rPr>
        <w:t xml:space="preserve">. </w:t>
      </w:r>
    </w:p>
    <w:p w:rsidRPr="00DD2C68" w:rsidR="00685AF8" w:rsidP="00685AF8" w:rsidRDefault="001B6CFC" w14:paraId="5B38C2DD" w14:textId="03CD522F">
      <w:pPr>
        <w:spacing w:line="259" w:lineRule="auto"/>
        <w:rPr>
          <w:rFonts w:ascii="Palatino Linotype" w:hAnsi="Palatino Linotype" w:cs="Times New Roman"/>
        </w:rPr>
      </w:pPr>
      <w:r w:rsidRPr="00DD2C68">
        <w:rPr>
          <w:rFonts w:ascii="Palatino Linotype" w:hAnsi="Palatino Linotype" w:cs="Times New Roman"/>
          <w:bCs/>
        </w:rPr>
        <w:t>We agree with EDF/NRDC’s protest that</w:t>
      </w:r>
      <w:r w:rsidRPr="00DD2C68" w:rsidR="00685AF8">
        <w:rPr>
          <w:rFonts w:ascii="Palatino Linotype" w:hAnsi="Palatino Linotype" w:cs="Times New Roman"/>
          <w:bCs/>
        </w:rPr>
        <w:t xml:space="preserve"> SDG&amp;</w:t>
      </w:r>
      <w:r w:rsidRPr="00DD2C68">
        <w:rPr>
          <w:rFonts w:ascii="Palatino Linotype" w:hAnsi="Palatino Linotype" w:cs="Times New Roman"/>
          <w:bCs/>
        </w:rPr>
        <w:t>Es</w:t>
      </w:r>
      <w:r w:rsidRPr="00DD2C68" w:rsidR="00685AF8">
        <w:rPr>
          <w:rFonts w:ascii="Palatino Linotype" w:hAnsi="Palatino Linotype" w:cs="Times New Roman"/>
          <w:bCs/>
        </w:rPr>
        <w:t xml:space="preserve"> proposed 2027 Pending Loads Evaluation data reporting</w:t>
      </w:r>
      <w:r w:rsidRPr="00DD2C68">
        <w:rPr>
          <w:rFonts w:ascii="Palatino Linotype" w:hAnsi="Palatino Linotype" w:cs="Times New Roman"/>
          <w:bCs/>
        </w:rPr>
        <w:t xml:space="preserve"> is inadequate.</w:t>
      </w:r>
      <w:r w:rsidRPr="00DD2C68" w:rsidR="00685AF8">
        <w:rPr>
          <w:rFonts w:ascii="Palatino Linotype" w:hAnsi="Palatino Linotype" w:cs="Times New Roman"/>
          <w:bCs/>
        </w:rPr>
        <w:t xml:space="preserve"> </w:t>
      </w:r>
      <w:r w:rsidRPr="00DD2C68" w:rsidR="00685AF8">
        <w:rPr>
          <w:rFonts w:ascii="Palatino Linotype" w:hAnsi="Palatino Linotype" w:cs="Times New Roman"/>
        </w:rPr>
        <w:t xml:space="preserve">The Commission finds that the intended purpose of pending loads is to increase utility awareness of </w:t>
      </w:r>
      <w:r w:rsidRPr="00DD2C68" w:rsidR="00685AF8">
        <w:rPr>
          <w:rFonts w:ascii="Palatino Linotype" w:hAnsi="Palatino Linotype" w:cs="Times New Roman"/>
          <w:i/>
          <w:iCs/>
        </w:rPr>
        <w:t>where</w:t>
      </w:r>
      <w:r w:rsidRPr="00DD2C68" w:rsidR="00685AF8">
        <w:rPr>
          <w:rFonts w:ascii="Palatino Linotype" w:hAnsi="Palatino Linotype" w:cs="Times New Roman"/>
        </w:rPr>
        <w:t xml:space="preserve"> load will likely appear in the mid-term years of the DPP</w:t>
      </w:r>
      <w:r w:rsidRPr="00DD2C68" w:rsidR="0028661A">
        <w:rPr>
          <w:rFonts w:ascii="Palatino Linotype" w:hAnsi="Palatino Linotype" w:cs="Times New Roman"/>
        </w:rPr>
        <w:t>,</w:t>
      </w:r>
      <w:r w:rsidRPr="00DD2C68" w:rsidR="00685AF8">
        <w:rPr>
          <w:rFonts w:ascii="Palatino Linotype" w:hAnsi="Palatino Linotype" w:cs="Times New Roman"/>
        </w:rPr>
        <w:t xml:space="preserve"> </w:t>
      </w:r>
      <w:r w:rsidRPr="00DD2C68" w:rsidR="002E5FC5">
        <w:rPr>
          <w:rFonts w:ascii="Palatino Linotype" w:hAnsi="Palatino Linotype" w:cs="Times New Roman"/>
        </w:rPr>
        <w:t>wh</w:t>
      </w:r>
      <w:r w:rsidRPr="00DD2C68" w:rsidR="00F425F4">
        <w:rPr>
          <w:rFonts w:ascii="Palatino Linotype" w:hAnsi="Palatino Linotype" w:cs="Times New Roman"/>
        </w:rPr>
        <w:t xml:space="preserve">en known loads are not yet </w:t>
      </w:r>
      <w:r w:rsidRPr="00DD2C68" w:rsidR="0028661A">
        <w:rPr>
          <w:rFonts w:ascii="Palatino Linotype" w:hAnsi="Palatino Linotype" w:cs="Times New Roman"/>
        </w:rPr>
        <w:t>identified</w:t>
      </w:r>
      <w:r w:rsidRPr="00DD2C68" w:rsidR="00685AF8">
        <w:rPr>
          <w:rFonts w:ascii="Palatino Linotype" w:hAnsi="Palatino Linotype" w:cs="Times New Roman"/>
        </w:rPr>
        <w:t xml:space="preserve">. SDG&amp;E’s pending loads proposal assigns the pending loads from the MD/HD TE study to the circuit level. Therefore, SDG&amp;E should still be able to make a comparison </w:t>
      </w:r>
      <w:r w:rsidRPr="00DD2C68" w:rsidR="008B5F0A">
        <w:rPr>
          <w:rFonts w:ascii="Palatino Linotype" w:hAnsi="Palatino Linotype" w:cs="Times New Roman"/>
        </w:rPr>
        <w:lastRenderedPageBreak/>
        <w:t xml:space="preserve">between </w:t>
      </w:r>
      <w:r w:rsidRPr="00DD2C68" w:rsidR="004F4DEA">
        <w:rPr>
          <w:rFonts w:ascii="Palatino Linotype" w:hAnsi="Palatino Linotype" w:cs="Times New Roman"/>
        </w:rPr>
        <w:t>pending loads and energization requests</w:t>
      </w:r>
      <w:r w:rsidRPr="00DD2C68" w:rsidR="00685AF8">
        <w:rPr>
          <w:rFonts w:ascii="Palatino Linotype" w:hAnsi="Palatino Linotype" w:cs="Times New Roman"/>
        </w:rPr>
        <w:t xml:space="preserve"> on an aggregate basis</w:t>
      </w:r>
      <w:r w:rsidRPr="00DD2C68" w:rsidR="00DE216E">
        <w:rPr>
          <w:rFonts w:ascii="Palatino Linotype" w:hAnsi="Palatino Linotype" w:cs="Times New Roman"/>
        </w:rPr>
        <w:t xml:space="preserve"> (metric 1 from Ordering Paragraph 14)</w:t>
      </w:r>
      <w:r w:rsidRPr="00DD2C68" w:rsidR="00685AF8">
        <w:rPr>
          <w:rFonts w:ascii="Palatino Linotype" w:hAnsi="Palatino Linotype" w:cs="Times New Roman"/>
        </w:rPr>
        <w:t xml:space="preserve">. Additionally, as described above, we find it reasonable to require SDG&amp;E to create pending loads Category A </w:t>
      </w:r>
      <w:r w:rsidRPr="00DD2C68">
        <w:rPr>
          <w:rFonts w:ascii="Palatino Linotype" w:hAnsi="Palatino Linotype" w:cs="Times New Roman"/>
        </w:rPr>
        <w:t xml:space="preserve">and B1 </w:t>
      </w:r>
      <w:r w:rsidRPr="00DD2C68" w:rsidR="00685AF8">
        <w:rPr>
          <w:rFonts w:ascii="Palatino Linotype" w:hAnsi="Palatino Linotype" w:cs="Times New Roman"/>
        </w:rPr>
        <w:t>to capture customer and community plans and pre-application information. The pending loads in Category A shall be reported and compared to the known loads as described in D.24-10-030. Therefore, we find it reasonable to require SDG&amp;E to report</w:t>
      </w:r>
      <w:r w:rsidRPr="00DD2C68" w:rsidR="008341AB">
        <w:rPr>
          <w:rFonts w:ascii="Palatino Linotype" w:hAnsi="Palatino Linotype" w:cs="Times New Roman"/>
        </w:rPr>
        <w:t xml:space="preserve"> </w:t>
      </w:r>
      <w:r w:rsidRPr="00DD2C68" w:rsidR="00385DAA">
        <w:rPr>
          <w:rFonts w:ascii="Palatino Linotype" w:hAnsi="Palatino Linotype" w:cs="Times New Roman"/>
        </w:rPr>
        <w:t>the Pending Loads Evaluation data as described in the Decision.</w:t>
      </w:r>
      <w:r w:rsidRPr="00DD2C68" w:rsidR="006D25A9">
        <w:rPr>
          <w:rStyle w:val="FootnoteReference"/>
          <w:rFonts w:ascii="Palatino Linotype" w:hAnsi="Palatino Linotype" w:cs="Times New Roman"/>
        </w:rPr>
        <w:footnoteReference w:id="9"/>
      </w:r>
      <w:r w:rsidRPr="00DD2C68" w:rsidR="00385DAA">
        <w:rPr>
          <w:rFonts w:ascii="Palatino Linotype" w:hAnsi="Palatino Linotype" w:cs="Times New Roman"/>
        </w:rPr>
        <w:t xml:space="preserve"> </w:t>
      </w:r>
    </w:p>
    <w:p w:rsidRPr="00DD2C68" w:rsidR="00D33F03" w:rsidP="00F41E19" w:rsidRDefault="00D33F03" w14:paraId="3E35B886" w14:textId="72928DA8">
      <w:pPr>
        <w:pStyle w:val="Heading2"/>
        <w:rPr>
          <w:rFonts w:ascii="Palatino Linotype" w:hAnsi="Palatino Linotype"/>
          <w:color w:val="auto"/>
        </w:rPr>
      </w:pPr>
      <w:r w:rsidRPr="00DD2C68">
        <w:rPr>
          <w:rFonts w:ascii="Palatino Linotype" w:hAnsi="Palatino Linotype"/>
          <w:color w:val="auto"/>
        </w:rPr>
        <w:t xml:space="preserve">Pending Loads Annual </w:t>
      </w:r>
      <w:r w:rsidRPr="00DD2C68" w:rsidR="000208AF">
        <w:rPr>
          <w:rFonts w:ascii="Palatino Linotype" w:hAnsi="Palatino Linotype"/>
          <w:color w:val="auto"/>
        </w:rPr>
        <w:t>Reevaluation</w:t>
      </w:r>
      <w:r w:rsidRPr="00DD2C68">
        <w:rPr>
          <w:rFonts w:ascii="Palatino Linotype" w:hAnsi="Palatino Linotype"/>
          <w:color w:val="auto"/>
        </w:rPr>
        <w:t xml:space="preserve"> Guardrail</w:t>
      </w:r>
    </w:p>
    <w:p w:rsidRPr="00DD2C68" w:rsidR="2461564A" w:rsidP="006E4EE2" w:rsidRDefault="00D33F03" w14:paraId="2800CAF7" w14:textId="65433D17">
      <w:pPr>
        <w:pStyle w:val="paragraph"/>
        <w:spacing w:after="0"/>
        <w:textAlignment w:val="baseline"/>
        <w:rPr>
          <w:rFonts w:ascii="Palatino Linotype" w:hAnsi="Palatino Linotype"/>
        </w:rPr>
      </w:pPr>
      <w:r w:rsidRPr="00DD2C68">
        <w:rPr>
          <w:rFonts w:ascii="Palatino Linotype" w:hAnsi="Palatino Linotype"/>
        </w:rPr>
        <w:t xml:space="preserve">All three IOUs have proposed the re-evaluation of grid needs and planned investments on an annual basis as a primary guardrail for investments related to </w:t>
      </w:r>
      <w:r w:rsidRPr="00DD2C68" w:rsidR="00FC7123">
        <w:rPr>
          <w:rFonts w:ascii="Palatino Linotype" w:hAnsi="Palatino Linotype"/>
        </w:rPr>
        <w:t>p</w:t>
      </w:r>
      <w:r w:rsidRPr="00DD2C68">
        <w:rPr>
          <w:rFonts w:ascii="Palatino Linotype" w:hAnsi="Palatino Linotype"/>
        </w:rPr>
        <w:t xml:space="preserve">ending </w:t>
      </w:r>
      <w:r w:rsidRPr="00DD2C68" w:rsidR="00FC7123">
        <w:rPr>
          <w:rFonts w:ascii="Palatino Linotype" w:hAnsi="Palatino Linotype"/>
        </w:rPr>
        <w:t>l</w:t>
      </w:r>
      <w:r w:rsidRPr="00DD2C68">
        <w:rPr>
          <w:rFonts w:ascii="Palatino Linotype" w:hAnsi="Palatino Linotype"/>
        </w:rPr>
        <w:t xml:space="preserve">oads (and </w:t>
      </w:r>
      <w:r w:rsidRPr="00DD2C68" w:rsidR="00FC7123">
        <w:rPr>
          <w:rFonts w:ascii="Palatino Linotype" w:hAnsi="Palatino Linotype"/>
        </w:rPr>
        <w:t>k</w:t>
      </w:r>
      <w:r w:rsidRPr="00DD2C68">
        <w:rPr>
          <w:rFonts w:ascii="Palatino Linotype" w:hAnsi="Palatino Linotype"/>
        </w:rPr>
        <w:t xml:space="preserve">nown </w:t>
      </w:r>
      <w:r w:rsidRPr="00DD2C68" w:rsidR="00FC7123">
        <w:rPr>
          <w:rFonts w:ascii="Palatino Linotype" w:hAnsi="Palatino Linotype"/>
        </w:rPr>
        <w:t>l</w:t>
      </w:r>
      <w:r w:rsidRPr="00DD2C68">
        <w:rPr>
          <w:rFonts w:ascii="Palatino Linotype" w:hAnsi="Palatino Linotype"/>
        </w:rPr>
        <w:t>oads). We agree that this is a key guardrail</w:t>
      </w:r>
      <w:r w:rsidRPr="00DD2C68" w:rsidR="002D3761">
        <w:rPr>
          <w:rFonts w:ascii="Palatino Linotype" w:hAnsi="Palatino Linotype"/>
        </w:rPr>
        <w:t>;</w:t>
      </w:r>
      <w:r w:rsidRPr="00DD2C68">
        <w:rPr>
          <w:rFonts w:ascii="Palatino Linotype" w:hAnsi="Palatino Linotype"/>
        </w:rPr>
        <w:t xml:space="preserve"> however, the process by which the IOUs will re-evaluate and report the results of this re-evaluation has not been well defined. PG&amp;E states that their “primary guardrail for pending loads is the existing DPEP process. PG&amp;E’s DPEP process re-evaluates all grid needs and planned investments on at least an annual basis, which would include any needs or investments associated with Pending Loads.” SDG&amp;E states “Relevant to risk mitigation, the DPP itself provides protection. The annual DPP cycle acts to refresh data on an annual basis providing flexibility to advance, delay or otherwise modify planned upstream distribution capacity upgrades in accordance with evolving service area conditions and needs.”</w:t>
      </w:r>
      <w:r w:rsidRPr="00DD2C68" w:rsidR="005D3BE3">
        <w:rPr>
          <w:rFonts w:ascii="Palatino Linotype" w:hAnsi="Palatino Linotype"/>
        </w:rPr>
        <w:t xml:space="preserve"> </w:t>
      </w:r>
      <w:r w:rsidRPr="00DD2C68">
        <w:rPr>
          <w:rFonts w:ascii="Palatino Linotype" w:hAnsi="Palatino Linotype"/>
        </w:rPr>
        <w:t>SCE states</w:t>
      </w:r>
      <w:r w:rsidR="00035FA4">
        <w:rPr>
          <w:rFonts w:ascii="Palatino Linotype" w:hAnsi="Palatino Linotype"/>
        </w:rPr>
        <w:t>,</w:t>
      </w:r>
      <w:r w:rsidRPr="00DD2C68">
        <w:rPr>
          <w:rFonts w:ascii="Palatino Linotype" w:hAnsi="Palatino Linotype"/>
        </w:rPr>
        <w:t xml:space="preserve"> “Additionally, the infrastructure planning and execution process inherently enables flexibility that can respond to changes in load forecasts. Grid buildout projects occur in stages. If customer energization requests materialize slower than expected, corresponding projects can be modified, delayed, or potentially put on hold till the expected projects progress or other projects backfill </w:t>
      </w:r>
      <w:proofErr w:type="gramStart"/>
      <w:r w:rsidRPr="00DD2C68">
        <w:rPr>
          <w:rFonts w:ascii="Palatino Linotype" w:hAnsi="Palatino Linotype"/>
        </w:rPr>
        <w:t>them.”</w:t>
      </w:r>
      <w:proofErr w:type="gramEnd"/>
    </w:p>
    <w:p w:rsidRPr="00DD2C68" w:rsidR="00D33F03" w:rsidP="00F073F0" w:rsidRDefault="005D3BE3" w14:paraId="41C28A2A" w14:textId="67D99909">
      <w:pPr>
        <w:pStyle w:val="paragraph"/>
        <w:spacing w:after="0"/>
        <w:textAlignment w:val="baseline"/>
        <w:rPr>
          <w:rFonts w:ascii="Palatino Linotype" w:hAnsi="Palatino Linotype"/>
        </w:rPr>
      </w:pPr>
      <w:r w:rsidRPr="00DD2C68">
        <w:rPr>
          <w:rFonts w:ascii="Palatino Linotype" w:hAnsi="Palatino Linotype"/>
        </w:rPr>
        <w:t>T</w:t>
      </w:r>
      <w:r w:rsidRPr="00DD2C68" w:rsidR="00D33F03">
        <w:rPr>
          <w:rFonts w:ascii="Palatino Linotype" w:hAnsi="Palatino Linotype"/>
        </w:rPr>
        <w:t>he Commission finds it is appropriate to require the IOUs to provide a detailed description of the process that they use to re-evaluate grid needs and how they propose to provide any information related to the change in needs in the GNA.</w:t>
      </w:r>
      <w:r w:rsidRPr="00DD2C68" w:rsidR="00F073F0">
        <w:rPr>
          <w:rFonts w:ascii="Palatino Linotype" w:hAnsi="Palatino Linotype"/>
        </w:rPr>
        <w:t xml:space="preserve"> </w:t>
      </w:r>
      <w:r w:rsidRPr="00DD2C68" w:rsidR="00D33F03">
        <w:rPr>
          <w:rFonts w:ascii="Palatino Linotype" w:hAnsi="Palatino Linotype"/>
        </w:rPr>
        <w:t xml:space="preserve">Furthermore, it is appropriate to require the IOUs to provide a detailed description of the process that </w:t>
      </w:r>
      <w:r w:rsidRPr="00DD2C68" w:rsidR="00D33F03">
        <w:rPr>
          <w:rFonts w:ascii="Palatino Linotype" w:hAnsi="Palatino Linotype"/>
        </w:rPr>
        <w:lastRenderedPageBreak/>
        <w:t>they use to re-evaluate planned investments and how they propose to provide this information in the DUPR</w:t>
      </w:r>
      <w:r w:rsidRPr="00DD2C68" w:rsidR="00B410D7">
        <w:rPr>
          <w:rFonts w:ascii="Palatino Linotype" w:hAnsi="Palatino Linotype"/>
        </w:rPr>
        <w:t>.</w:t>
      </w:r>
      <w:r w:rsidRPr="00DD2C68" w:rsidR="00D33F03">
        <w:rPr>
          <w:rFonts w:ascii="Palatino Linotype" w:hAnsi="Palatino Linotype"/>
        </w:rPr>
        <w:t xml:space="preserve"> Particularly, the IOUs shall provide more information </w:t>
      </w:r>
      <w:r w:rsidRPr="00DD2C68" w:rsidR="006109BE">
        <w:rPr>
          <w:rFonts w:ascii="Palatino Linotype" w:hAnsi="Palatino Linotype"/>
        </w:rPr>
        <w:t>in the GNA</w:t>
      </w:r>
      <w:r w:rsidRPr="00DD2C68" w:rsidR="00D33F03">
        <w:rPr>
          <w:rFonts w:ascii="Palatino Linotype" w:hAnsi="Palatino Linotype"/>
        </w:rPr>
        <w:t xml:space="preserve"> on how the project execution process </w:t>
      </w:r>
      <w:r w:rsidRPr="00DD2C68" w:rsidR="000D505B">
        <w:rPr>
          <w:rFonts w:ascii="Palatino Linotype" w:hAnsi="Palatino Linotype"/>
        </w:rPr>
        <w:t>will</w:t>
      </w:r>
      <w:r w:rsidRPr="00DD2C68" w:rsidR="005659B8">
        <w:rPr>
          <w:rFonts w:ascii="Palatino Linotype" w:hAnsi="Palatino Linotype"/>
        </w:rPr>
        <w:t xml:space="preserve"> </w:t>
      </w:r>
      <w:r w:rsidRPr="00DD2C68" w:rsidR="00D33F03">
        <w:rPr>
          <w:rFonts w:ascii="Palatino Linotype" w:hAnsi="Palatino Linotype"/>
        </w:rPr>
        <w:t xml:space="preserve">work when pending loads change based on the categorization (for example, a </w:t>
      </w:r>
      <w:r w:rsidRPr="00DD2C68" w:rsidR="006A270D">
        <w:rPr>
          <w:rFonts w:ascii="Palatino Linotype" w:hAnsi="Palatino Linotype"/>
        </w:rPr>
        <w:t xml:space="preserve">customer plan developing </w:t>
      </w:r>
      <w:r w:rsidRPr="00DD2C68" w:rsidR="00E57D33">
        <w:rPr>
          <w:rFonts w:ascii="Palatino Linotype" w:hAnsi="Palatino Linotype"/>
        </w:rPr>
        <w:t>from Category B to Category A</w:t>
      </w:r>
      <w:r w:rsidRPr="00DD2C68" w:rsidR="00DB0CC8">
        <w:rPr>
          <w:rFonts w:ascii="Palatino Linotype" w:hAnsi="Palatino Linotype"/>
        </w:rPr>
        <w:t>)</w:t>
      </w:r>
      <w:r w:rsidRPr="00DD2C68" w:rsidR="00D33F03">
        <w:rPr>
          <w:rFonts w:ascii="Palatino Linotype" w:hAnsi="Palatino Linotype"/>
        </w:rPr>
        <w:t xml:space="preserve"> or </w:t>
      </w:r>
      <w:r w:rsidRPr="00DD2C68" w:rsidR="003D5A18">
        <w:rPr>
          <w:rFonts w:ascii="Palatino Linotype" w:hAnsi="Palatino Linotype"/>
        </w:rPr>
        <w:t>p</w:t>
      </w:r>
      <w:r w:rsidRPr="00DD2C68" w:rsidR="00D33F03">
        <w:rPr>
          <w:rFonts w:ascii="Palatino Linotype" w:hAnsi="Palatino Linotype"/>
        </w:rPr>
        <w:t xml:space="preserve">ending </w:t>
      </w:r>
      <w:r w:rsidRPr="00DD2C68" w:rsidR="003D5A18">
        <w:rPr>
          <w:rFonts w:ascii="Palatino Linotype" w:hAnsi="Palatino Linotype"/>
        </w:rPr>
        <w:t>l</w:t>
      </w:r>
      <w:r w:rsidRPr="00DD2C68" w:rsidR="00D33F03">
        <w:rPr>
          <w:rFonts w:ascii="Palatino Linotype" w:hAnsi="Palatino Linotype"/>
        </w:rPr>
        <w:t xml:space="preserve">oads do not materialize into </w:t>
      </w:r>
      <w:r w:rsidRPr="00DD2C68" w:rsidR="003D5A18">
        <w:rPr>
          <w:rFonts w:ascii="Palatino Linotype" w:hAnsi="Palatino Linotype"/>
        </w:rPr>
        <w:t>k</w:t>
      </w:r>
      <w:r w:rsidRPr="00DD2C68" w:rsidR="00D33F03">
        <w:rPr>
          <w:rFonts w:ascii="Palatino Linotype" w:hAnsi="Palatino Linotype"/>
        </w:rPr>
        <w:t xml:space="preserve">nown </w:t>
      </w:r>
      <w:r w:rsidRPr="00DD2C68" w:rsidR="003D5A18">
        <w:rPr>
          <w:rFonts w:ascii="Palatino Linotype" w:hAnsi="Palatino Linotype"/>
        </w:rPr>
        <w:t>l</w:t>
      </w:r>
      <w:r w:rsidRPr="00DD2C68" w:rsidR="00D33F03">
        <w:rPr>
          <w:rFonts w:ascii="Palatino Linotype" w:hAnsi="Palatino Linotype"/>
        </w:rPr>
        <w:t xml:space="preserve">oads, and how this process might be different for </w:t>
      </w:r>
      <w:r w:rsidRPr="00DD2C68" w:rsidR="003D5A18">
        <w:rPr>
          <w:rFonts w:ascii="Palatino Linotype" w:hAnsi="Palatino Linotype"/>
        </w:rPr>
        <w:t>p</w:t>
      </w:r>
      <w:r w:rsidRPr="00DD2C68" w:rsidR="00D33F03">
        <w:rPr>
          <w:rFonts w:ascii="Palatino Linotype" w:hAnsi="Palatino Linotype"/>
        </w:rPr>
        <w:t xml:space="preserve">ending </w:t>
      </w:r>
      <w:r w:rsidRPr="00DD2C68" w:rsidR="003D5A18">
        <w:rPr>
          <w:rFonts w:ascii="Palatino Linotype" w:hAnsi="Palatino Linotype"/>
        </w:rPr>
        <w:t>l</w:t>
      </w:r>
      <w:r w:rsidRPr="00DD2C68" w:rsidR="00D33F03">
        <w:rPr>
          <w:rFonts w:ascii="Palatino Linotype" w:hAnsi="Palatino Linotype"/>
        </w:rPr>
        <w:t xml:space="preserve">oads in </w:t>
      </w:r>
      <w:r w:rsidRPr="00DD2C68" w:rsidR="00F6381D">
        <w:rPr>
          <w:rFonts w:ascii="Palatino Linotype" w:hAnsi="Palatino Linotype"/>
        </w:rPr>
        <w:t>h</w:t>
      </w:r>
      <w:r w:rsidRPr="00DD2C68" w:rsidR="00D33F03">
        <w:rPr>
          <w:rFonts w:ascii="Palatino Linotype" w:hAnsi="Palatino Linotype"/>
        </w:rPr>
        <w:t xml:space="preserve">ot </w:t>
      </w:r>
      <w:r w:rsidRPr="00DD2C68" w:rsidR="00F6381D">
        <w:rPr>
          <w:rFonts w:ascii="Palatino Linotype" w:hAnsi="Palatino Linotype"/>
        </w:rPr>
        <w:t>s</w:t>
      </w:r>
      <w:r w:rsidRPr="00DD2C68" w:rsidR="00D33F03">
        <w:rPr>
          <w:rFonts w:ascii="Palatino Linotype" w:hAnsi="Palatino Linotype"/>
        </w:rPr>
        <w:t xml:space="preserve">pots. </w:t>
      </w:r>
      <w:r w:rsidRPr="00DD2C68" w:rsidR="00D35599">
        <w:rPr>
          <w:rFonts w:ascii="Palatino Linotype" w:hAnsi="Palatino Linotype"/>
        </w:rPr>
        <w:t>I</w:t>
      </w:r>
      <w:r w:rsidRPr="00DD2C68" w:rsidR="00D33F03">
        <w:rPr>
          <w:rFonts w:ascii="Palatino Linotype" w:hAnsi="Palatino Linotype"/>
        </w:rPr>
        <w:t xml:space="preserve">t is critical to fully understand the guardrails related to </w:t>
      </w:r>
      <w:r w:rsidRPr="00DD2C68" w:rsidR="003D5A18">
        <w:rPr>
          <w:rFonts w:ascii="Palatino Linotype" w:hAnsi="Palatino Linotype"/>
        </w:rPr>
        <w:t>p</w:t>
      </w:r>
      <w:r w:rsidRPr="00DD2C68" w:rsidR="00D33F03">
        <w:rPr>
          <w:rFonts w:ascii="Palatino Linotype" w:hAnsi="Palatino Linotype"/>
        </w:rPr>
        <w:t xml:space="preserve">ending </w:t>
      </w:r>
      <w:r w:rsidRPr="00DD2C68" w:rsidR="003D5A18">
        <w:rPr>
          <w:rFonts w:ascii="Palatino Linotype" w:hAnsi="Palatino Linotype"/>
        </w:rPr>
        <w:t>l</w:t>
      </w:r>
      <w:r w:rsidRPr="00DD2C68" w:rsidR="00D33F03">
        <w:rPr>
          <w:rFonts w:ascii="Palatino Linotype" w:hAnsi="Palatino Linotype"/>
        </w:rPr>
        <w:t>oads.</w:t>
      </w:r>
    </w:p>
    <w:p w:rsidRPr="00DD2C68" w:rsidR="00D33F03" w:rsidP="00F41E19" w:rsidRDefault="00D33F03" w14:paraId="5D7FF38D" w14:textId="21D0CDE1">
      <w:pPr>
        <w:pStyle w:val="Heading2"/>
        <w:rPr>
          <w:rFonts w:ascii="Palatino Linotype" w:hAnsi="Palatino Linotype"/>
          <w:color w:val="auto"/>
        </w:rPr>
      </w:pPr>
      <w:r w:rsidRPr="00DD2C68">
        <w:rPr>
          <w:rFonts w:ascii="Palatino Linotype" w:hAnsi="Palatino Linotype"/>
          <w:color w:val="auto"/>
        </w:rPr>
        <w:t>Reporting Pending Loads in the GNA and DUPR</w:t>
      </w:r>
    </w:p>
    <w:p w:rsidRPr="00DD2C68" w:rsidR="00D33F03" w:rsidP="00E505AE" w:rsidRDefault="00D33F03" w14:paraId="2EB14F8C" w14:textId="6463E6B8">
      <w:pPr>
        <w:spacing w:line="259" w:lineRule="auto"/>
        <w:rPr>
          <w:rFonts w:ascii="Palatino Linotype" w:hAnsi="Palatino Linotype" w:cs="Times New Roman"/>
        </w:rPr>
      </w:pPr>
      <w:r w:rsidRPr="00DD2C68">
        <w:rPr>
          <w:rFonts w:ascii="Palatino Linotype" w:hAnsi="Palatino Linotype" w:cs="Times New Roman"/>
        </w:rPr>
        <w:t xml:space="preserve">The annual reporting of pending loads was insufficiently addressed by each </w:t>
      </w:r>
      <w:r w:rsidRPr="00DD2C68" w:rsidR="00B84AC4">
        <w:rPr>
          <w:rFonts w:ascii="Palatino Linotype" w:hAnsi="Palatino Linotype" w:cs="Times New Roman"/>
        </w:rPr>
        <w:t>utility</w:t>
      </w:r>
      <w:r w:rsidRPr="00DD2C68">
        <w:rPr>
          <w:rFonts w:ascii="Palatino Linotype" w:hAnsi="Palatino Linotype" w:cs="Times New Roman"/>
        </w:rPr>
        <w:t xml:space="preserve">. PG&amp;E proposed to include the following data fields in the GNA/DUPR for </w:t>
      </w:r>
      <w:r w:rsidR="00E96194">
        <w:rPr>
          <w:rFonts w:ascii="Palatino Linotype" w:hAnsi="Palatino Linotype" w:cs="Times New Roman"/>
        </w:rPr>
        <w:br/>
      </w:r>
      <w:r w:rsidRPr="00DD2C68">
        <w:rPr>
          <w:rFonts w:ascii="Palatino Linotype" w:hAnsi="Palatino Linotype" w:cs="Times New Roman"/>
        </w:rPr>
        <w:t xml:space="preserve">customer-based pending loads:   </w:t>
      </w:r>
    </w:p>
    <w:p w:rsidRPr="00DD2C68" w:rsidR="009A5C4C" w:rsidP="007A761B" w:rsidRDefault="009A5C4C" w14:paraId="754E9033" w14:textId="67971EF2">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Facility ID</w:t>
      </w:r>
    </w:p>
    <w:p w:rsidRPr="00DD2C68" w:rsidR="009A5C4C" w:rsidP="007A761B" w:rsidRDefault="009A5C4C" w14:paraId="61FEDDE0" w14:textId="2B8B1EA7">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Unique Identifier</w:t>
      </w:r>
    </w:p>
    <w:p w:rsidRPr="00DD2C68" w:rsidR="009A5C4C" w:rsidP="007A761B" w:rsidRDefault="009A5C4C" w14:paraId="0992C334" w14:textId="1323C65C">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Load Type</w:t>
      </w:r>
    </w:p>
    <w:p w:rsidRPr="00DD2C68" w:rsidR="009A5C4C" w:rsidP="007A761B" w:rsidRDefault="009A5C4C" w14:paraId="5E5759C9" w14:textId="5E7D7B28">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Capacity (MW)</w:t>
      </w:r>
    </w:p>
    <w:p w:rsidRPr="00DD2C68" w:rsidR="009A5C4C" w:rsidP="007A761B" w:rsidRDefault="009A5C4C" w14:paraId="581C6130" w14:textId="0EEA8F2B">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Source of Information (e.g., Customer, Community, Third Party Study)</w:t>
      </w:r>
    </w:p>
    <w:p w:rsidRPr="00DD2C68" w:rsidR="005D28DA" w:rsidP="007A761B" w:rsidRDefault="009A5C4C" w14:paraId="67079DE3" w14:textId="5965FE17">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Forecast In Service Year</w:t>
      </w:r>
    </w:p>
    <w:p w:rsidRPr="00DD2C68" w:rsidR="00482560" w:rsidP="007A761B" w:rsidRDefault="009A5C4C" w14:paraId="35B59B47" w14:textId="5EFB8AA1">
      <w:pPr>
        <w:pStyle w:val="ListParagraph"/>
        <w:numPr>
          <w:ilvl w:val="0"/>
          <w:numId w:val="9"/>
        </w:numPr>
        <w:spacing w:line="259" w:lineRule="auto"/>
        <w:rPr>
          <w:rFonts w:ascii="Palatino Linotype" w:hAnsi="Palatino Linotype" w:cs="Times New Roman"/>
        </w:rPr>
      </w:pPr>
      <w:r w:rsidRPr="00DD2C68">
        <w:rPr>
          <w:rFonts w:ascii="Palatino Linotype" w:hAnsi="Palatino Linotype" w:cs="Times New Roman"/>
        </w:rPr>
        <w:t>Category of Pending Loads (A, B1, B2, C)</w:t>
      </w:r>
    </w:p>
    <w:p w:rsidRPr="00DD2C68" w:rsidR="00D33F03" w:rsidP="00E505AE" w:rsidRDefault="00D33F03" w14:paraId="79B6FB73" w14:textId="57D1D946">
      <w:pPr>
        <w:spacing w:line="259" w:lineRule="auto"/>
        <w:rPr>
          <w:rFonts w:ascii="Palatino Linotype" w:hAnsi="Palatino Linotype" w:cs="Times New Roman"/>
        </w:rPr>
      </w:pPr>
      <w:r w:rsidRPr="00DD2C68">
        <w:rPr>
          <w:rFonts w:ascii="Palatino Linotype" w:hAnsi="Palatino Linotype" w:cs="Times New Roman"/>
        </w:rPr>
        <w:t>PG&amp;E proposed to include the following data fields in the GNA/DUPR for studies used as the basis of pending loads</w:t>
      </w:r>
      <w:r w:rsidRPr="00DD2C68" w:rsidR="00D17C61">
        <w:rPr>
          <w:rFonts w:ascii="Palatino Linotype" w:hAnsi="Palatino Linotype" w:cs="Times New Roman"/>
        </w:rPr>
        <w:t>:</w:t>
      </w:r>
    </w:p>
    <w:p w:rsidRPr="00DD2C68" w:rsidR="001104F3" w:rsidP="007A761B" w:rsidRDefault="001104F3" w14:paraId="7B3278D6" w14:textId="28894A04">
      <w:pPr>
        <w:pStyle w:val="ListParagraph"/>
        <w:numPr>
          <w:ilvl w:val="0"/>
          <w:numId w:val="11"/>
        </w:numPr>
        <w:spacing w:line="259" w:lineRule="auto"/>
        <w:rPr>
          <w:rFonts w:ascii="Palatino Linotype" w:hAnsi="Palatino Linotype" w:cs="Times New Roman"/>
        </w:rPr>
      </w:pPr>
      <w:r w:rsidRPr="00DD2C68">
        <w:rPr>
          <w:rFonts w:ascii="Palatino Linotype" w:hAnsi="Palatino Linotype" w:cs="Times New Roman"/>
        </w:rPr>
        <w:t xml:space="preserve">Source of information (e.g., Customer data, forecasting models, etc.) </w:t>
      </w:r>
      <w:r w:rsidRPr="00DD2C68">
        <w:rPr>
          <w:rFonts w:ascii="Palatino Linotype" w:hAnsi="Palatino Linotype" w:cs="Times New Roman"/>
        </w:rPr>
        <w:tab/>
      </w:r>
    </w:p>
    <w:p w:rsidRPr="00DD2C68" w:rsidR="001104F3" w:rsidP="007A761B" w:rsidRDefault="001104F3" w14:paraId="2FA4E238" w14:textId="35E95166">
      <w:pPr>
        <w:pStyle w:val="ListParagraph"/>
        <w:numPr>
          <w:ilvl w:val="0"/>
          <w:numId w:val="11"/>
        </w:numPr>
        <w:spacing w:line="259" w:lineRule="auto"/>
        <w:rPr>
          <w:rFonts w:ascii="Palatino Linotype" w:hAnsi="Palatino Linotype" w:cs="Times New Roman"/>
        </w:rPr>
      </w:pPr>
      <w:r w:rsidRPr="00DD2C68">
        <w:rPr>
          <w:rFonts w:ascii="Palatino Linotype" w:hAnsi="Palatino Linotype" w:cs="Times New Roman"/>
        </w:rPr>
        <w:t>Data Access (e.g., links to public data, or provider of data if not publicly available)</w:t>
      </w:r>
      <w:r w:rsidRPr="00DD2C68">
        <w:rPr>
          <w:rFonts w:ascii="Palatino Linotype" w:hAnsi="Palatino Linotype" w:cs="Times New Roman"/>
        </w:rPr>
        <w:tab/>
      </w:r>
    </w:p>
    <w:p w:rsidRPr="00DD2C68" w:rsidR="001104F3" w:rsidP="007A761B" w:rsidRDefault="001104F3" w14:paraId="566F215D" w14:textId="52E476A4">
      <w:pPr>
        <w:pStyle w:val="ListParagraph"/>
        <w:numPr>
          <w:ilvl w:val="0"/>
          <w:numId w:val="11"/>
        </w:numPr>
        <w:spacing w:line="259" w:lineRule="auto"/>
        <w:rPr>
          <w:rFonts w:ascii="Palatino Linotype" w:hAnsi="Palatino Linotype" w:cs="Times New Roman"/>
        </w:rPr>
      </w:pPr>
      <w:r w:rsidRPr="00DD2C68">
        <w:rPr>
          <w:rFonts w:ascii="Palatino Linotype" w:hAnsi="Palatino Linotype" w:cs="Times New Roman"/>
        </w:rPr>
        <w:t xml:space="preserve">Detailed Methodology, including how data sources are translated into Pending Loads.  </w:t>
      </w:r>
      <w:r w:rsidRPr="00DD2C68">
        <w:rPr>
          <w:rFonts w:ascii="Palatino Linotype" w:hAnsi="Palatino Linotype" w:cs="Times New Roman"/>
        </w:rPr>
        <w:tab/>
      </w:r>
    </w:p>
    <w:p w:rsidRPr="00DD2C68" w:rsidR="001104F3" w:rsidP="007A761B" w:rsidRDefault="001104F3" w14:paraId="308EB378" w14:textId="21A86173">
      <w:pPr>
        <w:pStyle w:val="ListParagraph"/>
        <w:numPr>
          <w:ilvl w:val="0"/>
          <w:numId w:val="11"/>
        </w:numPr>
        <w:spacing w:line="259" w:lineRule="auto"/>
        <w:rPr>
          <w:rFonts w:ascii="Palatino Linotype" w:hAnsi="Palatino Linotype" w:cs="Times New Roman"/>
        </w:rPr>
      </w:pPr>
      <w:r w:rsidRPr="00DD2C68">
        <w:rPr>
          <w:rFonts w:ascii="Palatino Linotype" w:hAnsi="Palatino Linotype" w:cs="Times New Roman"/>
        </w:rPr>
        <w:t>Categorization of Pending Loads obtained from the study</w:t>
      </w:r>
    </w:p>
    <w:p w:rsidRPr="00DD2C68" w:rsidR="00D33F03" w:rsidP="00E505AE" w:rsidRDefault="00D33F03" w14:paraId="71058368" w14:textId="53AF3385">
      <w:pPr>
        <w:spacing w:line="259" w:lineRule="auto"/>
        <w:rPr>
          <w:rFonts w:ascii="Palatino Linotype" w:hAnsi="Palatino Linotype" w:cs="Times New Roman"/>
        </w:rPr>
      </w:pPr>
      <w:r w:rsidRPr="00DD2C68">
        <w:rPr>
          <w:rFonts w:ascii="Palatino Linotype" w:hAnsi="Palatino Linotype" w:cs="Times New Roman"/>
        </w:rPr>
        <w:t>These data fields include less information than included in PG&amp;E’s previously filed 2024 GNA/DDOR which included the following data fields:</w:t>
      </w:r>
    </w:p>
    <w:p w:rsidRPr="00DD2C68" w:rsidR="001104F3" w:rsidP="007A761B" w:rsidRDefault="001104F3" w14:paraId="18BF2FF4" w14:textId="03585EBF">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Circuit</w:t>
      </w:r>
      <w:r w:rsidRPr="00DD2C68">
        <w:rPr>
          <w:rFonts w:ascii="Palatino Linotype" w:hAnsi="Palatino Linotype" w:cs="Times New Roman"/>
        </w:rPr>
        <w:tab/>
      </w:r>
    </w:p>
    <w:p w:rsidRPr="00DD2C68" w:rsidR="001104F3" w:rsidP="007A761B" w:rsidRDefault="001104F3" w14:paraId="6FF5160B" w14:textId="7037684D">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Unique Identifier</w:t>
      </w:r>
      <w:r w:rsidRPr="00DD2C68">
        <w:rPr>
          <w:rFonts w:ascii="Palatino Linotype" w:hAnsi="Palatino Linotype" w:cs="Times New Roman"/>
        </w:rPr>
        <w:tab/>
      </w:r>
    </w:p>
    <w:p w:rsidRPr="00DD2C68" w:rsidR="001104F3" w:rsidP="007A761B" w:rsidRDefault="001104F3" w14:paraId="5CF0DEB5" w14:textId="18A9448A">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Type</w:t>
      </w:r>
      <w:r w:rsidRPr="00DD2C68">
        <w:rPr>
          <w:rFonts w:ascii="Palatino Linotype" w:hAnsi="Palatino Linotype" w:cs="Times New Roman"/>
        </w:rPr>
        <w:tab/>
      </w:r>
    </w:p>
    <w:p w:rsidRPr="00DD2C68" w:rsidR="001104F3" w:rsidP="007A761B" w:rsidRDefault="001104F3" w14:paraId="57753273" w14:textId="30B731A2">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Category</w:t>
      </w:r>
      <w:r w:rsidRPr="00DD2C68">
        <w:rPr>
          <w:rFonts w:ascii="Palatino Linotype" w:hAnsi="Palatino Linotype" w:cs="Times New Roman"/>
        </w:rPr>
        <w:tab/>
      </w:r>
    </w:p>
    <w:p w:rsidRPr="00DD2C68" w:rsidR="001104F3" w:rsidP="007A761B" w:rsidRDefault="001104F3" w14:paraId="6BF5F85E" w14:textId="7EF7E2F9">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IEPR Status</w:t>
      </w:r>
      <w:r w:rsidRPr="00DD2C68">
        <w:rPr>
          <w:rFonts w:ascii="Palatino Linotype" w:hAnsi="Palatino Linotype" w:cs="Times New Roman"/>
        </w:rPr>
        <w:tab/>
      </w:r>
    </w:p>
    <w:p w:rsidRPr="00DD2C68" w:rsidR="001104F3" w:rsidP="007A761B" w:rsidRDefault="001104F3" w14:paraId="5D0868E4" w14:textId="06CB6378">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lastRenderedPageBreak/>
        <w:t>Current Cycle Load Amount (MW)</w:t>
      </w:r>
      <w:r w:rsidRPr="00DD2C68">
        <w:rPr>
          <w:rFonts w:ascii="Palatino Linotype" w:hAnsi="Palatino Linotype" w:cs="Times New Roman"/>
        </w:rPr>
        <w:tab/>
      </w:r>
    </w:p>
    <w:p w:rsidRPr="00DD2C68" w:rsidR="001104F3" w:rsidP="007A761B" w:rsidRDefault="001104F3" w14:paraId="52817C43" w14:textId="43B3B38F">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Initial Service Request Date</w:t>
      </w:r>
      <w:r w:rsidRPr="00DD2C68">
        <w:rPr>
          <w:rFonts w:ascii="Palatino Linotype" w:hAnsi="Palatino Linotype" w:cs="Times New Roman"/>
        </w:rPr>
        <w:tab/>
      </w:r>
    </w:p>
    <w:p w:rsidRPr="00DD2C68" w:rsidR="001104F3" w:rsidP="007A761B" w:rsidRDefault="001104F3" w14:paraId="3B8FD09A" w14:textId="5FFC3AEE">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Current Cycle Expected In-Service Date</w:t>
      </w:r>
      <w:r w:rsidRPr="00DD2C68">
        <w:rPr>
          <w:rFonts w:ascii="Palatino Linotype" w:hAnsi="Palatino Linotype" w:cs="Times New Roman"/>
        </w:rPr>
        <w:tab/>
      </w:r>
    </w:p>
    <w:p w:rsidRPr="00DD2C68" w:rsidR="001104F3" w:rsidP="007A761B" w:rsidRDefault="001104F3" w14:paraId="69DB1C7A" w14:textId="6A6DAF53">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Status</w:t>
      </w:r>
      <w:r w:rsidRPr="00DD2C68">
        <w:rPr>
          <w:rFonts w:ascii="Palatino Linotype" w:hAnsi="Palatino Linotype" w:cs="Times New Roman"/>
        </w:rPr>
        <w:tab/>
      </w:r>
    </w:p>
    <w:p w:rsidRPr="00DD2C68" w:rsidR="001104F3" w:rsidP="007A761B" w:rsidRDefault="001104F3" w14:paraId="5E3971FB" w14:textId="0CEBEE74">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Actual In-Service Date</w:t>
      </w:r>
      <w:r w:rsidRPr="00DD2C68">
        <w:rPr>
          <w:rFonts w:ascii="Palatino Linotype" w:hAnsi="Palatino Linotype" w:cs="Times New Roman"/>
        </w:rPr>
        <w:tab/>
      </w:r>
    </w:p>
    <w:p w:rsidRPr="00DD2C68" w:rsidR="001104F3" w:rsidP="007A761B" w:rsidRDefault="001104F3" w14:paraId="1180D468" w14:textId="52278FD0">
      <w:pPr>
        <w:pStyle w:val="ListParagraph"/>
        <w:numPr>
          <w:ilvl w:val="0"/>
          <w:numId w:val="12"/>
        </w:numPr>
        <w:spacing w:line="259" w:lineRule="auto"/>
        <w:rPr>
          <w:rFonts w:ascii="Palatino Linotype" w:hAnsi="Palatino Linotype" w:cs="Times New Roman"/>
        </w:rPr>
      </w:pPr>
      <w:r w:rsidRPr="00DD2C68">
        <w:rPr>
          <w:rFonts w:ascii="Palatino Linotype" w:hAnsi="Palatino Linotype" w:cs="Times New Roman"/>
        </w:rPr>
        <w:t>Actual Load Amount (MW)</w:t>
      </w:r>
    </w:p>
    <w:p w:rsidRPr="00DD2C68" w:rsidR="15B0D13C" w:rsidP="4708E492" w:rsidRDefault="15B0D13C" w14:paraId="1ED8ED84" w14:textId="52C4F6D4">
      <w:pPr>
        <w:spacing w:before="240" w:after="240"/>
        <w:rPr>
          <w:rFonts w:ascii="Palatino Linotype" w:hAnsi="Palatino Linotype" w:eastAsia="Palatino Linotype" w:cs="Palatino Linotype"/>
        </w:rPr>
      </w:pPr>
      <w:r w:rsidRPr="00DD2C68">
        <w:rPr>
          <w:rFonts w:ascii="Palatino Linotype" w:hAnsi="Palatino Linotype" w:eastAsia="Palatino Linotype" w:cs="Palatino Linotype"/>
        </w:rPr>
        <w:t>Additional reporting requirement.</w:t>
      </w:r>
    </w:p>
    <w:p w:rsidRPr="00DD2C68" w:rsidR="15B0D13C" w:rsidP="4708E492" w:rsidRDefault="15B0D13C" w14:paraId="68C6F0AA" w14:textId="6964F5CE">
      <w:pPr>
        <w:spacing w:before="240" w:after="240"/>
        <w:rPr>
          <w:rFonts w:ascii="Palatino Linotype" w:hAnsi="Palatino Linotype" w:eastAsia="Palatino Linotype" w:cs="Palatino Linotype"/>
        </w:rPr>
      </w:pPr>
      <w:r w:rsidRPr="00DD2C68">
        <w:rPr>
          <w:rFonts w:ascii="Palatino Linotype" w:hAnsi="Palatino Linotype" w:eastAsia="Palatino Linotype" w:cs="Palatino Linotype"/>
        </w:rPr>
        <w:t xml:space="preserve">Each utility shall provide data for Pending Loads A, B1 and B2 similar to the data provided for Known Loads and include that data in the Known Load Tracking data and track each </w:t>
      </w:r>
      <w:r w:rsidRPr="00DD2C68" w:rsidR="4058225C">
        <w:rPr>
          <w:rFonts w:ascii="Palatino Linotype" w:hAnsi="Palatino Linotype" w:eastAsia="Palatino Linotype" w:cs="Palatino Linotype"/>
        </w:rPr>
        <w:t xml:space="preserve">pending </w:t>
      </w:r>
      <w:r w:rsidRPr="00DD2C68">
        <w:rPr>
          <w:rFonts w:ascii="Palatino Linotype" w:hAnsi="Palatino Linotype" w:eastAsia="Palatino Linotype" w:cs="Palatino Linotype"/>
        </w:rPr>
        <w:t>load reported similar to how known loads are tracked from year to year and include these pend</w:t>
      </w:r>
      <w:r w:rsidRPr="00DD2C68" w:rsidR="15C14A16">
        <w:rPr>
          <w:rFonts w:ascii="Palatino Linotype" w:hAnsi="Palatino Linotype" w:eastAsia="Palatino Linotype" w:cs="Palatino Linotype"/>
        </w:rPr>
        <w:t>i</w:t>
      </w:r>
      <w:r w:rsidRPr="00DD2C68">
        <w:rPr>
          <w:rFonts w:ascii="Palatino Linotype" w:hAnsi="Palatino Linotype" w:eastAsia="Palatino Linotype" w:cs="Palatino Linotype"/>
        </w:rPr>
        <w:t>ng loads in the metrics that are now reported for Known Loads in the GNA/DUPR.</w:t>
      </w:r>
      <w:r w:rsidRPr="00DD2C68" w:rsidR="289C5EF4">
        <w:rPr>
          <w:rFonts w:ascii="Palatino Linotype" w:hAnsi="Palatino Linotype" w:eastAsia="Palatino Linotype" w:cs="Palatino Linotype"/>
        </w:rPr>
        <w:t xml:space="preserve">  The IOUs must consult with Energy Division prior to the GNA/DUPR filing date to confirm the fields and formats fo</w:t>
      </w:r>
      <w:r w:rsidRPr="00DD2C68" w:rsidR="1E3A9967">
        <w:rPr>
          <w:rFonts w:ascii="Palatino Linotype" w:hAnsi="Palatino Linotype" w:eastAsia="Palatino Linotype" w:cs="Palatino Linotype"/>
        </w:rPr>
        <w:t>r how pending loads should be reported in the GNA/DUPR.</w:t>
      </w:r>
      <w:r w:rsidRPr="253BC68E" w:rsidR="006B73A4">
        <w:rPr>
          <w:rFonts w:ascii="Palatino Linotype" w:hAnsi="Palatino Linotype" w:eastAsia="Palatino Linotype" w:cs="Palatino Linotype"/>
        </w:rPr>
        <w:t xml:space="preserve"> As part of that</w:t>
      </w:r>
      <w:r w:rsidRPr="253BC68E" w:rsidR="001857BE">
        <w:rPr>
          <w:rFonts w:ascii="Palatino Linotype" w:hAnsi="Palatino Linotype" w:eastAsia="Palatino Linotype" w:cs="Palatino Linotype"/>
        </w:rPr>
        <w:t xml:space="preserve"> consultation</w:t>
      </w:r>
      <w:r w:rsidRPr="253BC68E" w:rsidR="00F700FD">
        <w:rPr>
          <w:rFonts w:ascii="Palatino Linotype" w:hAnsi="Palatino Linotype" w:eastAsia="Palatino Linotype" w:cs="Palatino Linotype"/>
        </w:rPr>
        <w:t xml:space="preserve"> with Energy Division</w:t>
      </w:r>
      <w:r w:rsidRPr="253BC68E" w:rsidR="00254485">
        <w:rPr>
          <w:rFonts w:ascii="Palatino Linotype" w:hAnsi="Palatino Linotype" w:eastAsia="Palatino Linotype" w:cs="Palatino Linotype"/>
        </w:rPr>
        <w:t xml:space="preserve"> the fields and formats for </w:t>
      </w:r>
      <w:r w:rsidRPr="253BC68E" w:rsidR="0007422A">
        <w:rPr>
          <w:rFonts w:ascii="Palatino Linotype" w:hAnsi="Palatino Linotype" w:eastAsia="Palatino Linotype" w:cs="Palatino Linotype"/>
        </w:rPr>
        <w:t>reporting pending loads in the GNA/DUPR</w:t>
      </w:r>
      <w:r w:rsidRPr="253BC68E" w:rsidR="001340CE">
        <w:rPr>
          <w:rFonts w:ascii="Palatino Linotype" w:hAnsi="Palatino Linotype" w:eastAsia="Palatino Linotype" w:cs="Palatino Linotype"/>
        </w:rPr>
        <w:t xml:space="preserve"> </w:t>
      </w:r>
      <w:r w:rsidRPr="253BC68E" w:rsidR="00313570">
        <w:rPr>
          <w:rFonts w:ascii="Palatino Linotype" w:hAnsi="Palatino Linotype" w:eastAsia="Palatino Linotype" w:cs="Palatino Linotype"/>
        </w:rPr>
        <w:t>must be</w:t>
      </w:r>
      <w:r w:rsidRPr="253BC68E" w:rsidR="00F0420D">
        <w:rPr>
          <w:rFonts w:ascii="Palatino Linotype" w:hAnsi="Palatino Linotype" w:eastAsia="Palatino Linotype" w:cs="Palatino Linotype"/>
        </w:rPr>
        <w:t xml:space="preserve"> well coordinated with the </w:t>
      </w:r>
      <w:r w:rsidRPr="253BC68E" w:rsidR="0007277C">
        <w:rPr>
          <w:rFonts w:ascii="Palatino Linotype" w:hAnsi="Palatino Linotype" w:eastAsia="Palatino Linotype" w:cs="Palatino Linotype"/>
        </w:rPr>
        <w:t xml:space="preserve">reporting </w:t>
      </w:r>
      <w:r w:rsidRPr="253BC68E" w:rsidR="4ED143F0">
        <w:rPr>
          <w:rFonts w:ascii="Palatino Linotype" w:hAnsi="Palatino Linotype" w:eastAsia="Palatino Linotype" w:cs="Palatino Linotype"/>
        </w:rPr>
        <w:t xml:space="preserve">of </w:t>
      </w:r>
      <w:r w:rsidRPr="253BC68E" w:rsidR="0007277C">
        <w:rPr>
          <w:rFonts w:ascii="Palatino Linotype" w:hAnsi="Palatino Linotype" w:eastAsia="Palatino Linotype" w:cs="Palatino Linotype"/>
        </w:rPr>
        <w:t>known loads in the GNA/DUPR.</w:t>
      </w:r>
    </w:p>
    <w:p w:rsidRPr="00DD2C68" w:rsidR="00D33F03" w:rsidP="00011C78" w:rsidRDefault="289C5EF4" w14:paraId="60346B88" w14:textId="442C6718">
      <w:pPr>
        <w:spacing w:line="259" w:lineRule="auto"/>
        <w:rPr>
          <w:rFonts w:ascii="Palatino Linotype" w:hAnsi="Palatino Linotype" w:cs="Times New Roman"/>
        </w:rPr>
      </w:pPr>
      <w:r w:rsidRPr="00DD2C68">
        <w:rPr>
          <w:rFonts w:ascii="Palatino Linotype" w:hAnsi="Palatino Linotype" w:cs="Times New Roman"/>
        </w:rPr>
        <w:t>In addition</w:t>
      </w:r>
      <w:r w:rsidRPr="00DD2C68" w:rsidR="00D33F03">
        <w:rPr>
          <w:rFonts w:ascii="Palatino Linotype" w:hAnsi="Palatino Linotype" w:cs="Times New Roman"/>
        </w:rPr>
        <w:t>, in the interest of preserving the relevant data from prior filings and updating the reporting requirements with the proposed data, PG&amp;E, and all utilities sh</w:t>
      </w:r>
      <w:r w:rsidRPr="00DD2C68" w:rsidR="13EF414A">
        <w:rPr>
          <w:rFonts w:ascii="Palatino Linotype" w:hAnsi="Palatino Linotype" w:cs="Times New Roman"/>
        </w:rPr>
        <w:t>a</w:t>
      </w:r>
      <w:r w:rsidRPr="00DD2C68" w:rsidR="00D33F03">
        <w:rPr>
          <w:rFonts w:ascii="Palatino Linotype" w:hAnsi="Palatino Linotype" w:cs="Times New Roman"/>
        </w:rPr>
        <w:t>l</w:t>
      </w:r>
      <w:r w:rsidRPr="00DD2C68" w:rsidR="4CB50C42">
        <w:rPr>
          <w:rFonts w:ascii="Palatino Linotype" w:hAnsi="Palatino Linotype" w:cs="Times New Roman"/>
        </w:rPr>
        <w:t>l</w:t>
      </w:r>
      <w:r w:rsidRPr="00DD2C68" w:rsidR="00D33F03">
        <w:rPr>
          <w:rFonts w:ascii="Palatino Linotype" w:hAnsi="Palatino Linotype" w:cs="Times New Roman"/>
        </w:rPr>
        <w:t xml:space="preserve"> report, at minimum, the following data fields in their spreadsheet for </w:t>
      </w:r>
      <w:r w:rsidR="00E96194">
        <w:rPr>
          <w:rFonts w:ascii="Palatino Linotype" w:hAnsi="Palatino Linotype" w:cs="Times New Roman"/>
        </w:rPr>
        <w:br/>
      </w:r>
      <w:r w:rsidRPr="00DD2C68" w:rsidR="00D33F03">
        <w:rPr>
          <w:rFonts w:ascii="Palatino Linotype" w:hAnsi="Palatino Linotype" w:cs="Times New Roman"/>
        </w:rPr>
        <w:t>customer-based pending loads:</w:t>
      </w:r>
    </w:p>
    <w:p w:rsidRPr="00DD2C68" w:rsidR="001104F3" w:rsidP="007A761B" w:rsidRDefault="001104F3" w14:paraId="643C8AE1" w14:textId="767BDC6E">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Facility ID</w:t>
      </w:r>
      <w:r w:rsidRPr="00DD2C68">
        <w:rPr>
          <w:rFonts w:ascii="Palatino Linotype" w:hAnsi="Palatino Linotype" w:cs="Times New Roman"/>
        </w:rPr>
        <w:tab/>
      </w:r>
    </w:p>
    <w:p w:rsidRPr="00DD2C68" w:rsidR="001104F3" w:rsidP="007A761B" w:rsidRDefault="001104F3" w14:paraId="44847252" w14:textId="08C46A91">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Unique Identifier</w:t>
      </w:r>
      <w:r w:rsidRPr="00DD2C68">
        <w:rPr>
          <w:rFonts w:ascii="Palatino Linotype" w:hAnsi="Palatino Linotype" w:cs="Times New Roman"/>
        </w:rPr>
        <w:tab/>
      </w:r>
    </w:p>
    <w:p w:rsidRPr="00DD2C68" w:rsidR="001104F3" w:rsidP="007A761B" w:rsidRDefault="001104F3" w14:paraId="4EE2AAAB" w14:textId="1E31440C">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Load Type</w:t>
      </w:r>
      <w:r w:rsidRPr="00DD2C68" w:rsidR="009E7A62">
        <w:rPr>
          <w:rFonts w:ascii="Palatino Linotype" w:hAnsi="Palatino Linotype" w:cs="Times New Roman"/>
        </w:rPr>
        <w:t xml:space="preserve"> (consistent with </w:t>
      </w:r>
      <w:r w:rsidRPr="00DD2C68" w:rsidR="005B52F4">
        <w:rPr>
          <w:rFonts w:ascii="Palatino Linotype" w:hAnsi="Palatino Linotype" w:cs="Times New Roman"/>
        </w:rPr>
        <w:t>those reported in known loads)</w:t>
      </w:r>
      <w:r w:rsidRPr="00DD2C68">
        <w:tab/>
      </w:r>
    </w:p>
    <w:p w:rsidRPr="00DD2C68" w:rsidR="001104F3" w:rsidP="007A761B" w:rsidRDefault="001104F3" w14:paraId="4E138196" w14:textId="112C1682">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Category</w:t>
      </w:r>
      <w:r w:rsidRPr="00DD2C68" w:rsidR="005B52F4">
        <w:rPr>
          <w:rFonts w:ascii="Palatino Linotype" w:hAnsi="Palatino Linotype" w:cs="Times New Roman"/>
        </w:rPr>
        <w:t xml:space="preserve"> (consistent with those reported in known loads)</w:t>
      </w:r>
      <w:r w:rsidRPr="00DD2C68">
        <w:tab/>
      </w:r>
    </w:p>
    <w:p w:rsidRPr="00DD2C68" w:rsidR="001104F3" w:rsidP="007A761B" w:rsidRDefault="001104F3" w14:paraId="29FF8404" w14:textId="164EF46F">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Source of information (e.g., Customer, Community</w:t>
      </w:r>
      <w:r w:rsidRPr="00DD2C68" w:rsidR="001E79D4">
        <w:rPr>
          <w:rFonts w:ascii="Palatino Linotype" w:hAnsi="Palatino Linotype" w:cs="Times New Roman"/>
        </w:rPr>
        <w:t xml:space="preserve"> Engagement Plan, database</w:t>
      </w:r>
      <w:r w:rsidRPr="00DD2C68">
        <w:rPr>
          <w:rFonts w:ascii="Palatino Linotype" w:hAnsi="Palatino Linotype" w:cs="Times New Roman"/>
        </w:rPr>
        <w:t xml:space="preserve">) </w:t>
      </w:r>
      <w:r w:rsidRPr="00DD2C68">
        <w:tab/>
      </w:r>
    </w:p>
    <w:p w:rsidRPr="00DD2C68" w:rsidR="001104F3" w:rsidP="007A761B" w:rsidRDefault="001104F3" w14:paraId="04E39F2B" w14:textId="6E0407A9">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Capacity (MW)</w:t>
      </w:r>
      <w:r w:rsidRPr="00DD2C68">
        <w:rPr>
          <w:rFonts w:ascii="Palatino Linotype" w:hAnsi="Palatino Linotype" w:cs="Times New Roman"/>
        </w:rPr>
        <w:tab/>
      </w:r>
    </w:p>
    <w:p w:rsidRPr="00DD2C68" w:rsidR="001104F3" w:rsidP="007A761B" w:rsidRDefault="001104F3" w14:paraId="4C309DAB" w14:textId="2BA6C739">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Forecast In Service Year</w:t>
      </w:r>
      <w:r w:rsidRPr="00DD2C68">
        <w:rPr>
          <w:rFonts w:ascii="Palatino Linotype" w:hAnsi="Palatino Linotype" w:cs="Times New Roman"/>
        </w:rPr>
        <w:tab/>
      </w:r>
    </w:p>
    <w:p w:rsidRPr="00DD2C68" w:rsidR="008D6833" w:rsidP="007A761B" w:rsidRDefault="001104F3" w14:paraId="2BC2B656" w14:textId="4E056DC2">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Category of Pending Loads (A, B1</w:t>
      </w:r>
      <w:r w:rsidRPr="00DD2C68" w:rsidR="001E79D4">
        <w:rPr>
          <w:rFonts w:ascii="Palatino Linotype" w:hAnsi="Palatino Linotype" w:cs="Times New Roman"/>
        </w:rPr>
        <w:t>)</w:t>
      </w:r>
      <w:r w:rsidRPr="00DD2C68">
        <w:rPr>
          <w:rFonts w:ascii="Palatino Linotype" w:hAnsi="Palatino Linotype" w:cs="Times New Roman"/>
        </w:rPr>
        <w:t xml:space="preserve"> </w:t>
      </w:r>
    </w:p>
    <w:p w:rsidRPr="00DD2C68" w:rsidR="001104F3" w:rsidP="007A761B" w:rsidRDefault="008D6833" w14:paraId="079D6463" w14:textId="3E17F74E">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Hot Spot located within, if any</w:t>
      </w:r>
      <w:r w:rsidRPr="00DD2C68">
        <w:tab/>
      </w:r>
    </w:p>
    <w:p w:rsidRPr="00DD2C68" w:rsidR="007B2300" w:rsidP="007A761B" w:rsidRDefault="001104F3" w14:paraId="2BB6A7E6" w14:textId="53F8D1C2">
      <w:pPr>
        <w:pStyle w:val="ListParagraph"/>
        <w:numPr>
          <w:ilvl w:val="0"/>
          <w:numId w:val="13"/>
        </w:numPr>
        <w:spacing w:line="259" w:lineRule="auto"/>
        <w:rPr>
          <w:rFonts w:ascii="Palatino Linotype" w:hAnsi="Palatino Linotype" w:cs="Times New Roman"/>
        </w:rPr>
      </w:pPr>
      <w:r w:rsidRPr="00DD2C68">
        <w:rPr>
          <w:rFonts w:ascii="Palatino Linotype" w:hAnsi="Palatino Linotype" w:cs="Times New Roman"/>
        </w:rPr>
        <w:t>IEPR Status</w:t>
      </w:r>
    </w:p>
    <w:p w:rsidRPr="00DD2C68" w:rsidR="00D33F03" w:rsidP="00E505AE" w:rsidRDefault="00D33F03" w14:paraId="7EB58E4B" w14:textId="0B9B6806">
      <w:pPr>
        <w:spacing w:line="259" w:lineRule="auto"/>
        <w:rPr>
          <w:rFonts w:ascii="Palatino Linotype" w:hAnsi="Palatino Linotype" w:cs="Times New Roman"/>
        </w:rPr>
      </w:pPr>
      <w:r w:rsidRPr="00DD2C68">
        <w:rPr>
          <w:rFonts w:ascii="Palatino Linotype" w:hAnsi="Palatino Linotype" w:cs="Times New Roman"/>
        </w:rPr>
        <w:lastRenderedPageBreak/>
        <w:t xml:space="preserve">We accept PG&amp;E’s proposal to report data on studies used </w:t>
      </w:r>
      <w:r w:rsidRPr="00DD2C68" w:rsidR="00E505AE">
        <w:rPr>
          <w:rFonts w:ascii="Palatino Linotype" w:hAnsi="Palatino Linotype" w:cs="Times New Roman"/>
        </w:rPr>
        <w:t>to inform the distribution planning process</w:t>
      </w:r>
      <w:r w:rsidRPr="00DD2C68">
        <w:rPr>
          <w:rFonts w:ascii="Palatino Linotype" w:hAnsi="Palatino Linotype" w:cs="Times New Roman"/>
        </w:rPr>
        <w:t xml:space="preserve">. This reporting requirement shall be applied </w:t>
      </w:r>
      <w:r w:rsidRPr="00DD2C68" w:rsidR="0091692E">
        <w:rPr>
          <w:rFonts w:ascii="Palatino Linotype" w:hAnsi="Palatino Linotype" w:cs="Times New Roman"/>
        </w:rPr>
        <w:t xml:space="preserve">to </w:t>
      </w:r>
      <w:r w:rsidRPr="00DD2C68">
        <w:rPr>
          <w:rFonts w:ascii="Palatino Linotype" w:hAnsi="Palatino Linotype" w:cs="Times New Roman"/>
        </w:rPr>
        <w:t xml:space="preserve">PG&amp;E and all utilities to report, at </w:t>
      </w:r>
      <w:r w:rsidRPr="00DD2C68" w:rsidR="00C9512D">
        <w:rPr>
          <w:rFonts w:ascii="Palatino Linotype" w:hAnsi="Palatino Linotype" w:cs="Times New Roman"/>
        </w:rPr>
        <w:t xml:space="preserve">a </w:t>
      </w:r>
      <w:r w:rsidRPr="00DD2C68">
        <w:rPr>
          <w:rFonts w:ascii="Palatino Linotype" w:hAnsi="Palatino Linotype" w:cs="Times New Roman"/>
        </w:rPr>
        <w:t xml:space="preserve">minimum, data on studies used as the basis </w:t>
      </w:r>
      <w:r w:rsidRPr="00DD2C68" w:rsidR="007B214C">
        <w:rPr>
          <w:rFonts w:ascii="Palatino Linotype" w:hAnsi="Palatino Linotype" w:cs="Times New Roman"/>
        </w:rPr>
        <w:t xml:space="preserve">for </w:t>
      </w:r>
      <w:r w:rsidRPr="00DD2C68">
        <w:rPr>
          <w:rFonts w:ascii="Palatino Linotype" w:hAnsi="Palatino Linotype" w:cs="Times New Roman"/>
        </w:rPr>
        <w:t>pending loads.</w:t>
      </w:r>
    </w:p>
    <w:p w:rsidRPr="00DD2C68" w:rsidR="001104F3" w:rsidP="007A761B" w:rsidRDefault="001104F3" w14:paraId="2CCFE48E" w14:textId="63F2555E">
      <w:pPr>
        <w:pStyle w:val="ListParagraph"/>
        <w:numPr>
          <w:ilvl w:val="0"/>
          <w:numId w:val="14"/>
        </w:numPr>
        <w:spacing w:line="259" w:lineRule="auto"/>
        <w:rPr>
          <w:rFonts w:ascii="Palatino Linotype" w:hAnsi="Palatino Linotype" w:cs="Times New Roman"/>
        </w:rPr>
      </w:pPr>
      <w:r w:rsidRPr="00DD2C68">
        <w:rPr>
          <w:rFonts w:ascii="Palatino Linotype" w:hAnsi="Palatino Linotype" w:cs="Times New Roman"/>
        </w:rPr>
        <w:t xml:space="preserve">Source of information (e.g., study, forecasting models, etc.) </w:t>
      </w:r>
      <w:r w:rsidRPr="00DD2C68">
        <w:rPr>
          <w:rFonts w:ascii="Palatino Linotype" w:hAnsi="Palatino Linotype" w:cs="Times New Roman"/>
        </w:rPr>
        <w:tab/>
      </w:r>
    </w:p>
    <w:p w:rsidRPr="00DD2C68" w:rsidR="001104F3" w:rsidP="007A761B" w:rsidRDefault="001104F3" w14:paraId="4C1FBD7B" w14:textId="62C1D0E9">
      <w:pPr>
        <w:pStyle w:val="ListParagraph"/>
        <w:numPr>
          <w:ilvl w:val="0"/>
          <w:numId w:val="14"/>
        </w:numPr>
        <w:spacing w:line="259" w:lineRule="auto"/>
        <w:rPr>
          <w:rFonts w:ascii="Palatino Linotype" w:hAnsi="Palatino Linotype" w:cs="Times New Roman"/>
        </w:rPr>
      </w:pPr>
      <w:r w:rsidRPr="00DD2C68">
        <w:rPr>
          <w:rFonts w:ascii="Palatino Linotype" w:hAnsi="Palatino Linotype" w:cs="Times New Roman"/>
        </w:rPr>
        <w:t>Data Access (e.g., links to public data, or provider of data if not publicly available)</w:t>
      </w:r>
      <w:r w:rsidRPr="00DD2C68">
        <w:rPr>
          <w:rFonts w:ascii="Palatino Linotype" w:hAnsi="Palatino Linotype" w:cs="Times New Roman"/>
        </w:rPr>
        <w:tab/>
      </w:r>
    </w:p>
    <w:p w:rsidRPr="00DD2C68" w:rsidR="001104F3" w:rsidP="007A761B" w:rsidRDefault="001104F3" w14:paraId="4E5DCD7A" w14:textId="40786BB6">
      <w:pPr>
        <w:pStyle w:val="ListParagraph"/>
        <w:numPr>
          <w:ilvl w:val="0"/>
          <w:numId w:val="14"/>
        </w:numPr>
        <w:spacing w:line="259" w:lineRule="auto"/>
        <w:rPr>
          <w:rFonts w:ascii="Palatino Linotype" w:hAnsi="Palatino Linotype" w:cs="Times New Roman"/>
        </w:rPr>
      </w:pPr>
      <w:r w:rsidRPr="00DD2C68">
        <w:rPr>
          <w:rFonts w:ascii="Palatino Linotype" w:hAnsi="Palatino Linotype" w:cs="Times New Roman"/>
        </w:rPr>
        <w:t xml:space="preserve">Detailed Methodology, including how data sources are translated into Pending Loads  </w:t>
      </w:r>
      <w:r w:rsidRPr="00DD2C68">
        <w:rPr>
          <w:rFonts w:ascii="Palatino Linotype" w:hAnsi="Palatino Linotype" w:cs="Times New Roman"/>
        </w:rPr>
        <w:tab/>
      </w:r>
    </w:p>
    <w:p w:rsidRPr="00DD2C68" w:rsidR="002205D8" w:rsidP="007A761B" w:rsidRDefault="001104F3" w14:paraId="1989A33A" w14:textId="4876A857">
      <w:pPr>
        <w:pStyle w:val="ListParagraph"/>
        <w:numPr>
          <w:ilvl w:val="0"/>
          <w:numId w:val="14"/>
        </w:numPr>
        <w:spacing w:line="259" w:lineRule="auto"/>
        <w:rPr>
          <w:rFonts w:ascii="Palatino Linotype" w:hAnsi="Palatino Linotype" w:cs="Times New Roman"/>
        </w:rPr>
      </w:pPr>
      <w:r w:rsidRPr="00DD2C68">
        <w:rPr>
          <w:rFonts w:ascii="Palatino Linotype" w:hAnsi="Palatino Linotype" w:cs="Times New Roman"/>
        </w:rPr>
        <w:t>Categorization of Pending Loads obtained from the study (B2 or C)</w:t>
      </w:r>
    </w:p>
    <w:p w:rsidRPr="00DD2C68" w:rsidR="008D6833" w:rsidP="007A761B" w:rsidRDefault="008D6833" w14:paraId="6520F65B" w14:textId="0B24E0E2">
      <w:pPr>
        <w:pStyle w:val="ListParagraph"/>
        <w:numPr>
          <w:ilvl w:val="0"/>
          <w:numId w:val="14"/>
        </w:numPr>
        <w:spacing w:line="259" w:lineRule="auto"/>
        <w:rPr>
          <w:rFonts w:ascii="Palatino Linotype" w:hAnsi="Palatino Linotype" w:cs="Times New Roman"/>
        </w:rPr>
      </w:pPr>
      <w:r w:rsidRPr="00DD2C68">
        <w:rPr>
          <w:rFonts w:ascii="Palatino Linotype" w:hAnsi="Palatino Linotype" w:cs="Times New Roman"/>
        </w:rPr>
        <w:t>Hot Spot location, if any and applicable</w:t>
      </w:r>
    </w:p>
    <w:p w:rsidRPr="00DD2C68" w:rsidR="002205D8" w:rsidP="00E94875" w:rsidRDefault="002205D8" w14:paraId="1DD0B168" w14:textId="0FD01A5D">
      <w:pPr>
        <w:pStyle w:val="paragraph"/>
        <w:spacing w:after="0"/>
        <w:textAlignment w:val="baseline"/>
        <w:rPr>
          <w:rFonts w:ascii="Palatino Linotype" w:hAnsi="Palatino Linotype"/>
        </w:rPr>
      </w:pPr>
      <w:r w:rsidRPr="00DD2C68">
        <w:rPr>
          <w:rFonts w:ascii="Palatino Linotype" w:hAnsi="Palatino Linotype"/>
        </w:rPr>
        <w:t xml:space="preserve">In addition, </w:t>
      </w:r>
      <w:r w:rsidRPr="00DD2C68" w:rsidR="00E94875">
        <w:rPr>
          <w:rFonts w:ascii="Palatino Linotype" w:hAnsi="Palatino Linotype"/>
        </w:rPr>
        <w:t xml:space="preserve">as </w:t>
      </w:r>
      <w:r w:rsidRPr="00DD2C68" w:rsidR="00541BCE">
        <w:rPr>
          <w:rFonts w:ascii="Palatino Linotype" w:hAnsi="Palatino Linotype"/>
        </w:rPr>
        <w:t xml:space="preserve">previously specified, </w:t>
      </w:r>
      <w:r w:rsidRPr="00DD2C68">
        <w:rPr>
          <w:rFonts w:ascii="Palatino Linotype" w:hAnsi="Palatino Linotype"/>
        </w:rPr>
        <w:t xml:space="preserve">utilities </w:t>
      </w:r>
      <w:r w:rsidRPr="00DD2C68" w:rsidR="009629BC">
        <w:rPr>
          <w:rFonts w:ascii="Palatino Linotype" w:hAnsi="Palatino Linotype"/>
        </w:rPr>
        <w:t>should</w:t>
      </w:r>
      <w:r w:rsidRPr="00DD2C68">
        <w:rPr>
          <w:rFonts w:ascii="Palatino Linotype" w:hAnsi="Palatino Linotype"/>
        </w:rPr>
        <w:t xml:space="preserve"> report a list of identified hot spots and </w:t>
      </w:r>
      <w:proofErr w:type="gramStart"/>
      <w:r w:rsidRPr="00DD2C68">
        <w:rPr>
          <w:rFonts w:ascii="Palatino Linotype" w:hAnsi="Palatino Linotype"/>
        </w:rPr>
        <w:t>utilized hot spots</w:t>
      </w:r>
      <w:proofErr w:type="gramEnd"/>
      <w:r w:rsidRPr="00DD2C68">
        <w:rPr>
          <w:rFonts w:ascii="Palatino Linotype" w:hAnsi="Palatino Linotype"/>
        </w:rPr>
        <w:t xml:space="preserve"> in the GNA/DUPR with sufficient detail to allow for known loads and pending loads reported as a part of the filing, as well as the information that supports the identification of the hot spots, to be connected to the hot spots. </w:t>
      </w:r>
    </w:p>
    <w:p w:rsidRPr="00DD2C68" w:rsidR="002205D8" w:rsidP="4708E492" w:rsidRDefault="00F7468F" w14:paraId="0FB772C0" w14:textId="13A668D8">
      <w:pPr>
        <w:spacing w:line="259" w:lineRule="auto"/>
        <w:rPr>
          <w:rFonts w:ascii="Palatino Linotype" w:hAnsi="Palatino Linotype" w:cs="Times New Roman"/>
        </w:rPr>
      </w:pPr>
      <w:r w:rsidRPr="00DD2C68">
        <w:rPr>
          <w:rFonts w:ascii="Palatino Linotype" w:hAnsi="Palatino Linotype" w:cs="Times New Roman"/>
        </w:rPr>
        <w:t xml:space="preserve">Finally, all three utilities shall report </w:t>
      </w:r>
      <w:r w:rsidRPr="00DD2C68" w:rsidR="006672FE">
        <w:rPr>
          <w:rFonts w:ascii="Palatino Linotype" w:hAnsi="Palatino Linotype" w:cs="Times New Roman"/>
        </w:rPr>
        <w:t>pending loads evaluation data in the 2027 pending loads evaluation workshop and advice letter as specified in D.24-10-030 Ordering Paragr</w:t>
      </w:r>
      <w:r w:rsidRPr="00DD2C68" w:rsidR="008818D4">
        <w:rPr>
          <w:rFonts w:ascii="Palatino Linotype" w:hAnsi="Palatino Linotype" w:cs="Times New Roman"/>
        </w:rPr>
        <w:t>aph 14.</w:t>
      </w:r>
      <w:r w:rsidRPr="00DD2C68" w:rsidR="00604751">
        <w:rPr>
          <w:rFonts w:ascii="Palatino Linotype" w:hAnsi="Palatino Linotype" w:cs="Times New Roman"/>
        </w:rPr>
        <w:t xml:space="preserve"> That</w:t>
      </w:r>
      <w:r w:rsidRPr="00DD2C68" w:rsidR="0018674B">
        <w:rPr>
          <w:rFonts w:ascii="Palatino Linotype" w:hAnsi="Palatino Linotype" w:cs="Times New Roman"/>
        </w:rPr>
        <w:t xml:space="preserve"> </w:t>
      </w:r>
      <w:r w:rsidRPr="00DD2C68" w:rsidR="007214BE">
        <w:rPr>
          <w:rFonts w:ascii="Palatino Linotype" w:hAnsi="Palatino Linotype" w:cs="Times New Roman"/>
        </w:rPr>
        <w:t>ordering paragr</w:t>
      </w:r>
      <w:r w:rsidRPr="00DD2C68" w:rsidR="004656E1">
        <w:rPr>
          <w:rFonts w:ascii="Palatino Linotype" w:hAnsi="Palatino Linotype" w:cs="Times New Roman"/>
        </w:rPr>
        <w:t>a</w:t>
      </w:r>
      <w:r w:rsidRPr="00DD2C68" w:rsidR="007214BE">
        <w:rPr>
          <w:rFonts w:ascii="Palatino Linotype" w:hAnsi="Palatino Linotype" w:cs="Times New Roman"/>
        </w:rPr>
        <w:t>ph</w:t>
      </w:r>
      <w:r w:rsidRPr="00DD2C68" w:rsidR="0018674B">
        <w:rPr>
          <w:rFonts w:ascii="Palatino Linotype" w:hAnsi="Palatino Linotype" w:cs="Times New Roman"/>
        </w:rPr>
        <w:t xml:space="preserve"> requires that the content of the pending loads evaluation </w:t>
      </w:r>
      <w:r w:rsidRPr="00DD2C68" w:rsidR="001F2639">
        <w:rPr>
          <w:rFonts w:ascii="Palatino Linotype" w:hAnsi="Palatino Linotype" w:cs="Times New Roman"/>
        </w:rPr>
        <w:t xml:space="preserve">advice letter </w:t>
      </w:r>
      <w:r w:rsidRPr="00DD2C68" w:rsidR="00AE6F6B">
        <w:rPr>
          <w:rFonts w:ascii="Palatino Linotype" w:hAnsi="Palatino Linotype" w:cs="Times New Roman"/>
        </w:rPr>
        <w:t xml:space="preserve">and the data </w:t>
      </w:r>
      <w:r w:rsidRPr="00DD2C68" w:rsidR="004A62A1">
        <w:rPr>
          <w:rFonts w:ascii="Palatino Linotype" w:hAnsi="Palatino Linotype" w:cs="Times New Roman"/>
        </w:rPr>
        <w:t xml:space="preserve">needed to be collected shall </w:t>
      </w:r>
      <w:r w:rsidRPr="00DD2C68" w:rsidR="001F2639">
        <w:rPr>
          <w:rFonts w:ascii="Palatino Linotype" w:hAnsi="Palatino Linotype" w:cs="Times New Roman"/>
        </w:rPr>
        <w:t>be finalized by this Resolution.</w:t>
      </w:r>
      <w:r w:rsidRPr="00DD2C68" w:rsidR="004A7F4A">
        <w:rPr>
          <w:rFonts w:ascii="Palatino Linotype" w:hAnsi="Palatino Linotype" w:cs="Times New Roman"/>
        </w:rPr>
        <w:t xml:space="preserve">  </w:t>
      </w:r>
      <w:r w:rsidRPr="00DD2C68" w:rsidR="431C5585">
        <w:rPr>
          <w:rFonts w:ascii="Palatino Linotype" w:hAnsi="Palatino Linotype" w:cs="Times New Roman"/>
        </w:rPr>
        <w:t>The text of OP 14 is as follows:</w:t>
      </w:r>
    </w:p>
    <w:p w:rsidRPr="00DD2C68" w:rsidR="002205D8" w:rsidP="006E4EE2" w:rsidRDefault="431C5585" w14:paraId="0E9E9BF4" w14:textId="596E9EE8">
      <w:pPr>
        <w:pStyle w:val="FootnoteText"/>
        <w:spacing w:line="259" w:lineRule="auto"/>
        <w:ind w:left="720"/>
        <w:rPr>
          <w:rFonts w:ascii="Palatino Linotype" w:hAnsi="Palatino Linotype"/>
          <w:sz w:val="24"/>
          <w:szCs w:val="24"/>
        </w:rPr>
      </w:pPr>
      <w:r w:rsidRPr="00DD2C68">
        <w:rPr>
          <w:rFonts w:ascii="Palatino Linotype" w:hAnsi="Palatino Linotype"/>
          <w:sz w:val="24"/>
          <w:szCs w:val="24"/>
        </w:rPr>
        <w:t xml:space="preserve">No later than September 30, 2027, Pacific Gas and Electric Company, San Diego Gas &amp; Electric Company, and Southern California Edison Company shall submit the </w:t>
      </w:r>
      <w:r w:rsidRPr="5FB9B0AE" w:rsidR="328102DE">
        <w:rPr>
          <w:rFonts w:ascii="Palatino Linotype" w:hAnsi="Palatino Linotype"/>
          <w:sz w:val="24"/>
          <w:szCs w:val="24"/>
        </w:rPr>
        <w:t xml:space="preserve">joint </w:t>
      </w:r>
      <w:r w:rsidRPr="00DD2C68">
        <w:rPr>
          <w:rFonts w:ascii="Palatino Linotype" w:hAnsi="Palatino Linotype"/>
          <w:sz w:val="24"/>
          <w:szCs w:val="24"/>
        </w:rPr>
        <w:t>Tier 3 Pending Load Evaluation Advice Letter. The required contents of the Pending Loads Evaluation Advice Letter and the data needed to be collected shall be considered during the Pending Loads Implementation Workshop and finalized in the disposition of the Pending Loads Implementation Advice Letter. At a minimum, Utilities shall include in their Pending Loads Evaluation Advice Letter: (1) an analysis of the percentage of pending loads that have bec</w:t>
      </w:r>
      <w:r w:rsidRPr="00DD2C68" w:rsidR="53EC42CD">
        <w:rPr>
          <w:rFonts w:ascii="Palatino Linotype" w:hAnsi="Palatino Linotype"/>
          <w:sz w:val="24"/>
          <w:szCs w:val="24"/>
        </w:rPr>
        <w:t>o</w:t>
      </w:r>
      <w:r w:rsidRPr="00DD2C68">
        <w:rPr>
          <w:rFonts w:ascii="Palatino Linotype" w:hAnsi="Palatino Linotype"/>
          <w:sz w:val="24"/>
          <w:szCs w:val="24"/>
        </w:rPr>
        <w:t>me energization requests in the form of a table that includes each pending load used in forecasting to date; (2) deviance of load size from pending load to actual known load; (3) deviance of load timing between pending loads and actual known load; (4) differences in the accuracy and usefulness of pending loads by load category (i.e., end use); (5) differences in the accuracy and usefulness of pending loads by information source and/or methodology; and (6) the expected in-service date of projects initiated as a result of the pending loads category.</w:t>
      </w:r>
    </w:p>
    <w:p w:rsidRPr="00DD2C68" w:rsidR="002205D8" w:rsidP="4708E492" w:rsidRDefault="002205D8" w14:paraId="3415C3A0" w14:textId="03D30759">
      <w:pPr>
        <w:spacing w:line="259" w:lineRule="auto"/>
        <w:rPr>
          <w:rFonts w:ascii="Palatino Linotype" w:hAnsi="Palatino Linotype" w:cs="Times New Roman"/>
        </w:rPr>
      </w:pPr>
    </w:p>
    <w:p w:rsidRPr="00DD2C68" w:rsidR="002205D8" w:rsidP="4708E492" w:rsidRDefault="004A7F4A" w14:paraId="0F826609" w14:textId="56CC3179">
      <w:pPr>
        <w:spacing w:line="259" w:lineRule="auto"/>
        <w:rPr>
          <w:rFonts w:ascii="Palatino Linotype" w:hAnsi="Palatino Linotype" w:cs="Times New Roman"/>
        </w:rPr>
      </w:pPr>
      <w:r w:rsidRPr="00DD2C68">
        <w:rPr>
          <w:rFonts w:ascii="Palatino Linotype" w:hAnsi="Palatino Linotype" w:cs="Times New Roman"/>
        </w:rPr>
        <w:t xml:space="preserve">We find that the </w:t>
      </w:r>
      <w:r w:rsidRPr="00DD2C68" w:rsidR="00121A0B">
        <w:rPr>
          <w:rFonts w:ascii="Palatino Linotype" w:hAnsi="Palatino Linotype" w:cs="Times New Roman"/>
        </w:rPr>
        <w:t>reporting data</w:t>
      </w:r>
      <w:r w:rsidRPr="00DD2C68" w:rsidR="00E539B6">
        <w:rPr>
          <w:rFonts w:ascii="Palatino Linotype" w:hAnsi="Palatino Linotype" w:cs="Times New Roman"/>
        </w:rPr>
        <w:t xml:space="preserve"> identified in this resolution is sufficient for the pending load</w:t>
      </w:r>
      <w:r w:rsidRPr="00DD2C68" w:rsidR="00144CF6">
        <w:rPr>
          <w:rFonts w:ascii="Palatino Linotype" w:hAnsi="Palatino Linotype" w:cs="Times New Roman"/>
        </w:rPr>
        <w:t xml:space="preserve">s evaluation advice letter and the six </w:t>
      </w:r>
      <w:r w:rsidRPr="00DD2C68" w:rsidR="007214BE">
        <w:rPr>
          <w:rFonts w:ascii="Palatino Linotype" w:hAnsi="Palatino Linotype" w:cs="Times New Roman"/>
        </w:rPr>
        <w:t>content requirements for the advice letter as specified in D.24-10-030 Ordering Paragraph 14</w:t>
      </w:r>
      <w:r w:rsidRPr="00DD2C68" w:rsidR="00467D4B">
        <w:rPr>
          <w:rFonts w:ascii="Palatino Linotype" w:hAnsi="Palatino Linotype" w:cs="Times New Roman"/>
        </w:rPr>
        <w:t xml:space="preserve"> are sufficient for the evaluation of pending loads</w:t>
      </w:r>
      <w:r w:rsidRPr="00DD2C68" w:rsidR="150A8AFF">
        <w:rPr>
          <w:rFonts w:ascii="Palatino Linotype" w:hAnsi="Palatino Linotype" w:cs="Times New Roman"/>
        </w:rPr>
        <w:t xml:space="preserve"> with the follow</w:t>
      </w:r>
      <w:r w:rsidRPr="00DD2C68" w:rsidR="00533AA6">
        <w:rPr>
          <w:rFonts w:ascii="Palatino Linotype" w:hAnsi="Palatino Linotype" w:cs="Times New Roman"/>
        </w:rPr>
        <w:t>ing</w:t>
      </w:r>
      <w:r w:rsidRPr="00DD2C68" w:rsidR="150A8AFF">
        <w:rPr>
          <w:rFonts w:ascii="Palatino Linotype" w:hAnsi="Palatino Linotype" w:cs="Times New Roman"/>
        </w:rPr>
        <w:t xml:space="preserve"> edits of criteria 1 and 4</w:t>
      </w:r>
      <w:r w:rsidRPr="00DD2C68" w:rsidR="0C00C1A8">
        <w:rPr>
          <w:rFonts w:ascii="Palatino Linotype" w:hAnsi="Palatino Linotype" w:cs="Times New Roman"/>
        </w:rPr>
        <w:t xml:space="preserve"> and one new </w:t>
      </w:r>
      <w:proofErr w:type="gramStart"/>
      <w:r w:rsidRPr="00DD2C68" w:rsidR="0C00C1A8">
        <w:rPr>
          <w:rFonts w:ascii="Palatino Linotype" w:hAnsi="Palatino Linotype" w:cs="Times New Roman"/>
        </w:rPr>
        <w:t>criteria</w:t>
      </w:r>
      <w:proofErr w:type="gramEnd"/>
      <w:r w:rsidRPr="00DD2C68" w:rsidR="0C00C1A8">
        <w:rPr>
          <w:rFonts w:ascii="Palatino Linotype" w:hAnsi="Palatino Linotype" w:cs="Times New Roman"/>
        </w:rPr>
        <w:t xml:space="preserve"> 7:</w:t>
      </w:r>
    </w:p>
    <w:p w:rsidRPr="00DD2C68" w:rsidR="002205D8" w:rsidDel="00533AA6" w:rsidP="007F3A27" w:rsidRDefault="70F68BEB" w14:paraId="43DA9DF1" w14:textId="0F11FD93">
      <w:pPr>
        <w:pStyle w:val="FootnoteText"/>
        <w:spacing w:line="259" w:lineRule="auto"/>
        <w:rPr>
          <w:rFonts w:ascii="Palatino Linotype" w:hAnsi="Palatino Linotype"/>
          <w:sz w:val="24"/>
          <w:szCs w:val="24"/>
        </w:rPr>
      </w:pPr>
      <w:r w:rsidRPr="00DD2C68">
        <w:rPr>
          <w:rFonts w:ascii="Palatino Linotype" w:hAnsi="Palatino Linotype"/>
          <w:sz w:val="24"/>
          <w:szCs w:val="24"/>
        </w:rPr>
        <w:t>(1) an analysis of the percentage of pending loads that have bec</w:t>
      </w:r>
      <w:r w:rsidRPr="00DD2C68" w:rsidR="7501A7EF">
        <w:rPr>
          <w:rFonts w:ascii="Palatino Linotype" w:hAnsi="Palatino Linotype"/>
          <w:sz w:val="24"/>
          <w:szCs w:val="24"/>
        </w:rPr>
        <w:t>o</w:t>
      </w:r>
      <w:r w:rsidRPr="00DD2C68">
        <w:rPr>
          <w:rFonts w:ascii="Palatino Linotype" w:hAnsi="Palatino Linotype"/>
          <w:sz w:val="24"/>
          <w:szCs w:val="24"/>
        </w:rPr>
        <w:t>me energization requests</w:t>
      </w:r>
      <w:r w:rsidRPr="00DD2C68" w:rsidR="599FA74A">
        <w:rPr>
          <w:rFonts w:ascii="Palatino Linotype" w:hAnsi="Palatino Linotype"/>
          <w:sz w:val="24"/>
          <w:szCs w:val="24"/>
        </w:rPr>
        <w:t xml:space="preserve"> </w:t>
      </w:r>
      <w:r w:rsidRPr="00DD2C68" w:rsidR="599FA74A">
        <w:rPr>
          <w:rFonts w:ascii="Palatino Linotype" w:hAnsi="Palatino Linotype"/>
          <w:sz w:val="24"/>
          <w:szCs w:val="24"/>
          <w:u w:val="single"/>
        </w:rPr>
        <w:t>or were cancelled/removed</w:t>
      </w:r>
      <w:r w:rsidRPr="00DD2C68">
        <w:rPr>
          <w:rFonts w:ascii="Palatino Linotype" w:hAnsi="Palatino Linotype"/>
          <w:sz w:val="24"/>
          <w:szCs w:val="24"/>
          <w:u w:val="single"/>
        </w:rPr>
        <w:t xml:space="preserve"> </w:t>
      </w:r>
      <w:r w:rsidRPr="00DD2C68">
        <w:rPr>
          <w:rFonts w:ascii="Palatino Linotype" w:hAnsi="Palatino Linotype"/>
          <w:sz w:val="24"/>
          <w:szCs w:val="24"/>
        </w:rPr>
        <w:t xml:space="preserve">in the form of a table that includes each pending load used in forecasting to </w:t>
      </w:r>
      <w:proofErr w:type="gramStart"/>
      <w:r w:rsidRPr="00DD2C68">
        <w:rPr>
          <w:rFonts w:ascii="Palatino Linotype" w:hAnsi="Palatino Linotype"/>
          <w:sz w:val="24"/>
          <w:szCs w:val="24"/>
        </w:rPr>
        <w:t>date;</w:t>
      </w:r>
      <w:proofErr w:type="gramEnd"/>
    </w:p>
    <w:p w:rsidRPr="00DD2C68" w:rsidR="002205D8" w:rsidP="6050FB9F" w:rsidRDefault="0B07243E" w14:paraId="1E3365DF" w14:textId="3E0A0DB0">
      <w:pPr>
        <w:spacing w:line="259" w:lineRule="auto"/>
        <w:rPr>
          <w:rFonts w:ascii="Palatino Linotype" w:hAnsi="Palatino Linotype" w:eastAsia="Palatino Linotype" w:cs="Palatino Linotype"/>
        </w:rPr>
      </w:pPr>
      <w:r w:rsidRPr="00DD2C68">
        <w:rPr>
          <w:rFonts w:ascii="Palatino Linotype" w:hAnsi="Palatino Linotype" w:cs="Times New Roman"/>
        </w:rPr>
        <w:t>(</w:t>
      </w:r>
      <w:r w:rsidRPr="00DD2C68" w:rsidR="71C2B302">
        <w:rPr>
          <w:rFonts w:ascii="Palatino Linotype" w:hAnsi="Palatino Linotype" w:eastAsia="Palatino Linotype" w:cs="Palatino Linotype"/>
        </w:rPr>
        <w:t xml:space="preserve">4) differences in the accuracy and usefulness of pending loads by load </w:t>
      </w:r>
      <w:r w:rsidRPr="00DD2C68" w:rsidR="78A96847">
        <w:rPr>
          <w:rFonts w:ascii="Palatino Linotype" w:hAnsi="Palatino Linotype" w:eastAsia="Palatino Linotype" w:cs="Palatino Linotype"/>
        </w:rPr>
        <w:t xml:space="preserve">type </w:t>
      </w:r>
      <w:r w:rsidR="00E96194">
        <w:rPr>
          <w:rFonts w:ascii="Palatino Linotype" w:hAnsi="Palatino Linotype" w:eastAsia="Palatino Linotype" w:cs="Palatino Linotype"/>
        </w:rPr>
        <w:br/>
      </w:r>
      <w:r w:rsidRPr="00DD2C68" w:rsidR="78A96847">
        <w:rPr>
          <w:rFonts w:ascii="Palatino Linotype" w:hAnsi="Palatino Linotype" w:eastAsia="Palatino Linotype" w:cs="Palatino Linotype"/>
          <w:u w:val="single"/>
        </w:rPr>
        <w:t>(i.e. commercial, industrial etc</w:t>
      </w:r>
      <w:r w:rsidRPr="00DD2C68" w:rsidR="000E0DE1">
        <w:rPr>
          <w:rFonts w:ascii="Palatino Linotype" w:hAnsi="Palatino Linotype" w:eastAsia="Palatino Linotype" w:cs="Palatino Linotype"/>
          <w:u w:val="single"/>
        </w:rPr>
        <w:t>.</w:t>
      </w:r>
      <w:r w:rsidRPr="00DD2C68" w:rsidR="78A96847">
        <w:rPr>
          <w:rFonts w:ascii="Palatino Linotype" w:hAnsi="Palatino Linotype" w:eastAsia="Palatino Linotype" w:cs="Palatino Linotype"/>
          <w:u w:val="single"/>
        </w:rPr>
        <w:t>)</w:t>
      </w:r>
      <w:r w:rsidRPr="00DD2C68" w:rsidR="78A96847">
        <w:rPr>
          <w:rFonts w:ascii="Palatino Linotype" w:hAnsi="Palatino Linotype" w:eastAsia="Palatino Linotype" w:cs="Palatino Linotype"/>
        </w:rPr>
        <w:t xml:space="preserve"> and load </w:t>
      </w:r>
      <w:r w:rsidRPr="00DD2C68" w:rsidR="71C2B302">
        <w:rPr>
          <w:rFonts w:ascii="Palatino Linotype" w:hAnsi="Palatino Linotype" w:eastAsia="Palatino Linotype" w:cs="Palatino Linotype"/>
        </w:rPr>
        <w:t>category (i.e.,</w:t>
      </w:r>
      <w:r w:rsidRPr="00DD2C68" w:rsidR="6FA39165">
        <w:rPr>
          <w:rFonts w:ascii="Palatino Linotype" w:hAnsi="Palatino Linotype" w:eastAsia="Palatino Linotype" w:cs="Palatino Linotype"/>
        </w:rPr>
        <w:t xml:space="preserve"> </w:t>
      </w:r>
      <w:r w:rsidRPr="00DD2C68" w:rsidR="00A85B51">
        <w:rPr>
          <w:rFonts w:ascii="Palatino Linotype" w:hAnsi="Palatino Linotype" w:eastAsia="Palatino Linotype" w:cs="Palatino Linotype"/>
        </w:rPr>
        <w:t xml:space="preserve">end-use </w:t>
      </w:r>
      <w:r w:rsidRPr="00DD2C68" w:rsidR="00A85B51">
        <w:rPr>
          <w:rFonts w:ascii="Palatino Linotype" w:hAnsi="Palatino Linotype" w:eastAsia="Palatino Linotype" w:cs="Palatino Linotype"/>
          <w:u w:val="single"/>
        </w:rPr>
        <w:t>such as</w:t>
      </w:r>
      <w:r w:rsidRPr="00DD2C68" w:rsidR="6FA39165">
        <w:rPr>
          <w:rFonts w:ascii="Palatino Linotype" w:hAnsi="Palatino Linotype" w:eastAsia="Palatino Linotype" w:cs="Palatino Linotype"/>
          <w:u w:val="single"/>
        </w:rPr>
        <w:t xml:space="preserve"> MDHD EV, light </w:t>
      </w:r>
      <w:r w:rsidRPr="00DD2C68" w:rsidR="0700026C">
        <w:rPr>
          <w:rFonts w:ascii="Palatino Linotype" w:hAnsi="Palatino Linotype" w:eastAsia="Palatino Linotype" w:cs="Palatino Linotype"/>
          <w:u w:val="single"/>
        </w:rPr>
        <w:t>duty EV etc.</w:t>
      </w:r>
      <w:r w:rsidRPr="00DD2C68" w:rsidR="71C2B302">
        <w:rPr>
          <w:rFonts w:ascii="Palatino Linotype" w:hAnsi="Palatino Linotype" w:eastAsia="Palatino Linotype" w:cs="Palatino Linotype"/>
          <w:u w:val="single"/>
        </w:rPr>
        <w:t>)</w:t>
      </w:r>
      <w:r w:rsidRPr="00DD2C68" w:rsidR="00FA4315">
        <w:rPr>
          <w:rFonts w:ascii="Palatino Linotype" w:hAnsi="Palatino Linotype" w:eastAsia="Palatino Linotype" w:cs="Palatino Linotype"/>
        </w:rPr>
        <w:t>.</w:t>
      </w:r>
    </w:p>
    <w:p w:rsidRPr="00DD2C68" w:rsidR="2A8CCC41" w:rsidP="4708E492" w:rsidRDefault="2A8CCC41" w14:paraId="5D01DDAF" w14:textId="3CD800EE">
      <w:pPr>
        <w:spacing w:line="259" w:lineRule="auto"/>
        <w:rPr>
          <w:rFonts w:ascii="Palatino Linotype" w:hAnsi="Palatino Linotype" w:eastAsia="Palatino Linotype" w:cs="Palatino Linotype"/>
          <w:u w:val="single"/>
        </w:rPr>
      </w:pPr>
      <w:r w:rsidRPr="00DD2C68">
        <w:rPr>
          <w:rFonts w:ascii="Palatino Linotype" w:hAnsi="Palatino Linotype" w:eastAsia="Palatino Linotype" w:cs="Palatino Linotype"/>
          <w:u w:val="single"/>
        </w:rPr>
        <w:t xml:space="preserve">(7) How the risks of pending loads </w:t>
      </w:r>
      <w:r w:rsidRPr="00DD2C68" w:rsidR="00F16BE5">
        <w:rPr>
          <w:rFonts w:ascii="Palatino Linotype" w:hAnsi="Palatino Linotype" w:eastAsia="Palatino Linotype" w:cs="Palatino Linotype"/>
          <w:u w:val="single"/>
        </w:rPr>
        <w:t xml:space="preserve">that do </w:t>
      </w:r>
      <w:r w:rsidRPr="00DD2C68">
        <w:rPr>
          <w:rFonts w:ascii="Palatino Linotype" w:hAnsi="Palatino Linotype" w:eastAsia="Palatino Linotype" w:cs="Palatino Linotype"/>
          <w:u w:val="single"/>
        </w:rPr>
        <w:t>not material</w:t>
      </w:r>
      <w:r w:rsidRPr="00DD2C68" w:rsidR="00630EF7">
        <w:rPr>
          <w:rFonts w:ascii="Palatino Linotype" w:hAnsi="Palatino Linotype" w:eastAsia="Palatino Linotype" w:cs="Palatino Linotype"/>
          <w:u w:val="single"/>
        </w:rPr>
        <w:t>ize</w:t>
      </w:r>
      <w:r w:rsidRPr="00DD2C68">
        <w:rPr>
          <w:rFonts w:ascii="Palatino Linotype" w:hAnsi="Palatino Linotype" w:eastAsia="Palatino Linotype" w:cs="Palatino Linotype"/>
          <w:u w:val="single"/>
        </w:rPr>
        <w:t xml:space="preserve"> can be mitigated.</w:t>
      </w:r>
    </w:p>
    <w:p w:rsidRPr="00DD2C68" w:rsidR="000208AF" w:rsidP="00F41E19" w:rsidRDefault="000208AF" w14:paraId="435D9634" w14:textId="5C4C2E1E">
      <w:pPr>
        <w:pStyle w:val="Heading2"/>
        <w:rPr>
          <w:rFonts w:ascii="Palatino Linotype" w:hAnsi="Palatino Linotype"/>
          <w:color w:val="auto"/>
        </w:rPr>
      </w:pPr>
      <w:r w:rsidRPr="00DD2C68">
        <w:rPr>
          <w:rFonts w:ascii="Palatino Linotype" w:hAnsi="Palatino Linotype"/>
          <w:color w:val="auto"/>
        </w:rPr>
        <w:t>Community Engagement Plans as a</w:t>
      </w:r>
      <w:r w:rsidRPr="00DD2C68" w:rsidR="00B529A1">
        <w:rPr>
          <w:rFonts w:ascii="Palatino Linotype" w:hAnsi="Palatino Linotype"/>
          <w:color w:val="auto"/>
        </w:rPr>
        <w:t>n</w:t>
      </w:r>
      <w:r w:rsidRPr="00DD2C68">
        <w:rPr>
          <w:rFonts w:ascii="Palatino Linotype" w:hAnsi="Palatino Linotype"/>
          <w:color w:val="auto"/>
        </w:rPr>
        <w:t xml:space="preserve"> </w:t>
      </w:r>
      <w:r w:rsidRPr="00DD2C68" w:rsidR="00B529A1">
        <w:rPr>
          <w:rFonts w:ascii="Palatino Linotype" w:hAnsi="Palatino Linotype"/>
          <w:color w:val="auto"/>
        </w:rPr>
        <w:t>Input</w:t>
      </w:r>
      <w:r w:rsidRPr="00DD2C68">
        <w:rPr>
          <w:rFonts w:ascii="Palatino Linotype" w:hAnsi="Palatino Linotype"/>
          <w:color w:val="auto"/>
        </w:rPr>
        <w:t xml:space="preserve"> </w:t>
      </w:r>
      <w:r w:rsidRPr="00DD2C68" w:rsidR="00B529A1">
        <w:rPr>
          <w:rFonts w:ascii="Palatino Linotype" w:hAnsi="Palatino Linotype"/>
          <w:color w:val="auto"/>
        </w:rPr>
        <w:t>to</w:t>
      </w:r>
      <w:r w:rsidRPr="00DD2C68">
        <w:rPr>
          <w:rFonts w:ascii="Palatino Linotype" w:hAnsi="Palatino Linotype"/>
          <w:color w:val="auto"/>
        </w:rPr>
        <w:t xml:space="preserve"> Pending Loads</w:t>
      </w:r>
    </w:p>
    <w:p w:rsidRPr="00DD2C68" w:rsidR="000208AF" w:rsidP="000208AF" w:rsidRDefault="000208AF" w14:paraId="7858220D" w14:textId="14DDFF43">
      <w:pPr>
        <w:spacing w:line="259" w:lineRule="auto"/>
        <w:rPr>
          <w:rFonts w:ascii="Palatino Linotype" w:hAnsi="Palatino Linotype" w:cs="Times New Roman"/>
          <w:b/>
          <w:bCs/>
        </w:rPr>
      </w:pPr>
      <w:r w:rsidRPr="00DD2C68">
        <w:rPr>
          <w:rFonts w:ascii="Palatino Linotype" w:hAnsi="Palatino Linotype" w:cs="Times New Roman"/>
        </w:rPr>
        <w:t xml:space="preserve">SCE does not </w:t>
      </w:r>
      <w:r w:rsidRPr="00DD2C68" w:rsidR="00BB651C">
        <w:rPr>
          <w:rFonts w:ascii="Palatino Linotype" w:hAnsi="Palatino Linotype" w:cs="Times New Roman"/>
        </w:rPr>
        <w:t>refer to</w:t>
      </w:r>
      <w:r w:rsidRPr="00DD2C68">
        <w:rPr>
          <w:rFonts w:ascii="Palatino Linotype" w:hAnsi="Palatino Linotype" w:cs="Times New Roman"/>
        </w:rPr>
        <w:t xml:space="preserve"> </w:t>
      </w:r>
      <w:r w:rsidRPr="00DD2C68" w:rsidR="00756D75">
        <w:rPr>
          <w:rFonts w:ascii="Palatino Linotype" w:hAnsi="Palatino Linotype" w:cs="Times New Roman"/>
        </w:rPr>
        <w:t>C</w:t>
      </w:r>
      <w:r w:rsidRPr="00DD2C68">
        <w:rPr>
          <w:rFonts w:ascii="Palatino Linotype" w:hAnsi="Palatino Linotype" w:cs="Times New Roman"/>
        </w:rPr>
        <w:t xml:space="preserve">ommunity </w:t>
      </w:r>
      <w:r w:rsidRPr="00DD2C68" w:rsidR="00756D75">
        <w:rPr>
          <w:rFonts w:ascii="Palatino Linotype" w:hAnsi="Palatino Linotype" w:cs="Times New Roman"/>
        </w:rPr>
        <w:t>E</w:t>
      </w:r>
      <w:r w:rsidRPr="00DD2C68">
        <w:rPr>
          <w:rFonts w:ascii="Palatino Linotype" w:hAnsi="Palatino Linotype" w:cs="Times New Roman"/>
        </w:rPr>
        <w:t xml:space="preserve">ngagement </w:t>
      </w:r>
      <w:r w:rsidRPr="00DD2C68" w:rsidR="00756D75">
        <w:rPr>
          <w:rFonts w:ascii="Palatino Linotype" w:hAnsi="Palatino Linotype" w:cs="Times New Roman"/>
        </w:rPr>
        <w:t>P</w:t>
      </w:r>
      <w:r w:rsidRPr="00DD2C68">
        <w:rPr>
          <w:rFonts w:ascii="Palatino Linotype" w:hAnsi="Palatino Linotype" w:cs="Times New Roman"/>
        </w:rPr>
        <w:t xml:space="preserve">lans as a source of pending loads. SCE includes “customer inputs” as the data source informing both Category A and Category B1 pending loads. SCE cites “customer projects where the customer has not submitted a complete energization application” as the basis for the customer </w:t>
      </w:r>
      <w:r w:rsidRPr="00DD2C68" w:rsidR="00F94B10">
        <w:rPr>
          <w:rFonts w:ascii="Palatino Linotype" w:hAnsi="Palatino Linotype" w:cs="Times New Roman"/>
        </w:rPr>
        <w:t>inputs and</w:t>
      </w:r>
      <w:r w:rsidRPr="00DD2C68">
        <w:rPr>
          <w:rFonts w:ascii="Palatino Linotype" w:hAnsi="Palatino Linotype" w:cs="Times New Roman"/>
        </w:rPr>
        <w:t xml:space="preserve"> uses the examples of “customer fleet electrification where locations and load amounts are known, but the timing is still tentative, or a large industrial distribution center where location and timing are known, but load amount is still uncertain.” Similarly, SDG&amp;E’s pending loads proposal does not include any data sources that leverage incomplete customer applications, customer pre-applications, or customer plans. SDG&amp;E’s only proposed source of pending load data is the bottom-up MD/HD TE study.</w:t>
      </w:r>
    </w:p>
    <w:p w:rsidRPr="00DD2C68" w:rsidR="000208AF" w:rsidP="000208AF" w:rsidRDefault="000208AF" w14:paraId="14B727C3" w14:textId="71C756BA">
      <w:pPr>
        <w:spacing w:line="259" w:lineRule="auto"/>
        <w:rPr>
          <w:rFonts w:ascii="Palatino Linotype" w:hAnsi="Palatino Linotype" w:cs="Times New Roman"/>
        </w:rPr>
      </w:pPr>
      <w:r w:rsidRPr="00DD2C68">
        <w:rPr>
          <w:rFonts w:ascii="Palatino Linotype" w:hAnsi="Palatino Linotype" w:cs="Times New Roman"/>
        </w:rPr>
        <w:t xml:space="preserve">Neither SCE nor SDG&amp;E reference the Community Engagement Plans, or the outreach described therewithin, as a source of customer </w:t>
      </w:r>
      <w:r w:rsidRPr="00DD2C68" w:rsidR="000D7925">
        <w:rPr>
          <w:rFonts w:ascii="Palatino Linotype" w:hAnsi="Palatino Linotype" w:cs="Times New Roman"/>
        </w:rPr>
        <w:t>input</w:t>
      </w:r>
      <w:r w:rsidRPr="00DD2C68">
        <w:rPr>
          <w:rFonts w:ascii="Palatino Linotype" w:hAnsi="Palatino Linotype" w:cs="Times New Roman"/>
        </w:rPr>
        <w:t xml:space="preserve">. Conversely, PG&amp;E explicitly references the Community Engagement Plans as the source of pending loads for both the “direct customer engagement” and “community plans” types of pending load sources. Decision 24-10-030 specifies in the Community Engagement Plan section 3.13 that the Community Engagement Plans must address community feedback in DPP </w:t>
      </w:r>
      <w:r w:rsidRPr="00DD2C68" w:rsidR="007F3A27">
        <w:rPr>
          <w:rFonts w:ascii="Palatino Linotype" w:hAnsi="Palatino Linotype" w:cs="Times New Roman"/>
        </w:rPr>
        <w:t>using</w:t>
      </w:r>
      <w:r w:rsidRPr="00DD2C68">
        <w:rPr>
          <w:rFonts w:ascii="Palatino Linotype" w:hAnsi="Palatino Linotype" w:cs="Times New Roman"/>
        </w:rPr>
        <w:t xml:space="preserve"> pending loads</w:t>
      </w:r>
      <w:r w:rsidRPr="00DD2C68" w:rsidR="00033AF2">
        <w:rPr>
          <w:rFonts w:ascii="Palatino Linotype" w:hAnsi="Palatino Linotype" w:cs="Times New Roman"/>
        </w:rPr>
        <w:t xml:space="preserve">. </w:t>
      </w:r>
      <w:r w:rsidRPr="00DD2C68">
        <w:rPr>
          <w:rFonts w:ascii="Palatino Linotype" w:hAnsi="Palatino Linotype" w:cs="Times New Roman"/>
        </w:rPr>
        <w:t>Furthermore, in response to SCE’s question to the Commission about how to incorporate feedback from community engagement meetings, the Commission stated</w:t>
      </w:r>
      <w:r w:rsidRPr="00DD2C68" w:rsidR="007B52BF">
        <w:rPr>
          <w:rFonts w:ascii="Palatino Linotype" w:hAnsi="Palatino Linotype" w:cs="Times New Roman"/>
        </w:rPr>
        <w:t xml:space="preserve"> on page 111 of the Decision</w:t>
      </w:r>
      <w:r w:rsidRPr="00DD2C68">
        <w:rPr>
          <w:rFonts w:ascii="Palatino Linotype" w:hAnsi="Palatino Linotype" w:cs="Times New Roman"/>
        </w:rPr>
        <w:t xml:space="preserve"> that “coordination and customer </w:t>
      </w:r>
      <w:r w:rsidRPr="00DD2C68">
        <w:rPr>
          <w:rFonts w:ascii="Palatino Linotype" w:hAnsi="Palatino Linotype" w:cs="Times New Roman"/>
        </w:rPr>
        <w:lastRenderedPageBreak/>
        <w:t xml:space="preserve">outreach efforts should be included as a minimum requirement of the pending loads category.” </w:t>
      </w:r>
    </w:p>
    <w:p w:rsidRPr="00DD2C68" w:rsidR="000208AF" w:rsidP="000208AF" w:rsidRDefault="000208AF" w14:paraId="517D0F4C" w14:textId="14FC644D">
      <w:pPr>
        <w:spacing w:line="259" w:lineRule="auto"/>
        <w:rPr>
          <w:rFonts w:ascii="Palatino Linotype" w:hAnsi="Palatino Linotype" w:cs="Times New Roman"/>
        </w:rPr>
      </w:pPr>
      <w:r w:rsidRPr="00DD2C68">
        <w:rPr>
          <w:rFonts w:ascii="Palatino Linotype" w:hAnsi="Palatino Linotype" w:cs="Times New Roman"/>
        </w:rPr>
        <w:t>We find it</w:t>
      </w:r>
      <w:r w:rsidRPr="00DD2C68" w:rsidR="00033AF2">
        <w:rPr>
          <w:rFonts w:ascii="Palatino Linotype" w:hAnsi="Palatino Linotype" w:cs="Times New Roman"/>
        </w:rPr>
        <w:t xml:space="preserve"> is</w:t>
      </w:r>
      <w:r w:rsidRPr="00DD2C68">
        <w:rPr>
          <w:rFonts w:ascii="Palatino Linotype" w:hAnsi="Palatino Linotype" w:cs="Times New Roman"/>
        </w:rPr>
        <w:t xml:space="preserve"> reasonable that SCE and SDG&amp;E use the community outreach opportunities described within </w:t>
      </w:r>
      <w:r w:rsidRPr="00DD2C68" w:rsidR="00655E46">
        <w:rPr>
          <w:rFonts w:ascii="Palatino Linotype" w:hAnsi="Palatino Linotype" w:cs="Times New Roman"/>
        </w:rPr>
        <w:t>each utility’s</w:t>
      </w:r>
      <w:r w:rsidRPr="00DD2C68">
        <w:rPr>
          <w:rFonts w:ascii="Palatino Linotype" w:hAnsi="Palatino Linotype" w:cs="Times New Roman"/>
        </w:rPr>
        <w:t xml:space="preserve"> Community Engagement Plan to collect information on community plans and load growth projects to inform Category A and Category B</w:t>
      </w:r>
      <w:r w:rsidRPr="00DD2C68" w:rsidR="00033AF2">
        <w:rPr>
          <w:rFonts w:ascii="Palatino Linotype" w:hAnsi="Palatino Linotype" w:cs="Times New Roman"/>
        </w:rPr>
        <w:t>1</w:t>
      </w:r>
      <w:r w:rsidRPr="00DD2C68">
        <w:rPr>
          <w:rFonts w:ascii="Palatino Linotype" w:hAnsi="Palatino Linotype" w:cs="Times New Roman"/>
        </w:rPr>
        <w:t xml:space="preserve"> pending loads. Furthermore, SCE and SDG&amp;E should make this connection clear in future reporting on pending load sources. </w:t>
      </w:r>
    </w:p>
    <w:p w:rsidRPr="00DD2C68" w:rsidR="00A76F4A" w:rsidP="4A3BDD87" w:rsidRDefault="00A76F4A" w14:paraId="3D85FD64" w14:textId="7B14F69F">
      <w:pPr>
        <w:keepNext/>
        <w:spacing w:before="120" w:after="240" w:line="240" w:lineRule="auto"/>
        <w:outlineLvl w:val="0"/>
        <w:rPr>
          <w:rFonts w:ascii="Palatino Linotype" w:hAnsi="Palatino Linotype" w:eastAsia="Palatino Linotype" w:cs="Times New Roman"/>
          <w:b/>
          <w:bCs/>
          <w:caps/>
          <w:kern w:val="0"/>
          <w:u w:val="single"/>
          <w14:ligatures w14:val="none"/>
        </w:rPr>
      </w:pPr>
      <w:r w:rsidRPr="00DD2C68">
        <w:rPr>
          <w:rFonts w:ascii="Palatino Linotype" w:hAnsi="Palatino Linotype" w:eastAsia="Palatino Linotype" w:cs="Times New Roman"/>
          <w:b/>
          <w:bCs/>
          <w:caps/>
          <w:kern w:val="28"/>
          <w:u w:val="single"/>
          <w14:ligatures w14:val="none"/>
        </w:rPr>
        <w:t>Comments</w:t>
      </w:r>
    </w:p>
    <w:p w:rsidRPr="00DD2C68" w:rsidR="00A76F4A" w:rsidP="00A76F4A" w:rsidRDefault="00A76F4A" w14:paraId="5856CC6E" w14:textId="6E463AE1">
      <w:pPr>
        <w:spacing w:after="0" w:line="240" w:lineRule="auto"/>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DD2C68" w:rsidR="00A76F4A" w:rsidP="00A76F4A" w:rsidRDefault="00A76F4A" w14:paraId="14ED6F68" w14:textId="174DB32A">
      <w:pPr>
        <w:spacing w:after="0" w:line="240" w:lineRule="auto"/>
        <w:rPr>
          <w:rFonts w:ascii="Palatino Linotype" w:hAnsi="Palatino Linotype" w:eastAsia="Palatino Linotype" w:cs="Times New Roman"/>
          <w:kern w:val="0"/>
          <w14:ligatures w14:val="none"/>
        </w:rPr>
      </w:pPr>
    </w:p>
    <w:p w:rsidR="00A76F4A" w:rsidP="00A76F4A" w:rsidRDefault="00A76F4A" w14:paraId="73D79B48" w14:textId="6602B38E">
      <w:pPr>
        <w:spacing w:after="0" w:line="240" w:lineRule="auto"/>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w:t>
      </w:r>
      <w:r w:rsidRPr="00DD2C68" w:rsidR="53C928B7">
        <w:rPr>
          <w:rFonts w:ascii="Palatino Linotype" w:hAnsi="Palatino Linotype" w:eastAsia="Palatino Linotype" w:cs="Times New Roman"/>
          <w:kern w:val="0"/>
          <w14:ligatures w14:val="none"/>
        </w:rPr>
        <w:t xml:space="preserve"> and</w:t>
      </w:r>
      <w:r w:rsidRPr="00DD2C68">
        <w:rPr>
          <w:rFonts w:ascii="Palatino Linotype" w:hAnsi="Palatino Linotype" w:eastAsia="Palatino Linotype" w:cs="Times New Roman"/>
          <w:kern w:val="0"/>
          <w14:ligatures w14:val="none"/>
        </w:rPr>
        <w:t xml:space="preserve"> will be placed on the Commission's agenda no earlier than 30 days from today.</w:t>
      </w:r>
    </w:p>
    <w:p w:rsidR="00F8650A" w:rsidP="00A76F4A" w:rsidRDefault="00F8650A" w14:paraId="3946D975" w14:textId="77777777">
      <w:pPr>
        <w:spacing w:after="0" w:line="240" w:lineRule="auto"/>
        <w:rPr>
          <w:rFonts w:ascii="Palatino Linotype" w:hAnsi="Palatino Linotype" w:eastAsia="Palatino Linotype" w:cs="Times New Roman"/>
          <w:kern w:val="0"/>
          <w14:ligatures w14:val="none"/>
        </w:rPr>
      </w:pPr>
    </w:p>
    <w:p w:rsidR="00CC4304" w:rsidP="00A76F4A" w:rsidRDefault="00CC4304" w14:paraId="053409F1" w14:textId="5177480E">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On November 25, </w:t>
      </w:r>
      <w:proofErr w:type="gramStart"/>
      <w:r w:rsidR="00703203">
        <w:rPr>
          <w:rFonts w:ascii="Palatino Linotype" w:hAnsi="Palatino Linotype" w:eastAsia="Palatino Linotype" w:cs="Times New Roman"/>
          <w:kern w:val="0"/>
          <w14:ligatures w14:val="none"/>
        </w:rPr>
        <w:t>2025</w:t>
      </w:r>
      <w:proofErr w:type="gramEnd"/>
      <w:r w:rsidR="00703203">
        <w:rPr>
          <w:rFonts w:ascii="Palatino Linotype" w:hAnsi="Palatino Linotype" w:eastAsia="Palatino Linotype" w:cs="Times New Roman"/>
          <w:kern w:val="0"/>
          <w14:ligatures w14:val="none"/>
        </w:rPr>
        <w:t xml:space="preserve"> Pacific Gas and Electric (PG&amp;E)</w:t>
      </w:r>
      <w:r w:rsidR="003530C3">
        <w:rPr>
          <w:rFonts w:ascii="Palatino Linotype" w:hAnsi="Palatino Linotype" w:eastAsia="Palatino Linotype" w:cs="Times New Roman"/>
          <w:kern w:val="0"/>
          <w14:ligatures w14:val="none"/>
        </w:rPr>
        <w:t>,</w:t>
      </w:r>
      <w:r w:rsidR="00703203">
        <w:rPr>
          <w:rFonts w:ascii="Palatino Linotype" w:hAnsi="Palatino Linotype" w:eastAsia="Palatino Linotype" w:cs="Times New Roman"/>
          <w:kern w:val="0"/>
          <w14:ligatures w14:val="none"/>
        </w:rPr>
        <w:t xml:space="preserve"> </w:t>
      </w:r>
      <w:r w:rsidR="003530C3">
        <w:rPr>
          <w:rFonts w:ascii="Palatino Linotype" w:hAnsi="Palatino Linotype"/>
          <w:w w:val="110"/>
        </w:rPr>
        <w:t>Southern California Edison (SCE), San Diego Gas and Electric (SDG&amp;E), California Public Advocates Office (Cal Advocates), CALSTART, Environmental Defense Fund (EDF), and National Resource Defense Council (NRDC) filed timely comments on this resolution.</w:t>
      </w:r>
    </w:p>
    <w:p w:rsidR="003420D9" w:rsidP="00A76F4A" w:rsidRDefault="003420D9" w14:paraId="1ECB66E4" w14:textId="66041028">
      <w:pPr>
        <w:spacing w:after="0" w:line="240" w:lineRule="auto"/>
        <w:rPr>
          <w:rFonts w:ascii="Palatino Linotype" w:hAnsi="Palatino Linotype" w:eastAsia="Palatino Linotype" w:cs="Times New Roman"/>
          <w:kern w:val="0"/>
          <w14:ligatures w14:val="none"/>
        </w:rPr>
      </w:pPr>
    </w:p>
    <w:p w:rsidR="7044085D" w:rsidP="5FB9B0AE" w:rsidRDefault="7044085D" w14:paraId="2552B54D" w14:textId="5C2996CB">
      <w:pPr>
        <w:spacing w:after="0" w:line="240" w:lineRule="auto"/>
        <w:rPr>
          <w:rFonts w:ascii="Palatino Linotype" w:hAnsi="Palatino Linotype" w:eastAsia="Palatino Linotype" w:cs="Times New Roman"/>
        </w:rPr>
      </w:pPr>
      <w:r w:rsidRPr="5FB9B0AE">
        <w:rPr>
          <w:rFonts w:ascii="Palatino Linotype" w:hAnsi="Palatino Linotype" w:eastAsia="Palatino Linotype" w:cs="Times New Roman"/>
        </w:rPr>
        <w:t xml:space="preserve">The comments </w:t>
      </w:r>
      <w:r w:rsidR="002C11D6">
        <w:rPr>
          <w:rFonts w:ascii="Palatino Linotype" w:hAnsi="Palatino Linotype" w:eastAsia="Palatino Linotype" w:cs="Times New Roman"/>
        </w:rPr>
        <w:t>on</w:t>
      </w:r>
      <w:r w:rsidR="008A144D">
        <w:rPr>
          <w:rFonts w:ascii="Palatino Linotype" w:hAnsi="Palatino Linotype" w:eastAsia="Palatino Linotype" w:cs="Times New Roman"/>
        </w:rPr>
        <w:t xml:space="preserve"> </w:t>
      </w:r>
      <w:r w:rsidRPr="5FB9B0AE">
        <w:rPr>
          <w:rFonts w:ascii="Palatino Linotype" w:hAnsi="Palatino Linotype" w:eastAsia="Palatino Linotype" w:cs="Times New Roman"/>
        </w:rPr>
        <w:t>the resolution</w:t>
      </w:r>
      <w:r w:rsidR="002C11D6">
        <w:rPr>
          <w:rFonts w:ascii="Palatino Linotype" w:hAnsi="Palatino Linotype" w:eastAsia="Palatino Linotype" w:cs="Times New Roman"/>
        </w:rPr>
        <w:t>,</w:t>
      </w:r>
      <w:r w:rsidRPr="5FB9B0AE">
        <w:rPr>
          <w:rFonts w:ascii="Palatino Linotype" w:hAnsi="Palatino Linotype" w:eastAsia="Palatino Linotype" w:cs="Times New Roman"/>
        </w:rPr>
        <w:t xml:space="preserve"> and </w:t>
      </w:r>
      <w:r w:rsidR="002C11D6">
        <w:rPr>
          <w:rFonts w:ascii="Palatino Linotype" w:hAnsi="Palatino Linotype" w:eastAsia="Palatino Linotype" w:cs="Times New Roman"/>
        </w:rPr>
        <w:t>the Commission’s disposition of those comments,</w:t>
      </w:r>
      <w:r w:rsidRPr="5FB9B0AE">
        <w:rPr>
          <w:rFonts w:ascii="Palatino Linotype" w:hAnsi="Palatino Linotype" w:eastAsia="Palatino Linotype" w:cs="Times New Roman"/>
        </w:rPr>
        <w:t xml:space="preserve"> are grouped into the following topic categor</w:t>
      </w:r>
      <w:r w:rsidRPr="5FB9B0AE" w:rsidR="50018321">
        <w:rPr>
          <w:rFonts w:ascii="Palatino Linotype" w:hAnsi="Palatino Linotype" w:eastAsia="Palatino Linotype" w:cs="Times New Roman"/>
        </w:rPr>
        <w:t>ies.</w:t>
      </w:r>
    </w:p>
    <w:p w:rsidR="5FB9B0AE" w:rsidP="5FB9B0AE" w:rsidRDefault="5FB9B0AE" w14:paraId="1B1EB5F2" w14:textId="15986670">
      <w:pPr>
        <w:spacing w:after="0" w:line="240" w:lineRule="auto"/>
        <w:rPr>
          <w:rFonts w:ascii="Palatino Linotype" w:hAnsi="Palatino Linotype" w:eastAsia="Palatino Linotype" w:cs="Times New Roman"/>
        </w:rPr>
      </w:pPr>
    </w:p>
    <w:p w:rsidR="007E1F46" w:rsidP="00A774B8" w:rsidRDefault="00F73EC3" w14:paraId="2D6B77A3" w14:textId="62866BC1">
      <w:pPr>
        <w:pStyle w:val="Heading2"/>
        <w:rPr>
          <w:rFonts w:ascii="Palatino Linotype" w:hAnsi="Palatino Linotype"/>
          <w:b/>
          <w:bCs/>
          <w:color w:val="auto"/>
          <w:sz w:val="28"/>
          <w:szCs w:val="28"/>
        </w:rPr>
      </w:pPr>
      <w:r>
        <w:rPr>
          <w:rFonts w:ascii="Palatino Linotype" w:hAnsi="Palatino Linotype"/>
          <w:b/>
          <w:bCs/>
          <w:color w:val="auto"/>
          <w:sz w:val="28"/>
          <w:szCs w:val="28"/>
        </w:rPr>
        <w:t>Def</w:t>
      </w:r>
      <w:r w:rsidR="00A556EA">
        <w:rPr>
          <w:rFonts w:ascii="Palatino Linotype" w:hAnsi="Palatino Linotype"/>
          <w:b/>
          <w:bCs/>
          <w:color w:val="auto"/>
          <w:sz w:val="28"/>
          <w:szCs w:val="28"/>
        </w:rPr>
        <w:t xml:space="preserve">erral of </w:t>
      </w:r>
      <w:r w:rsidR="008E182F">
        <w:rPr>
          <w:rFonts w:ascii="Palatino Linotype" w:hAnsi="Palatino Linotype"/>
          <w:b/>
          <w:bCs/>
          <w:color w:val="auto"/>
          <w:sz w:val="28"/>
          <w:szCs w:val="28"/>
        </w:rPr>
        <w:t xml:space="preserve">Full </w:t>
      </w:r>
      <w:r w:rsidR="00A556EA">
        <w:rPr>
          <w:rFonts w:ascii="Palatino Linotype" w:hAnsi="Palatino Linotype"/>
          <w:b/>
          <w:bCs/>
          <w:color w:val="auto"/>
          <w:sz w:val="28"/>
          <w:szCs w:val="28"/>
        </w:rPr>
        <w:t xml:space="preserve">Implementation </w:t>
      </w:r>
      <w:r w:rsidR="00B81776">
        <w:rPr>
          <w:rFonts w:ascii="Palatino Linotype" w:hAnsi="Palatino Linotype"/>
          <w:b/>
          <w:bCs/>
          <w:color w:val="auto"/>
          <w:sz w:val="28"/>
          <w:szCs w:val="28"/>
        </w:rPr>
        <w:t xml:space="preserve">of Pending Loads Until 2026-2027 DPEP </w:t>
      </w:r>
    </w:p>
    <w:p w:rsidR="00C60E29" w:rsidP="00F65CC3" w:rsidRDefault="002061B9" w14:paraId="4F6285BF" w14:textId="28C79875">
      <w:pPr>
        <w:spacing w:line="240" w:lineRule="auto"/>
        <w:rPr>
          <w:rFonts w:ascii="Palatino Linotype" w:hAnsi="Palatino Linotype"/>
        </w:rPr>
      </w:pPr>
      <w:r w:rsidRPr="001D4A8E">
        <w:rPr>
          <w:rFonts w:ascii="Palatino Linotype" w:hAnsi="Palatino Linotype"/>
        </w:rPr>
        <w:t>SCE intends to</w:t>
      </w:r>
      <w:r w:rsidRPr="001D4A8E" w:rsidR="00BA1ABA">
        <w:rPr>
          <w:rFonts w:ascii="Palatino Linotype" w:hAnsi="Palatino Linotype"/>
        </w:rPr>
        <w:t xml:space="preserve"> </w:t>
      </w:r>
      <w:r w:rsidRPr="001D4A8E">
        <w:rPr>
          <w:rFonts w:ascii="Palatino Linotype" w:hAnsi="Palatino Linotype"/>
        </w:rPr>
        <w:t>implement elements</w:t>
      </w:r>
      <w:r>
        <w:rPr>
          <w:rFonts w:ascii="Palatino Linotype" w:hAnsi="Palatino Linotype"/>
        </w:rPr>
        <w:t xml:space="preserve"> </w:t>
      </w:r>
      <w:r w:rsidR="00F65CC3">
        <w:rPr>
          <w:rFonts w:ascii="Palatino Linotype" w:hAnsi="Palatino Linotype"/>
        </w:rPr>
        <w:t>of the Pending Loads</w:t>
      </w:r>
      <w:r w:rsidR="00557FCD">
        <w:rPr>
          <w:rFonts w:ascii="Palatino Linotype" w:hAnsi="Palatino Linotype"/>
        </w:rPr>
        <w:t xml:space="preserve"> </w:t>
      </w:r>
      <w:r w:rsidR="007D1505">
        <w:rPr>
          <w:rFonts w:ascii="Palatino Linotype" w:hAnsi="Palatino Linotype"/>
        </w:rPr>
        <w:t>framework</w:t>
      </w:r>
      <w:r w:rsidR="00557FCD">
        <w:rPr>
          <w:rFonts w:ascii="Palatino Linotype" w:hAnsi="Palatino Linotype"/>
        </w:rPr>
        <w:t xml:space="preserve"> </w:t>
      </w:r>
      <w:r w:rsidR="0016637A">
        <w:rPr>
          <w:rFonts w:ascii="Palatino Linotype" w:hAnsi="Palatino Linotype"/>
        </w:rPr>
        <w:t>“</w:t>
      </w:r>
      <w:r w:rsidRPr="001D4A8E" w:rsidR="004F610F">
        <w:rPr>
          <w:rFonts w:ascii="Palatino Linotype" w:hAnsi="Palatino Linotype"/>
        </w:rPr>
        <w:t>that</w:t>
      </w:r>
      <w:r w:rsidRPr="001D4A8E">
        <w:rPr>
          <w:rFonts w:ascii="Palatino Linotype" w:hAnsi="Palatino Linotype"/>
        </w:rPr>
        <w:t xml:space="preserve"> were not subject to proposed revisions in these comments in</w:t>
      </w:r>
      <w:r w:rsidRPr="001D4A8E" w:rsidR="00CD78A0">
        <w:rPr>
          <w:rFonts w:ascii="Palatino Linotype" w:hAnsi="Palatino Linotype"/>
        </w:rPr>
        <w:t xml:space="preserve"> </w:t>
      </w:r>
      <w:r w:rsidRPr="001D4A8E">
        <w:rPr>
          <w:rFonts w:ascii="Palatino Linotype" w:hAnsi="Palatino Linotype"/>
        </w:rPr>
        <w:t>the 2025-2026 planning cycle. Remaining changes driven by the approved Draft</w:t>
      </w:r>
      <w:r w:rsidRPr="001D4A8E" w:rsidR="00CD78A0">
        <w:rPr>
          <w:rFonts w:ascii="Palatino Linotype" w:hAnsi="Palatino Linotype"/>
        </w:rPr>
        <w:t xml:space="preserve"> </w:t>
      </w:r>
      <w:r w:rsidRPr="001D4A8E">
        <w:rPr>
          <w:rFonts w:ascii="Palatino Linotype" w:hAnsi="Palatino Linotype"/>
        </w:rPr>
        <w:t xml:space="preserve">Resolution, if deemed feasible, will be applied starting with the 2026-2027 </w:t>
      </w:r>
      <w:r w:rsidRPr="00EA45D5" w:rsidR="00EA45D5">
        <w:rPr>
          <w:rFonts w:ascii="Palatino Linotype" w:hAnsi="Palatino Linotype"/>
        </w:rPr>
        <w:t>planning cycle</w:t>
      </w:r>
      <w:r w:rsidR="00AC4724">
        <w:rPr>
          <w:rFonts w:ascii="Palatino Linotype" w:hAnsi="Palatino Linotype"/>
        </w:rPr>
        <w:t>”</w:t>
      </w:r>
      <w:r w:rsidR="00EA45D5">
        <w:rPr>
          <w:rFonts w:ascii="Palatino Linotype" w:hAnsi="Palatino Linotype"/>
        </w:rPr>
        <w:t>.</w:t>
      </w:r>
      <w:r w:rsidR="00F12B93">
        <w:rPr>
          <w:rFonts w:ascii="Palatino Linotype" w:hAnsi="Palatino Linotype"/>
        </w:rPr>
        <w:t xml:space="preserve"> </w:t>
      </w:r>
      <w:r w:rsidR="00317CC9">
        <w:rPr>
          <w:rFonts w:ascii="Palatino Linotype" w:hAnsi="Palatino Linotype"/>
        </w:rPr>
        <w:t>SCE in its comments stated that i</w:t>
      </w:r>
      <w:r w:rsidR="00EC20AC">
        <w:rPr>
          <w:rFonts w:ascii="Palatino Linotype" w:hAnsi="Palatino Linotype"/>
        </w:rPr>
        <w:t>t plans to</w:t>
      </w:r>
      <w:r w:rsidR="00BF6B3D">
        <w:rPr>
          <w:rFonts w:ascii="Palatino Linotype" w:hAnsi="Palatino Linotype"/>
        </w:rPr>
        <w:t xml:space="preserve"> </w:t>
      </w:r>
      <w:r w:rsidR="00336844">
        <w:rPr>
          <w:rFonts w:ascii="Palatino Linotype" w:hAnsi="Palatino Linotype"/>
        </w:rPr>
        <w:t>implement</w:t>
      </w:r>
      <w:r w:rsidR="000724AD">
        <w:rPr>
          <w:rFonts w:ascii="Palatino Linotype" w:hAnsi="Palatino Linotype"/>
        </w:rPr>
        <w:t xml:space="preserve"> pending loads in 2025-2026</w:t>
      </w:r>
      <w:r w:rsidR="00B46D34">
        <w:rPr>
          <w:rFonts w:ascii="Palatino Linotype" w:hAnsi="Palatino Linotype"/>
        </w:rPr>
        <w:t xml:space="preserve"> as </w:t>
      </w:r>
      <w:r w:rsidR="009D5AA9">
        <w:rPr>
          <w:rFonts w:ascii="Palatino Linotype" w:hAnsi="Palatino Linotype"/>
        </w:rPr>
        <w:t xml:space="preserve">proposed in the Draft Comment </w:t>
      </w:r>
      <w:r w:rsidR="009D5AA9">
        <w:rPr>
          <w:rFonts w:ascii="Palatino Linotype" w:hAnsi="Palatino Linotype"/>
        </w:rPr>
        <w:lastRenderedPageBreak/>
        <w:t>Resolution</w:t>
      </w:r>
      <w:r w:rsidR="00024E40">
        <w:rPr>
          <w:rFonts w:ascii="Palatino Linotype" w:hAnsi="Palatino Linotype"/>
        </w:rPr>
        <w:t xml:space="preserve">, </w:t>
      </w:r>
      <w:r w:rsidRPr="00943E88" w:rsidR="00024E40">
        <w:rPr>
          <w:rFonts w:ascii="Palatino Linotype" w:hAnsi="Palatino Linotype"/>
          <w:i/>
          <w:iCs/>
        </w:rPr>
        <w:t xml:space="preserve">except for </w:t>
      </w:r>
      <w:r w:rsidRPr="00943E88" w:rsidR="00606D87">
        <w:rPr>
          <w:rFonts w:ascii="Palatino Linotype" w:hAnsi="Palatino Linotype"/>
          <w:i/>
          <w:iCs/>
        </w:rPr>
        <w:t>those</w:t>
      </w:r>
      <w:r w:rsidRPr="001D4A8E" w:rsidR="00A7125D">
        <w:rPr>
          <w:rFonts w:ascii="Palatino Linotype" w:hAnsi="Palatino Linotype"/>
          <w:i/>
        </w:rPr>
        <w:t xml:space="preserve"> elements</w:t>
      </w:r>
      <w:r w:rsidRPr="001D4A8E" w:rsidR="006F2EC8">
        <w:rPr>
          <w:rFonts w:ascii="Palatino Linotype" w:hAnsi="Palatino Linotype"/>
          <w:i/>
        </w:rPr>
        <w:t xml:space="preserve"> SCE </w:t>
      </w:r>
      <w:r w:rsidR="00007347">
        <w:rPr>
          <w:rFonts w:ascii="Palatino Linotype" w:hAnsi="Palatino Linotype"/>
          <w:i/>
        </w:rPr>
        <w:t>raised</w:t>
      </w:r>
      <w:r w:rsidR="002B301C">
        <w:rPr>
          <w:rFonts w:ascii="Palatino Linotype" w:hAnsi="Palatino Linotype"/>
          <w:i/>
        </w:rPr>
        <w:t xml:space="preserve"> concerns about </w:t>
      </w:r>
      <w:r w:rsidRPr="001D4A8E" w:rsidR="00A7125D">
        <w:rPr>
          <w:rFonts w:ascii="Palatino Linotype" w:hAnsi="Palatino Linotype"/>
          <w:i/>
        </w:rPr>
        <w:t xml:space="preserve">in </w:t>
      </w:r>
      <w:r w:rsidRPr="001D4A8E" w:rsidR="00A7125D">
        <w:rPr>
          <w:rFonts w:ascii="Palatino Linotype" w:hAnsi="Palatino Linotype"/>
          <w:i/>
          <w:iCs/>
        </w:rPr>
        <w:t>t</w:t>
      </w:r>
      <w:r w:rsidRPr="001D4A8E" w:rsidR="003F4B51">
        <w:rPr>
          <w:rFonts w:ascii="Palatino Linotype" w:hAnsi="Palatino Linotype"/>
          <w:i/>
          <w:iCs/>
        </w:rPr>
        <w:t>heir comments</w:t>
      </w:r>
      <w:r w:rsidR="003F4B51">
        <w:rPr>
          <w:rFonts w:ascii="Palatino Linotype" w:hAnsi="Palatino Linotype"/>
        </w:rPr>
        <w:t>.</w:t>
      </w:r>
      <w:r w:rsidRPr="00BFACD2" w:rsidR="1A4DA700">
        <w:rPr>
          <w:rFonts w:ascii="Palatino Linotype" w:hAnsi="Palatino Linotype"/>
        </w:rPr>
        <w:t xml:space="preserve"> </w:t>
      </w:r>
      <w:r w:rsidRPr="21555B9A" w:rsidR="1A4DA700">
        <w:rPr>
          <w:rFonts w:ascii="Palatino Linotype" w:hAnsi="Palatino Linotype"/>
        </w:rPr>
        <w:t xml:space="preserve">This partial </w:t>
      </w:r>
      <w:r w:rsidRPr="5939CDA0" w:rsidR="1A4DA700">
        <w:rPr>
          <w:rFonts w:ascii="Palatino Linotype" w:hAnsi="Palatino Linotype"/>
        </w:rPr>
        <w:t xml:space="preserve">implementation </w:t>
      </w:r>
      <w:r w:rsidRPr="4F3189D0" w:rsidR="1A4DA700">
        <w:rPr>
          <w:rFonts w:ascii="Palatino Linotype" w:hAnsi="Palatino Linotype"/>
        </w:rPr>
        <w:t xml:space="preserve">is </w:t>
      </w:r>
      <w:r w:rsidRPr="47AE29B8" w:rsidR="1A4DA700">
        <w:rPr>
          <w:rFonts w:ascii="Palatino Linotype" w:hAnsi="Palatino Linotype"/>
        </w:rPr>
        <w:t xml:space="preserve">not </w:t>
      </w:r>
      <w:r w:rsidRPr="5701E8FB" w:rsidR="1A4DA700">
        <w:rPr>
          <w:rFonts w:ascii="Palatino Linotype" w:hAnsi="Palatino Linotype"/>
        </w:rPr>
        <w:t xml:space="preserve">granted as it </w:t>
      </w:r>
      <w:r w:rsidRPr="2AE66FBF" w:rsidR="1A4DA700">
        <w:rPr>
          <w:rFonts w:ascii="Palatino Linotype" w:hAnsi="Palatino Linotype"/>
        </w:rPr>
        <w:t xml:space="preserve">could </w:t>
      </w:r>
      <w:r w:rsidRPr="4505F55B" w:rsidR="1A4DA700">
        <w:rPr>
          <w:rFonts w:ascii="Palatino Linotype" w:hAnsi="Palatino Linotype"/>
        </w:rPr>
        <w:t xml:space="preserve">lead to some </w:t>
      </w:r>
      <w:r w:rsidRPr="51DB1BDD" w:rsidR="1A4DA700">
        <w:rPr>
          <w:rFonts w:ascii="Palatino Linotype" w:hAnsi="Palatino Linotype"/>
        </w:rPr>
        <w:t>confusion</w:t>
      </w:r>
      <w:r w:rsidRPr="5E1016FD" w:rsidR="1A4DA700">
        <w:rPr>
          <w:rFonts w:ascii="Palatino Linotype" w:hAnsi="Palatino Linotype"/>
        </w:rPr>
        <w:t>.</w:t>
      </w:r>
    </w:p>
    <w:p w:rsidR="005F2D99" w:rsidP="005F2D99" w:rsidRDefault="005F2D99" w14:paraId="0A71E25C" w14:textId="52B51618">
      <w:pPr>
        <w:spacing w:after="0" w:line="240" w:lineRule="auto"/>
        <w:rPr>
          <w:rFonts w:ascii="Palatino Linotype" w:hAnsi="Palatino Linotype" w:eastAsia="Palatino Linotype" w:cs="Times New Roman"/>
          <w:kern w:val="0"/>
          <w14:ligatures w14:val="none"/>
        </w:rPr>
      </w:pPr>
      <w:r>
        <w:rPr>
          <w:rFonts w:ascii="Palatino Linotype" w:hAnsi="Palatino Linotype"/>
        </w:rPr>
        <w:t xml:space="preserve">Similarly, </w:t>
      </w:r>
      <w:r w:rsidRPr="2AA31F44">
        <w:rPr>
          <w:rFonts w:ascii="Palatino Linotype" w:hAnsi="Palatino Linotype" w:eastAsia="Palatino Linotype" w:cs="Times New Roman"/>
        </w:rPr>
        <w:t>PG&amp;E states that their load forecast was finalized in November 2025 for PG&amp;E’s 2025-2026 DPEP cycle, and therefore requests that the Draft Resolution be modified to allow for partial implementation using the current Pending Load data available to PG&amp;E.  Specifically, PG&amp;E proposes adding the following language: “</w:t>
      </w:r>
      <w:r w:rsidRPr="00112A5E">
        <w:rPr>
          <w:rFonts w:ascii="Palatino Linotype" w:hAnsi="Palatino Linotype" w:eastAsia="Palatino Linotype" w:cs="Times New Roman"/>
        </w:rPr>
        <w:t>For the 2025-2026 DPEP cycle only, t</w:t>
      </w:r>
      <w:r w:rsidRPr="2AA31F44">
        <w:rPr>
          <w:rFonts w:ascii="Palatino Linotype" w:hAnsi="Palatino Linotype" w:eastAsia="Palatino Linotype" w:cs="Times New Roman"/>
        </w:rPr>
        <w:t xml:space="preserve">he Minimum Criteria for status of Key Permits, Funding Source, and Preliminary Design are not required </w:t>
      </w:r>
      <w:r w:rsidRPr="00112A5E">
        <w:rPr>
          <w:rFonts w:ascii="Palatino Linotype" w:hAnsi="Palatino Linotype" w:eastAsia="Palatino Linotype" w:cs="Times New Roman"/>
        </w:rPr>
        <w:t>to be included in the forecast</w:t>
      </w:r>
      <w:r w:rsidRPr="2AA31F44">
        <w:rPr>
          <w:rFonts w:ascii="Palatino Linotype" w:hAnsi="Palatino Linotype" w:eastAsia="Palatino Linotype" w:cs="Times New Roman"/>
        </w:rPr>
        <w:t xml:space="preserve"> to the extent the data is not available in the timeframe necessary</w:t>
      </w:r>
      <w:r>
        <w:rPr>
          <w:rFonts w:ascii="Palatino Linotype" w:hAnsi="Palatino Linotype" w:eastAsia="Palatino Linotype" w:cs="Times New Roman"/>
        </w:rPr>
        <w:t>.</w:t>
      </w:r>
      <w:r w:rsidRPr="00112A5E">
        <w:rPr>
          <w:rFonts w:ascii="Palatino Linotype" w:hAnsi="Palatino Linotype" w:eastAsia="Palatino Linotype" w:cs="Times New Roman"/>
        </w:rPr>
        <w:t>”</w:t>
      </w:r>
      <w:r>
        <w:rPr>
          <w:rFonts w:ascii="Palatino Linotype" w:hAnsi="Palatino Linotype" w:eastAsia="Palatino Linotype" w:cs="Times New Roman"/>
          <w:kern w:val="0"/>
          <w14:ligatures w14:val="none"/>
        </w:rPr>
        <w:t xml:space="preserve"> </w:t>
      </w:r>
    </w:p>
    <w:p w:rsidR="005F2D99" w:rsidP="00F65CC3" w:rsidRDefault="005F2D99" w14:paraId="662A5B54" w14:textId="4E059446">
      <w:pPr>
        <w:spacing w:line="240" w:lineRule="auto"/>
        <w:rPr>
          <w:rFonts w:ascii="Palatino Linotype" w:hAnsi="Palatino Linotype"/>
        </w:rPr>
      </w:pPr>
    </w:p>
    <w:p w:rsidR="000B53A6" w:rsidP="000B53A6" w:rsidRDefault="000B53A6" w14:paraId="5BC76425" w14:textId="5A0B67E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timing of this resolution in the middle of the 2025-2026 DPEP cycle is challenging</w:t>
      </w:r>
      <w:r w:rsidR="00D20B1A">
        <w:rPr>
          <w:rFonts w:ascii="Palatino Linotype" w:hAnsi="Palatino Linotype" w:eastAsia="Palatino Linotype" w:cs="Times New Roman"/>
          <w:kern w:val="0"/>
          <w14:ligatures w14:val="none"/>
        </w:rPr>
        <w:t>.</w:t>
      </w:r>
      <w:r w:rsidRPr="00D20B1A" w:rsidR="00D20B1A">
        <w:rPr>
          <w:rFonts w:ascii="Palatino Linotype" w:hAnsi="Palatino Linotype"/>
        </w:rPr>
        <w:t xml:space="preserve"> </w:t>
      </w:r>
      <w:r w:rsidR="00D20B1A">
        <w:rPr>
          <w:rFonts w:ascii="Palatino Linotype" w:hAnsi="Palatino Linotype"/>
        </w:rPr>
        <w:t>W</w:t>
      </w:r>
      <w:r w:rsidRPr="1DB40E09" w:rsidR="00D20B1A">
        <w:rPr>
          <w:rFonts w:ascii="Palatino Linotype" w:hAnsi="Palatino Linotype"/>
        </w:rPr>
        <w:t>e</w:t>
      </w:r>
      <w:r w:rsidRPr="7F61D888" w:rsidR="00D20B1A">
        <w:rPr>
          <w:rFonts w:ascii="Palatino Linotype" w:hAnsi="Palatino Linotype"/>
        </w:rPr>
        <w:t xml:space="preserve"> </w:t>
      </w:r>
      <w:r w:rsidR="00D20B1A">
        <w:rPr>
          <w:rFonts w:ascii="Palatino Linotype" w:hAnsi="Palatino Linotype"/>
        </w:rPr>
        <w:t>find</w:t>
      </w:r>
      <w:r w:rsidRPr="0B0ABDA9" w:rsidR="00D20B1A">
        <w:rPr>
          <w:rFonts w:ascii="Palatino Linotype" w:hAnsi="Palatino Linotype"/>
        </w:rPr>
        <w:t xml:space="preserve"> </w:t>
      </w:r>
      <w:r w:rsidRPr="0D64538B" w:rsidR="00D20B1A">
        <w:rPr>
          <w:rFonts w:ascii="Palatino Linotype" w:hAnsi="Palatino Linotype"/>
        </w:rPr>
        <w:t xml:space="preserve">merit </w:t>
      </w:r>
      <w:r w:rsidRPr="0DC4A823" w:rsidR="00D20B1A">
        <w:rPr>
          <w:rFonts w:ascii="Palatino Linotype" w:hAnsi="Palatino Linotype"/>
        </w:rPr>
        <w:t xml:space="preserve">in </w:t>
      </w:r>
      <w:r w:rsidRPr="1050745A" w:rsidR="00D20B1A">
        <w:rPr>
          <w:rFonts w:ascii="Palatino Linotype" w:hAnsi="Palatino Linotype"/>
        </w:rPr>
        <w:t xml:space="preserve">granting </w:t>
      </w:r>
      <w:r w:rsidR="00D20B1A">
        <w:rPr>
          <w:rFonts w:ascii="Palatino Linotype" w:hAnsi="Palatino Linotype"/>
        </w:rPr>
        <w:t xml:space="preserve">limited </w:t>
      </w:r>
      <w:r w:rsidRPr="09AB7393" w:rsidR="00D20B1A">
        <w:rPr>
          <w:rFonts w:ascii="Palatino Linotype" w:hAnsi="Palatino Linotype"/>
        </w:rPr>
        <w:t>flexibility</w:t>
      </w:r>
      <w:r w:rsidR="00D20B1A">
        <w:rPr>
          <w:rFonts w:ascii="Palatino Linotype" w:hAnsi="Palatino Linotype"/>
        </w:rPr>
        <w:t xml:space="preserve">.  </w:t>
      </w:r>
      <w:r>
        <w:rPr>
          <w:rFonts w:ascii="Palatino Linotype" w:hAnsi="Palatino Linotype" w:eastAsia="Palatino Linotype" w:cs="Times New Roman"/>
          <w:kern w:val="0"/>
          <w14:ligatures w14:val="none"/>
        </w:rPr>
        <w:t xml:space="preserve">Accordingly, we partially accept this </w:t>
      </w:r>
      <w:r w:rsidR="001B79B0">
        <w:rPr>
          <w:rFonts w:ascii="Palatino Linotype" w:hAnsi="Palatino Linotype" w:eastAsia="Palatino Linotype" w:cs="Times New Roman"/>
          <w:kern w:val="0"/>
          <w14:ligatures w14:val="none"/>
        </w:rPr>
        <w:t>request</w:t>
      </w:r>
      <w:r>
        <w:rPr>
          <w:rFonts w:ascii="Palatino Linotype" w:hAnsi="Palatino Linotype" w:eastAsia="Palatino Linotype" w:cs="Times New Roman"/>
          <w:kern w:val="0"/>
          <w14:ligatures w14:val="none"/>
        </w:rPr>
        <w:t>. T</w:t>
      </w:r>
      <w:r w:rsidRPr="0A6F0B80">
        <w:rPr>
          <w:rFonts w:ascii="Palatino Linotype" w:hAnsi="Palatino Linotype" w:eastAsia="Palatino Linotype" w:cs="Times New Roman"/>
        </w:rPr>
        <w:t>he Minimum Criteria related to the status of Key Permits and Funding Source, are only required to be included in the forecast to the extent that such data are available within the required timeframe</w:t>
      </w:r>
      <w:r>
        <w:rPr>
          <w:rFonts w:ascii="Palatino Linotype" w:hAnsi="Palatino Linotype" w:eastAsia="Palatino Linotype" w:cs="Times New Roman"/>
        </w:rPr>
        <w:t xml:space="preserve"> to publish the GNA</w:t>
      </w:r>
      <w:r w:rsidRPr="0A6F0B80">
        <w:rPr>
          <w:rFonts w:ascii="Palatino Linotype" w:hAnsi="Palatino Linotype" w:eastAsia="Palatino Linotype" w:cs="Times New Roman"/>
        </w:rPr>
        <w:t xml:space="preserve"> for the 2025-2026 DPEP cycle. </w:t>
      </w:r>
      <w:r>
        <w:rPr>
          <w:rFonts w:ascii="Palatino Linotype" w:hAnsi="Palatino Linotype" w:eastAsia="Palatino Linotype" w:cs="Times New Roman"/>
          <w:kern w:val="0"/>
          <w14:ligatures w14:val="none"/>
        </w:rPr>
        <w:t xml:space="preserve">The Pending Loads Minimum Criteria </w:t>
      </w:r>
      <w:r w:rsidR="00D20B1A">
        <w:rPr>
          <w:rFonts w:ascii="Palatino Linotype" w:hAnsi="Palatino Linotype" w:eastAsia="Palatino Linotype" w:cs="Times New Roman"/>
          <w:kern w:val="0"/>
          <w14:ligatures w14:val="none"/>
        </w:rPr>
        <w:t>must be fully implemented</w:t>
      </w:r>
      <w:r>
        <w:rPr>
          <w:rFonts w:ascii="Palatino Linotype" w:hAnsi="Palatino Linotype" w:eastAsia="Palatino Linotype" w:cs="Times New Roman"/>
          <w:kern w:val="0"/>
          <w14:ligatures w14:val="none"/>
        </w:rPr>
        <w:t xml:space="preserve"> </w:t>
      </w:r>
      <w:r w:rsidR="00D20B1A">
        <w:rPr>
          <w:rFonts w:ascii="Palatino Linotype" w:hAnsi="Palatino Linotype" w:eastAsia="Palatino Linotype" w:cs="Times New Roman"/>
          <w:kern w:val="0"/>
          <w14:ligatures w14:val="none"/>
        </w:rPr>
        <w:t>beginning</w:t>
      </w:r>
      <w:r>
        <w:rPr>
          <w:rFonts w:ascii="Palatino Linotype" w:hAnsi="Palatino Linotype" w:eastAsia="Palatino Linotype" w:cs="Times New Roman"/>
          <w:kern w:val="0"/>
          <w14:ligatures w14:val="none"/>
        </w:rPr>
        <w:t xml:space="preserve"> with the </w:t>
      </w:r>
      <w:r w:rsidR="00806913">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2025-2026 DPEP cycle.</w:t>
      </w:r>
    </w:p>
    <w:p w:rsidRPr="001D4A8E" w:rsidR="000B53A6" w:rsidP="001D4A8E" w:rsidRDefault="000B53A6" w14:paraId="3965A73C" w14:textId="77777777"/>
    <w:p w:rsidRPr="005843F3" w:rsidR="00F56302" w:rsidP="00A774B8" w:rsidRDefault="001F5261" w14:paraId="0C4AD84D" w14:textId="0A530174">
      <w:pPr>
        <w:pStyle w:val="Heading2"/>
        <w:rPr>
          <w:rFonts w:ascii="Palatino Linotype" w:hAnsi="Palatino Linotype"/>
          <w:b/>
          <w:bCs/>
          <w:sz w:val="28"/>
          <w:szCs w:val="28"/>
        </w:rPr>
      </w:pPr>
      <w:r>
        <w:rPr>
          <w:rFonts w:ascii="Palatino Linotype" w:hAnsi="Palatino Linotype"/>
          <w:b/>
          <w:bCs/>
          <w:color w:val="auto"/>
          <w:sz w:val="28"/>
          <w:szCs w:val="28"/>
        </w:rPr>
        <w:t>The Definition and Use of Hot Spots</w:t>
      </w:r>
    </w:p>
    <w:p w:rsidR="00B43313" w:rsidP="00EE42FC" w:rsidRDefault="00E07D9A" w14:paraId="56434A0E" w14:textId="7D11B7ED">
      <w:pPr>
        <w:spacing w:after="0" w:line="240" w:lineRule="auto"/>
        <w:rPr>
          <w:rFonts w:ascii="Palatino Linotype" w:hAnsi="Palatino Linotype" w:eastAsia="Palatino Linotype" w:cs="Times New Roman"/>
        </w:rPr>
      </w:pPr>
      <w:r>
        <w:rPr>
          <w:rFonts w:ascii="Palatino Linotype" w:hAnsi="Palatino Linotype" w:eastAsia="Palatino Linotype" w:cs="Times New Roman"/>
        </w:rPr>
        <w:t xml:space="preserve">This topic received the most comments of </w:t>
      </w:r>
      <w:r w:rsidR="005F49CD">
        <w:rPr>
          <w:rFonts w:ascii="Palatino Linotype" w:hAnsi="Palatino Linotype" w:eastAsia="Palatino Linotype" w:cs="Times New Roman"/>
        </w:rPr>
        <w:t>any</w:t>
      </w:r>
      <w:r>
        <w:rPr>
          <w:rFonts w:ascii="Palatino Linotype" w:hAnsi="Palatino Linotype" w:eastAsia="Palatino Linotype" w:cs="Times New Roman"/>
        </w:rPr>
        <w:t xml:space="preserve"> issues in the draft</w:t>
      </w:r>
      <w:r w:rsidR="002B6EE6">
        <w:rPr>
          <w:rFonts w:ascii="Palatino Linotype" w:hAnsi="Palatino Linotype" w:eastAsia="Palatino Linotype" w:cs="Times New Roman"/>
        </w:rPr>
        <w:t xml:space="preserve"> resolution.</w:t>
      </w:r>
      <w:r w:rsidR="001F7C4A">
        <w:rPr>
          <w:rFonts w:ascii="Palatino Linotype" w:hAnsi="Palatino Linotype" w:eastAsia="Palatino Linotype" w:cs="Times New Roman"/>
        </w:rPr>
        <w:t xml:space="preserve">  We make </w:t>
      </w:r>
      <w:r w:rsidR="00A41FC5">
        <w:rPr>
          <w:rFonts w:ascii="Palatino Linotype" w:hAnsi="Palatino Linotype" w:eastAsia="Palatino Linotype" w:cs="Times New Roman"/>
        </w:rPr>
        <w:t>judicious and limited</w:t>
      </w:r>
      <w:r w:rsidR="00BE32AA">
        <w:rPr>
          <w:rFonts w:ascii="Palatino Linotype" w:hAnsi="Palatino Linotype" w:eastAsia="Palatino Linotype" w:cs="Times New Roman"/>
        </w:rPr>
        <w:t xml:space="preserve"> changes to the definition, calculation and use of Hot Spots</w:t>
      </w:r>
      <w:r w:rsidR="00DA423A">
        <w:rPr>
          <w:rFonts w:ascii="Palatino Linotype" w:hAnsi="Palatino Linotype" w:eastAsia="Palatino Linotype" w:cs="Times New Roman"/>
        </w:rPr>
        <w:t xml:space="preserve"> in the follow</w:t>
      </w:r>
      <w:r w:rsidR="005F49CD">
        <w:rPr>
          <w:rFonts w:ascii="Palatino Linotype" w:hAnsi="Palatino Linotype" w:eastAsia="Palatino Linotype" w:cs="Times New Roman"/>
        </w:rPr>
        <w:t>ing</w:t>
      </w:r>
      <w:r w:rsidR="00DA423A">
        <w:rPr>
          <w:rFonts w:ascii="Palatino Linotype" w:hAnsi="Palatino Linotype" w:eastAsia="Palatino Linotype" w:cs="Times New Roman"/>
        </w:rPr>
        <w:t xml:space="preserve"> section. </w:t>
      </w:r>
      <w:r w:rsidRPr="00DA423A" w:rsidR="00DA423A">
        <w:rPr>
          <w:rFonts w:ascii="Palatino Linotype" w:hAnsi="Palatino Linotype" w:eastAsia="Palatino Linotype" w:cs="Times New Roman"/>
        </w:rPr>
        <w:t xml:space="preserve">IOUs and parties will have the opportunity to </w:t>
      </w:r>
      <w:r w:rsidR="00EC71D8">
        <w:rPr>
          <w:rFonts w:ascii="Palatino Linotype" w:hAnsi="Palatino Linotype" w:eastAsia="Palatino Linotype" w:cs="Times New Roman"/>
        </w:rPr>
        <w:t>propose additional</w:t>
      </w:r>
      <w:r w:rsidRPr="00DA423A" w:rsidR="00DA423A">
        <w:rPr>
          <w:rFonts w:ascii="Palatino Linotype" w:hAnsi="Palatino Linotype" w:eastAsia="Palatino Linotype" w:cs="Times New Roman"/>
        </w:rPr>
        <w:t xml:space="preserve"> changes to the </w:t>
      </w:r>
      <w:r w:rsidR="00ED520C">
        <w:rPr>
          <w:rFonts w:ascii="Palatino Linotype" w:hAnsi="Palatino Linotype" w:eastAsia="Palatino Linotype" w:cs="Times New Roman"/>
        </w:rPr>
        <w:t xml:space="preserve">Pending Loads </w:t>
      </w:r>
      <w:r w:rsidRPr="00DA423A" w:rsidR="00DA423A">
        <w:rPr>
          <w:rFonts w:ascii="Palatino Linotype" w:hAnsi="Palatino Linotype" w:eastAsia="Palatino Linotype" w:cs="Times New Roman"/>
        </w:rPr>
        <w:t xml:space="preserve">framework </w:t>
      </w:r>
      <w:r w:rsidR="00EC71D8">
        <w:rPr>
          <w:rFonts w:ascii="Palatino Linotype" w:hAnsi="Palatino Linotype" w:eastAsia="Palatino Linotype" w:cs="Times New Roman"/>
        </w:rPr>
        <w:t>at</w:t>
      </w:r>
      <w:r w:rsidRPr="00DA423A" w:rsidR="00DA423A">
        <w:rPr>
          <w:rFonts w:ascii="Palatino Linotype" w:hAnsi="Palatino Linotype" w:eastAsia="Palatino Linotype" w:cs="Times New Roman"/>
        </w:rPr>
        <w:t xml:space="preserve"> the 2027 Pending Loads Evaluation Workshop and </w:t>
      </w:r>
      <w:r w:rsidR="00EC71D8">
        <w:rPr>
          <w:rFonts w:ascii="Palatino Linotype" w:hAnsi="Palatino Linotype" w:eastAsia="Palatino Linotype" w:cs="Times New Roman"/>
        </w:rPr>
        <w:t xml:space="preserve">in the associated </w:t>
      </w:r>
      <w:r w:rsidRPr="00DA423A" w:rsidR="00DA423A">
        <w:rPr>
          <w:rFonts w:ascii="Palatino Linotype" w:hAnsi="Palatino Linotype" w:eastAsia="Palatino Linotype" w:cs="Times New Roman"/>
        </w:rPr>
        <w:t>Advice Letter</w:t>
      </w:r>
      <w:r w:rsidR="00A131E0">
        <w:rPr>
          <w:rFonts w:ascii="Palatino Linotype" w:hAnsi="Palatino Linotype" w:eastAsia="Palatino Linotype" w:cs="Times New Roman"/>
        </w:rPr>
        <w:t>,</w:t>
      </w:r>
      <w:r w:rsidRPr="00DA423A" w:rsidR="00DA423A">
        <w:rPr>
          <w:rFonts w:ascii="Palatino Linotype" w:hAnsi="Palatino Linotype" w:eastAsia="Palatino Linotype" w:cs="Times New Roman"/>
        </w:rPr>
        <w:t xml:space="preserve"> p</w:t>
      </w:r>
      <w:r w:rsidR="00A131E0">
        <w:rPr>
          <w:rFonts w:ascii="Palatino Linotype" w:hAnsi="Palatino Linotype" w:eastAsia="Palatino Linotype" w:cs="Times New Roman"/>
        </w:rPr>
        <w:t>ursuant to</w:t>
      </w:r>
      <w:r w:rsidRPr="00DA423A" w:rsidR="00DA423A">
        <w:rPr>
          <w:rFonts w:ascii="Palatino Linotype" w:hAnsi="Palatino Linotype" w:eastAsia="Palatino Linotype" w:cs="Times New Roman"/>
        </w:rPr>
        <w:t xml:space="preserve"> D.24-10-030</w:t>
      </w:r>
      <w:r w:rsidR="00A131E0">
        <w:rPr>
          <w:rFonts w:ascii="Palatino Linotype" w:hAnsi="Palatino Linotype" w:eastAsia="Palatino Linotype" w:cs="Times New Roman"/>
        </w:rPr>
        <w:t>,</w:t>
      </w:r>
      <w:r w:rsidRPr="00DA423A" w:rsidR="00DA423A">
        <w:rPr>
          <w:rFonts w:ascii="Palatino Linotype" w:hAnsi="Palatino Linotype" w:eastAsia="Palatino Linotype" w:cs="Times New Roman"/>
        </w:rPr>
        <w:t xml:space="preserve"> O</w:t>
      </w:r>
      <w:r w:rsidR="00A131E0">
        <w:rPr>
          <w:rFonts w:ascii="Palatino Linotype" w:hAnsi="Palatino Linotype" w:eastAsia="Palatino Linotype" w:cs="Times New Roman"/>
        </w:rPr>
        <w:t xml:space="preserve">rdering </w:t>
      </w:r>
      <w:r w:rsidRPr="00DA423A" w:rsidR="00DA423A">
        <w:rPr>
          <w:rFonts w:ascii="Palatino Linotype" w:hAnsi="Palatino Linotype" w:eastAsia="Palatino Linotype" w:cs="Times New Roman"/>
        </w:rPr>
        <w:t>P</w:t>
      </w:r>
      <w:r w:rsidR="00A131E0">
        <w:rPr>
          <w:rFonts w:ascii="Palatino Linotype" w:hAnsi="Palatino Linotype" w:eastAsia="Palatino Linotype" w:cs="Times New Roman"/>
        </w:rPr>
        <w:t>aragraph</w:t>
      </w:r>
      <w:r w:rsidRPr="00DA423A" w:rsidR="00DA423A">
        <w:rPr>
          <w:rFonts w:ascii="Palatino Linotype" w:hAnsi="Palatino Linotype" w:eastAsia="Palatino Linotype" w:cs="Times New Roman"/>
        </w:rPr>
        <w:t xml:space="preserve"> 14.  Should changes to the hot spot definition</w:t>
      </w:r>
      <w:r w:rsidR="00CC583D">
        <w:rPr>
          <w:rFonts w:ascii="Palatino Linotype" w:hAnsi="Palatino Linotype" w:eastAsia="Palatino Linotype" w:cs="Times New Roman"/>
        </w:rPr>
        <w:t>, use,</w:t>
      </w:r>
      <w:r w:rsidRPr="00DA423A" w:rsidR="00DA423A">
        <w:rPr>
          <w:rFonts w:ascii="Palatino Linotype" w:hAnsi="Palatino Linotype" w:eastAsia="Palatino Linotype" w:cs="Times New Roman"/>
        </w:rPr>
        <w:t xml:space="preserve"> and formula for calculation of capacity constrained areas be </w:t>
      </w:r>
      <w:r w:rsidR="00A131E0">
        <w:rPr>
          <w:rFonts w:ascii="Palatino Linotype" w:hAnsi="Palatino Linotype" w:eastAsia="Palatino Linotype" w:cs="Times New Roman"/>
        </w:rPr>
        <w:t>needed</w:t>
      </w:r>
      <w:r w:rsidRPr="00DA423A" w:rsidR="00DA423A">
        <w:rPr>
          <w:rFonts w:ascii="Palatino Linotype" w:hAnsi="Palatino Linotype" w:eastAsia="Palatino Linotype" w:cs="Times New Roman"/>
        </w:rPr>
        <w:t xml:space="preserve"> sooner, we authorize the IOUs to submit a Tier 2 Advice Letter </w:t>
      </w:r>
      <w:r w:rsidR="002C1FCD">
        <w:rPr>
          <w:rFonts w:ascii="Palatino Linotype" w:hAnsi="Palatino Linotype" w:eastAsia="Palatino Linotype" w:cs="Times New Roman"/>
        </w:rPr>
        <w:t xml:space="preserve">on </w:t>
      </w:r>
      <w:r w:rsidRPr="00DA423A" w:rsidR="00DA423A">
        <w:rPr>
          <w:rFonts w:ascii="Palatino Linotype" w:hAnsi="Palatino Linotype" w:eastAsia="Palatino Linotype" w:cs="Times New Roman"/>
        </w:rPr>
        <w:t>this topic.</w:t>
      </w:r>
    </w:p>
    <w:p w:rsidR="00DA423A" w:rsidP="00EE42FC" w:rsidRDefault="00DA423A" w14:paraId="36FF433E" w14:textId="77777777">
      <w:pPr>
        <w:spacing w:after="0" w:line="240" w:lineRule="auto"/>
        <w:rPr>
          <w:rFonts w:ascii="Palatino Linotype" w:hAnsi="Palatino Linotype" w:eastAsia="Palatino Linotype" w:cs="Times New Roman"/>
        </w:rPr>
      </w:pPr>
    </w:p>
    <w:p w:rsidRPr="00A47FBC" w:rsidR="00A47FBC" w:rsidP="00A47FBC" w:rsidRDefault="00EE42FC" w14:paraId="0AEF7B2A" w14:textId="7141257B">
      <w:pPr>
        <w:spacing w:after="0" w:line="240" w:lineRule="auto"/>
        <w:rPr>
          <w:rFonts w:ascii="Palatino Linotype" w:hAnsi="Palatino Linotype" w:eastAsia="Palatino Linotype" w:cs="Times New Roman"/>
        </w:rPr>
      </w:pPr>
      <w:r w:rsidRPr="00EE42FC">
        <w:rPr>
          <w:rFonts w:ascii="Palatino Linotype" w:hAnsi="Palatino Linotype" w:eastAsia="Palatino Linotype" w:cs="Times New Roman"/>
        </w:rPr>
        <w:t xml:space="preserve">SDG&amp;E requests to include “IEPR disaggregation” in </w:t>
      </w:r>
      <w:r w:rsidR="001F79E1">
        <w:rPr>
          <w:rFonts w:ascii="Palatino Linotype" w:hAnsi="Palatino Linotype" w:eastAsia="Palatino Linotype" w:cs="Times New Roman"/>
        </w:rPr>
        <w:t xml:space="preserve">the </w:t>
      </w:r>
      <w:r w:rsidRPr="00EE42FC">
        <w:rPr>
          <w:rFonts w:ascii="Palatino Linotype" w:hAnsi="Palatino Linotype" w:eastAsia="Palatino Linotype" w:cs="Times New Roman"/>
        </w:rPr>
        <w:t>list of sources of load that contribute to the hot spot definition.</w:t>
      </w:r>
      <w:r w:rsidRPr="63B5AEE6" w:rsidR="0476B79D">
        <w:rPr>
          <w:rFonts w:ascii="Palatino Linotype" w:hAnsi="Palatino Linotype" w:eastAsia="Palatino Linotype" w:cs="Times New Roman"/>
        </w:rPr>
        <w:t xml:space="preserve"> </w:t>
      </w:r>
      <w:r w:rsidRPr="00EE42FC">
        <w:rPr>
          <w:rFonts w:ascii="Palatino Linotype" w:hAnsi="Palatino Linotype" w:eastAsia="Palatino Linotype" w:cs="Times New Roman"/>
        </w:rPr>
        <w:t>The Commission agrees that this is a helpful clarification and accepts this modification</w:t>
      </w:r>
      <w:r w:rsidR="002B46A4">
        <w:rPr>
          <w:rFonts w:ascii="Palatino Linotype" w:hAnsi="Palatino Linotype" w:eastAsia="Palatino Linotype" w:cs="Times New Roman"/>
        </w:rPr>
        <w:t xml:space="preserve"> along</w:t>
      </w:r>
      <w:r w:rsidR="00B531DB">
        <w:rPr>
          <w:rFonts w:ascii="Palatino Linotype" w:hAnsi="Palatino Linotype" w:eastAsia="Palatino Linotype" w:cs="Times New Roman"/>
        </w:rPr>
        <w:t xml:space="preserve"> with these minor clarifications</w:t>
      </w:r>
      <w:r w:rsidR="00FB533A">
        <w:rPr>
          <w:rFonts w:ascii="Palatino Linotype" w:hAnsi="Palatino Linotype" w:eastAsia="Palatino Linotype" w:cs="Times New Roman"/>
        </w:rPr>
        <w:t xml:space="preserve"> which</w:t>
      </w:r>
      <w:r w:rsidRPr="00EE42FC">
        <w:rPr>
          <w:rFonts w:ascii="Palatino Linotype" w:hAnsi="Palatino Linotype" w:eastAsia="Palatino Linotype" w:cs="Times New Roman"/>
        </w:rPr>
        <w:t xml:space="preserve"> now </w:t>
      </w:r>
      <w:proofErr w:type="gramStart"/>
      <w:r w:rsidRPr="00EE42FC">
        <w:rPr>
          <w:rFonts w:ascii="Palatino Linotype" w:hAnsi="Palatino Linotype" w:eastAsia="Palatino Linotype" w:cs="Times New Roman"/>
        </w:rPr>
        <w:t>reads:</w:t>
      </w:r>
      <w:r w:rsidR="00CC7FD4">
        <w:rPr>
          <w:rFonts w:ascii="Palatino Linotype" w:hAnsi="Palatino Linotype" w:eastAsia="Palatino Linotype" w:cs="Times New Roman"/>
        </w:rPr>
        <w:t>“</w:t>
      </w:r>
      <w:proofErr w:type="gramEnd"/>
      <w:r w:rsidRPr="00EE42FC">
        <w:rPr>
          <w:rFonts w:ascii="Palatino Linotype" w:hAnsi="Palatino Linotype" w:eastAsia="Palatino Linotype" w:cs="Times New Roman"/>
        </w:rPr>
        <w:t>(</w:t>
      </w:r>
      <w:proofErr w:type="spellStart"/>
      <w:r w:rsidRPr="00EE42FC">
        <w:rPr>
          <w:rFonts w:ascii="Palatino Linotype" w:hAnsi="Palatino Linotype" w:eastAsia="Palatino Linotype" w:cs="Times New Roman"/>
        </w:rPr>
        <w:t>i</w:t>
      </w:r>
      <w:proofErr w:type="spellEnd"/>
      <w:r w:rsidRPr="00EE42FC">
        <w:rPr>
          <w:rFonts w:ascii="Palatino Linotype" w:hAnsi="Palatino Linotype" w:eastAsia="Palatino Linotype" w:cs="Times New Roman"/>
        </w:rPr>
        <w:t xml:space="preserve">) a geographical area that is served by electrical infrastructure that is </w:t>
      </w:r>
      <w:r w:rsidRPr="00A47FBC">
        <w:rPr>
          <w:rFonts w:ascii="Palatino Linotype" w:hAnsi="Palatino Linotype" w:eastAsia="Palatino Linotype" w:cs="Times New Roman"/>
        </w:rPr>
        <w:t>forecasted</w:t>
      </w:r>
      <w:r w:rsidRPr="00EE42FC">
        <w:rPr>
          <w:rFonts w:ascii="Palatino Linotype" w:hAnsi="Palatino Linotype" w:eastAsia="Palatino Linotype" w:cs="Times New Roman"/>
        </w:rPr>
        <w:t xml:space="preserve"> to experience substantial load growth from </w:t>
      </w:r>
      <w:r w:rsidRPr="00A47FBC" w:rsidR="00A47FBC">
        <w:rPr>
          <w:rFonts w:ascii="Palatino Linotype" w:hAnsi="Palatino Linotype" w:eastAsia="Palatino Linotype" w:cs="Times New Roman"/>
        </w:rPr>
        <w:t xml:space="preserve">any of </w:t>
      </w:r>
      <w:r w:rsidRPr="00A47FBC">
        <w:rPr>
          <w:rFonts w:ascii="Palatino Linotype" w:hAnsi="Palatino Linotype" w:eastAsia="Palatino Linotype" w:cs="Times New Roman"/>
        </w:rPr>
        <w:t>these</w:t>
      </w:r>
      <w:r w:rsidRPr="00EE42FC">
        <w:rPr>
          <w:rFonts w:ascii="Palatino Linotype" w:hAnsi="Palatino Linotype" w:eastAsia="Palatino Linotype" w:cs="Times New Roman"/>
        </w:rPr>
        <w:t xml:space="preserve"> sources </w:t>
      </w:r>
      <w:r w:rsidRPr="00A47FBC" w:rsidR="00A47FBC">
        <w:rPr>
          <w:rFonts w:ascii="Palatino Linotype" w:hAnsi="Palatino Linotype" w:eastAsia="Palatino Linotype" w:cs="Times New Roman"/>
        </w:rPr>
        <w:t xml:space="preserve">of load </w:t>
      </w:r>
      <w:r w:rsidRPr="00EE42FC">
        <w:rPr>
          <w:rFonts w:ascii="Palatino Linotype" w:hAnsi="Palatino Linotype" w:eastAsia="Palatino Linotype" w:cs="Times New Roman"/>
        </w:rPr>
        <w:t xml:space="preserve">including </w:t>
      </w:r>
      <w:r w:rsidRPr="00A47FBC">
        <w:rPr>
          <w:rFonts w:ascii="Palatino Linotype" w:hAnsi="Palatino Linotype" w:eastAsia="Palatino Linotype" w:cs="Times New Roman"/>
        </w:rPr>
        <w:t>IEPR disaggregation</w:t>
      </w:r>
      <w:r w:rsidRPr="00EE42FC">
        <w:rPr>
          <w:rFonts w:ascii="Palatino Linotype" w:hAnsi="Palatino Linotype" w:eastAsia="Palatino Linotype" w:cs="Times New Roman"/>
        </w:rPr>
        <w:t>, known loads, Category A, and Category B1 pending loads</w:t>
      </w:r>
      <w:r w:rsidR="00773EB1">
        <w:rPr>
          <w:rFonts w:ascii="Palatino Linotype" w:hAnsi="Palatino Linotype" w:eastAsia="Palatino Linotype" w:cs="Times New Roman"/>
        </w:rPr>
        <w:t>…</w:t>
      </w:r>
      <w:r w:rsidR="00A47FBC">
        <w:rPr>
          <w:rFonts w:ascii="Palatino Linotype" w:hAnsi="Palatino Linotype" w:eastAsia="Palatino Linotype" w:cs="Times New Roman"/>
        </w:rPr>
        <w:t>”</w:t>
      </w:r>
    </w:p>
    <w:p w:rsidRPr="00EE42FC" w:rsidR="00A2115D" w:rsidP="00EE42FC" w:rsidRDefault="00A2115D" w14:paraId="6CACC092" w14:textId="77777777">
      <w:pPr>
        <w:spacing w:after="0" w:line="240" w:lineRule="auto"/>
        <w:rPr>
          <w:rFonts w:ascii="Palatino Linotype" w:hAnsi="Palatino Linotype" w:eastAsia="Palatino Linotype" w:cs="Times New Roman"/>
        </w:rPr>
      </w:pPr>
    </w:p>
    <w:p w:rsidR="00426B56" w:rsidP="0023093B" w:rsidRDefault="004E1194" w14:paraId="0F67B300" w14:textId="128DFE53">
      <w:pPr>
        <w:spacing w:after="0" w:line="240" w:lineRule="auto"/>
        <w:rPr>
          <w:rFonts w:ascii="Palatino Linotype" w:hAnsi="Palatino Linotype" w:eastAsia="Palatino Linotype" w:cs="Times New Roman"/>
        </w:rPr>
      </w:pPr>
      <w:r w:rsidRPr="001421E7">
        <w:rPr>
          <w:rFonts w:ascii="Palatino Linotype" w:hAnsi="Palatino Linotype" w:eastAsia="Palatino Linotype" w:cs="Times New Roman"/>
        </w:rPr>
        <w:lastRenderedPageBreak/>
        <w:t xml:space="preserve">To clarify that the </w:t>
      </w:r>
      <w:r w:rsidR="00036969">
        <w:rPr>
          <w:rFonts w:ascii="Palatino Linotype" w:hAnsi="Palatino Linotype" w:eastAsia="Palatino Linotype" w:cs="Times New Roman"/>
        </w:rPr>
        <w:t>h</w:t>
      </w:r>
      <w:r w:rsidRPr="001421E7">
        <w:rPr>
          <w:rFonts w:ascii="Palatino Linotype" w:hAnsi="Palatino Linotype" w:eastAsia="Palatino Linotype" w:cs="Times New Roman"/>
        </w:rPr>
        <w:t xml:space="preserve">ot </w:t>
      </w:r>
      <w:proofErr w:type="spellStart"/>
      <w:r w:rsidR="00036969">
        <w:rPr>
          <w:rFonts w:ascii="Palatino Linotype" w:hAnsi="Palatino Linotype" w:eastAsia="Palatino Linotype" w:cs="Times New Roman"/>
        </w:rPr>
        <w:t>p</w:t>
      </w:r>
      <w:r w:rsidRPr="001421E7">
        <w:rPr>
          <w:rFonts w:ascii="Palatino Linotype" w:hAnsi="Palatino Linotype" w:eastAsia="Palatino Linotype" w:cs="Times New Roman"/>
        </w:rPr>
        <w:t>pots</w:t>
      </w:r>
      <w:proofErr w:type="spellEnd"/>
      <w:r w:rsidRPr="001421E7">
        <w:rPr>
          <w:rFonts w:ascii="Palatino Linotype" w:hAnsi="Palatino Linotype" w:eastAsia="Palatino Linotype" w:cs="Times New Roman"/>
        </w:rPr>
        <w:t xml:space="preserve"> definition</w:t>
      </w:r>
      <w:r>
        <w:rPr>
          <w:rFonts w:ascii="Palatino Linotype" w:hAnsi="Palatino Linotype" w:eastAsia="Palatino Linotype" w:cs="Times New Roman"/>
        </w:rPr>
        <w:t xml:space="preserve"> </w:t>
      </w:r>
      <w:r w:rsidRPr="001421E7">
        <w:rPr>
          <w:rFonts w:ascii="Palatino Linotype" w:hAnsi="Palatino Linotype" w:eastAsia="Palatino Linotype" w:cs="Times New Roman"/>
        </w:rPr>
        <w:t xml:space="preserve">encompasses </w:t>
      </w:r>
      <w:r w:rsidR="00036969">
        <w:rPr>
          <w:rFonts w:ascii="Palatino Linotype" w:hAnsi="Palatino Linotype" w:eastAsia="Palatino Linotype" w:cs="Times New Roman"/>
        </w:rPr>
        <w:t>h</w:t>
      </w:r>
      <w:r w:rsidRPr="001421E7">
        <w:rPr>
          <w:rFonts w:ascii="Palatino Linotype" w:hAnsi="Palatino Linotype" w:eastAsia="Palatino Linotype" w:cs="Times New Roman"/>
        </w:rPr>
        <w:t xml:space="preserve">ot </w:t>
      </w:r>
      <w:proofErr w:type="spellStart"/>
      <w:r w:rsidR="00036969">
        <w:rPr>
          <w:rFonts w:ascii="Palatino Linotype" w:hAnsi="Palatino Linotype" w:eastAsia="Palatino Linotype" w:cs="Times New Roman"/>
        </w:rPr>
        <w:t>p</w:t>
      </w:r>
      <w:r w:rsidRPr="001421E7">
        <w:rPr>
          <w:rFonts w:ascii="Palatino Linotype" w:hAnsi="Palatino Linotype" w:eastAsia="Palatino Linotype" w:cs="Times New Roman"/>
        </w:rPr>
        <w:t>pots</w:t>
      </w:r>
      <w:proofErr w:type="spellEnd"/>
      <w:r w:rsidRPr="001421E7">
        <w:rPr>
          <w:rFonts w:ascii="Palatino Linotype" w:hAnsi="Palatino Linotype" w:eastAsia="Palatino Linotype" w:cs="Times New Roman"/>
        </w:rPr>
        <w:t xml:space="preserve"> for fleet electrification, C</w:t>
      </w:r>
      <w:r>
        <w:rPr>
          <w:rFonts w:ascii="Palatino Linotype" w:hAnsi="Palatino Linotype" w:eastAsia="Palatino Linotype" w:cs="Times New Roman"/>
        </w:rPr>
        <w:t>AL</w:t>
      </w:r>
      <w:r w:rsidRPr="001421E7">
        <w:rPr>
          <w:rFonts w:ascii="Palatino Linotype" w:hAnsi="Palatino Linotype" w:eastAsia="Palatino Linotype" w:cs="Times New Roman"/>
        </w:rPr>
        <w:t>START</w:t>
      </w:r>
      <w:r>
        <w:rPr>
          <w:rFonts w:ascii="Palatino Linotype" w:hAnsi="Palatino Linotype" w:eastAsia="Palatino Linotype" w:cs="Times New Roman"/>
        </w:rPr>
        <w:t>, EDF, and NRDC</w:t>
      </w:r>
      <w:r w:rsidRPr="001421E7">
        <w:rPr>
          <w:rFonts w:ascii="Palatino Linotype" w:hAnsi="Palatino Linotype" w:eastAsia="Palatino Linotype" w:cs="Times New Roman"/>
        </w:rPr>
        <w:t xml:space="preserve"> recommends simply changing</w:t>
      </w:r>
      <w:r>
        <w:rPr>
          <w:rFonts w:ascii="Palatino Linotype" w:hAnsi="Palatino Linotype" w:eastAsia="Palatino Linotype" w:cs="Times New Roman"/>
        </w:rPr>
        <w:t xml:space="preserve"> </w:t>
      </w:r>
      <w:r w:rsidRPr="001421E7">
        <w:rPr>
          <w:rFonts w:ascii="Palatino Linotype" w:hAnsi="Palatino Linotype" w:eastAsia="Palatino Linotype" w:cs="Times New Roman"/>
        </w:rPr>
        <w:t xml:space="preserve">“and” to “and/or” such that the </w:t>
      </w:r>
      <w:r w:rsidR="00036969">
        <w:rPr>
          <w:rFonts w:ascii="Palatino Linotype" w:hAnsi="Palatino Linotype" w:eastAsia="Palatino Linotype" w:cs="Times New Roman"/>
        </w:rPr>
        <w:t>h</w:t>
      </w:r>
      <w:r w:rsidRPr="001421E7">
        <w:rPr>
          <w:rFonts w:ascii="Palatino Linotype" w:hAnsi="Palatino Linotype" w:eastAsia="Palatino Linotype" w:cs="Times New Roman"/>
        </w:rPr>
        <w:t xml:space="preserve">ot </w:t>
      </w:r>
      <w:proofErr w:type="spellStart"/>
      <w:r w:rsidR="00036969">
        <w:rPr>
          <w:rFonts w:ascii="Palatino Linotype" w:hAnsi="Palatino Linotype" w:eastAsia="Palatino Linotype" w:cs="Times New Roman"/>
        </w:rPr>
        <w:t>p</w:t>
      </w:r>
      <w:r w:rsidRPr="001421E7">
        <w:rPr>
          <w:rFonts w:ascii="Palatino Linotype" w:hAnsi="Palatino Linotype" w:eastAsia="Palatino Linotype" w:cs="Times New Roman"/>
        </w:rPr>
        <w:t>pots</w:t>
      </w:r>
      <w:proofErr w:type="spellEnd"/>
      <w:r w:rsidRPr="001421E7">
        <w:rPr>
          <w:rFonts w:ascii="Palatino Linotype" w:hAnsi="Palatino Linotype" w:eastAsia="Palatino Linotype" w:cs="Times New Roman"/>
        </w:rPr>
        <w:t xml:space="preserve"> definition is based on “known loads, Category A,</w:t>
      </w:r>
      <w:r>
        <w:rPr>
          <w:rFonts w:ascii="Palatino Linotype" w:hAnsi="Palatino Linotype" w:eastAsia="Palatino Linotype" w:cs="Times New Roman"/>
        </w:rPr>
        <w:t xml:space="preserve"> </w:t>
      </w:r>
      <w:r w:rsidRPr="001421E7">
        <w:rPr>
          <w:rFonts w:ascii="Palatino Linotype" w:hAnsi="Palatino Linotype" w:eastAsia="Palatino Linotype" w:cs="Times New Roman"/>
        </w:rPr>
        <w:t>and/or Category B1 pending loads.”</w:t>
      </w:r>
      <w:r>
        <w:rPr>
          <w:rFonts w:ascii="Palatino Linotype" w:hAnsi="Palatino Linotype" w:eastAsia="Palatino Linotype" w:cs="Times New Roman"/>
        </w:rPr>
        <w:t xml:space="preserve"> This change is not needed, and we reiterate that any </w:t>
      </w:r>
      <w:r w:rsidR="004F0CBD">
        <w:rPr>
          <w:rFonts w:ascii="Palatino Linotype" w:hAnsi="Palatino Linotype" w:eastAsia="Palatino Linotype" w:cs="Times New Roman"/>
        </w:rPr>
        <w:t>combination</w:t>
      </w:r>
      <w:r>
        <w:rPr>
          <w:rFonts w:ascii="Palatino Linotype" w:hAnsi="Palatino Linotype" w:eastAsia="Palatino Linotype" w:cs="Times New Roman"/>
        </w:rPr>
        <w:t xml:space="preserve"> of these categories may contribute to the identification of hot spots.</w:t>
      </w:r>
    </w:p>
    <w:p w:rsidR="00EE42FC" w:rsidP="00A76F4A" w:rsidRDefault="00EE42FC" w14:paraId="3D8DF0AA" w14:textId="1D18DF3B">
      <w:pPr>
        <w:spacing w:after="0" w:line="240" w:lineRule="auto"/>
        <w:rPr>
          <w:rFonts w:ascii="Palatino Linotype" w:hAnsi="Palatino Linotype" w:eastAsia="Palatino Linotype" w:cs="Times New Roman"/>
        </w:rPr>
      </w:pPr>
    </w:p>
    <w:p w:rsidR="00525BDD" w:rsidP="00A76F4A" w:rsidRDefault="00BC05D5" w14:paraId="4E266E5F" w14:textId="2F2E3169">
      <w:pPr>
        <w:spacing w:after="0" w:line="240" w:lineRule="auto"/>
        <w:rPr>
          <w:rFonts w:ascii="Palatino Linotype" w:hAnsi="Palatino Linotype" w:eastAsia="Palatino Linotype" w:cs="Times New Roman"/>
          <w:kern w:val="0"/>
          <w14:ligatures w14:val="none"/>
        </w:rPr>
      </w:pPr>
      <w:r w:rsidRPr="5FB9B0AE">
        <w:rPr>
          <w:rFonts w:ascii="Palatino Linotype" w:hAnsi="Palatino Linotype" w:eastAsia="Palatino Linotype" w:cs="Times New Roman"/>
        </w:rPr>
        <w:t xml:space="preserve">PG&amp;E </w:t>
      </w:r>
      <w:r w:rsidRPr="5FB9B0AE" w:rsidR="00CB4378">
        <w:rPr>
          <w:rFonts w:ascii="Palatino Linotype" w:hAnsi="Palatino Linotype" w:eastAsia="Palatino Linotype" w:cs="Times New Roman"/>
        </w:rPr>
        <w:t>propose</w:t>
      </w:r>
      <w:r w:rsidR="006500F2">
        <w:rPr>
          <w:rFonts w:ascii="Palatino Linotype" w:hAnsi="Palatino Linotype" w:eastAsia="Palatino Linotype" w:cs="Times New Roman"/>
        </w:rPr>
        <w:t>s</w:t>
      </w:r>
      <w:r w:rsidRPr="5FB9B0AE" w:rsidR="00CB4378">
        <w:rPr>
          <w:rFonts w:ascii="Palatino Linotype" w:hAnsi="Palatino Linotype" w:eastAsia="Palatino Linotype" w:cs="Times New Roman"/>
        </w:rPr>
        <w:t xml:space="preserve"> to strike out </w:t>
      </w:r>
      <w:r w:rsidRPr="5FB9B0AE" w:rsidR="664D10C3">
        <w:rPr>
          <w:rFonts w:ascii="Palatino Linotype" w:hAnsi="Palatino Linotype" w:eastAsia="Palatino Linotype" w:cs="Times New Roman"/>
        </w:rPr>
        <w:t xml:space="preserve">significant portions of </w:t>
      </w:r>
      <w:r w:rsidRPr="5FB9B0AE" w:rsidR="00CB4378">
        <w:rPr>
          <w:rFonts w:ascii="Palatino Linotype" w:hAnsi="Palatino Linotype" w:eastAsia="Palatino Linotype" w:cs="Times New Roman"/>
        </w:rPr>
        <w:t xml:space="preserve">the definition of </w:t>
      </w:r>
      <w:r w:rsidRPr="5FB9B0AE" w:rsidR="347F135D">
        <w:rPr>
          <w:rFonts w:ascii="Palatino Linotype" w:hAnsi="Palatino Linotype" w:eastAsia="Palatino Linotype" w:cs="Times New Roman"/>
        </w:rPr>
        <w:t xml:space="preserve">capacity </w:t>
      </w:r>
      <w:r w:rsidRPr="5FB9B0AE" w:rsidR="00CB4378">
        <w:rPr>
          <w:rFonts w:ascii="Palatino Linotype" w:hAnsi="Palatino Linotype" w:eastAsia="Palatino Linotype" w:cs="Times New Roman"/>
        </w:rPr>
        <w:t>constrained areas</w:t>
      </w:r>
      <w:r w:rsidRPr="5FB9B0AE" w:rsidR="00AD3460">
        <w:rPr>
          <w:rFonts w:ascii="Palatino Linotype" w:hAnsi="Palatino Linotype" w:eastAsia="Palatino Linotype" w:cs="Times New Roman"/>
        </w:rPr>
        <w:t xml:space="preserve"> </w:t>
      </w:r>
      <w:r w:rsidRPr="5FB9B0AE" w:rsidR="137E3078">
        <w:rPr>
          <w:rFonts w:ascii="Palatino Linotype" w:hAnsi="Palatino Linotype" w:eastAsia="Palatino Linotype" w:cs="Times New Roman"/>
        </w:rPr>
        <w:t>including the formula for calculating if a hot spot is considered a capacity constrained area.  PG&amp;E</w:t>
      </w:r>
      <w:r w:rsidRPr="5FB9B0AE" w:rsidR="2B603849">
        <w:rPr>
          <w:rFonts w:ascii="Palatino Linotype" w:hAnsi="Palatino Linotype" w:eastAsia="Palatino Linotype" w:cs="Times New Roman"/>
        </w:rPr>
        <w:t xml:space="preserve"> </w:t>
      </w:r>
      <w:r w:rsidRPr="5FB9B0AE" w:rsidR="7DB16490">
        <w:rPr>
          <w:rFonts w:ascii="Palatino Linotype" w:hAnsi="Palatino Linotype" w:eastAsia="Palatino Linotype" w:cs="Times New Roman"/>
        </w:rPr>
        <w:t>claim</w:t>
      </w:r>
      <w:r w:rsidRPr="5FB9B0AE" w:rsidR="64C795F1">
        <w:rPr>
          <w:rFonts w:ascii="Palatino Linotype" w:hAnsi="Palatino Linotype" w:eastAsia="Palatino Linotype" w:cs="Times New Roman"/>
        </w:rPr>
        <w:t>s</w:t>
      </w:r>
      <w:r w:rsidRPr="5FB9B0AE" w:rsidR="001F16E8">
        <w:rPr>
          <w:rFonts w:ascii="Palatino Linotype" w:hAnsi="Palatino Linotype" w:eastAsia="Palatino Linotype" w:cs="Times New Roman"/>
        </w:rPr>
        <w:t xml:space="preserve"> they do </w:t>
      </w:r>
      <w:r w:rsidRPr="5FB9B0AE" w:rsidR="00303230">
        <w:rPr>
          <w:rFonts w:ascii="Palatino Linotype" w:hAnsi="Palatino Linotype" w:eastAsia="Palatino Linotype" w:cs="Times New Roman"/>
        </w:rPr>
        <w:t>not</w:t>
      </w:r>
      <w:r w:rsidRPr="5FB9B0AE" w:rsidR="001F16E8">
        <w:rPr>
          <w:rFonts w:ascii="Palatino Linotype" w:hAnsi="Palatino Linotype" w:eastAsia="Palatino Linotype" w:cs="Times New Roman"/>
        </w:rPr>
        <w:t xml:space="preserve"> have the capability to calculate the constrained areas after the infrastructure is included and then apply it to hot spots.</w:t>
      </w:r>
      <w:r w:rsidRPr="5FB9B0AE" w:rsidR="00CB4378">
        <w:rPr>
          <w:rFonts w:ascii="Palatino Linotype" w:hAnsi="Palatino Linotype" w:eastAsia="Palatino Linotype" w:cs="Times New Roman"/>
        </w:rPr>
        <w:t xml:space="preserve"> </w:t>
      </w:r>
      <w:r w:rsidRPr="5FB9B0AE" w:rsidR="00AD3460">
        <w:rPr>
          <w:rFonts w:ascii="Palatino Linotype" w:hAnsi="Palatino Linotype" w:eastAsia="Palatino Linotype" w:cs="Times New Roman"/>
        </w:rPr>
        <w:t xml:space="preserve">However, they did not provide an alternative proposal on how to calculate </w:t>
      </w:r>
      <w:r w:rsidRPr="5FB9B0AE" w:rsidR="5735394F">
        <w:rPr>
          <w:rFonts w:ascii="Palatino Linotype" w:hAnsi="Palatino Linotype" w:eastAsia="Palatino Linotype" w:cs="Times New Roman"/>
        </w:rPr>
        <w:t xml:space="preserve">capacity </w:t>
      </w:r>
      <w:r w:rsidRPr="5FB9B0AE" w:rsidR="00AD3460">
        <w:rPr>
          <w:rFonts w:ascii="Palatino Linotype" w:hAnsi="Palatino Linotype" w:eastAsia="Palatino Linotype" w:cs="Times New Roman"/>
        </w:rPr>
        <w:t>constrained areas</w:t>
      </w:r>
      <w:r w:rsidR="00FA06F7">
        <w:rPr>
          <w:rFonts w:ascii="Palatino Linotype" w:hAnsi="Palatino Linotype" w:eastAsia="Palatino Linotype" w:cs="Times New Roman"/>
        </w:rPr>
        <w:t xml:space="preserve"> thus we are not persuaded</w:t>
      </w:r>
      <w:r w:rsidR="003E0AB4">
        <w:rPr>
          <w:rFonts w:ascii="Palatino Linotype" w:hAnsi="Palatino Linotype" w:eastAsia="Palatino Linotype" w:cs="Times New Roman"/>
        </w:rPr>
        <w:t xml:space="preserve"> by their proposed changes</w:t>
      </w:r>
      <w:r w:rsidRPr="5FB9B0AE" w:rsidR="00AD3460">
        <w:rPr>
          <w:rFonts w:ascii="Palatino Linotype" w:hAnsi="Palatino Linotype" w:eastAsia="Palatino Linotype" w:cs="Times New Roman"/>
        </w:rPr>
        <w:t xml:space="preserve">. </w:t>
      </w:r>
    </w:p>
    <w:p w:rsidR="003D2027" w:rsidP="00A76F4A" w:rsidRDefault="003D2027" w14:paraId="6DAFF279" w14:textId="0D81FF21">
      <w:pPr>
        <w:spacing w:after="0" w:line="240" w:lineRule="auto"/>
        <w:rPr>
          <w:rFonts w:ascii="Palatino Linotype" w:hAnsi="Palatino Linotype" w:eastAsia="Palatino Linotype" w:cs="Times New Roman"/>
          <w:kern w:val="0"/>
          <w14:ligatures w14:val="none"/>
        </w:rPr>
      </w:pPr>
    </w:p>
    <w:p w:rsidR="003D2027" w:rsidP="00A76F4A" w:rsidRDefault="000E1A14" w14:paraId="61FFCEB6" w14:textId="029F26FA">
      <w:pPr>
        <w:spacing w:after="0" w:line="240" w:lineRule="auto"/>
        <w:rPr>
          <w:rFonts w:ascii="Palatino Linotype" w:hAnsi="Palatino Linotype" w:eastAsia="Palatino Linotype" w:cs="Times New Roman"/>
          <w:kern w:val="0"/>
          <w14:ligatures w14:val="none"/>
        </w:rPr>
      </w:pPr>
      <w:r w:rsidRPr="0FAB3672">
        <w:rPr>
          <w:rFonts w:ascii="Palatino Linotype" w:hAnsi="Palatino Linotype" w:eastAsia="Palatino Linotype" w:cs="Times New Roman"/>
        </w:rPr>
        <w:t>EDF, C</w:t>
      </w:r>
      <w:r w:rsidR="007C201F">
        <w:rPr>
          <w:rFonts w:ascii="Palatino Linotype" w:hAnsi="Palatino Linotype" w:eastAsia="Palatino Linotype" w:cs="Times New Roman"/>
        </w:rPr>
        <w:t>ALSTART</w:t>
      </w:r>
      <w:r w:rsidRPr="0FAB3672">
        <w:rPr>
          <w:rFonts w:ascii="Palatino Linotype" w:hAnsi="Palatino Linotype" w:eastAsia="Palatino Linotype" w:cs="Times New Roman"/>
        </w:rPr>
        <w:t xml:space="preserve">, NRDC, </w:t>
      </w:r>
      <w:r w:rsidRPr="0FAB3672" w:rsidR="009A1C9C">
        <w:rPr>
          <w:rFonts w:ascii="Palatino Linotype" w:hAnsi="Palatino Linotype" w:eastAsia="Palatino Linotype" w:cs="Times New Roman"/>
        </w:rPr>
        <w:t xml:space="preserve">and </w:t>
      </w:r>
      <w:r w:rsidRPr="0FAB3672" w:rsidR="00A87927">
        <w:rPr>
          <w:rFonts w:ascii="Palatino Linotype" w:hAnsi="Palatino Linotype" w:eastAsia="Palatino Linotype" w:cs="Times New Roman"/>
        </w:rPr>
        <w:t>SDG&amp;E</w:t>
      </w:r>
      <w:r w:rsidRPr="0FAB3672" w:rsidR="00F51F55">
        <w:rPr>
          <w:rFonts w:ascii="Palatino Linotype" w:hAnsi="Palatino Linotype" w:eastAsia="Palatino Linotype" w:cs="Times New Roman"/>
        </w:rPr>
        <w:t xml:space="preserve"> recommend changing the five-year planning period to a ten-year planning period to align with the planning horizons adopted in </w:t>
      </w:r>
      <w:r w:rsidR="00806913">
        <w:rPr>
          <w:rFonts w:ascii="Palatino Linotype" w:hAnsi="Palatino Linotype" w:eastAsia="Palatino Linotype" w:cs="Times New Roman"/>
        </w:rPr>
        <w:br/>
      </w:r>
      <w:r w:rsidRPr="0FAB3672" w:rsidR="00F51F55">
        <w:rPr>
          <w:rFonts w:ascii="Palatino Linotype" w:hAnsi="Palatino Linotype" w:eastAsia="Palatino Linotype" w:cs="Times New Roman"/>
        </w:rPr>
        <w:t xml:space="preserve">D. 24-10-030. </w:t>
      </w:r>
      <w:r w:rsidR="006E30A0">
        <w:rPr>
          <w:rFonts w:ascii="Palatino Linotype" w:hAnsi="Palatino Linotype" w:eastAsia="Palatino Linotype" w:cs="Times New Roman"/>
        </w:rPr>
        <w:t xml:space="preserve">Including the pending loads category in the ten-year planning horizon is necessary </w:t>
      </w:r>
      <w:r w:rsidR="00CD18F5">
        <w:rPr>
          <w:rFonts w:ascii="Palatino Linotype" w:hAnsi="Palatino Linotype" w:eastAsia="Palatino Linotype" w:cs="Times New Roman"/>
        </w:rPr>
        <w:t xml:space="preserve">because these </w:t>
      </w:r>
      <w:r w:rsidR="006E30A0">
        <w:rPr>
          <w:rFonts w:ascii="Palatino Linotype" w:hAnsi="Palatino Linotype" w:eastAsia="Palatino Linotype" w:cs="Times New Roman"/>
        </w:rPr>
        <w:t xml:space="preserve">loads are </w:t>
      </w:r>
      <w:r w:rsidR="00CD18F5">
        <w:rPr>
          <w:rFonts w:ascii="Palatino Linotype" w:hAnsi="Palatino Linotype" w:eastAsia="Palatino Linotype" w:cs="Times New Roman"/>
        </w:rPr>
        <w:t>expected</w:t>
      </w:r>
      <w:r w:rsidR="00AB2825">
        <w:rPr>
          <w:rFonts w:ascii="Palatino Linotype" w:hAnsi="Palatino Linotype" w:eastAsia="Palatino Linotype" w:cs="Times New Roman"/>
        </w:rPr>
        <w:t xml:space="preserve"> to materialize</w:t>
      </w:r>
      <w:r w:rsidR="00C26A0B">
        <w:rPr>
          <w:rFonts w:ascii="Palatino Linotype" w:hAnsi="Palatino Linotype" w:eastAsia="Palatino Linotype" w:cs="Times New Roman"/>
        </w:rPr>
        <w:t xml:space="preserve"> beyond</w:t>
      </w:r>
      <w:r w:rsidR="00AB2825">
        <w:rPr>
          <w:rFonts w:ascii="Palatino Linotype" w:hAnsi="Palatino Linotype" w:eastAsia="Palatino Linotype" w:cs="Times New Roman"/>
        </w:rPr>
        <w:t xml:space="preserve"> five years </w:t>
      </w:r>
      <w:r w:rsidR="005B5A38">
        <w:rPr>
          <w:rFonts w:ascii="Palatino Linotype" w:hAnsi="Palatino Linotype" w:eastAsia="Palatino Linotype" w:cs="Times New Roman"/>
        </w:rPr>
        <w:t xml:space="preserve">in </w:t>
      </w:r>
      <w:proofErr w:type="gramStart"/>
      <w:r w:rsidR="00AB2825">
        <w:rPr>
          <w:rFonts w:ascii="Palatino Linotype" w:hAnsi="Palatino Linotype" w:eastAsia="Palatino Linotype" w:cs="Times New Roman"/>
        </w:rPr>
        <w:t>th</w:t>
      </w:r>
      <w:r w:rsidR="00A112A3">
        <w:rPr>
          <w:rFonts w:ascii="Palatino Linotype" w:hAnsi="Palatino Linotype" w:eastAsia="Palatino Linotype" w:cs="Times New Roman"/>
        </w:rPr>
        <w:t>e</w:t>
      </w:r>
      <w:r w:rsidR="00AB2825">
        <w:rPr>
          <w:rFonts w:ascii="Palatino Linotype" w:hAnsi="Palatino Linotype" w:eastAsia="Palatino Linotype" w:cs="Times New Roman"/>
        </w:rPr>
        <w:t xml:space="preserve">  </w:t>
      </w:r>
      <w:r w:rsidR="00EA7DD0">
        <w:rPr>
          <w:rFonts w:ascii="Palatino Linotype" w:hAnsi="Palatino Linotype" w:eastAsia="Palatino Linotype" w:cs="Times New Roman"/>
        </w:rPr>
        <w:t>utilities</w:t>
      </w:r>
      <w:proofErr w:type="gramEnd"/>
      <w:r w:rsidR="00EA7DD0">
        <w:rPr>
          <w:rFonts w:ascii="Palatino Linotype" w:hAnsi="Palatino Linotype" w:eastAsia="Palatino Linotype" w:cs="Times New Roman"/>
        </w:rPr>
        <w:t xml:space="preserve">’ forecasts. </w:t>
      </w:r>
      <w:r w:rsidRPr="0FAB3672" w:rsidR="00F51F55">
        <w:rPr>
          <w:rFonts w:ascii="Palatino Linotype" w:hAnsi="Palatino Linotype" w:eastAsia="Palatino Linotype" w:cs="Times New Roman"/>
        </w:rPr>
        <w:t xml:space="preserve">Thus, we </w:t>
      </w:r>
      <w:r w:rsidR="00C270A4">
        <w:rPr>
          <w:rFonts w:ascii="Palatino Linotype" w:hAnsi="Palatino Linotype" w:eastAsia="Palatino Linotype" w:cs="Times New Roman"/>
        </w:rPr>
        <w:t>agree with</w:t>
      </w:r>
      <w:r w:rsidRPr="0FAB3672" w:rsidR="00F51F55">
        <w:rPr>
          <w:rFonts w:ascii="Palatino Linotype" w:hAnsi="Palatino Linotype" w:eastAsia="Palatino Linotype" w:cs="Times New Roman"/>
        </w:rPr>
        <w:t xml:space="preserve"> this recommendation. </w:t>
      </w:r>
    </w:p>
    <w:p w:rsidR="00FC6BD4" w:rsidP="00A76F4A" w:rsidRDefault="00FC6BD4" w14:paraId="61E703A5" w14:textId="77777777">
      <w:pPr>
        <w:spacing w:after="0" w:line="240" w:lineRule="auto"/>
        <w:rPr>
          <w:rFonts w:ascii="Palatino Linotype" w:hAnsi="Palatino Linotype" w:eastAsia="Palatino Linotype" w:cs="Times New Roman"/>
          <w:kern w:val="0"/>
          <w14:ligatures w14:val="none"/>
        </w:rPr>
      </w:pPr>
    </w:p>
    <w:p w:rsidR="00FC6BD4" w:rsidP="00A76F4A" w:rsidRDefault="00FC6BD4" w14:paraId="3AF9A14B" w14:textId="076FAC46">
      <w:pPr>
        <w:spacing w:after="0" w:line="240" w:lineRule="auto"/>
        <w:rPr>
          <w:rFonts w:ascii="Palatino Linotype" w:hAnsi="Palatino Linotype" w:eastAsia="Palatino Linotype" w:cs="Times New Roman"/>
          <w:kern w:val="0"/>
          <w14:ligatures w14:val="none"/>
        </w:rPr>
      </w:pPr>
      <w:r w:rsidRPr="0B6A44FD">
        <w:rPr>
          <w:rFonts w:ascii="Palatino Linotype" w:hAnsi="Palatino Linotype" w:eastAsia="Palatino Linotype" w:cs="Times New Roman"/>
        </w:rPr>
        <w:t>SCE request</w:t>
      </w:r>
      <w:r w:rsidR="00DF35B5">
        <w:rPr>
          <w:rFonts w:ascii="Palatino Linotype" w:hAnsi="Palatino Linotype" w:eastAsia="Palatino Linotype" w:cs="Times New Roman"/>
        </w:rPr>
        <w:t>s</w:t>
      </w:r>
      <w:r w:rsidRPr="0B6A44FD">
        <w:rPr>
          <w:rFonts w:ascii="Palatino Linotype" w:hAnsi="Palatino Linotype" w:eastAsia="Palatino Linotype" w:cs="Times New Roman"/>
        </w:rPr>
        <w:t xml:space="preserve"> to modify the definition of “capacity constrained</w:t>
      </w:r>
      <w:r w:rsidR="004C6DF0">
        <w:rPr>
          <w:rFonts w:ascii="Palatino Linotype" w:hAnsi="Palatino Linotype" w:eastAsia="Palatino Linotype" w:cs="Times New Roman"/>
        </w:rPr>
        <w:t>”</w:t>
      </w:r>
      <w:r w:rsidRPr="0B6A44FD" w:rsidR="00586A35">
        <w:rPr>
          <w:rFonts w:ascii="Palatino Linotype" w:hAnsi="Palatino Linotype" w:eastAsia="Palatino Linotype" w:cs="Times New Roman"/>
        </w:rPr>
        <w:t>, specifically to decrease the parameter for grid load serving from 100% to 90% to incorporate Category C pending loads and remove</w:t>
      </w:r>
      <w:r w:rsidRPr="0B6A44FD" w:rsidR="00FC0DB6">
        <w:rPr>
          <w:rFonts w:ascii="Palatino Linotype" w:hAnsi="Palatino Linotype" w:eastAsia="Palatino Linotype" w:cs="Times New Roman"/>
        </w:rPr>
        <w:t xml:space="preserve"> planned solutions to maintain flexibility and sufficiently plan for pending loads in multiple scenarios. They provide an equation to illustrate </w:t>
      </w:r>
      <w:r w:rsidRPr="0B6A44FD" w:rsidR="00741C05">
        <w:rPr>
          <w:rFonts w:ascii="Palatino Linotype" w:hAnsi="Palatino Linotype" w:eastAsia="Palatino Linotype" w:cs="Times New Roman"/>
        </w:rPr>
        <w:t xml:space="preserve">their recommendation. </w:t>
      </w:r>
      <w:r w:rsidRPr="0B6A44FD" w:rsidR="00101FB2">
        <w:rPr>
          <w:rFonts w:ascii="Palatino Linotype" w:hAnsi="Palatino Linotype" w:eastAsia="Palatino Linotype" w:cs="Times New Roman"/>
        </w:rPr>
        <w:t xml:space="preserve"> </w:t>
      </w:r>
      <w:r w:rsidRPr="0B6A44FD" w:rsidR="706B26B9">
        <w:rPr>
          <w:rFonts w:ascii="Palatino Linotype" w:hAnsi="Palatino Linotype" w:eastAsia="Palatino Linotype" w:cs="Times New Roman"/>
        </w:rPr>
        <w:t xml:space="preserve">This proposal would lower the </w:t>
      </w:r>
      <w:r w:rsidR="008553FC">
        <w:rPr>
          <w:rFonts w:ascii="Palatino Linotype" w:hAnsi="Palatino Linotype" w:eastAsia="Palatino Linotype" w:cs="Times New Roman"/>
        </w:rPr>
        <w:t>threshold</w:t>
      </w:r>
      <w:r w:rsidRPr="0B6A44FD" w:rsidR="706B26B9">
        <w:rPr>
          <w:rFonts w:ascii="Palatino Linotype" w:hAnsi="Palatino Linotype" w:eastAsia="Palatino Linotype" w:cs="Times New Roman"/>
        </w:rPr>
        <w:t xml:space="preserve"> for allowing </w:t>
      </w:r>
      <w:r w:rsidR="00FF49EF">
        <w:rPr>
          <w:rFonts w:ascii="Palatino Linotype" w:hAnsi="Palatino Linotype" w:eastAsia="Palatino Linotype" w:cs="Times New Roman"/>
        </w:rPr>
        <w:t>medium confidence</w:t>
      </w:r>
      <w:r w:rsidRPr="0B6A44FD" w:rsidR="03A05914">
        <w:rPr>
          <w:rFonts w:ascii="Palatino Linotype" w:hAnsi="Palatino Linotype" w:eastAsia="Palatino Linotype" w:cs="Times New Roman"/>
        </w:rPr>
        <w:t xml:space="preserve"> </w:t>
      </w:r>
      <w:r w:rsidRPr="0B6A44FD" w:rsidR="706B26B9">
        <w:rPr>
          <w:rFonts w:ascii="Palatino Linotype" w:hAnsi="Palatino Linotype" w:eastAsia="Palatino Linotype" w:cs="Times New Roman"/>
        </w:rPr>
        <w:t>Pending Loads to exceed the IEPR</w:t>
      </w:r>
      <w:r w:rsidRPr="0B6A44FD" w:rsidR="60E2D5AC">
        <w:rPr>
          <w:rFonts w:ascii="Palatino Linotype" w:hAnsi="Palatino Linotype" w:eastAsia="Palatino Linotype" w:cs="Times New Roman"/>
        </w:rPr>
        <w:t xml:space="preserve"> and could </w:t>
      </w:r>
      <w:r w:rsidRPr="0A6F0B80" w:rsidR="6816779F">
        <w:rPr>
          <w:rFonts w:ascii="Palatino Linotype" w:hAnsi="Palatino Linotype" w:eastAsia="Palatino Linotype" w:cs="Times New Roman"/>
        </w:rPr>
        <w:t>result in over investment of the system creating unnecessary cost</w:t>
      </w:r>
      <w:r w:rsidRPr="0B6A44FD" w:rsidR="60E2D5AC">
        <w:rPr>
          <w:rFonts w:ascii="Palatino Linotype" w:hAnsi="Palatino Linotype" w:eastAsia="Palatino Linotype" w:cs="Times New Roman"/>
        </w:rPr>
        <w:t xml:space="preserve"> to ratepayers.  </w:t>
      </w:r>
      <w:r w:rsidRPr="0B6A44FD" w:rsidR="00741C05">
        <w:rPr>
          <w:rFonts w:ascii="Palatino Linotype" w:hAnsi="Palatino Linotype" w:eastAsia="Palatino Linotype" w:cs="Times New Roman"/>
        </w:rPr>
        <w:t xml:space="preserve">The Commission </w:t>
      </w:r>
      <w:r w:rsidR="00DF35B5">
        <w:rPr>
          <w:rFonts w:ascii="Palatino Linotype" w:hAnsi="Palatino Linotype" w:eastAsia="Palatino Linotype" w:cs="Times New Roman"/>
        </w:rPr>
        <w:t>declines</w:t>
      </w:r>
      <w:r w:rsidRPr="0B6A44FD" w:rsidR="00741C05">
        <w:rPr>
          <w:rFonts w:ascii="Palatino Linotype" w:hAnsi="Palatino Linotype" w:eastAsia="Palatino Linotype" w:cs="Times New Roman"/>
        </w:rPr>
        <w:t xml:space="preserve"> this recommendation. </w:t>
      </w:r>
    </w:p>
    <w:p w:rsidR="00906D83" w:rsidP="00A76F4A" w:rsidRDefault="00906D83" w14:paraId="20F517C6" w14:textId="77777777">
      <w:pPr>
        <w:spacing w:after="0" w:line="240" w:lineRule="auto"/>
        <w:rPr>
          <w:rFonts w:ascii="Palatino Linotype" w:hAnsi="Palatino Linotype" w:eastAsia="Palatino Linotype" w:cs="Times New Roman"/>
          <w:kern w:val="0"/>
          <w14:ligatures w14:val="none"/>
        </w:rPr>
      </w:pPr>
    </w:p>
    <w:p w:rsidR="00F61D60" w:rsidP="00A76F4A" w:rsidRDefault="009E0241" w14:paraId="69AE9376" w14:textId="7FED5762">
      <w:pPr>
        <w:spacing w:after="0" w:line="240" w:lineRule="auto"/>
        <w:rPr>
          <w:rFonts w:ascii="Palatino Linotype" w:hAnsi="Palatino Linotype" w:eastAsia="Palatino Linotype" w:cs="Times New Roman"/>
        </w:rPr>
      </w:pPr>
      <w:proofErr w:type="spellStart"/>
      <w:r w:rsidRPr="006D3061">
        <w:rPr>
          <w:rFonts w:ascii="Palatino Linotype" w:hAnsi="Palatino Linotype" w:eastAsia="Palatino Linotype" w:cs="Times New Roman"/>
        </w:rPr>
        <w:t>Cal</w:t>
      </w:r>
      <w:r w:rsidRPr="006D3061" w:rsidR="00846220">
        <w:rPr>
          <w:rFonts w:ascii="Palatino Linotype" w:hAnsi="Palatino Linotype" w:eastAsia="Palatino Linotype" w:cs="Times New Roman"/>
        </w:rPr>
        <w:t>Advocates</w:t>
      </w:r>
      <w:proofErr w:type="spellEnd"/>
      <w:r w:rsidRPr="0D04C110" w:rsidR="00E2105B">
        <w:rPr>
          <w:rFonts w:ascii="Palatino Linotype" w:hAnsi="Palatino Linotype" w:eastAsia="Palatino Linotype" w:cs="Times New Roman"/>
        </w:rPr>
        <w:t xml:space="preserve"> </w:t>
      </w:r>
      <w:r w:rsidRPr="0D04C110" w:rsidR="00042D7D">
        <w:rPr>
          <w:rFonts w:ascii="Palatino Linotype" w:hAnsi="Palatino Linotype" w:eastAsia="Palatino Linotype" w:cs="Times New Roman"/>
        </w:rPr>
        <w:t>reques</w:t>
      </w:r>
      <w:r w:rsidR="004950B2">
        <w:rPr>
          <w:rFonts w:ascii="Palatino Linotype" w:hAnsi="Palatino Linotype" w:eastAsia="Palatino Linotype" w:cs="Times New Roman"/>
        </w:rPr>
        <w:t>t</w:t>
      </w:r>
      <w:r w:rsidRPr="0D04C110" w:rsidR="00E2105B">
        <w:rPr>
          <w:rFonts w:ascii="Palatino Linotype" w:hAnsi="Palatino Linotype" w:eastAsia="Palatino Linotype" w:cs="Times New Roman"/>
        </w:rPr>
        <w:t xml:space="preserve"> </w:t>
      </w:r>
      <w:r w:rsidR="00341032">
        <w:rPr>
          <w:rFonts w:ascii="Palatino Linotype" w:hAnsi="Palatino Linotype" w:eastAsia="Palatino Linotype" w:cs="Times New Roman"/>
        </w:rPr>
        <w:t>that</w:t>
      </w:r>
      <w:r w:rsidR="000349FB">
        <w:rPr>
          <w:rFonts w:ascii="Palatino Linotype" w:hAnsi="Palatino Linotype" w:eastAsia="Palatino Linotype" w:cs="Times New Roman"/>
        </w:rPr>
        <w:t xml:space="preserve"> hot spots </w:t>
      </w:r>
      <w:r w:rsidR="00341032">
        <w:rPr>
          <w:rFonts w:ascii="Palatino Linotype" w:hAnsi="Palatino Linotype" w:eastAsia="Palatino Linotype" w:cs="Times New Roman"/>
        </w:rPr>
        <w:t xml:space="preserve">be defined </w:t>
      </w:r>
      <w:r w:rsidR="000349FB">
        <w:rPr>
          <w:rFonts w:ascii="Palatino Linotype" w:hAnsi="Palatino Linotype" w:eastAsia="Palatino Linotype" w:cs="Times New Roman"/>
        </w:rPr>
        <w:t xml:space="preserve">exclusively </w:t>
      </w:r>
      <w:r w:rsidR="002E31D1">
        <w:rPr>
          <w:rFonts w:ascii="Palatino Linotype" w:hAnsi="Palatino Linotype" w:eastAsia="Palatino Linotype" w:cs="Times New Roman"/>
        </w:rPr>
        <w:t>based on</w:t>
      </w:r>
      <w:r w:rsidR="00723952">
        <w:rPr>
          <w:rFonts w:ascii="Palatino Linotype" w:hAnsi="Palatino Linotype" w:eastAsia="Palatino Linotype" w:cs="Times New Roman"/>
        </w:rPr>
        <w:t xml:space="preserve"> </w:t>
      </w:r>
      <w:r w:rsidR="008D48D5">
        <w:rPr>
          <w:rFonts w:ascii="Palatino Linotype" w:hAnsi="Palatino Linotype" w:eastAsia="Palatino Linotype" w:cs="Times New Roman"/>
        </w:rPr>
        <w:t xml:space="preserve">actual </w:t>
      </w:r>
      <w:r w:rsidR="000349FB">
        <w:rPr>
          <w:rFonts w:ascii="Palatino Linotype" w:hAnsi="Palatino Linotype" w:eastAsia="Palatino Linotype" w:cs="Times New Roman"/>
        </w:rPr>
        <w:t>data for known loads, Category A, and Category B pending loads.</w:t>
      </w:r>
      <w:r w:rsidRPr="0D04C110" w:rsidR="00E2105B">
        <w:rPr>
          <w:rFonts w:ascii="Palatino Linotype" w:hAnsi="Palatino Linotype" w:eastAsia="Palatino Linotype" w:cs="Times New Roman"/>
        </w:rPr>
        <w:t xml:space="preserve">  </w:t>
      </w:r>
      <w:r w:rsidR="00D52FFF">
        <w:rPr>
          <w:rFonts w:ascii="Palatino Linotype" w:hAnsi="Palatino Linotype" w:eastAsia="Palatino Linotype" w:cs="Times New Roman"/>
        </w:rPr>
        <w:t xml:space="preserve">We </w:t>
      </w:r>
      <w:r w:rsidR="008D7F93">
        <w:rPr>
          <w:rFonts w:ascii="Palatino Linotype" w:hAnsi="Palatino Linotype" w:eastAsia="Palatino Linotype" w:cs="Times New Roman"/>
        </w:rPr>
        <w:t>reiterate</w:t>
      </w:r>
      <w:r w:rsidR="00C53C45">
        <w:rPr>
          <w:rFonts w:ascii="Palatino Linotype" w:hAnsi="Palatino Linotype" w:eastAsia="Palatino Linotype" w:cs="Times New Roman"/>
        </w:rPr>
        <w:t xml:space="preserve"> that</w:t>
      </w:r>
      <w:r w:rsidR="00D048F1">
        <w:rPr>
          <w:rFonts w:ascii="Palatino Linotype" w:hAnsi="Palatino Linotype" w:eastAsia="Palatino Linotype" w:cs="Times New Roman"/>
        </w:rPr>
        <w:t xml:space="preserve"> the sources of load for determining hot</w:t>
      </w:r>
      <w:r w:rsidR="008D7F93">
        <w:rPr>
          <w:rFonts w:ascii="Palatino Linotype" w:hAnsi="Palatino Linotype" w:eastAsia="Palatino Linotype" w:cs="Times New Roman"/>
        </w:rPr>
        <w:t xml:space="preserve"> </w:t>
      </w:r>
      <w:r w:rsidR="00D048F1">
        <w:rPr>
          <w:rFonts w:ascii="Palatino Linotype" w:hAnsi="Palatino Linotype" w:eastAsia="Palatino Linotype" w:cs="Times New Roman"/>
        </w:rPr>
        <w:t>spots</w:t>
      </w:r>
      <w:r w:rsidR="008D7F93">
        <w:rPr>
          <w:rFonts w:ascii="Palatino Linotype" w:hAnsi="Palatino Linotype" w:eastAsia="Palatino Linotype" w:cs="Times New Roman"/>
        </w:rPr>
        <w:t xml:space="preserve"> </w:t>
      </w:r>
      <w:r w:rsidR="008B59F2">
        <w:rPr>
          <w:rFonts w:ascii="Palatino Linotype" w:hAnsi="Palatino Linotype" w:eastAsia="Palatino Linotype" w:cs="Times New Roman"/>
        </w:rPr>
        <w:t>include IEPR disaggregation</w:t>
      </w:r>
      <w:r w:rsidRPr="00EE42FC" w:rsidR="008B59F2">
        <w:rPr>
          <w:rFonts w:ascii="Palatino Linotype" w:hAnsi="Palatino Linotype" w:eastAsia="Palatino Linotype" w:cs="Times New Roman"/>
        </w:rPr>
        <w:t>, known loads, Category A, and Category B1 pending loads</w:t>
      </w:r>
      <w:r w:rsidRPr="63B5AEE6" w:rsidR="5FD42434">
        <w:rPr>
          <w:rFonts w:ascii="Palatino Linotype" w:hAnsi="Palatino Linotype" w:eastAsia="Palatino Linotype" w:cs="Times New Roman"/>
        </w:rPr>
        <w:t>.</w:t>
      </w:r>
      <w:r w:rsidRPr="63B5AEE6" w:rsidR="00CE0E3C">
        <w:rPr>
          <w:rFonts w:ascii="Palatino Linotype" w:hAnsi="Palatino Linotype" w:eastAsia="Palatino Linotype" w:cs="Times New Roman"/>
        </w:rPr>
        <w:t xml:space="preserve"> </w:t>
      </w:r>
    </w:p>
    <w:p w:rsidR="00F61D60" w:rsidP="00A76F4A" w:rsidRDefault="00F61D60" w14:paraId="5D810C4A" w14:textId="4AA80838">
      <w:pPr>
        <w:spacing w:after="0" w:line="240" w:lineRule="auto"/>
        <w:rPr>
          <w:rFonts w:ascii="Palatino Linotype" w:hAnsi="Palatino Linotype" w:eastAsia="Palatino Linotype" w:cs="Times New Roman"/>
        </w:rPr>
      </w:pPr>
    </w:p>
    <w:p w:rsidR="003A31E5" w:rsidP="63B5AEE6" w:rsidRDefault="00F61D60" w14:paraId="66EA7C38" w14:textId="39BA8601">
      <w:pPr>
        <w:spacing w:after="0" w:line="240" w:lineRule="auto"/>
        <w:rPr>
          <w:rFonts w:ascii="Palatino Linotype" w:hAnsi="Palatino Linotype" w:eastAsia="Palatino Linotype" w:cs="Times New Roman"/>
        </w:rPr>
      </w:pPr>
      <w:proofErr w:type="spellStart"/>
      <w:r>
        <w:rPr>
          <w:rFonts w:ascii="Palatino Linotype" w:hAnsi="Palatino Linotype" w:eastAsia="Palatino Linotype" w:cs="Times New Roman"/>
        </w:rPr>
        <w:t>CalAdvocates</w:t>
      </w:r>
      <w:proofErr w:type="spellEnd"/>
      <w:r w:rsidR="00D52FFF">
        <w:rPr>
          <w:rFonts w:ascii="Palatino Linotype" w:hAnsi="Palatino Linotype" w:eastAsia="Palatino Linotype" w:cs="Times New Roman"/>
        </w:rPr>
        <w:t xml:space="preserve"> </w:t>
      </w:r>
      <w:r w:rsidR="005B2FCA">
        <w:rPr>
          <w:rFonts w:ascii="Palatino Linotype" w:hAnsi="Palatino Linotype" w:eastAsia="Palatino Linotype" w:cs="Times New Roman"/>
        </w:rPr>
        <w:t>propose</w:t>
      </w:r>
      <w:r w:rsidR="00DB120C">
        <w:rPr>
          <w:rFonts w:ascii="Palatino Linotype" w:hAnsi="Palatino Linotype" w:eastAsia="Palatino Linotype" w:cs="Times New Roman"/>
        </w:rPr>
        <w:t>s</w:t>
      </w:r>
      <w:r w:rsidR="005B2FCA">
        <w:rPr>
          <w:rFonts w:ascii="Palatino Linotype" w:hAnsi="Palatino Linotype" w:eastAsia="Palatino Linotype" w:cs="Times New Roman"/>
        </w:rPr>
        <w:t xml:space="preserve"> that an </w:t>
      </w:r>
      <w:r w:rsidR="0069634F">
        <w:rPr>
          <w:rFonts w:ascii="Palatino Linotype" w:hAnsi="Palatino Linotype" w:eastAsia="Palatino Linotype" w:cs="Times New Roman"/>
        </w:rPr>
        <w:t xml:space="preserve">area </w:t>
      </w:r>
      <w:r w:rsidR="00E95A3B">
        <w:rPr>
          <w:rFonts w:ascii="Palatino Linotype" w:hAnsi="Palatino Linotype" w:eastAsia="Palatino Linotype" w:cs="Times New Roman"/>
        </w:rPr>
        <w:t xml:space="preserve">is </w:t>
      </w:r>
      <w:r w:rsidR="0069634F">
        <w:rPr>
          <w:rFonts w:ascii="Palatino Linotype" w:hAnsi="Palatino Linotype" w:eastAsia="Palatino Linotype" w:cs="Times New Roman"/>
        </w:rPr>
        <w:t xml:space="preserve">deemed capacity-constrained when the </w:t>
      </w:r>
      <w:r w:rsidR="00AA0F3D">
        <w:rPr>
          <w:rFonts w:ascii="Palatino Linotype" w:hAnsi="Palatino Linotype" w:eastAsia="Palatino Linotype" w:cs="Times New Roman"/>
        </w:rPr>
        <w:t xml:space="preserve">total demand </w:t>
      </w:r>
      <w:r w:rsidR="00B9351D">
        <w:rPr>
          <w:rFonts w:ascii="Palatino Linotype" w:hAnsi="Palatino Linotype" w:eastAsia="Palatino Linotype" w:cs="Times New Roman"/>
        </w:rPr>
        <w:t>is greater than or equal to</w:t>
      </w:r>
      <w:r w:rsidR="00AA0F3D">
        <w:rPr>
          <w:rFonts w:ascii="Palatino Linotype" w:hAnsi="Palatino Linotype" w:eastAsia="Palatino Linotype" w:cs="Times New Roman"/>
        </w:rPr>
        <w:t xml:space="preserve"> </w:t>
      </w:r>
      <w:r w:rsidR="00294484">
        <w:rPr>
          <w:rFonts w:ascii="Palatino Linotype" w:hAnsi="Palatino Linotype" w:eastAsia="Palatino Linotype" w:cs="Times New Roman"/>
        </w:rPr>
        <w:t>80% of the total capacity, calculated using only known loads and Category A and B</w:t>
      </w:r>
      <w:r w:rsidR="001C3273">
        <w:rPr>
          <w:rFonts w:ascii="Palatino Linotype" w:hAnsi="Palatino Linotype" w:eastAsia="Palatino Linotype" w:cs="Times New Roman"/>
        </w:rPr>
        <w:t>1</w:t>
      </w:r>
      <w:r w:rsidR="00294484">
        <w:rPr>
          <w:rFonts w:ascii="Palatino Linotype" w:hAnsi="Palatino Linotype" w:eastAsia="Palatino Linotype" w:cs="Times New Roman"/>
        </w:rPr>
        <w:t xml:space="preserve"> pending loads.</w:t>
      </w:r>
      <w:r w:rsidR="00CE3AB4">
        <w:rPr>
          <w:rFonts w:ascii="Palatino Linotype" w:hAnsi="Palatino Linotype" w:eastAsia="Palatino Linotype" w:cs="Times New Roman"/>
        </w:rPr>
        <w:t xml:space="preserve"> </w:t>
      </w:r>
      <w:r w:rsidR="00A86510">
        <w:rPr>
          <w:rFonts w:ascii="Palatino Linotype" w:hAnsi="Palatino Linotype" w:eastAsia="Palatino Linotype" w:cs="Times New Roman"/>
        </w:rPr>
        <w:t xml:space="preserve">We </w:t>
      </w:r>
      <w:r w:rsidR="00F11200">
        <w:rPr>
          <w:rFonts w:ascii="Palatino Linotype" w:hAnsi="Palatino Linotype" w:eastAsia="Palatino Linotype" w:cs="Times New Roman"/>
        </w:rPr>
        <w:t>find</w:t>
      </w:r>
      <w:r w:rsidR="00F356D6">
        <w:rPr>
          <w:rFonts w:ascii="Palatino Linotype" w:hAnsi="Palatino Linotype" w:eastAsia="Palatino Linotype" w:cs="Times New Roman"/>
        </w:rPr>
        <w:t xml:space="preserve"> their proposal</w:t>
      </w:r>
      <w:r w:rsidR="005502F1">
        <w:rPr>
          <w:rFonts w:ascii="Palatino Linotype" w:hAnsi="Palatino Linotype" w:eastAsia="Palatino Linotype" w:cs="Times New Roman"/>
        </w:rPr>
        <w:t xml:space="preserve"> would establish a hot spot guardrail to </w:t>
      </w:r>
      <w:r w:rsidR="005E2A57">
        <w:rPr>
          <w:rFonts w:ascii="Palatino Linotype" w:hAnsi="Palatino Linotype" w:eastAsia="Palatino Linotype" w:cs="Times New Roman"/>
        </w:rPr>
        <w:t>prevent</w:t>
      </w:r>
      <w:r w:rsidR="005502F1">
        <w:rPr>
          <w:rFonts w:ascii="Palatino Linotype" w:hAnsi="Palatino Linotype" w:eastAsia="Palatino Linotype" w:cs="Times New Roman"/>
        </w:rPr>
        <w:t xml:space="preserve"> </w:t>
      </w:r>
      <w:r w:rsidR="00CB5467">
        <w:rPr>
          <w:rFonts w:ascii="Palatino Linotype" w:hAnsi="Palatino Linotype" w:eastAsia="Palatino Linotype" w:cs="Times New Roman"/>
        </w:rPr>
        <w:t>excessive</w:t>
      </w:r>
      <w:r w:rsidR="006077E9">
        <w:rPr>
          <w:rFonts w:ascii="Palatino Linotype" w:hAnsi="Palatino Linotype" w:eastAsia="Palatino Linotype" w:cs="Times New Roman"/>
        </w:rPr>
        <w:t xml:space="preserve"> </w:t>
      </w:r>
      <w:r w:rsidR="005502F1">
        <w:rPr>
          <w:rFonts w:ascii="Palatino Linotype" w:hAnsi="Palatino Linotype" w:eastAsia="Palatino Linotype" w:cs="Times New Roman"/>
        </w:rPr>
        <w:t>Category B2 pending load</w:t>
      </w:r>
      <w:r w:rsidR="0033325A">
        <w:rPr>
          <w:rFonts w:ascii="Palatino Linotype" w:hAnsi="Palatino Linotype" w:eastAsia="Palatino Linotype" w:cs="Times New Roman"/>
        </w:rPr>
        <w:t>s</w:t>
      </w:r>
      <w:r w:rsidR="005502F1">
        <w:rPr>
          <w:rFonts w:ascii="Palatino Linotype" w:hAnsi="Palatino Linotype" w:eastAsia="Palatino Linotype" w:cs="Times New Roman"/>
        </w:rPr>
        <w:t xml:space="preserve"> </w:t>
      </w:r>
      <w:r w:rsidR="005D1D16">
        <w:rPr>
          <w:rFonts w:ascii="Palatino Linotype" w:hAnsi="Palatino Linotype" w:eastAsia="Palatino Linotype" w:cs="Times New Roman"/>
        </w:rPr>
        <w:t xml:space="preserve">from </w:t>
      </w:r>
      <w:r w:rsidR="005502F1">
        <w:rPr>
          <w:rFonts w:ascii="Palatino Linotype" w:hAnsi="Palatino Linotype" w:eastAsia="Palatino Linotype" w:cs="Times New Roman"/>
        </w:rPr>
        <w:t>exceeding the IEPR</w:t>
      </w:r>
      <w:r w:rsidR="00A854A3">
        <w:rPr>
          <w:rFonts w:ascii="Palatino Linotype" w:hAnsi="Palatino Linotype" w:eastAsia="Palatino Linotype" w:cs="Times New Roman"/>
        </w:rPr>
        <w:t xml:space="preserve"> and </w:t>
      </w:r>
      <w:r w:rsidR="00845903">
        <w:rPr>
          <w:rFonts w:ascii="Palatino Linotype" w:hAnsi="Palatino Linotype" w:eastAsia="Palatino Linotype" w:cs="Times New Roman"/>
        </w:rPr>
        <w:t>th</w:t>
      </w:r>
      <w:r w:rsidR="0027692C">
        <w:rPr>
          <w:rFonts w:ascii="Palatino Linotype" w:hAnsi="Palatino Linotype" w:eastAsia="Palatino Linotype" w:cs="Times New Roman"/>
        </w:rPr>
        <w:t xml:space="preserve">eir </w:t>
      </w:r>
      <w:r w:rsidR="0054383F">
        <w:rPr>
          <w:rFonts w:ascii="Palatino Linotype" w:hAnsi="Palatino Linotype" w:eastAsia="Palatino Linotype" w:cs="Times New Roman"/>
        </w:rPr>
        <w:t>formula</w:t>
      </w:r>
      <w:r w:rsidR="00CB3996">
        <w:rPr>
          <w:rFonts w:ascii="Palatino Linotype" w:hAnsi="Palatino Linotype" w:eastAsia="Palatino Linotype" w:cs="Times New Roman"/>
        </w:rPr>
        <w:t xml:space="preserve"> </w:t>
      </w:r>
      <w:r w:rsidR="0027692C">
        <w:rPr>
          <w:rFonts w:ascii="Palatino Linotype" w:hAnsi="Palatino Linotype" w:eastAsia="Palatino Linotype" w:cs="Times New Roman"/>
        </w:rPr>
        <w:t>is</w:t>
      </w:r>
      <w:r w:rsidR="00C91C14">
        <w:rPr>
          <w:rFonts w:ascii="Palatino Linotype" w:hAnsi="Palatino Linotype" w:eastAsia="Palatino Linotype" w:cs="Times New Roman"/>
        </w:rPr>
        <w:t xml:space="preserve"> more</w:t>
      </w:r>
      <w:r w:rsidR="009E3B48">
        <w:rPr>
          <w:rFonts w:ascii="Palatino Linotype" w:hAnsi="Palatino Linotype" w:eastAsia="Palatino Linotype" w:cs="Times New Roman"/>
        </w:rPr>
        <w:t xml:space="preserve"> </w:t>
      </w:r>
      <w:r w:rsidR="009B4124">
        <w:rPr>
          <w:rFonts w:ascii="Palatino Linotype" w:hAnsi="Palatino Linotype" w:eastAsia="Palatino Linotype" w:cs="Times New Roman"/>
        </w:rPr>
        <w:t>streamlined</w:t>
      </w:r>
      <w:r w:rsidR="003E4F4D">
        <w:rPr>
          <w:rFonts w:ascii="Palatino Linotype" w:hAnsi="Palatino Linotype" w:eastAsia="Palatino Linotype" w:cs="Times New Roman"/>
        </w:rPr>
        <w:t xml:space="preserve">. </w:t>
      </w:r>
      <w:r w:rsidR="00A6368B">
        <w:rPr>
          <w:rFonts w:ascii="Palatino Linotype" w:hAnsi="Palatino Linotype" w:eastAsia="Palatino Linotype" w:cs="Times New Roman"/>
        </w:rPr>
        <w:t xml:space="preserve"> </w:t>
      </w:r>
      <w:r w:rsidRPr="63B5AEE6" w:rsidR="29092773">
        <w:rPr>
          <w:rFonts w:ascii="Palatino Linotype" w:hAnsi="Palatino Linotype" w:eastAsia="Palatino Linotype" w:cs="Times New Roman"/>
        </w:rPr>
        <w:t>W</w:t>
      </w:r>
      <w:r w:rsidR="0088213D">
        <w:rPr>
          <w:rFonts w:ascii="Palatino Linotype" w:hAnsi="Palatino Linotype" w:eastAsia="Palatino Linotype" w:cs="Times New Roman"/>
        </w:rPr>
        <w:t>e</w:t>
      </w:r>
      <w:r w:rsidR="00331895">
        <w:rPr>
          <w:rFonts w:ascii="Palatino Linotype" w:hAnsi="Palatino Linotype" w:eastAsia="Palatino Linotype" w:cs="Times New Roman"/>
        </w:rPr>
        <w:t xml:space="preserve"> </w:t>
      </w:r>
      <w:r w:rsidR="00EE48CE">
        <w:rPr>
          <w:rFonts w:ascii="Palatino Linotype" w:hAnsi="Palatino Linotype" w:eastAsia="Palatino Linotype" w:cs="Times New Roman"/>
        </w:rPr>
        <w:t>accept</w:t>
      </w:r>
      <w:r w:rsidR="00A86510">
        <w:rPr>
          <w:rFonts w:ascii="Palatino Linotype" w:hAnsi="Palatino Linotype" w:eastAsia="Palatino Linotype" w:cs="Times New Roman"/>
        </w:rPr>
        <w:t xml:space="preserve"> </w:t>
      </w:r>
      <w:r w:rsidR="0088213D">
        <w:rPr>
          <w:rFonts w:ascii="Palatino Linotype" w:hAnsi="Palatino Linotype" w:eastAsia="Palatino Linotype" w:cs="Times New Roman"/>
        </w:rPr>
        <w:t>the</w:t>
      </w:r>
      <w:r w:rsidR="00F313A9">
        <w:rPr>
          <w:rFonts w:ascii="Palatino Linotype" w:hAnsi="Palatino Linotype" w:eastAsia="Palatino Linotype" w:cs="Times New Roman"/>
        </w:rPr>
        <w:t xml:space="preserve"> change</w:t>
      </w:r>
      <w:r w:rsidR="00ED03A2">
        <w:rPr>
          <w:rFonts w:ascii="Palatino Linotype" w:hAnsi="Palatino Linotype" w:eastAsia="Palatino Linotype" w:cs="Times New Roman"/>
        </w:rPr>
        <w:t xml:space="preserve"> to the </w:t>
      </w:r>
      <w:r w:rsidR="00ED03A2">
        <w:rPr>
          <w:rFonts w:ascii="Palatino Linotype" w:hAnsi="Palatino Linotype" w:eastAsia="Palatino Linotype" w:cs="Times New Roman"/>
        </w:rPr>
        <w:lastRenderedPageBreak/>
        <w:t xml:space="preserve">formula while also adding IPER </w:t>
      </w:r>
      <w:r w:rsidR="0017014B">
        <w:rPr>
          <w:rFonts w:ascii="Palatino Linotype" w:hAnsi="Palatino Linotype" w:eastAsia="Palatino Linotype" w:cs="Times New Roman"/>
        </w:rPr>
        <w:t>disaggregation</w:t>
      </w:r>
      <w:r w:rsidR="00ED03A2">
        <w:rPr>
          <w:rFonts w:ascii="Palatino Linotype" w:hAnsi="Palatino Linotype" w:eastAsia="Palatino Linotype" w:cs="Times New Roman"/>
        </w:rPr>
        <w:t xml:space="preserve"> to the</w:t>
      </w:r>
      <w:r w:rsidR="00455929">
        <w:rPr>
          <w:rFonts w:ascii="Palatino Linotype" w:hAnsi="Palatino Linotype" w:eastAsia="Palatino Linotype" w:cs="Times New Roman"/>
        </w:rPr>
        <w:t xml:space="preserve"> </w:t>
      </w:r>
      <w:r w:rsidR="00086070">
        <w:rPr>
          <w:rFonts w:ascii="Palatino Linotype" w:hAnsi="Palatino Linotype" w:eastAsia="Palatino Linotype" w:cs="Times New Roman"/>
        </w:rPr>
        <w:t>sources of load</w:t>
      </w:r>
      <w:r w:rsidR="00455929">
        <w:rPr>
          <w:rFonts w:ascii="Palatino Linotype" w:hAnsi="Palatino Linotype" w:eastAsia="Palatino Linotype" w:cs="Times New Roman"/>
        </w:rPr>
        <w:t xml:space="preserve"> as previously discussed.</w:t>
      </w:r>
    </w:p>
    <w:p w:rsidR="003A31E5" w:rsidP="63B5AEE6" w:rsidRDefault="003A31E5" w14:paraId="3FF55699" w14:textId="440FD7D0">
      <w:pPr>
        <w:spacing w:after="0" w:line="240" w:lineRule="auto"/>
        <w:rPr>
          <w:rFonts w:ascii="Palatino Linotype" w:hAnsi="Palatino Linotype" w:eastAsia="Palatino Linotype" w:cs="Times New Roman"/>
        </w:rPr>
      </w:pPr>
    </w:p>
    <w:p w:rsidR="003A31E5" w:rsidP="00A76F4A" w:rsidRDefault="003A31E5" w14:paraId="5CD7AF27" w14:textId="5E853A31">
      <w:pPr>
        <w:spacing w:after="0" w:line="240" w:lineRule="auto"/>
        <w:rPr>
          <w:rFonts w:ascii="Palatino Linotype" w:hAnsi="Palatino Linotype" w:eastAsia="Palatino Linotype" w:cs="Times New Roman"/>
        </w:rPr>
      </w:pPr>
      <w:r>
        <w:rPr>
          <w:rFonts w:ascii="Palatino Linotype" w:hAnsi="Palatino Linotype" w:eastAsia="Palatino Linotype" w:cs="Times New Roman"/>
        </w:rPr>
        <w:t>Furthermore, t</w:t>
      </w:r>
      <w:r w:rsidRPr="00CE052B">
        <w:rPr>
          <w:rFonts w:ascii="Palatino Linotype" w:hAnsi="Palatino Linotype" w:cs="Times New Roman"/>
        </w:rPr>
        <w:t xml:space="preserve">o ensure consistent interpretation of the prescribed calculation, the </w:t>
      </w:r>
      <w:r>
        <w:rPr>
          <w:rFonts w:ascii="Palatino Linotype" w:hAnsi="Palatino Linotype" w:cs="Times New Roman"/>
        </w:rPr>
        <w:t>utilities</w:t>
      </w:r>
      <w:r w:rsidRPr="00CE052B">
        <w:rPr>
          <w:rFonts w:ascii="Palatino Linotype" w:hAnsi="Palatino Linotype" w:cs="Times New Roman"/>
        </w:rPr>
        <w:t xml:space="preserve"> are required to </w:t>
      </w:r>
      <w:r>
        <w:rPr>
          <w:rFonts w:ascii="Palatino Linotype" w:hAnsi="Palatino Linotype" w:cs="Times New Roman"/>
        </w:rPr>
        <w:t>present</w:t>
      </w:r>
      <w:r w:rsidRPr="00CE052B">
        <w:rPr>
          <w:rFonts w:ascii="Palatino Linotype" w:hAnsi="Palatino Linotype" w:cs="Times New Roman"/>
        </w:rPr>
        <w:t xml:space="preserve"> their proposed calculation methodology to the Energy Division for review prior to implementation. Following this review, the IOUs must </w:t>
      </w:r>
      <w:r w:rsidR="00E53F9E">
        <w:rPr>
          <w:rFonts w:ascii="Palatino Linotype" w:hAnsi="Palatino Linotype" w:cs="Times New Roman"/>
        </w:rPr>
        <w:t>provide</w:t>
      </w:r>
      <w:r w:rsidRPr="00CE052B">
        <w:rPr>
          <w:rFonts w:ascii="Palatino Linotype" w:hAnsi="Palatino Linotype" w:cs="Times New Roman"/>
        </w:rPr>
        <w:t xml:space="preserve"> a preview of their approach at </w:t>
      </w:r>
      <w:r>
        <w:rPr>
          <w:rFonts w:ascii="Palatino Linotype" w:hAnsi="Palatino Linotype" w:cs="Times New Roman"/>
        </w:rPr>
        <w:t xml:space="preserve">the Distribution </w:t>
      </w:r>
      <w:r w:rsidR="00E0439B">
        <w:rPr>
          <w:rFonts w:ascii="Palatino Linotype" w:hAnsi="Palatino Linotype" w:cs="Times New Roman"/>
        </w:rPr>
        <w:t>Forecasting</w:t>
      </w:r>
      <w:r>
        <w:rPr>
          <w:rFonts w:ascii="Palatino Linotype" w:hAnsi="Palatino Linotype" w:cs="Times New Roman"/>
        </w:rPr>
        <w:t xml:space="preserve"> Working Group</w:t>
      </w:r>
      <w:r w:rsidRPr="00CE052B">
        <w:rPr>
          <w:rFonts w:ascii="Palatino Linotype" w:hAnsi="Palatino Linotype" w:cs="Times New Roman"/>
        </w:rPr>
        <w:t>.</w:t>
      </w:r>
    </w:p>
    <w:p w:rsidR="00B51593" w:rsidP="00A76F4A" w:rsidRDefault="00B51593" w14:paraId="4E596C1C" w14:textId="77777777">
      <w:pPr>
        <w:spacing w:after="0" w:line="240" w:lineRule="auto"/>
        <w:rPr>
          <w:rFonts w:ascii="Palatino Linotype" w:hAnsi="Palatino Linotype" w:eastAsia="Palatino Linotype" w:cs="Times New Roman"/>
          <w:kern w:val="0"/>
          <w14:ligatures w14:val="none"/>
        </w:rPr>
      </w:pPr>
    </w:p>
    <w:p w:rsidR="00135942" w:rsidP="00A76F4A" w:rsidRDefault="00B51593" w14:paraId="60BD35CD" w14:textId="54951F26">
      <w:pPr>
        <w:spacing w:after="0" w:line="240" w:lineRule="auto"/>
        <w:rPr>
          <w:rFonts w:ascii="Palatino Linotype" w:hAnsi="Palatino Linotype" w:eastAsia="Palatino Linotype" w:cs="Times New Roman"/>
          <w:kern w:val="0"/>
          <w14:ligatures w14:val="none"/>
        </w:rPr>
      </w:pPr>
      <w:r w:rsidRPr="0D04C110">
        <w:rPr>
          <w:rFonts w:ascii="Palatino Linotype" w:hAnsi="Palatino Linotype" w:eastAsia="Palatino Linotype" w:cs="Times New Roman"/>
        </w:rPr>
        <w:t>SDG&amp;E request</w:t>
      </w:r>
      <w:r w:rsidR="0098259E">
        <w:rPr>
          <w:rFonts w:ascii="Palatino Linotype" w:hAnsi="Palatino Linotype" w:eastAsia="Palatino Linotype" w:cs="Times New Roman"/>
        </w:rPr>
        <w:t>s</w:t>
      </w:r>
      <w:r w:rsidR="0099606B">
        <w:rPr>
          <w:rFonts w:ascii="Palatino Linotype" w:hAnsi="Palatino Linotype" w:eastAsia="Palatino Linotype" w:cs="Times New Roman"/>
        </w:rPr>
        <w:t xml:space="preserve"> </w:t>
      </w:r>
      <w:r w:rsidRPr="0D04C110" w:rsidR="00E30B61">
        <w:rPr>
          <w:rFonts w:ascii="Palatino Linotype" w:hAnsi="Palatino Linotype" w:eastAsia="Palatino Linotype" w:cs="Times New Roman"/>
        </w:rPr>
        <w:t xml:space="preserve">that all </w:t>
      </w:r>
      <w:r w:rsidR="002B6A4A">
        <w:rPr>
          <w:rFonts w:ascii="Palatino Linotype" w:hAnsi="Palatino Linotype" w:eastAsia="Palatino Linotype" w:cs="Times New Roman"/>
        </w:rPr>
        <w:t>pending load</w:t>
      </w:r>
      <w:r w:rsidR="007553A4">
        <w:rPr>
          <w:rFonts w:ascii="Palatino Linotype" w:hAnsi="Palatino Linotype" w:eastAsia="Palatino Linotype" w:cs="Times New Roman"/>
        </w:rPr>
        <w:t>s serving a</w:t>
      </w:r>
      <w:r w:rsidR="000B4B21">
        <w:rPr>
          <w:rFonts w:ascii="Palatino Linotype" w:hAnsi="Palatino Linotype" w:eastAsia="Palatino Linotype" w:cs="Times New Roman"/>
        </w:rPr>
        <w:t xml:space="preserve"> </w:t>
      </w:r>
      <w:r w:rsidRPr="0D04C110" w:rsidR="00E30B61">
        <w:rPr>
          <w:rFonts w:ascii="Palatino Linotype" w:hAnsi="Palatino Linotype" w:eastAsia="Palatino Linotype" w:cs="Times New Roman"/>
        </w:rPr>
        <w:t>capacity constrained area</w:t>
      </w:r>
      <w:r w:rsidR="008142CA">
        <w:rPr>
          <w:rFonts w:ascii="Palatino Linotype" w:hAnsi="Palatino Linotype" w:eastAsia="Palatino Linotype" w:cs="Times New Roman"/>
        </w:rPr>
        <w:t>,</w:t>
      </w:r>
      <w:r w:rsidR="000B168D">
        <w:rPr>
          <w:rFonts w:ascii="Palatino Linotype" w:hAnsi="Palatino Linotype" w:eastAsia="Palatino Linotype" w:cs="Times New Roman"/>
        </w:rPr>
        <w:t xml:space="preserve"> </w:t>
      </w:r>
      <w:r w:rsidR="0039634C">
        <w:rPr>
          <w:rFonts w:ascii="Palatino Linotype" w:hAnsi="Palatino Linotype" w:eastAsia="Palatino Linotype" w:cs="Times New Roman"/>
        </w:rPr>
        <w:t xml:space="preserve">including all B2 and </w:t>
      </w:r>
      <w:r w:rsidR="00150CF8">
        <w:rPr>
          <w:rFonts w:ascii="Palatino Linotype" w:hAnsi="Palatino Linotype" w:eastAsia="Palatino Linotype" w:cs="Times New Roman"/>
        </w:rPr>
        <w:t xml:space="preserve">all </w:t>
      </w:r>
      <w:r w:rsidR="0039634C">
        <w:rPr>
          <w:rFonts w:ascii="Palatino Linotype" w:hAnsi="Palatino Linotype" w:eastAsia="Palatino Linotype" w:cs="Times New Roman"/>
        </w:rPr>
        <w:t>C pending load</w:t>
      </w:r>
      <w:r w:rsidR="00150CF8">
        <w:rPr>
          <w:rFonts w:ascii="Palatino Linotype" w:hAnsi="Palatino Linotype" w:eastAsia="Palatino Linotype" w:cs="Times New Roman"/>
        </w:rPr>
        <w:t>s</w:t>
      </w:r>
      <w:r w:rsidR="008142CA">
        <w:rPr>
          <w:rFonts w:ascii="Palatino Linotype" w:hAnsi="Palatino Linotype" w:eastAsia="Palatino Linotype" w:cs="Times New Roman"/>
        </w:rPr>
        <w:t>,</w:t>
      </w:r>
      <w:r w:rsidR="00150CF8">
        <w:rPr>
          <w:rFonts w:ascii="Palatino Linotype" w:hAnsi="Palatino Linotype" w:eastAsia="Palatino Linotype" w:cs="Times New Roman"/>
        </w:rPr>
        <w:t xml:space="preserve"> </w:t>
      </w:r>
      <w:r w:rsidR="006E2A85">
        <w:rPr>
          <w:rFonts w:ascii="Palatino Linotype" w:hAnsi="Palatino Linotype" w:eastAsia="Palatino Linotype" w:cs="Times New Roman"/>
        </w:rPr>
        <w:t>may</w:t>
      </w:r>
      <w:r w:rsidR="00150CF8">
        <w:rPr>
          <w:rFonts w:ascii="Palatino Linotype" w:hAnsi="Palatino Linotype" w:eastAsia="Palatino Linotype" w:cs="Times New Roman"/>
        </w:rPr>
        <w:t xml:space="preserve"> </w:t>
      </w:r>
      <w:r w:rsidR="004F4D2F">
        <w:rPr>
          <w:rFonts w:ascii="Palatino Linotype" w:hAnsi="Palatino Linotype" w:eastAsia="Palatino Linotype" w:cs="Times New Roman"/>
        </w:rPr>
        <w:t>exceed the IEPR</w:t>
      </w:r>
      <w:r w:rsidR="00150CF8">
        <w:rPr>
          <w:rFonts w:ascii="Palatino Linotype" w:hAnsi="Palatino Linotype" w:eastAsia="Palatino Linotype" w:cs="Times New Roman"/>
        </w:rPr>
        <w:t xml:space="preserve">.  </w:t>
      </w:r>
      <w:r w:rsidR="006A4A21">
        <w:rPr>
          <w:rFonts w:ascii="Palatino Linotype" w:hAnsi="Palatino Linotype" w:eastAsia="Palatino Linotype" w:cs="Times New Roman"/>
        </w:rPr>
        <w:t>This would</w:t>
      </w:r>
      <w:r w:rsidR="005D3C75">
        <w:rPr>
          <w:rFonts w:ascii="Palatino Linotype" w:hAnsi="Palatino Linotype" w:eastAsia="Palatino Linotype" w:cs="Times New Roman"/>
        </w:rPr>
        <w:t xml:space="preserve"> </w:t>
      </w:r>
      <w:r w:rsidRPr="0A6F0B80" w:rsidR="5C769E1E">
        <w:rPr>
          <w:rFonts w:ascii="Palatino Linotype" w:hAnsi="Palatino Linotype" w:eastAsia="Palatino Linotype" w:cs="Times New Roman"/>
        </w:rPr>
        <w:t>significantly</w:t>
      </w:r>
      <w:r w:rsidR="005D3C75">
        <w:rPr>
          <w:rFonts w:ascii="Palatino Linotype" w:hAnsi="Palatino Linotype" w:eastAsia="Palatino Linotype" w:cs="Times New Roman"/>
        </w:rPr>
        <w:t xml:space="preserve"> </w:t>
      </w:r>
      <w:r w:rsidRPr="0A6F0B80" w:rsidR="679AAF8B">
        <w:rPr>
          <w:rFonts w:ascii="Palatino Linotype" w:hAnsi="Palatino Linotype" w:eastAsia="Palatino Linotype" w:cs="Times New Roman"/>
        </w:rPr>
        <w:t xml:space="preserve">reduce </w:t>
      </w:r>
      <w:r w:rsidR="005D3C75">
        <w:rPr>
          <w:rFonts w:ascii="Palatino Linotype" w:hAnsi="Palatino Linotype" w:eastAsia="Palatino Linotype" w:cs="Times New Roman"/>
        </w:rPr>
        <w:t xml:space="preserve">the </w:t>
      </w:r>
      <w:r w:rsidR="00417DE4">
        <w:rPr>
          <w:rFonts w:ascii="Palatino Linotype" w:hAnsi="Palatino Linotype" w:eastAsia="Palatino Linotype" w:cs="Times New Roman"/>
        </w:rPr>
        <w:t>threshold</w:t>
      </w:r>
      <w:r w:rsidR="005D3C75">
        <w:rPr>
          <w:rFonts w:ascii="Palatino Linotype" w:hAnsi="Palatino Linotype" w:eastAsia="Palatino Linotype" w:cs="Times New Roman"/>
        </w:rPr>
        <w:t xml:space="preserve"> for </w:t>
      </w:r>
      <w:r w:rsidR="006E2A85">
        <w:rPr>
          <w:rFonts w:ascii="Palatino Linotype" w:hAnsi="Palatino Linotype" w:eastAsia="Palatino Linotype" w:cs="Times New Roman"/>
        </w:rPr>
        <w:t>medium</w:t>
      </w:r>
      <w:r w:rsidR="005D3C75">
        <w:rPr>
          <w:rFonts w:ascii="Palatino Linotype" w:hAnsi="Palatino Linotype" w:eastAsia="Palatino Linotype" w:cs="Times New Roman"/>
        </w:rPr>
        <w:t xml:space="preserve"> confidence pending loads to exceed the IEPR which </w:t>
      </w:r>
      <w:r w:rsidRPr="0A6F0B80" w:rsidR="5F8436F3">
        <w:rPr>
          <w:rFonts w:ascii="Palatino Linotype" w:hAnsi="Palatino Linotype" w:eastAsia="Palatino Linotype" w:cs="Times New Roman"/>
        </w:rPr>
        <w:t>could result in over investment of the system creating unnecessary costs</w:t>
      </w:r>
      <w:r w:rsidR="00FA2369">
        <w:rPr>
          <w:rFonts w:ascii="Palatino Linotype" w:hAnsi="Palatino Linotype" w:eastAsia="Palatino Linotype" w:cs="Times New Roman"/>
        </w:rPr>
        <w:t xml:space="preserve"> to ratepayers</w:t>
      </w:r>
      <w:r w:rsidR="007365D4">
        <w:rPr>
          <w:rFonts w:ascii="Palatino Linotype" w:hAnsi="Palatino Linotype" w:eastAsia="Palatino Linotype" w:cs="Times New Roman"/>
        </w:rPr>
        <w:t>.</w:t>
      </w:r>
      <w:r w:rsidRPr="0D04C110" w:rsidR="005D1F2F">
        <w:rPr>
          <w:rFonts w:ascii="Palatino Linotype" w:hAnsi="Palatino Linotype" w:eastAsia="Palatino Linotype" w:cs="Times New Roman"/>
        </w:rPr>
        <w:t xml:space="preserve"> </w:t>
      </w:r>
      <w:r w:rsidR="00417DE4">
        <w:rPr>
          <w:rFonts w:ascii="Palatino Linotype" w:hAnsi="Palatino Linotype" w:eastAsia="Palatino Linotype" w:cs="Times New Roman"/>
        </w:rPr>
        <w:t>Accordingly</w:t>
      </w:r>
      <w:r w:rsidRPr="0D04C110" w:rsidR="00045702">
        <w:rPr>
          <w:rFonts w:ascii="Palatino Linotype" w:hAnsi="Palatino Linotype" w:eastAsia="Palatino Linotype" w:cs="Times New Roman"/>
        </w:rPr>
        <w:t xml:space="preserve">, the Commission </w:t>
      </w:r>
      <w:r w:rsidR="007365D4">
        <w:rPr>
          <w:rFonts w:ascii="Palatino Linotype" w:hAnsi="Palatino Linotype" w:eastAsia="Palatino Linotype" w:cs="Times New Roman"/>
        </w:rPr>
        <w:t xml:space="preserve">declines </w:t>
      </w:r>
      <w:r w:rsidRPr="0D04C110" w:rsidR="00045702">
        <w:rPr>
          <w:rFonts w:ascii="Palatino Linotype" w:hAnsi="Palatino Linotype" w:eastAsia="Palatino Linotype" w:cs="Times New Roman"/>
        </w:rPr>
        <w:t xml:space="preserve">this request. </w:t>
      </w:r>
    </w:p>
    <w:p w:rsidR="00A50D11" w:rsidP="00A50D11" w:rsidRDefault="007C7EA9" w14:paraId="28270464" w14:textId="30CB1563">
      <w:pPr>
        <w:spacing w:after="0" w:line="240" w:lineRule="auto"/>
        <w:rPr>
          <w:rFonts w:ascii="Palatino Linotype" w:hAnsi="Palatino Linotype" w:eastAsia="Palatino Linotype" w:cs="Times New Roman"/>
          <w:kern w:val="0"/>
          <w14:ligatures w14:val="none"/>
        </w:rPr>
      </w:pPr>
      <w:r w:rsidRPr="00EB02A7">
        <w:rPr>
          <w:rFonts w:ascii="Palatino Linotype" w:hAnsi="Palatino Linotype" w:eastAsia="Palatino Linotype" w:cs="Times New Roman"/>
          <w:kern w:val="0"/>
          <w14:ligatures w14:val="none"/>
        </w:rPr>
        <w:t>EDF re</w:t>
      </w:r>
      <w:r w:rsidRPr="00EB02A7" w:rsidR="00E77D60">
        <w:rPr>
          <w:rFonts w:ascii="Palatino Linotype" w:hAnsi="Palatino Linotype" w:eastAsia="Palatino Linotype" w:cs="Times New Roman"/>
          <w:kern w:val="0"/>
          <w14:ligatures w14:val="none"/>
        </w:rPr>
        <w:t>commends</w:t>
      </w:r>
      <w:r w:rsidR="00E77D60">
        <w:rPr>
          <w:rFonts w:ascii="Palatino Linotype" w:hAnsi="Palatino Linotype" w:eastAsia="Palatino Linotype" w:cs="Times New Roman"/>
          <w:kern w:val="0"/>
          <w14:ligatures w14:val="none"/>
        </w:rPr>
        <w:t xml:space="preserve"> modifying the treatment of Category B2 pending loads in</w:t>
      </w:r>
      <w:r w:rsidR="00493D08">
        <w:rPr>
          <w:rFonts w:ascii="Palatino Linotype" w:hAnsi="Palatino Linotype" w:eastAsia="Palatino Linotype" w:cs="Times New Roman"/>
          <w:kern w:val="0"/>
          <w14:ligatures w14:val="none"/>
        </w:rPr>
        <w:t xml:space="preserve"> the </w:t>
      </w:r>
      <w:r w:rsidR="00043601">
        <w:rPr>
          <w:rFonts w:ascii="Palatino Linotype" w:hAnsi="Palatino Linotype" w:eastAsia="Palatino Linotype" w:cs="Times New Roman"/>
          <w:kern w:val="0"/>
          <w14:ligatures w14:val="none"/>
        </w:rPr>
        <w:t>identifying</w:t>
      </w:r>
      <w:r w:rsidR="00493D08">
        <w:rPr>
          <w:rFonts w:ascii="Palatino Linotype" w:hAnsi="Palatino Linotype" w:eastAsia="Palatino Linotype" w:cs="Times New Roman"/>
          <w:kern w:val="0"/>
          <w14:ligatures w14:val="none"/>
        </w:rPr>
        <w:t xml:space="preserve"> constrained areas by allowing half of Category B2 loads above the IEPR to exceed the IEPR cap</w:t>
      </w:r>
      <w:r w:rsidR="003D0669">
        <w:rPr>
          <w:rFonts w:ascii="Palatino Linotype" w:hAnsi="Palatino Linotype" w:eastAsia="Palatino Linotype" w:cs="Times New Roman"/>
          <w:kern w:val="0"/>
          <w14:ligatures w14:val="none"/>
        </w:rPr>
        <w:t xml:space="preserve"> to account for greater uncertainty of B2 pending loads</w:t>
      </w:r>
      <w:r w:rsidR="00493D08">
        <w:rPr>
          <w:rFonts w:ascii="Palatino Linotype" w:hAnsi="Palatino Linotype" w:eastAsia="Palatino Linotype" w:cs="Times New Roman"/>
          <w:kern w:val="0"/>
          <w14:ligatures w14:val="none"/>
        </w:rPr>
        <w:t xml:space="preserve">.  </w:t>
      </w:r>
      <w:r w:rsidR="00F17856">
        <w:rPr>
          <w:rFonts w:ascii="Palatino Linotype" w:hAnsi="Palatino Linotype" w:eastAsia="Palatino Linotype" w:cs="Times New Roman"/>
          <w:kern w:val="0"/>
          <w14:ligatures w14:val="none"/>
        </w:rPr>
        <w:t>We decline to adopt this change as B2 pending</w:t>
      </w:r>
      <w:r w:rsidR="005D6565">
        <w:rPr>
          <w:rFonts w:ascii="Palatino Linotype" w:hAnsi="Palatino Linotype" w:eastAsia="Palatino Linotype" w:cs="Times New Roman"/>
          <w:kern w:val="0"/>
          <w14:ligatures w14:val="none"/>
        </w:rPr>
        <w:t xml:space="preserve"> load</w:t>
      </w:r>
      <w:r w:rsidR="007F054F">
        <w:rPr>
          <w:rFonts w:ascii="Palatino Linotype" w:hAnsi="Palatino Linotype" w:eastAsia="Palatino Linotype" w:cs="Times New Roman"/>
          <w:kern w:val="0"/>
          <w14:ligatures w14:val="none"/>
        </w:rPr>
        <w:t>s</w:t>
      </w:r>
      <w:r w:rsidR="005D6565">
        <w:rPr>
          <w:rFonts w:ascii="Palatino Linotype" w:hAnsi="Palatino Linotype" w:eastAsia="Palatino Linotype" w:cs="Times New Roman"/>
          <w:kern w:val="0"/>
          <w14:ligatures w14:val="none"/>
        </w:rPr>
        <w:t xml:space="preserve"> are less certain</w:t>
      </w:r>
      <w:r w:rsidR="0090740F">
        <w:rPr>
          <w:rFonts w:ascii="Palatino Linotype" w:hAnsi="Palatino Linotype" w:eastAsia="Palatino Linotype" w:cs="Times New Roman"/>
          <w:kern w:val="0"/>
          <w14:ligatures w14:val="none"/>
        </w:rPr>
        <w:t xml:space="preserve"> and the intention is to</w:t>
      </w:r>
      <w:r w:rsidR="008842BB">
        <w:rPr>
          <w:rFonts w:ascii="Palatino Linotype" w:hAnsi="Palatino Linotype" w:eastAsia="Palatino Linotype" w:cs="Times New Roman"/>
          <w:kern w:val="0"/>
          <w14:ligatures w14:val="none"/>
        </w:rPr>
        <w:t xml:space="preserve"> </w:t>
      </w:r>
      <w:r w:rsidR="00B00D49">
        <w:rPr>
          <w:rFonts w:ascii="Palatino Linotype" w:hAnsi="Palatino Linotype" w:eastAsia="Palatino Linotype" w:cs="Times New Roman"/>
          <w:kern w:val="0"/>
          <w14:ligatures w14:val="none"/>
        </w:rPr>
        <w:t xml:space="preserve">maintain </w:t>
      </w:r>
      <w:r w:rsidR="008842BB">
        <w:rPr>
          <w:rFonts w:ascii="Palatino Linotype" w:hAnsi="Palatino Linotype" w:eastAsia="Palatino Linotype" w:cs="Times New Roman"/>
          <w:kern w:val="0"/>
          <w14:ligatures w14:val="none"/>
        </w:rPr>
        <w:t xml:space="preserve">guardrails </w:t>
      </w:r>
      <w:r w:rsidR="00D66904">
        <w:rPr>
          <w:rFonts w:ascii="Palatino Linotype" w:hAnsi="Palatino Linotype" w:eastAsia="Palatino Linotype" w:cs="Times New Roman"/>
          <w:kern w:val="0"/>
          <w14:ligatures w14:val="none"/>
        </w:rPr>
        <w:t>to protect ratepayers</w:t>
      </w:r>
      <w:r w:rsidR="00A50D11">
        <w:rPr>
          <w:rFonts w:ascii="Palatino Linotype" w:hAnsi="Palatino Linotype" w:eastAsia="Palatino Linotype" w:cs="Times New Roman"/>
          <w:kern w:val="0"/>
          <w14:ligatures w14:val="none"/>
        </w:rPr>
        <w:t xml:space="preserve">. </w:t>
      </w:r>
    </w:p>
    <w:p w:rsidR="00933BAC" w:rsidP="00A50D11" w:rsidRDefault="00933BAC" w14:paraId="23EE3F65" w14:textId="77777777">
      <w:pPr>
        <w:spacing w:after="0" w:line="240" w:lineRule="auto"/>
        <w:rPr>
          <w:rFonts w:ascii="Palatino Linotype" w:hAnsi="Palatino Linotype" w:eastAsia="Palatino Linotype" w:cs="Times New Roman"/>
          <w:kern w:val="0"/>
          <w14:ligatures w14:val="none"/>
        </w:rPr>
      </w:pPr>
    </w:p>
    <w:p w:rsidR="00933BAC" w:rsidP="00A50D11" w:rsidRDefault="00933BAC" w14:paraId="6C595A48" w14:textId="7A0042F0">
      <w:pPr>
        <w:spacing w:after="0" w:line="240" w:lineRule="auto"/>
        <w:rPr>
          <w:rFonts w:ascii="Palatino Linotype" w:hAnsi="Palatino Linotype" w:eastAsia="Palatino Linotype" w:cs="Times New Roman"/>
          <w:kern w:val="0"/>
          <w14:ligatures w14:val="none"/>
        </w:rPr>
      </w:pPr>
      <w:r w:rsidRPr="0A6F0B80">
        <w:rPr>
          <w:rFonts w:ascii="Palatino Linotype" w:hAnsi="Palatino Linotype" w:eastAsia="Palatino Linotype" w:cs="Times New Roman"/>
        </w:rPr>
        <w:t xml:space="preserve">NRDC </w:t>
      </w:r>
      <w:r w:rsidRPr="0A6F0B80" w:rsidR="0098259E">
        <w:rPr>
          <w:rFonts w:ascii="Palatino Linotype" w:hAnsi="Palatino Linotype" w:eastAsia="Palatino Linotype" w:cs="Times New Roman"/>
        </w:rPr>
        <w:t>requests</w:t>
      </w:r>
      <w:r w:rsidRPr="0A6F0B80">
        <w:rPr>
          <w:rFonts w:ascii="Palatino Linotype" w:hAnsi="Palatino Linotype" w:eastAsia="Palatino Linotype" w:cs="Times New Roman"/>
        </w:rPr>
        <w:t xml:space="preserve"> that the Commission adopt a more proportional, graduate or tiered approach to incorporate B2 pending loads. </w:t>
      </w:r>
      <w:r w:rsidRPr="0A6F0B80" w:rsidR="004313F1">
        <w:rPr>
          <w:rFonts w:ascii="Palatino Linotype" w:hAnsi="Palatino Linotype" w:eastAsia="Palatino Linotype" w:cs="Times New Roman"/>
        </w:rPr>
        <w:t xml:space="preserve">They claim that </w:t>
      </w:r>
      <w:r w:rsidRPr="0A6F0B80" w:rsidR="00213927">
        <w:rPr>
          <w:rFonts w:ascii="Palatino Linotype" w:hAnsi="Palatino Linotype" w:eastAsia="Palatino Linotype" w:cs="Times New Roman"/>
        </w:rPr>
        <w:t>the current language</w:t>
      </w:r>
      <w:r w:rsidRPr="0A6F0B80" w:rsidR="004313F1">
        <w:rPr>
          <w:rFonts w:ascii="Palatino Linotype" w:hAnsi="Palatino Linotype" w:eastAsia="Palatino Linotype" w:cs="Times New Roman"/>
        </w:rPr>
        <w:t xml:space="preserve"> create</w:t>
      </w:r>
      <w:r w:rsidRPr="0A6F0B80" w:rsidR="00213927">
        <w:rPr>
          <w:rFonts w:ascii="Palatino Linotype" w:hAnsi="Palatino Linotype" w:eastAsia="Palatino Linotype" w:cs="Times New Roman"/>
        </w:rPr>
        <w:t>s</w:t>
      </w:r>
      <w:r w:rsidRPr="0A6F0B80" w:rsidR="004313F1">
        <w:rPr>
          <w:rFonts w:ascii="Palatino Linotype" w:hAnsi="Palatino Linotype" w:eastAsia="Palatino Linotype" w:cs="Times New Roman"/>
        </w:rPr>
        <w:t xml:space="preserve"> a “cliff effect” where slight changes in study estimates, such as addition or removal of a single charge</w:t>
      </w:r>
      <w:r w:rsidRPr="0A6F0B80" w:rsidR="008A2D28">
        <w:rPr>
          <w:rFonts w:ascii="Palatino Linotype" w:hAnsi="Palatino Linotype" w:eastAsia="Palatino Linotype" w:cs="Times New Roman"/>
        </w:rPr>
        <w:t>r</w:t>
      </w:r>
      <w:r w:rsidRPr="0A6F0B80" w:rsidR="004313F1">
        <w:rPr>
          <w:rFonts w:ascii="Palatino Linotype" w:hAnsi="Palatino Linotype" w:eastAsia="Palatino Linotype" w:cs="Times New Roman"/>
        </w:rPr>
        <w:t xml:space="preserve">, can trigger disproportionally large shifts in the amount of load utilities may plan for. However, NRDC did not provide an alternative recommendation </w:t>
      </w:r>
      <w:proofErr w:type="gramStart"/>
      <w:r w:rsidRPr="0A6F0B80" w:rsidR="0016178D">
        <w:rPr>
          <w:rFonts w:ascii="Palatino Linotype" w:hAnsi="Palatino Linotype" w:eastAsia="Palatino Linotype" w:cs="Times New Roman"/>
        </w:rPr>
        <w:t>of</w:t>
      </w:r>
      <w:proofErr w:type="gramEnd"/>
      <w:r w:rsidRPr="0A6F0B80" w:rsidR="0016178D">
        <w:rPr>
          <w:rFonts w:ascii="Palatino Linotype" w:hAnsi="Palatino Linotype" w:eastAsia="Palatino Linotype" w:cs="Times New Roman"/>
        </w:rPr>
        <w:t xml:space="preserve"> a more tiered approach. </w:t>
      </w:r>
      <w:r w:rsidRPr="0A6F0B80" w:rsidR="41F0A75E">
        <w:rPr>
          <w:rFonts w:ascii="Palatino Linotype" w:hAnsi="Palatino Linotype" w:eastAsia="Palatino Linotype" w:cs="Times New Roman"/>
        </w:rPr>
        <w:t xml:space="preserve">We also believe that </w:t>
      </w:r>
      <w:r w:rsidRPr="0A6F0B80" w:rsidR="1823D639">
        <w:rPr>
          <w:rFonts w:ascii="Palatino Linotype" w:hAnsi="Palatino Linotype" w:eastAsia="Palatino Linotype" w:cs="Times New Roman"/>
        </w:rPr>
        <w:t xml:space="preserve">the </w:t>
      </w:r>
      <w:r w:rsidRPr="0A6F0B80" w:rsidR="41F0A75E">
        <w:rPr>
          <w:rFonts w:ascii="Palatino Linotype" w:hAnsi="Palatino Linotype" w:eastAsia="Palatino Linotype" w:cs="Times New Roman"/>
        </w:rPr>
        <w:t xml:space="preserve">process proposed in the resolution provides sufficient </w:t>
      </w:r>
      <w:r w:rsidRPr="0A6F0B80" w:rsidR="73F584F5">
        <w:rPr>
          <w:rFonts w:ascii="Palatino Linotype" w:hAnsi="Palatino Linotype" w:eastAsia="Palatino Linotype" w:cs="Times New Roman"/>
        </w:rPr>
        <w:t>flexibility</w:t>
      </w:r>
      <w:r w:rsidRPr="0A6F0B80" w:rsidR="41F0A75E">
        <w:rPr>
          <w:rFonts w:ascii="Palatino Linotype" w:hAnsi="Palatino Linotype" w:eastAsia="Palatino Linotype" w:cs="Times New Roman"/>
        </w:rPr>
        <w:t xml:space="preserve"> to minimize the concern</w:t>
      </w:r>
      <w:r w:rsidRPr="0A6F0B80" w:rsidR="6A856163">
        <w:rPr>
          <w:rFonts w:ascii="Palatino Linotype" w:hAnsi="Palatino Linotype" w:eastAsia="Palatino Linotype" w:cs="Times New Roman"/>
        </w:rPr>
        <w:t xml:space="preserve"> with an opportunity to evaluate the framework in 2027 when adjustments can be considered based on learning from early implementation.  </w:t>
      </w:r>
      <w:r w:rsidRPr="0A6F0B80" w:rsidR="0016178D">
        <w:rPr>
          <w:rFonts w:ascii="Palatino Linotype" w:hAnsi="Palatino Linotype" w:eastAsia="Palatino Linotype" w:cs="Times New Roman"/>
        </w:rPr>
        <w:t xml:space="preserve">Thus, we </w:t>
      </w:r>
      <w:r w:rsidRPr="0A6F0B80" w:rsidR="000C27AA">
        <w:rPr>
          <w:rFonts w:ascii="Palatino Linotype" w:hAnsi="Palatino Linotype" w:eastAsia="Palatino Linotype" w:cs="Times New Roman"/>
        </w:rPr>
        <w:t>decline</w:t>
      </w:r>
      <w:r w:rsidRPr="0A6F0B80" w:rsidR="0016178D">
        <w:rPr>
          <w:rFonts w:ascii="Palatino Linotype" w:hAnsi="Palatino Linotype" w:eastAsia="Palatino Linotype" w:cs="Times New Roman"/>
        </w:rPr>
        <w:t xml:space="preserve"> this request. </w:t>
      </w:r>
    </w:p>
    <w:p w:rsidR="00222FBC" w:rsidP="00A76F4A" w:rsidRDefault="00222FBC" w14:paraId="4958A954" w14:textId="77777777">
      <w:pPr>
        <w:spacing w:after="0" w:line="240" w:lineRule="auto"/>
        <w:rPr>
          <w:rFonts w:ascii="Palatino Linotype" w:hAnsi="Palatino Linotype" w:eastAsia="Palatino Linotype" w:cs="Times New Roman"/>
          <w:kern w:val="0"/>
          <w14:ligatures w14:val="none"/>
        </w:rPr>
      </w:pPr>
    </w:p>
    <w:p w:rsidRPr="00645157" w:rsidR="00091CFE" w:rsidP="00091CFE" w:rsidRDefault="00091CFE" w14:paraId="06E63A11" w14:textId="7354C6C3">
      <w:pPr>
        <w:pStyle w:val="Heading2"/>
        <w:rPr>
          <w:rFonts w:ascii="Palatino Linotype" w:hAnsi="Palatino Linotype"/>
          <w:b/>
          <w:bCs/>
          <w:color w:val="auto"/>
          <w:sz w:val="28"/>
          <w:szCs w:val="28"/>
        </w:rPr>
      </w:pPr>
      <w:r>
        <w:rPr>
          <w:rFonts w:ascii="Palatino Linotype" w:hAnsi="Palatino Linotype"/>
          <w:b/>
          <w:bCs/>
          <w:color w:val="auto"/>
          <w:sz w:val="28"/>
          <w:szCs w:val="28"/>
        </w:rPr>
        <w:t>Minimum</w:t>
      </w:r>
      <w:r w:rsidRPr="00645157">
        <w:rPr>
          <w:rFonts w:ascii="Palatino Linotype" w:hAnsi="Palatino Linotype"/>
          <w:b/>
          <w:bCs/>
          <w:color w:val="auto"/>
          <w:sz w:val="28"/>
          <w:szCs w:val="28"/>
        </w:rPr>
        <w:t xml:space="preserve"> Criteria</w:t>
      </w:r>
      <w:r>
        <w:rPr>
          <w:rFonts w:ascii="Palatino Linotype" w:hAnsi="Palatino Linotype"/>
          <w:b/>
          <w:bCs/>
          <w:color w:val="auto"/>
          <w:sz w:val="28"/>
          <w:szCs w:val="28"/>
        </w:rPr>
        <w:t xml:space="preserve"> </w:t>
      </w:r>
    </w:p>
    <w:p w:rsidR="00594FE9" w:rsidP="00091CFE" w:rsidRDefault="00091CFE" w14:paraId="1E984F4C" w14:textId="4FE6CF73">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Under Category A and B, SCE requests to replace “Design” with “Scope.” This </w:t>
      </w:r>
      <w:r w:rsidR="00E72636">
        <w:rPr>
          <w:rFonts w:ascii="Palatino Linotype" w:hAnsi="Palatino Linotype" w:eastAsia="Palatino Linotype" w:cs="Times New Roman"/>
          <w:kern w:val="0"/>
          <w14:ligatures w14:val="none"/>
        </w:rPr>
        <w:t xml:space="preserve">would </w:t>
      </w:r>
      <w:r w:rsidR="00A35ADB">
        <w:rPr>
          <w:rFonts w:ascii="Palatino Linotype" w:hAnsi="Palatino Linotype" w:eastAsia="Palatino Linotype" w:cs="Times New Roman"/>
          <w:kern w:val="0"/>
          <w14:ligatures w14:val="none"/>
        </w:rPr>
        <w:t>lower</w:t>
      </w:r>
      <w:r w:rsidR="00FC436A">
        <w:rPr>
          <w:rFonts w:ascii="Palatino Linotype" w:hAnsi="Palatino Linotype" w:eastAsia="Palatino Linotype" w:cs="Times New Roman"/>
          <w:kern w:val="0"/>
          <w14:ligatures w14:val="none"/>
        </w:rPr>
        <w:t xml:space="preserve"> the certainty of </w:t>
      </w:r>
      <w:r w:rsidR="00D14308">
        <w:rPr>
          <w:rFonts w:ascii="Palatino Linotype" w:hAnsi="Palatino Linotype" w:eastAsia="Palatino Linotype" w:cs="Times New Roman"/>
          <w:kern w:val="0"/>
          <w14:ligatures w14:val="none"/>
        </w:rPr>
        <w:t xml:space="preserve">these </w:t>
      </w:r>
      <w:r w:rsidR="00947B43">
        <w:rPr>
          <w:rFonts w:ascii="Palatino Linotype" w:hAnsi="Palatino Linotype" w:eastAsia="Palatino Linotype" w:cs="Times New Roman"/>
          <w:kern w:val="0"/>
          <w14:ligatures w14:val="none"/>
        </w:rPr>
        <w:t>pending load</w:t>
      </w:r>
      <w:r w:rsidR="00C347A0">
        <w:rPr>
          <w:rFonts w:ascii="Palatino Linotype" w:hAnsi="Palatino Linotype" w:eastAsia="Palatino Linotype" w:cs="Times New Roman"/>
          <w:kern w:val="0"/>
          <w14:ligatures w14:val="none"/>
        </w:rPr>
        <w:t>s categories</w:t>
      </w:r>
      <w:r w:rsidR="00CE3DD5">
        <w:rPr>
          <w:rFonts w:ascii="Palatino Linotype" w:hAnsi="Palatino Linotype" w:eastAsia="Palatino Linotype" w:cs="Times New Roman"/>
          <w:kern w:val="0"/>
          <w14:ligatures w14:val="none"/>
        </w:rPr>
        <w:t>.  Instead</w:t>
      </w:r>
      <w:r w:rsidR="0000300E">
        <w:rPr>
          <w:rFonts w:ascii="Palatino Linotype" w:hAnsi="Palatino Linotype" w:eastAsia="Palatino Linotype" w:cs="Times New Roman"/>
          <w:kern w:val="0"/>
          <w14:ligatures w14:val="none"/>
        </w:rPr>
        <w:t>,</w:t>
      </w:r>
      <w:r w:rsidR="00CE3DD5">
        <w:rPr>
          <w:rFonts w:ascii="Palatino Linotype" w:hAnsi="Palatino Linotype" w:eastAsia="Palatino Linotype" w:cs="Times New Roman"/>
          <w:kern w:val="0"/>
          <w14:ligatures w14:val="none"/>
        </w:rPr>
        <w:t xml:space="preserve"> we</w:t>
      </w:r>
      <w:r w:rsidR="00C80E60">
        <w:rPr>
          <w:rFonts w:ascii="Palatino Linotype" w:hAnsi="Palatino Linotype" w:eastAsia="Palatino Linotype" w:cs="Times New Roman"/>
          <w:kern w:val="0"/>
          <w14:ligatures w14:val="none"/>
        </w:rPr>
        <w:t xml:space="preserve"> </w:t>
      </w:r>
      <w:r w:rsidR="00B04F3B">
        <w:rPr>
          <w:rFonts w:ascii="Palatino Linotype" w:hAnsi="Palatino Linotype" w:eastAsia="Palatino Linotype" w:cs="Times New Roman"/>
          <w:kern w:val="0"/>
          <w14:ligatures w14:val="none"/>
        </w:rPr>
        <w:t>add</w:t>
      </w:r>
      <w:r w:rsidR="00831EA8">
        <w:rPr>
          <w:rFonts w:ascii="Palatino Linotype" w:hAnsi="Palatino Linotype" w:eastAsia="Palatino Linotype" w:cs="Times New Roman"/>
          <w:kern w:val="0"/>
          <w14:ligatures w14:val="none"/>
        </w:rPr>
        <w:t xml:space="preserve"> </w:t>
      </w:r>
      <w:r w:rsidR="00E312D9">
        <w:rPr>
          <w:rFonts w:ascii="Palatino Linotype" w:hAnsi="Palatino Linotype" w:eastAsia="Palatino Linotype" w:cs="Times New Roman"/>
          <w:kern w:val="0"/>
          <w14:ligatures w14:val="none"/>
        </w:rPr>
        <w:t>“Scope</w:t>
      </w:r>
      <w:proofErr w:type="gramStart"/>
      <w:r w:rsidR="00E312D9">
        <w:rPr>
          <w:rFonts w:ascii="Palatino Linotype" w:hAnsi="Palatino Linotype" w:eastAsia="Palatino Linotype" w:cs="Times New Roman"/>
          <w:kern w:val="0"/>
          <w14:ligatures w14:val="none"/>
        </w:rPr>
        <w:t>”</w:t>
      </w:r>
      <w:proofErr w:type="gramEnd"/>
      <w:r w:rsidR="00E312D9">
        <w:rPr>
          <w:rFonts w:ascii="Palatino Linotype" w:hAnsi="Palatino Linotype" w:eastAsia="Palatino Linotype" w:cs="Times New Roman"/>
          <w:kern w:val="0"/>
          <w14:ligatures w14:val="none"/>
        </w:rPr>
        <w:t xml:space="preserve"> </w:t>
      </w:r>
      <w:r w:rsidR="00793C47">
        <w:rPr>
          <w:rFonts w:ascii="Palatino Linotype" w:hAnsi="Palatino Linotype" w:eastAsia="Palatino Linotype" w:cs="Times New Roman"/>
          <w:kern w:val="0"/>
          <w14:ligatures w14:val="none"/>
        </w:rPr>
        <w:t>so the first criteri</w:t>
      </w:r>
      <w:r w:rsidR="00DC0B0F">
        <w:rPr>
          <w:rFonts w:ascii="Palatino Linotype" w:hAnsi="Palatino Linotype" w:eastAsia="Palatino Linotype" w:cs="Times New Roman"/>
          <w:kern w:val="0"/>
          <w14:ligatures w14:val="none"/>
        </w:rPr>
        <w:t>on</w:t>
      </w:r>
      <w:r w:rsidR="00793C47">
        <w:rPr>
          <w:rFonts w:ascii="Palatino Linotype" w:hAnsi="Palatino Linotype" w:eastAsia="Palatino Linotype" w:cs="Times New Roman"/>
          <w:kern w:val="0"/>
          <w14:ligatures w14:val="none"/>
        </w:rPr>
        <w:t xml:space="preserve"> </w:t>
      </w:r>
      <w:r w:rsidR="003A6887">
        <w:rPr>
          <w:rFonts w:ascii="Palatino Linotype" w:hAnsi="Palatino Linotype" w:eastAsia="Palatino Linotype" w:cs="Times New Roman"/>
          <w:kern w:val="0"/>
          <w14:ligatures w14:val="none"/>
        </w:rPr>
        <w:t>reads:</w:t>
      </w:r>
      <w:r w:rsidR="00F56610">
        <w:rPr>
          <w:rFonts w:ascii="Palatino Linotype" w:hAnsi="Palatino Linotype" w:eastAsia="Palatino Linotype" w:cs="Times New Roman"/>
          <w:kern w:val="0"/>
          <w14:ligatures w14:val="none"/>
        </w:rPr>
        <w:t xml:space="preserve"> </w:t>
      </w:r>
      <w:r w:rsidR="00F7115C">
        <w:rPr>
          <w:rFonts w:ascii="Palatino Linotype" w:hAnsi="Palatino Linotype" w:eastAsia="Palatino Linotype" w:cs="Times New Roman"/>
          <w:kern w:val="0"/>
          <w14:ligatures w14:val="none"/>
        </w:rPr>
        <w:t xml:space="preserve">“Preliminary Design </w:t>
      </w:r>
      <w:r w:rsidRPr="00AD5B96" w:rsidR="00F7115C">
        <w:rPr>
          <w:rFonts w:ascii="Palatino Linotype" w:hAnsi="Palatino Linotype" w:eastAsia="Palatino Linotype" w:cs="Times New Roman"/>
          <w:kern w:val="0"/>
          <w:u w:val="single"/>
          <w14:ligatures w14:val="none"/>
        </w:rPr>
        <w:t>and Scope</w:t>
      </w:r>
      <w:r w:rsidR="00E312D9">
        <w:rPr>
          <w:rFonts w:ascii="Palatino Linotype" w:hAnsi="Palatino Linotype" w:eastAsia="Palatino Linotype" w:cs="Times New Roman"/>
          <w:kern w:val="0"/>
          <w14:ligatures w14:val="none"/>
        </w:rPr>
        <w:t>….”</w:t>
      </w:r>
    </w:p>
    <w:p w:rsidR="00594FE9" w:rsidP="00091CFE" w:rsidRDefault="00594FE9" w14:paraId="65ACBC62" w14:textId="30C97A39">
      <w:pPr>
        <w:spacing w:after="0" w:line="240" w:lineRule="auto"/>
        <w:rPr>
          <w:rFonts w:ascii="Palatino Linotype" w:hAnsi="Palatino Linotype" w:eastAsia="Palatino Linotype" w:cs="Times New Roman"/>
          <w:kern w:val="0"/>
          <w14:ligatures w14:val="none"/>
        </w:rPr>
      </w:pPr>
    </w:p>
    <w:p w:rsidR="00750413" w:rsidP="00091CFE" w:rsidRDefault="00091CFE" w14:paraId="36A406D9" w14:textId="7EB7741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SCE requests to remove </w:t>
      </w:r>
      <w:r w:rsidR="007A6A76">
        <w:rPr>
          <w:rFonts w:ascii="Palatino Linotype" w:hAnsi="Palatino Linotype" w:eastAsia="Palatino Linotype" w:cs="Times New Roman"/>
          <w:kern w:val="0"/>
          <w14:ligatures w14:val="none"/>
        </w:rPr>
        <w:t>from Category A</w:t>
      </w:r>
      <w:r>
        <w:rPr>
          <w:rFonts w:ascii="Palatino Linotype" w:hAnsi="Palatino Linotype" w:eastAsia="Palatino Linotype" w:cs="Times New Roman"/>
          <w:kern w:val="0"/>
          <w14:ligatures w14:val="none"/>
        </w:rPr>
        <w:t xml:space="preserve"> the </w:t>
      </w:r>
      <w:r w:rsidR="007A6A76">
        <w:rPr>
          <w:rFonts w:ascii="Palatino Linotype" w:hAnsi="Palatino Linotype" w:eastAsia="Palatino Linotype" w:cs="Times New Roman"/>
          <w:kern w:val="0"/>
          <w14:ligatures w14:val="none"/>
        </w:rPr>
        <w:t>criteria</w:t>
      </w:r>
      <w:r>
        <w:rPr>
          <w:rFonts w:ascii="Palatino Linotype" w:hAnsi="Palatino Linotype" w:eastAsia="Palatino Linotype" w:cs="Times New Roman"/>
          <w:kern w:val="0"/>
          <w14:ligatures w14:val="none"/>
        </w:rPr>
        <w:t xml:space="preserve"> </w:t>
      </w:r>
      <w:r w:rsidR="00C63346">
        <w:rPr>
          <w:rFonts w:ascii="Palatino Linotype" w:hAnsi="Palatino Linotype" w:eastAsia="Palatino Linotype" w:cs="Times New Roman"/>
          <w:kern w:val="0"/>
          <w14:ligatures w14:val="none"/>
        </w:rPr>
        <w:t>“F</w:t>
      </w:r>
      <w:r>
        <w:rPr>
          <w:rFonts w:ascii="Palatino Linotype" w:hAnsi="Palatino Linotype" w:eastAsia="Palatino Linotype" w:cs="Times New Roman"/>
          <w:kern w:val="0"/>
          <w14:ligatures w14:val="none"/>
        </w:rPr>
        <w:t>unding source</w:t>
      </w:r>
      <w:r w:rsidR="00C63346">
        <w:rPr>
          <w:rFonts w:ascii="Palatino Linotype" w:hAnsi="Palatino Linotype" w:eastAsia="Palatino Linotype" w:cs="Times New Roman"/>
          <w:kern w:val="0"/>
          <w14:ligatures w14:val="none"/>
        </w:rPr>
        <w:t xml:space="preserve"> is specified</w:t>
      </w:r>
      <w:r>
        <w:rPr>
          <w:rFonts w:ascii="Palatino Linotype" w:hAnsi="Palatino Linotype" w:eastAsia="Palatino Linotype" w:cs="Times New Roman"/>
          <w:kern w:val="0"/>
          <w14:ligatures w14:val="none"/>
        </w:rPr>
        <w:t>.</w:t>
      </w:r>
      <w:r w:rsidR="00C63346">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r w:rsidR="006F3F6A">
        <w:rPr>
          <w:rFonts w:ascii="Palatino Linotype" w:hAnsi="Palatino Linotype" w:eastAsia="Palatino Linotype" w:cs="Times New Roman"/>
          <w:kern w:val="0"/>
          <w14:ligatures w14:val="none"/>
        </w:rPr>
        <w:t xml:space="preserve">We decline </w:t>
      </w:r>
      <w:r w:rsidR="001F134A">
        <w:rPr>
          <w:rFonts w:ascii="Palatino Linotype" w:hAnsi="Palatino Linotype" w:eastAsia="Palatino Linotype" w:cs="Times New Roman"/>
          <w:kern w:val="0"/>
          <w14:ligatures w14:val="none"/>
        </w:rPr>
        <w:t xml:space="preserve">this change as it </w:t>
      </w:r>
      <w:r w:rsidR="001A2744">
        <w:rPr>
          <w:rFonts w:ascii="Palatino Linotype" w:hAnsi="Palatino Linotype" w:eastAsia="Palatino Linotype" w:cs="Times New Roman"/>
          <w:kern w:val="0"/>
          <w14:ligatures w14:val="none"/>
        </w:rPr>
        <w:t>would reduce the certainty of the pending load category A</w:t>
      </w:r>
      <w:r>
        <w:rPr>
          <w:rFonts w:ascii="Palatino Linotype" w:hAnsi="Palatino Linotype" w:eastAsia="Palatino Linotype" w:cs="Times New Roman"/>
          <w:kern w:val="0"/>
          <w14:ligatures w14:val="none"/>
        </w:rPr>
        <w:t xml:space="preserve">. </w:t>
      </w:r>
    </w:p>
    <w:p w:rsidR="00750413" w:rsidP="00091CFE" w:rsidRDefault="00750413" w14:paraId="2BC5044D" w14:textId="3C8F2D09">
      <w:pPr>
        <w:spacing w:after="0" w:line="240" w:lineRule="auto"/>
        <w:rPr>
          <w:rFonts w:ascii="Palatino Linotype" w:hAnsi="Palatino Linotype" w:eastAsia="Palatino Linotype" w:cs="Times New Roman"/>
          <w:kern w:val="0"/>
          <w14:ligatures w14:val="none"/>
        </w:rPr>
      </w:pPr>
    </w:p>
    <w:p w:rsidR="00541B0D" w:rsidP="00091CFE" w:rsidRDefault="00091CFE" w14:paraId="374745DC" w14:textId="48DA8B8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Under Category B1, SCE also requests to add “enough to plan for the electrical needs in the area” to the second sub</w:t>
      </w:r>
      <w:r w:rsidR="008E43F7">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bullet. </w:t>
      </w:r>
      <w:r w:rsidR="00541B0D">
        <w:rPr>
          <w:rFonts w:ascii="Palatino Linotype" w:hAnsi="Palatino Linotype" w:eastAsia="Palatino Linotype" w:cs="Times New Roman"/>
          <w:kern w:val="0"/>
          <w14:ligatures w14:val="none"/>
        </w:rPr>
        <w:t>As this adds further clarity</w:t>
      </w:r>
      <w:r w:rsidR="00950B51">
        <w:rPr>
          <w:rFonts w:ascii="Palatino Linotype" w:hAnsi="Palatino Linotype" w:eastAsia="Palatino Linotype" w:cs="Times New Roman"/>
          <w:kern w:val="0"/>
          <w14:ligatures w14:val="none"/>
        </w:rPr>
        <w:t>,</w:t>
      </w:r>
      <w:r w:rsidR="00541B0D">
        <w:rPr>
          <w:rFonts w:ascii="Palatino Linotype" w:hAnsi="Palatino Linotype" w:eastAsia="Palatino Linotype" w:cs="Times New Roman"/>
          <w:kern w:val="0"/>
          <w14:ligatures w14:val="none"/>
        </w:rPr>
        <w:t xml:space="preserve"> w</w:t>
      </w:r>
      <w:r>
        <w:rPr>
          <w:rFonts w:ascii="Palatino Linotype" w:hAnsi="Palatino Linotype" w:eastAsia="Palatino Linotype" w:cs="Times New Roman"/>
          <w:kern w:val="0"/>
          <w14:ligatures w14:val="none"/>
        </w:rPr>
        <w:t xml:space="preserve">e accept this </w:t>
      </w:r>
      <w:r w:rsidR="00541B0D">
        <w:rPr>
          <w:rFonts w:ascii="Palatino Linotype" w:hAnsi="Palatino Linotype" w:eastAsia="Palatino Linotype" w:cs="Times New Roman"/>
          <w:kern w:val="0"/>
          <w14:ligatures w14:val="none"/>
        </w:rPr>
        <w:t>change</w:t>
      </w:r>
      <w:r>
        <w:rPr>
          <w:rFonts w:ascii="Palatino Linotype" w:hAnsi="Palatino Linotype" w:eastAsia="Palatino Linotype" w:cs="Times New Roman"/>
          <w:kern w:val="0"/>
          <w14:ligatures w14:val="none"/>
        </w:rPr>
        <w:t>.</w:t>
      </w:r>
    </w:p>
    <w:p w:rsidR="00541B0D" w:rsidP="00091CFE" w:rsidRDefault="00541B0D" w14:paraId="11DE29DE" w14:textId="5081301A">
      <w:pPr>
        <w:spacing w:after="0" w:line="240" w:lineRule="auto"/>
        <w:rPr>
          <w:rFonts w:ascii="Palatino Linotype" w:hAnsi="Palatino Linotype" w:eastAsia="Palatino Linotype" w:cs="Times New Roman"/>
          <w:kern w:val="0"/>
          <w14:ligatures w14:val="none"/>
        </w:rPr>
      </w:pPr>
    </w:p>
    <w:p w:rsidR="000A7EF6" w:rsidP="00091CFE" w:rsidRDefault="00091CFE" w14:paraId="05A2FD54" w14:textId="25032FD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Under Category B1, SCE requests to modify the energization year </w:t>
      </w:r>
      <w:r w:rsidR="004374A9">
        <w:rPr>
          <w:rFonts w:ascii="Palatino Linotype" w:hAnsi="Palatino Linotype" w:eastAsia="Palatino Linotype" w:cs="Times New Roman"/>
          <w:kern w:val="0"/>
          <w14:ligatures w14:val="none"/>
        </w:rPr>
        <w:t>to</w:t>
      </w:r>
      <w:r w:rsidR="00154804">
        <w:rPr>
          <w:rFonts w:ascii="Palatino Linotype" w:hAnsi="Palatino Linotype" w:eastAsia="Palatino Linotype" w:cs="Times New Roman"/>
          <w:kern w:val="0"/>
          <w14:ligatures w14:val="none"/>
        </w:rPr>
        <w:t xml:space="preserve"> an </w:t>
      </w:r>
      <w:r>
        <w:rPr>
          <w:rFonts w:ascii="Palatino Linotype" w:hAnsi="Palatino Linotype" w:eastAsia="Palatino Linotype" w:cs="Times New Roman"/>
          <w:kern w:val="0"/>
          <w14:ligatures w14:val="none"/>
        </w:rPr>
        <w:t>estimated</w:t>
      </w:r>
      <w:r w:rsidR="001E758D">
        <w:rPr>
          <w:rFonts w:ascii="Palatino Linotype" w:hAnsi="Palatino Linotype" w:eastAsia="Palatino Linotype" w:cs="Times New Roman"/>
          <w:kern w:val="0"/>
          <w14:ligatures w14:val="none"/>
        </w:rPr>
        <w:t xml:space="preserve"> range</w:t>
      </w:r>
      <w:r>
        <w:rPr>
          <w:rFonts w:ascii="Palatino Linotype" w:hAnsi="Palatino Linotype" w:eastAsia="Palatino Linotype" w:cs="Times New Roman"/>
          <w:kern w:val="0"/>
          <w14:ligatures w14:val="none"/>
        </w:rPr>
        <w:t xml:space="preserve">. We </w:t>
      </w:r>
      <w:r w:rsidR="007D59CB">
        <w:rPr>
          <w:rFonts w:ascii="Palatino Linotype" w:hAnsi="Palatino Linotype" w:eastAsia="Palatino Linotype" w:cs="Times New Roman"/>
          <w:kern w:val="0"/>
          <w14:ligatures w14:val="none"/>
        </w:rPr>
        <w:t>find this</w:t>
      </w:r>
      <w:r w:rsidR="005770A0">
        <w:rPr>
          <w:rFonts w:ascii="Palatino Linotype" w:hAnsi="Palatino Linotype" w:eastAsia="Palatino Linotype" w:cs="Times New Roman"/>
          <w:kern w:val="0"/>
          <w14:ligatures w14:val="none"/>
        </w:rPr>
        <w:t xml:space="preserve"> change</w:t>
      </w:r>
      <w:r w:rsidR="001E758D">
        <w:rPr>
          <w:rFonts w:ascii="Palatino Linotype" w:hAnsi="Palatino Linotype" w:eastAsia="Palatino Linotype" w:cs="Times New Roman"/>
          <w:kern w:val="0"/>
          <w14:ligatures w14:val="none"/>
        </w:rPr>
        <w:t xml:space="preserve"> </w:t>
      </w:r>
      <w:r w:rsidR="003D4ED3">
        <w:rPr>
          <w:rFonts w:ascii="Palatino Linotype" w:hAnsi="Palatino Linotype" w:eastAsia="Palatino Linotype" w:cs="Times New Roman"/>
          <w:kern w:val="0"/>
          <w14:ligatures w14:val="none"/>
        </w:rPr>
        <w:t xml:space="preserve">would </w:t>
      </w:r>
      <w:r w:rsidR="001E758D">
        <w:rPr>
          <w:rFonts w:ascii="Palatino Linotype" w:hAnsi="Palatino Linotype" w:eastAsia="Palatino Linotype" w:cs="Times New Roman"/>
          <w:kern w:val="0"/>
          <w14:ligatures w14:val="none"/>
        </w:rPr>
        <w:t>reduce the certainty of th</w:t>
      </w:r>
      <w:r w:rsidR="00A574A1">
        <w:rPr>
          <w:rFonts w:ascii="Palatino Linotype" w:hAnsi="Palatino Linotype" w:eastAsia="Palatino Linotype" w:cs="Times New Roman"/>
          <w:kern w:val="0"/>
          <w14:ligatures w14:val="none"/>
        </w:rPr>
        <w:t>e</w:t>
      </w:r>
      <w:r w:rsidR="001E758D">
        <w:rPr>
          <w:rFonts w:ascii="Palatino Linotype" w:hAnsi="Palatino Linotype" w:eastAsia="Palatino Linotype" w:cs="Times New Roman"/>
          <w:kern w:val="0"/>
          <w14:ligatures w14:val="none"/>
        </w:rPr>
        <w:t xml:space="preserve"> category</w:t>
      </w:r>
      <w:r w:rsidR="000A7EF6">
        <w:rPr>
          <w:rFonts w:ascii="Palatino Linotype" w:hAnsi="Palatino Linotype" w:eastAsia="Palatino Linotype" w:cs="Times New Roman"/>
          <w:kern w:val="0"/>
          <w14:ligatures w14:val="none"/>
        </w:rPr>
        <w:t xml:space="preserve"> and </w:t>
      </w:r>
      <w:r w:rsidR="00A574A1">
        <w:rPr>
          <w:rFonts w:ascii="Palatino Linotype" w:hAnsi="Palatino Linotype" w:eastAsia="Palatino Linotype" w:cs="Times New Roman"/>
          <w:kern w:val="0"/>
          <w14:ligatures w14:val="none"/>
        </w:rPr>
        <w:t xml:space="preserve">therefore </w:t>
      </w:r>
      <w:r w:rsidR="000A7EF6">
        <w:rPr>
          <w:rFonts w:ascii="Palatino Linotype" w:hAnsi="Palatino Linotype" w:eastAsia="Palatino Linotype" w:cs="Times New Roman"/>
          <w:kern w:val="0"/>
          <w14:ligatures w14:val="none"/>
        </w:rPr>
        <w:t>decline this change.</w:t>
      </w:r>
    </w:p>
    <w:p w:rsidR="000A7EF6" w:rsidP="00091CFE" w:rsidRDefault="000A7EF6" w14:paraId="4C6D7588" w14:textId="423B09AC">
      <w:pPr>
        <w:spacing w:after="0" w:line="240" w:lineRule="auto"/>
        <w:rPr>
          <w:rFonts w:ascii="Palatino Linotype" w:hAnsi="Palatino Linotype" w:eastAsia="Palatino Linotype" w:cs="Times New Roman"/>
          <w:kern w:val="0"/>
          <w14:ligatures w14:val="none"/>
        </w:rPr>
      </w:pPr>
    </w:p>
    <w:p w:rsidR="00091CFE" w:rsidP="00BF3C63" w:rsidRDefault="00091CFE" w14:paraId="24363466" w14:textId="064E10EA">
      <w:pPr>
        <w:spacing w:after="0" w:line="240" w:lineRule="auto"/>
      </w:pPr>
      <w:r>
        <w:rPr>
          <w:rFonts w:ascii="Palatino Linotype" w:hAnsi="Palatino Linotype" w:eastAsia="Palatino Linotype" w:cs="Times New Roman"/>
          <w:kern w:val="0"/>
          <w14:ligatures w14:val="none"/>
        </w:rPr>
        <w:t xml:space="preserve">Under Category C, SCE requests to modify the energization year requirement </w:t>
      </w:r>
      <w:r w:rsidR="00C32F77">
        <w:rPr>
          <w:rFonts w:ascii="Palatino Linotype" w:hAnsi="Palatino Linotype" w:eastAsia="Palatino Linotype" w:cs="Times New Roman"/>
          <w:kern w:val="0"/>
          <w14:ligatures w14:val="none"/>
        </w:rPr>
        <w:t xml:space="preserve">to be a range or an </w:t>
      </w:r>
      <w:r>
        <w:rPr>
          <w:rFonts w:ascii="Palatino Linotype" w:hAnsi="Palatino Linotype" w:eastAsia="Palatino Linotype" w:cs="Times New Roman"/>
          <w:kern w:val="0"/>
          <w14:ligatures w14:val="none"/>
        </w:rPr>
        <w:t>estimat</w:t>
      </w:r>
      <w:r w:rsidR="00C32F77">
        <w:rPr>
          <w:rFonts w:ascii="Palatino Linotype" w:hAnsi="Palatino Linotype" w:eastAsia="Palatino Linotype" w:cs="Times New Roman"/>
          <w:kern w:val="0"/>
          <w14:ligatures w14:val="none"/>
        </w:rPr>
        <w:t xml:space="preserve">ion.  </w:t>
      </w:r>
      <w:r>
        <w:rPr>
          <w:rFonts w:ascii="Palatino Linotype" w:hAnsi="Palatino Linotype" w:eastAsia="Palatino Linotype" w:cs="Times New Roman"/>
          <w:kern w:val="0"/>
          <w14:ligatures w14:val="none"/>
        </w:rPr>
        <w:t xml:space="preserve">We </w:t>
      </w:r>
      <w:r w:rsidR="00F83ED5">
        <w:rPr>
          <w:rFonts w:ascii="Palatino Linotype" w:hAnsi="Palatino Linotype" w:eastAsia="Palatino Linotype" w:cs="Times New Roman"/>
          <w:kern w:val="0"/>
          <w14:ligatures w14:val="none"/>
        </w:rPr>
        <w:t>partially</w:t>
      </w:r>
      <w:r>
        <w:rPr>
          <w:rFonts w:ascii="Palatino Linotype" w:hAnsi="Palatino Linotype" w:eastAsia="Palatino Linotype" w:cs="Times New Roman"/>
          <w:kern w:val="0"/>
          <w14:ligatures w14:val="none"/>
        </w:rPr>
        <w:t xml:space="preserve"> accept this request </w:t>
      </w:r>
      <w:r w:rsidR="007742B1">
        <w:rPr>
          <w:rFonts w:ascii="Palatino Linotype" w:hAnsi="Palatino Linotype" w:eastAsia="Palatino Linotype" w:cs="Times New Roman"/>
          <w:kern w:val="0"/>
          <w14:ligatures w14:val="none"/>
        </w:rPr>
        <w:t>with this edit:</w:t>
      </w:r>
      <w:r>
        <w:rPr>
          <w:rFonts w:ascii="Palatino Linotype" w:hAnsi="Palatino Linotype" w:eastAsia="Palatino Linotype" w:cs="Times New Roman"/>
          <w:kern w:val="0"/>
          <w14:ligatures w14:val="none"/>
        </w:rPr>
        <w:t xml:space="preserve"> </w:t>
      </w:r>
      <w:r w:rsidRPr="00C10824">
        <w:rPr>
          <w:rFonts w:ascii="Palatino Linotype" w:hAnsi="Palatino Linotype" w:eastAsia="Palatino Linotype" w:cs="Times New Roman"/>
          <w:kern w:val="0"/>
          <w14:ligatures w14:val="none"/>
        </w:rPr>
        <w:t xml:space="preserve">“Energization year can be </w:t>
      </w:r>
      <w:proofErr w:type="gramStart"/>
      <w:r w:rsidRPr="00C10824">
        <w:rPr>
          <w:rFonts w:ascii="Palatino Linotype" w:hAnsi="Palatino Linotype" w:eastAsia="Palatino Linotype" w:cs="Times New Roman"/>
          <w:kern w:val="0"/>
          <w14:ligatures w14:val="none"/>
        </w:rPr>
        <w:t>estimated</w:t>
      </w:r>
      <w:r w:rsidR="000B1E82">
        <w:rPr>
          <w:rFonts w:ascii="Palatino Linotype" w:hAnsi="Palatino Linotype" w:eastAsia="Palatino Linotype" w:cs="Times New Roman"/>
          <w:kern w:val="0"/>
          <w14:ligatures w14:val="none"/>
        </w:rPr>
        <w:t>,</w:t>
      </w:r>
      <w:r w:rsidRPr="00C10824">
        <w:rPr>
          <w:rFonts w:ascii="Palatino Linotype" w:hAnsi="Palatino Linotype" w:eastAsia="Palatino Linotype" w:cs="Times New Roman"/>
          <w:kern w:val="0"/>
          <w14:ligatures w14:val="none"/>
        </w:rPr>
        <w:t xml:space="preserve"> but</w:t>
      </w:r>
      <w:proofErr w:type="gramEnd"/>
      <w:r w:rsidRPr="00C10824">
        <w:rPr>
          <w:rFonts w:ascii="Palatino Linotype" w:hAnsi="Palatino Linotype" w:eastAsia="Palatino Linotype" w:cs="Times New Roman"/>
          <w:kern w:val="0"/>
          <w14:ligatures w14:val="none"/>
        </w:rPr>
        <w:t xml:space="preserve"> is uncertain</w:t>
      </w:r>
      <w:r w:rsidR="00EB2D3E">
        <w:rPr>
          <w:rFonts w:ascii="Palatino Linotype" w:hAnsi="Palatino Linotype" w:eastAsia="Palatino Linotype" w:cs="Times New Roman"/>
          <w:kern w:val="0"/>
          <w14:ligatures w14:val="none"/>
        </w:rPr>
        <w:t xml:space="preserve"> based on distribution engineering estimation</w:t>
      </w:r>
      <w:r w:rsidRPr="00C10824">
        <w:rPr>
          <w:rFonts w:ascii="Palatino Linotype" w:hAnsi="Palatino Linotype" w:eastAsia="Palatino Linotype" w:cs="Times New Roman"/>
          <w:kern w:val="0"/>
          <w14:ligatures w14:val="none"/>
        </w:rPr>
        <w:t>.”</w:t>
      </w:r>
    </w:p>
    <w:p w:rsidR="000B1E82" w:rsidP="00091CFE" w:rsidRDefault="000B1E82" w14:paraId="38B7C23A" w14:textId="469FE125">
      <w:pPr>
        <w:spacing w:after="0" w:line="240" w:lineRule="auto"/>
        <w:rPr>
          <w:rFonts w:ascii="Palatino Linotype" w:hAnsi="Palatino Linotype" w:eastAsia="Palatino Linotype" w:cs="Times New Roman"/>
          <w:kern w:val="0"/>
          <w14:ligatures w14:val="none"/>
        </w:rPr>
      </w:pPr>
    </w:p>
    <w:p w:rsidRPr="00645157" w:rsidR="00091CFE" w:rsidP="00091CFE" w:rsidRDefault="00091CFE" w14:paraId="4E84F4B0" w14:textId="7BEB860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w:t>
      </w:r>
      <w:r w:rsidR="000B1E82">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Advocates requests to move studies and analysis-based compliance obligations from Category B2 to Category C. This would introduce arbitrary distinctions within B2 that could weaken the usefulness of the category. Therefore, we </w:t>
      </w:r>
      <w:r w:rsidR="008456A9">
        <w:rPr>
          <w:rFonts w:ascii="Palatino Linotype" w:hAnsi="Palatino Linotype" w:eastAsia="Palatino Linotype" w:cs="Times New Roman"/>
          <w:kern w:val="0"/>
          <w14:ligatures w14:val="none"/>
        </w:rPr>
        <w:t>decline</w:t>
      </w:r>
      <w:r>
        <w:rPr>
          <w:rFonts w:ascii="Palatino Linotype" w:hAnsi="Palatino Linotype" w:eastAsia="Palatino Linotype" w:cs="Times New Roman"/>
          <w:kern w:val="0"/>
          <w14:ligatures w14:val="none"/>
        </w:rPr>
        <w:t xml:space="preserve"> this request.</w:t>
      </w:r>
    </w:p>
    <w:p w:rsidR="00091CFE" w:rsidP="00091CFE" w:rsidRDefault="00091CFE" w14:paraId="5DABD04A" w14:textId="77777777">
      <w:pPr>
        <w:spacing w:after="0" w:line="240" w:lineRule="auto"/>
        <w:rPr>
          <w:rFonts w:ascii="Palatino Linotype" w:hAnsi="Palatino Linotype" w:eastAsia="Palatino Linotype" w:cs="Times New Roman"/>
          <w:kern w:val="0"/>
          <w14:ligatures w14:val="none"/>
        </w:rPr>
      </w:pPr>
    </w:p>
    <w:p w:rsidRPr="005D035C" w:rsidR="000D4471" w:rsidP="005D035C" w:rsidRDefault="000D4471" w14:paraId="4FEA5C66" w14:textId="24DA204D">
      <w:pPr>
        <w:pStyle w:val="Heading2"/>
        <w:rPr>
          <w:rFonts w:ascii="Palatino Linotype" w:hAnsi="Palatino Linotype"/>
          <w:b/>
          <w:bCs/>
          <w:color w:val="auto"/>
          <w:sz w:val="28"/>
          <w:szCs w:val="28"/>
        </w:rPr>
      </w:pPr>
      <w:r w:rsidRPr="005D035C">
        <w:rPr>
          <w:rFonts w:ascii="Palatino Linotype" w:hAnsi="Palatino Linotype"/>
          <w:b/>
          <w:bCs/>
          <w:color w:val="auto"/>
          <w:sz w:val="28"/>
          <w:szCs w:val="28"/>
        </w:rPr>
        <w:t xml:space="preserve">Transportation </w:t>
      </w:r>
      <w:r w:rsidRPr="005D035C" w:rsidR="008C6A3D">
        <w:rPr>
          <w:rFonts w:ascii="Palatino Linotype" w:hAnsi="Palatino Linotype"/>
          <w:b/>
          <w:bCs/>
          <w:color w:val="auto"/>
          <w:sz w:val="28"/>
          <w:szCs w:val="28"/>
        </w:rPr>
        <w:t xml:space="preserve">Electrification </w:t>
      </w:r>
      <w:r w:rsidRPr="005D035C">
        <w:rPr>
          <w:rFonts w:ascii="Palatino Linotype" w:hAnsi="Palatino Linotype"/>
          <w:b/>
          <w:bCs/>
          <w:color w:val="auto"/>
          <w:sz w:val="28"/>
          <w:szCs w:val="28"/>
        </w:rPr>
        <w:t xml:space="preserve">Proactive Planning </w:t>
      </w:r>
    </w:p>
    <w:p w:rsidR="00E93F71" w:rsidP="00A76F4A" w:rsidRDefault="007C201F" w14:paraId="6DF2A0B5" w14:textId="6A642DFE">
      <w:pPr>
        <w:spacing w:after="0" w:line="240" w:lineRule="auto"/>
        <w:rPr>
          <w:rFonts w:ascii="Palatino Linotype" w:hAnsi="Palatino Linotype" w:eastAsia="Palatino Linotype" w:cs="Times New Roman"/>
          <w:kern w:val="0"/>
          <w14:ligatures w14:val="none"/>
        </w:rPr>
      </w:pPr>
      <w:r w:rsidRPr="34F00ABB">
        <w:rPr>
          <w:rFonts w:ascii="Palatino Linotype" w:hAnsi="Palatino Linotype" w:eastAsia="Palatino Linotype" w:cs="Times New Roman"/>
        </w:rPr>
        <w:t>CALSTART</w:t>
      </w:r>
      <w:r w:rsidRPr="34F00ABB" w:rsidR="00E93F71">
        <w:rPr>
          <w:rFonts w:ascii="Palatino Linotype" w:hAnsi="Palatino Linotype" w:eastAsia="Palatino Linotype" w:cs="Times New Roman"/>
        </w:rPr>
        <w:t xml:space="preserve"> requests </w:t>
      </w:r>
      <w:r w:rsidRPr="34F00ABB" w:rsidR="00CA184E">
        <w:rPr>
          <w:rFonts w:ascii="Palatino Linotype" w:hAnsi="Palatino Linotype" w:eastAsia="Palatino Linotype" w:cs="Times New Roman"/>
        </w:rPr>
        <w:t xml:space="preserve">that the resolution explicitly </w:t>
      </w:r>
      <w:r w:rsidRPr="34F00ABB" w:rsidR="47EFC6E4">
        <w:rPr>
          <w:rFonts w:ascii="Palatino Linotype" w:hAnsi="Palatino Linotype" w:eastAsia="Palatino Linotype" w:cs="Times New Roman"/>
        </w:rPr>
        <w:t>states</w:t>
      </w:r>
      <w:r w:rsidRPr="34F00ABB" w:rsidR="00CA184E">
        <w:rPr>
          <w:rFonts w:ascii="Palatino Linotype" w:hAnsi="Palatino Linotype" w:eastAsia="Palatino Linotype" w:cs="Times New Roman"/>
        </w:rPr>
        <w:t xml:space="preserve"> that the Transportation Electrification Proactive Planning (TEPP) outputs may be used to support the hotspot definition</w:t>
      </w:r>
      <w:r w:rsidRPr="34F00ABB" w:rsidR="6D3B0569">
        <w:rPr>
          <w:rFonts w:ascii="Palatino Linotype" w:hAnsi="Palatino Linotype" w:eastAsia="Palatino Linotype" w:cs="Times New Roman"/>
        </w:rPr>
        <w:t>, despite TEPP outputs’ alignment with the B2 pending loads category</w:t>
      </w:r>
      <w:r w:rsidRPr="34F00ABB" w:rsidR="01C60563">
        <w:rPr>
          <w:rFonts w:ascii="Palatino Linotype" w:hAnsi="Palatino Linotype" w:eastAsia="Palatino Linotype" w:cs="Times New Roman"/>
        </w:rPr>
        <w:t xml:space="preserve">. </w:t>
      </w:r>
      <w:r w:rsidRPr="34F00ABB" w:rsidR="55E25BB7">
        <w:rPr>
          <w:rFonts w:ascii="Palatino Linotype" w:hAnsi="Palatino Linotype" w:eastAsia="Palatino Linotype" w:cs="Times New Roman"/>
        </w:rPr>
        <w:t>Th</w:t>
      </w:r>
      <w:r w:rsidRPr="34F00ABB" w:rsidR="2AAE75B3">
        <w:rPr>
          <w:rFonts w:ascii="Palatino Linotype" w:hAnsi="Palatino Linotype" w:eastAsia="Palatino Linotype" w:cs="Times New Roman"/>
        </w:rPr>
        <w:t>is</w:t>
      </w:r>
      <w:r w:rsidRPr="34F00ABB" w:rsidR="00E64AA3">
        <w:rPr>
          <w:rFonts w:ascii="Palatino Linotype" w:hAnsi="Palatino Linotype" w:eastAsia="Palatino Linotype" w:cs="Times New Roman"/>
        </w:rPr>
        <w:t xml:space="preserve"> resolution </w:t>
      </w:r>
      <w:r w:rsidRPr="34F00ABB" w:rsidR="5B3CD2F6">
        <w:rPr>
          <w:rFonts w:ascii="Palatino Linotype" w:hAnsi="Palatino Linotype" w:eastAsia="Palatino Linotype" w:cs="Times New Roman"/>
        </w:rPr>
        <w:t>clarifies that</w:t>
      </w:r>
      <w:r w:rsidRPr="34F00ABB" w:rsidR="00DF0315">
        <w:rPr>
          <w:rFonts w:ascii="Palatino Linotype" w:hAnsi="Palatino Linotype" w:eastAsia="Palatino Linotype" w:cs="Times New Roman"/>
        </w:rPr>
        <w:t xml:space="preserve"> </w:t>
      </w:r>
      <w:r w:rsidRPr="34F00ABB" w:rsidR="5B3CD2F6">
        <w:rPr>
          <w:rFonts w:ascii="Palatino Linotype" w:hAnsi="Palatino Linotype" w:eastAsia="Palatino Linotype" w:cs="Times New Roman"/>
        </w:rPr>
        <w:t xml:space="preserve">the </w:t>
      </w:r>
      <w:r w:rsidRPr="34F00ABB" w:rsidR="00DF0315">
        <w:rPr>
          <w:rFonts w:ascii="Palatino Linotype" w:hAnsi="Palatino Linotype" w:eastAsia="Palatino Linotype" w:cs="Times New Roman"/>
        </w:rPr>
        <w:t xml:space="preserve">TEPP work product may </w:t>
      </w:r>
      <w:r w:rsidRPr="34F00ABB" w:rsidR="7AEECFCB">
        <w:rPr>
          <w:rFonts w:ascii="Palatino Linotype" w:hAnsi="Palatino Linotype" w:eastAsia="Palatino Linotype" w:cs="Times New Roman"/>
        </w:rPr>
        <w:t xml:space="preserve">be used </w:t>
      </w:r>
      <w:r w:rsidRPr="34F00ABB" w:rsidR="00DF0315">
        <w:rPr>
          <w:rFonts w:ascii="Palatino Linotype" w:hAnsi="Palatino Linotype" w:eastAsia="Palatino Linotype" w:cs="Times New Roman"/>
        </w:rPr>
        <w:t>as a potential</w:t>
      </w:r>
      <w:r w:rsidRPr="34F00ABB" w:rsidR="7AEECFCB">
        <w:rPr>
          <w:rFonts w:ascii="Palatino Linotype" w:hAnsi="Palatino Linotype" w:eastAsia="Palatino Linotype" w:cs="Times New Roman"/>
        </w:rPr>
        <w:t xml:space="preserve"> </w:t>
      </w:r>
      <w:r w:rsidRPr="34F00ABB" w:rsidR="00DF0315">
        <w:rPr>
          <w:rFonts w:ascii="Palatino Linotype" w:hAnsi="Palatino Linotype" w:eastAsia="Palatino Linotype" w:cs="Times New Roman"/>
        </w:rPr>
        <w:t xml:space="preserve">future source of data </w:t>
      </w:r>
      <w:r w:rsidRPr="34F00ABB" w:rsidR="2C55D3F8">
        <w:rPr>
          <w:rFonts w:ascii="Palatino Linotype" w:hAnsi="Palatino Linotype" w:eastAsia="Palatino Linotype" w:cs="Times New Roman"/>
        </w:rPr>
        <w:t>to</w:t>
      </w:r>
      <w:r w:rsidRPr="34F00ABB" w:rsidR="1D10657D">
        <w:rPr>
          <w:rFonts w:ascii="Palatino Linotype" w:hAnsi="Palatino Linotype" w:eastAsia="Palatino Linotype" w:cs="Times New Roman"/>
        </w:rPr>
        <w:t xml:space="preserve"> </w:t>
      </w:r>
      <w:r w:rsidRPr="34F00ABB" w:rsidR="00DF0315">
        <w:rPr>
          <w:rFonts w:ascii="Palatino Linotype" w:hAnsi="Palatino Linotype" w:eastAsia="Palatino Linotype" w:cs="Times New Roman"/>
        </w:rPr>
        <w:t xml:space="preserve">identify hot spots in transportation corridors. </w:t>
      </w:r>
      <w:r w:rsidRPr="34F00ABB" w:rsidR="602F346E">
        <w:rPr>
          <w:rFonts w:ascii="Palatino Linotype" w:hAnsi="Palatino Linotype" w:eastAsia="Palatino Linotype" w:cs="Times New Roman"/>
        </w:rPr>
        <w:t>W</w:t>
      </w:r>
      <w:r w:rsidRPr="34F00ABB" w:rsidR="49CA2AF5">
        <w:rPr>
          <w:rFonts w:ascii="Palatino Linotype" w:hAnsi="Palatino Linotype" w:eastAsia="Palatino Linotype" w:cs="Times New Roman"/>
        </w:rPr>
        <w:t xml:space="preserve">e </w:t>
      </w:r>
      <w:r w:rsidRPr="34F00ABB" w:rsidR="00984871">
        <w:rPr>
          <w:rFonts w:ascii="Palatino Linotype" w:hAnsi="Palatino Linotype" w:eastAsia="Palatino Linotype" w:cs="Times New Roman"/>
        </w:rPr>
        <w:t xml:space="preserve">see no need for additional </w:t>
      </w:r>
      <w:r w:rsidRPr="34F00ABB" w:rsidR="49CA2AF5">
        <w:rPr>
          <w:rFonts w:ascii="Palatino Linotype" w:hAnsi="Palatino Linotype" w:eastAsia="Palatino Linotype" w:cs="Times New Roman"/>
        </w:rPr>
        <w:t>changes</w:t>
      </w:r>
      <w:r w:rsidRPr="34F00ABB" w:rsidR="64895FA8">
        <w:rPr>
          <w:rFonts w:ascii="Palatino Linotype" w:hAnsi="Palatino Linotype" w:eastAsia="Palatino Linotype" w:cs="Times New Roman"/>
        </w:rPr>
        <w:t>.</w:t>
      </w:r>
      <w:r w:rsidRPr="34F00ABB" w:rsidR="49CA2AF5">
        <w:rPr>
          <w:rFonts w:ascii="Palatino Linotype" w:hAnsi="Palatino Linotype" w:eastAsia="Palatino Linotype" w:cs="Times New Roman"/>
        </w:rPr>
        <w:t xml:space="preserve"> </w:t>
      </w:r>
    </w:p>
    <w:p w:rsidR="00EF0552" w:rsidP="000A6B97" w:rsidRDefault="00EF0552" w14:paraId="5EBA97B9" w14:textId="7E8D2666">
      <w:pPr>
        <w:spacing w:after="0" w:line="240" w:lineRule="auto"/>
        <w:rPr>
          <w:rFonts w:ascii="Palatino Linotype" w:hAnsi="Palatino Linotype" w:eastAsia="Palatino Linotype" w:cs="Times New Roman"/>
          <w:kern w:val="0"/>
          <w14:ligatures w14:val="none"/>
        </w:rPr>
      </w:pPr>
    </w:p>
    <w:p w:rsidR="000A6B97" w:rsidP="000A6B97" w:rsidRDefault="000A6B97" w14:paraId="79632E4A" w14:textId="20455F23">
      <w:pPr>
        <w:spacing w:after="0" w:line="240" w:lineRule="auto"/>
        <w:rPr>
          <w:rFonts w:ascii="Palatino Linotype" w:hAnsi="Palatino Linotype" w:eastAsia="Palatino Linotype" w:cs="Times New Roman"/>
          <w:kern w:val="0"/>
          <w14:ligatures w14:val="none"/>
        </w:rPr>
      </w:pPr>
      <w:r w:rsidRPr="22A50854">
        <w:rPr>
          <w:rFonts w:ascii="Palatino Linotype" w:hAnsi="Palatino Linotype" w:eastAsia="Palatino Linotype" w:cs="Times New Roman"/>
        </w:rPr>
        <w:t xml:space="preserve">NRDC recommends aligning pending load treatment with TEPP outputs across transportation corridors and non-corridors because the resolution narrows the circumstances under which pending loads may exceed the IEPR forecast by focusing primarily on transportation corridors. The resolution already states that the TEPP is a potential future source </w:t>
      </w:r>
      <w:r w:rsidRPr="22A50854" w:rsidR="23B955C1">
        <w:rPr>
          <w:rFonts w:ascii="Palatino Linotype" w:hAnsi="Palatino Linotype" w:eastAsia="Palatino Linotype" w:cs="Times New Roman"/>
        </w:rPr>
        <w:t>for</w:t>
      </w:r>
      <w:r w:rsidR="000D15D3">
        <w:rPr>
          <w:rFonts w:ascii="Palatino Linotype" w:hAnsi="Palatino Linotype" w:eastAsia="Palatino Linotype" w:cs="Times New Roman"/>
        </w:rPr>
        <w:t xml:space="preserve"> </w:t>
      </w:r>
      <w:r w:rsidRPr="22A50854">
        <w:rPr>
          <w:rFonts w:ascii="Palatino Linotype" w:hAnsi="Palatino Linotype" w:eastAsia="Palatino Linotype" w:cs="Times New Roman"/>
        </w:rPr>
        <w:t>pending loads</w:t>
      </w:r>
      <w:r w:rsidRPr="22A50854" w:rsidR="406157F7">
        <w:rPr>
          <w:rFonts w:ascii="Palatino Linotype" w:hAnsi="Palatino Linotype" w:eastAsia="Palatino Linotype" w:cs="Times New Roman"/>
        </w:rPr>
        <w:t xml:space="preserve"> </w:t>
      </w:r>
      <w:r w:rsidRPr="22A50854" w:rsidR="6D072E2C">
        <w:rPr>
          <w:rFonts w:ascii="Palatino Linotype" w:hAnsi="Palatino Linotype" w:eastAsia="Palatino Linotype" w:cs="Times New Roman"/>
        </w:rPr>
        <w:t>and hot</w:t>
      </w:r>
      <w:r w:rsidRPr="22A50854" w:rsidR="20077AE7">
        <w:rPr>
          <w:rFonts w:ascii="Palatino Linotype" w:hAnsi="Palatino Linotype" w:eastAsia="Palatino Linotype" w:cs="Times New Roman"/>
        </w:rPr>
        <w:t xml:space="preserve"> </w:t>
      </w:r>
      <w:r w:rsidRPr="22A50854" w:rsidR="6D072E2C">
        <w:rPr>
          <w:rFonts w:ascii="Palatino Linotype" w:hAnsi="Palatino Linotype" w:eastAsia="Palatino Linotype" w:cs="Times New Roman"/>
        </w:rPr>
        <w:t>spot identification</w:t>
      </w:r>
      <w:r w:rsidRPr="22A50854">
        <w:rPr>
          <w:rFonts w:ascii="Palatino Linotype" w:hAnsi="Palatino Linotype" w:eastAsia="Palatino Linotype" w:cs="Times New Roman"/>
        </w:rPr>
        <w:t>. Th</w:t>
      </w:r>
      <w:r w:rsidRPr="22A50854" w:rsidR="006D5722">
        <w:rPr>
          <w:rFonts w:ascii="Palatino Linotype" w:hAnsi="Palatino Linotype" w:eastAsia="Palatino Linotype" w:cs="Times New Roman"/>
        </w:rPr>
        <w:t>us,</w:t>
      </w:r>
      <w:r w:rsidRPr="22A50854">
        <w:rPr>
          <w:rFonts w:ascii="Palatino Linotype" w:hAnsi="Palatino Linotype" w:eastAsia="Palatino Linotype" w:cs="Times New Roman"/>
        </w:rPr>
        <w:t xml:space="preserve"> </w:t>
      </w:r>
      <w:r w:rsidRPr="22A50854" w:rsidR="00C73411">
        <w:rPr>
          <w:rFonts w:ascii="Palatino Linotype" w:hAnsi="Palatino Linotype" w:eastAsia="Palatino Linotype" w:cs="Times New Roman"/>
        </w:rPr>
        <w:t xml:space="preserve">this </w:t>
      </w:r>
      <w:r w:rsidRPr="22A50854">
        <w:rPr>
          <w:rFonts w:ascii="Palatino Linotype" w:hAnsi="Palatino Linotype" w:eastAsia="Palatino Linotype" w:cs="Times New Roman"/>
        </w:rPr>
        <w:t xml:space="preserve">additional detail is unnecessary </w:t>
      </w:r>
      <w:proofErr w:type="gramStart"/>
      <w:r w:rsidRPr="22A50854" w:rsidR="00222878">
        <w:rPr>
          <w:rFonts w:ascii="Palatino Linotype" w:hAnsi="Palatino Linotype" w:eastAsia="Palatino Linotype" w:cs="Times New Roman"/>
        </w:rPr>
        <w:t>at this time</w:t>
      </w:r>
      <w:proofErr w:type="gramEnd"/>
      <w:r w:rsidRPr="22A50854" w:rsidR="004402E0">
        <w:rPr>
          <w:rFonts w:ascii="Palatino Linotype" w:hAnsi="Palatino Linotype" w:eastAsia="Palatino Linotype" w:cs="Times New Roman"/>
        </w:rPr>
        <w:t>.</w:t>
      </w:r>
    </w:p>
    <w:p w:rsidR="000A6B97" w:rsidP="000A6B97" w:rsidRDefault="000A6B97" w14:paraId="6CF3C54A" w14:textId="77777777">
      <w:pPr>
        <w:spacing w:after="0" w:line="240" w:lineRule="auto"/>
        <w:rPr>
          <w:rFonts w:ascii="Palatino Linotype" w:hAnsi="Palatino Linotype" w:eastAsia="Palatino Linotype" w:cs="Times New Roman"/>
          <w:kern w:val="0"/>
          <w14:ligatures w14:val="none"/>
        </w:rPr>
      </w:pPr>
    </w:p>
    <w:p w:rsidR="000A6B97" w:rsidP="000A6B97" w:rsidRDefault="000A6B97" w14:paraId="5EE4A430" w14:textId="2A4B288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NRDC requests that short-term and long-term TE </w:t>
      </w:r>
      <w:r w:rsidR="00C43B5C">
        <w:rPr>
          <w:rFonts w:ascii="Palatino Linotype" w:hAnsi="Palatino Linotype" w:eastAsia="Palatino Linotype" w:cs="Times New Roman"/>
          <w:kern w:val="0"/>
          <w14:ligatures w14:val="none"/>
        </w:rPr>
        <w:t>hot</w:t>
      </w:r>
      <w:r w:rsidR="00695B00">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spots should be identified to support long-lead infrastructure. However, NRDC does not </w:t>
      </w:r>
      <w:r w:rsidR="00467BEC">
        <w:rPr>
          <w:rFonts w:ascii="Palatino Linotype" w:hAnsi="Palatino Linotype" w:eastAsia="Palatino Linotype" w:cs="Times New Roman"/>
          <w:kern w:val="0"/>
          <w14:ligatures w14:val="none"/>
        </w:rPr>
        <w:t xml:space="preserve">sufficiently </w:t>
      </w:r>
      <w:r>
        <w:rPr>
          <w:rFonts w:ascii="Palatino Linotype" w:hAnsi="Palatino Linotype" w:eastAsia="Palatino Linotype" w:cs="Times New Roman"/>
          <w:kern w:val="0"/>
          <w14:ligatures w14:val="none"/>
        </w:rPr>
        <w:t xml:space="preserve">explain how short-term and long-term TE hot spots should be used. Therefore, we </w:t>
      </w:r>
      <w:r w:rsidR="00467BEC">
        <w:rPr>
          <w:rFonts w:ascii="Palatino Linotype" w:hAnsi="Palatino Linotype" w:eastAsia="Palatino Linotype" w:cs="Times New Roman"/>
          <w:kern w:val="0"/>
          <w14:ligatures w14:val="none"/>
        </w:rPr>
        <w:t xml:space="preserve">decline </w:t>
      </w:r>
      <w:r>
        <w:rPr>
          <w:rFonts w:ascii="Palatino Linotype" w:hAnsi="Palatino Linotype" w:eastAsia="Palatino Linotype" w:cs="Times New Roman"/>
          <w:kern w:val="0"/>
          <w14:ligatures w14:val="none"/>
        </w:rPr>
        <w:t xml:space="preserve">this recommendation. </w:t>
      </w:r>
    </w:p>
    <w:p w:rsidR="005566ED" w:rsidP="00A76F4A" w:rsidRDefault="005566ED" w14:paraId="09F70EAD" w14:textId="77777777">
      <w:pPr>
        <w:spacing w:after="0" w:line="240" w:lineRule="auto"/>
        <w:rPr>
          <w:rFonts w:ascii="Palatino Linotype" w:hAnsi="Palatino Linotype" w:eastAsia="Palatino Linotype" w:cs="Times New Roman"/>
          <w:kern w:val="0"/>
          <w14:ligatures w14:val="none"/>
        </w:rPr>
      </w:pPr>
    </w:p>
    <w:p w:rsidRPr="005D035C" w:rsidR="00B07AE2" w:rsidP="00153734" w:rsidRDefault="00946E1B" w14:paraId="6E50A5EB" w14:textId="39CA172E">
      <w:pPr>
        <w:pStyle w:val="Heading2"/>
        <w:rPr>
          <w:rFonts w:ascii="Palatino Linotype" w:hAnsi="Palatino Linotype"/>
          <w:b/>
          <w:bCs/>
          <w:color w:val="auto"/>
          <w:sz w:val="28"/>
          <w:szCs w:val="28"/>
        </w:rPr>
      </w:pPr>
      <w:r>
        <w:rPr>
          <w:rFonts w:ascii="Palatino Linotype" w:hAnsi="Palatino Linotype"/>
          <w:b/>
          <w:bCs/>
          <w:color w:val="auto"/>
          <w:sz w:val="28"/>
          <w:szCs w:val="28"/>
        </w:rPr>
        <w:lastRenderedPageBreak/>
        <w:t>Clarifications and Modifications Related to Sources</w:t>
      </w:r>
    </w:p>
    <w:p w:rsidR="0065629C" w:rsidP="00153734" w:rsidRDefault="0065629C" w14:paraId="47F406F1" w14:textId="77777777">
      <w:pPr>
        <w:keepNext/>
        <w:spacing w:after="0" w:line="240" w:lineRule="auto"/>
      </w:pPr>
    </w:p>
    <w:p w:rsidRPr="005D035C" w:rsidR="00A12178" w:rsidP="00153734" w:rsidRDefault="00B07AE2" w14:paraId="16284E05" w14:textId="3E920055">
      <w:pPr>
        <w:keepNext/>
        <w:spacing w:after="0" w:line="240" w:lineRule="auto"/>
        <w:rPr>
          <w:rFonts w:ascii="Palatino Linotype" w:hAnsi="Palatino Linotype" w:eastAsia="Palatino Linotype" w:cs="Times New Roman"/>
          <w:kern w:val="0"/>
          <w14:ligatures w14:val="none"/>
        </w:rPr>
      </w:pPr>
      <w:r w:rsidRPr="005D035C">
        <w:rPr>
          <w:rFonts w:ascii="Palatino Linotype" w:hAnsi="Palatino Linotype" w:eastAsia="Palatino Linotype" w:cs="Times New Roman"/>
          <w:kern w:val="0"/>
          <w14:ligatures w14:val="none"/>
        </w:rPr>
        <w:t xml:space="preserve">SCE requests </w:t>
      </w:r>
      <w:r w:rsidRPr="005D035C" w:rsidR="006E2222">
        <w:rPr>
          <w:rFonts w:ascii="Palatino Linotype" w:hAnsi="Palatino Linotype" w:eastAsia="Palatino Linotype" w:cs="Times New Roman"/>
          <w:kern w:val="0"/>
          <w14:ligatures w14:val="none"/>
        </w:rPr>
        <w:t>to add CEQA databases, permit status, and government/community plans to the list of sources examples under Ordering Paragraph 24. There</w:t>
      </w:r>
      <w:r w:rsidRPr="005D035C" w:rsidR="006F05BE">
        <w:rPr>
          <w:rFonts w:ascii="Palatino Linotype" w:hAnsi="Palatino Linotype" w:eastAsia="Palatino Linotype" w:cs="Times New Roman"/>
          <w:kern w:val="0"/>
          <w14:ligatures w14:val="none"/>
        </w:rPr>
        <w:t xml:space="preserve"> is no Ordering Paragraph </w:t>
      </w:r>
      <w:proofErr w:type="gramStart"/>
      <w:r w:rsidRPr="005D035C" w:rsidR="006F05BE">
        <w:rPr>
          <w:rFonts w:ascii="Palatino Linotype" w:hAnsi="Palatino Linotype" w:eastAsia="Palatino Linotype" w:cs="Times New Roman"/>
          <w:kern w:val="0"/>
          <w14:ligatures w14:val="none"/>
        </w:rPr>
        <w:t>24</w:t>
      </w:r>
      <w:proofErr w:type="gramEnd"/>
      <w:r w:rsidRPr="005D035C" w:rsidR="006F05BE">
        <w:rPr>
          <w:rFonts w:ascii="Palatino Linotype" w:hAnsi="Palatino Linotype" w:eastAsia="Palatino Linotype" w:cs="Times New Roman"/>
          <w:kern w:val="0"/>
          <w14:ligatures w14:val="none"/>
        </w:rPr>
        <w:t xml:space="preserve"> and </w:t>
      </w:r>
      <w:r w:rsidR="00AA5556">
        <w:rPr>
          <w:rFonts w:ascii="Palatino Linotype" w:hAnsi="Palatino Linotype" w:eastAsia="Palatino Linotype" w:cs="Times New Roman"/>
          <w:kern w:val="0"/>
          <w14:ligatures w14:val="none"/>
        </w:rPr>
        <w:t xml:space="preserve">we </w:t>
      </w:r>
      <w:r w:rsidRPr="005D035C" w:rsidR="006F05BE">
        <w:rPr>
          <w:rFonts w:ascii="Palatino Linotype" w:hAnsi="Palatino Linotype" w:eastAsia="Palatino Linotype" w:cs="Times New Roman"/>
          <w:kern w:val="0"/>
          <w14:ligatures w14:val="none"/>
        </w:rPr>
        <w:t>assume SCE meant Findings and Conclusions 24</w:t>
      </w:r>
      <w:r w:rsidR="009813CC">
        <w:rPr>
          <w:rFonts w:ascii="Palatino Linotype" w:hAnsi="Palatino Linotype" w:eastAsia="Palatino Linotype" w:cs="Times New Roman"/>
          <w:kern w:val="0"/>
          <w14:ligatures w14:val="none"/>
        </w:rPr>
        <w:t xml:space="preserve"> </w:t>
      </w:r>
      <w:r w:rsidR="00043C8B">
        <w:rPr>
          <w:rFonts w:ascii="Palatino Linotype" w:hAnsi="Palatino Linotype" w:eastAsia="Palatino Linotype" w:cs="Times New Roman"/>
          <w:kern w:val="0"/>
          <w14:ligatures w14:val="none"/>
        </w:rPr>
        <w:t xml:space="preserve">in the original </w:t>
      </w:r>
      <w:r w:rsidR="00222B2E">
        <w:rPr>
          <w:rFonts w:ascii="Palatino Linotype" w:hAnsi="Palatino Linotype" w:eastAsia="Palatino Linotype" w:cs="Times New Roman"/>
          <w:kern w:val="0"/>
          <w14:ligatures w14:val="none"/>
        </w:rPr>
        <w:t>draft resolution</w:t>
      </w:r>
      <w:r w:rsidRPr="005D035C" w:rsidR="006F05BE">
        <w:rPr>
          <w:rFonts w:ascii="Palatino Linotype" w:hAnsi="Palatino Linotype" w:eastAsia="Palatino Linotype" w:cs="Times New Roman"/>
          <w:kern w:val="0"/>
          <w14:ligatures w14:val="none"/>
        </w:rPr>
        <w:t xml:space="preserve">. The Commission agrees that these are important types of pending loads that have been widely recognized as important to consider and accepts </w:t>
      </w:r>
      <w:proofErr w:type="gramStart"/>
      <w:r w:rsidRPr="005D035C" w:rsidR="00104D5D">
        <w:rPr>
          <w:rFonts w:ascii="Palatino Linotype" w:hAnsi="Palatino Linotype" w:eastAsia="Palatino Linotype" w:cs="Times New Roman"/>
          <w:kern w:val="0"/>
          <w14:ligatures w14:val="none"/>
        </w:rPr>
        <w:t>the modification</w:t>
      </w:r>
      <w:proofErr w:type="gramEnd"/>
      <w:r w:rsidRPr="005D035C" w:rsidR="00104D5D">
        <w:rPr>
          <w:rFonts w:ascii="Palatino Linotype" w:hAnsi="Palatino Linotype" w:eastAsia="Palatino Linotype" w:cs="Times New Roman"/>
          <w:kern w:val="0"/>
          <w14:ligatures w14:val="none"/>
        </w:rPr>
        <w:t xml:space="preserve"> in the interest of clarity </w:t>
      </w:r>
      <w:r w:rsidRPr="005D035C" w:rsidR="00CE7160">
        <w:rPr>
          <w:rFonts w:ascii="Palatino Linotype" w:hAnsi="Palatino Linotype" w:eastAsia="Palatino Linotype" w:cs="Times New Roman"/>
          <w:kern w:val="0"/>
          <w14:ligatures w14:val="none"/>
        </w:rPr>
        <w:t>and</w:t>
      </w:r>
      <w:r w:rsidRPr="005D035C" w:rsidR="00104D5D">
        <w:rPr>
          <w:rFonts w:ascii="Palatino Linotype" w:hAnsi="Palatino Linotype" w:eastAsia="Palatino Linotype" w:cs="Times New Roman"/>
          <w:kern w:val="0"/>
          <w14:ligatures w14:val="none"/>
        </w:rPr>
        <w:t xml:space="preserve"> completeness.</w:t>
      </w:r>
      <w:r w:rsidR="00222B2E">
        <w:rPr>
          <w:rFonts w:ascii="Palatino Linotype" w:hAnsi="Palatino Linotype" w:eastAsia="Palatino Linotype" w:cs="Times New Roman"/>
          <w:kern w:val="0"/>
          <w14:ligatures w14:val="none"/>
        </w:rPr>
        <w:t xml:space="preserve"> Th</w:t>
      </w:r>
      <w:r w:rsidR="0019230B">
        <w:rPr>
          <w:rFonts w:ascii="Palatino Linotype" w:hAnsi="Palatino Linotype" w:eastAsia="Palatino Linotype" w:cs="Times New Roman"/>
          <w:kern w:val="0"/>
          <w14:ligatures w14:val="none"/>
        </w:rPr>
        <w:t xml:space="preserve">is is now Finding and Conclusions </w:t>
      </w:r>
      <w:r w:rsidR="002A7725">
        <w:rPr>
          <w:rFonts w:ascii="Palatino Linotype" w:hAnsi="Palatino Linotype" w:eastAsia="Palatino Linotype" w:cs="Times New Roman"/>
          <w:kern w:val="0"/>
          <w14:ligatures w14:val="none"/>
        </w:rPr>
        <w:t xml:space="preserve">26. </w:t>
      </w:r>
      <w:r w:rsidRPr="005D035C" w:rsidR="00104D5D">
        <w:rPr>
          <w:rFonts w:ascii="Palatino Linotype" w:hAnsi="Palatino Linotype" w:eastAsia="Palatino Linotype" w:cs="Times New Roman"/>
          <w:kern w:val="0"/>
          <w14:ligatures w14:val="none"/>
        </w:rPr>
        <w:t xml:space="preserve"> </w:t>
      </w:r>
    </w:p>
    <w:p w:rsidR="002A32BE" w:rsidP="00A76F4A" w:rsidRDefault="002A32BE" w14:paraId="74CD1746" w14:textId="1FB6676F">
      <w:pPr>
        <w:spacing w:after="0" w:line="240" w:lineRule="auto"/>
        <w:rPr>
          <w:rFonts w:ascii="Palatino Linotype" w:hAnsi="Palatino Linotype" w:eastAsia="Palatino Linotype" w:cs="Times New Roman"/>
          <w:kern w:val="0"/>
          <w14:ligatures w14:val="none"/>
        </w:rPr>
      </w:pPr>
    </w:p>
    <w:p w:rsidRPr="00DD2C68" w:rsidR="00A12178" w:rsidP="00A76F4A" w:rsidRDefault="00A12178" w14:paraId="603C0912" w14:textId="7DE7B665">
      <w:pPr>
        <w:spacing w:after="0" w:line="240" w:lineRule="auto"/>
        <w:rPr>
          <w:rFonts w:ascii="Palatino Linotype" w:hAnsi="Palatino Linotype" w:eastAsia="Palatino Linotype" w:cs="Times New Roman"/>
          <w:kern w:val="0"/>
          <w14:ligatures w14:val="none"/>
        </w:rPr>
      </w:pPr>
      <w:r w:rsidRPr="005D035C">
        <w:rPr>
          <w:rFonts w:ascii="Palatino Linotype" w:hAnsi="Palatino Linotype" w:eastAsia="Palatino Linotype" w:cs="Times New Roman"/>
          <w:kern w:val="0"/>
          <w14:ligatures w14:val="none"/>
        </w:rPr>
        <w:t>SCE requests that</w:t>
      </w:r>
      <w:r>
        <w:rPr>
          <w:rFonts w:ascii="Palatino Linotype" w:hAnsi="Palatino Linotype" w:eastAsia="Palatino Linotype" w:cs="Times New Roman"/>
          <w:kern w:val="0"/>
          <w14:ligatures w14:val="none"/>
        </w:rPr>
        <w:t xml:space="preserve"> </w:t>
      </w:r>
      <w:r w:rsidRPr="00895389" w:rsidR="00895389">
        <w:rPr>
          <w:rFonts w:ascii="Palatino Linotype" w:hAnsi="Palatino Linotype" w:eastAsia="Palatino Linotype" w:cs="Times New Roman"/>
          <w:kern w:val="0"/>
          <w14:ligatures w14:val="none"/>
        </w:rPr>
        <w:t>sources</w:t>
      </w:r>
      <w:r w:rsidRPr="00895389">
        <w:rPr>
          <w:rFonts w:ascii="Palatino Linotype" w:hAnsi="Palatino Linotype" w:eastAsia="Palatino Linotype" w:cs="Times New Roman"/>
          <w:kern w:val="0"/>
          <w14:ligatures w14:val="none"/>
        </w:rPr>
        <w:t xml:space="preserve"> </w:t>
      </w:r>
      <w:r w:rsidR="00B91FD0">
        <w:rPr>
          <w:rFonts w:ascii="Palatino Linotype" w:hAnsi="Palatino Linotype" w:eastAsia="Palatino Linotype" w:cs="Times New Roman"/>
          <w:kern w:val="0"/>
          <w14:ligatures w14:val="none"/>
        </w:rPr>
        <w:t>may be added at IOU discretion</w:t>
      </w:r>
      <w:r w:rsidR="002662A6">
        <w:rPr>
          <w:rFonts w:ascii="Palatino Linotype" w:hAnsi="Palatino Linotype" w:eastAsia="Palatino Linotype" w:cs="Times New Roman"/>
          <w:kern w:val="0"/>
          <w14:ligatures w14:val="none"/>
        </w:rPr>
        <w:t xml:space="preserve"> and remov</w:t>
      </w:r>
      <w:r w:rsidR="000B643A">
        <w:rPr>
          <w:rFonts w:ascii="Palatino Linotype" w:hAnsi="Palatino Linotype" w:eastAsia="Palatino Linotype" w:cs="Times New Roman"/>
          <w:kern w:val="0"/>
          <w14:ligatures w14:val="none"/>
        </w:rPr>
        <w:t>al of</w:t>
      </w:r>
      <w:r w:rsidR="002662A6">
        <w:rPr>
          <w:rFonts w:ascii="Palatino Linotype" w:hAnsi="Palatino Linotype" w:eastAsia="Palatino Linotype" w:cs="Times New Roman"/>
          <w:kern w:val="0"/>
          <w14:ligatures w14:val="none"/>
        </w:rPr>
        <w:t xml:space="preserve"> the word “extended”</w:t>
      </w:r>
      <w:r w:rsidR="001A64FC">
        <w:rPr>
          <w:rFonts w:ascii="Palatino Linotype" w:hAnsi="Palatino Linotype" w:eastAsia="Palatino Linotype" w:cs="Times New Roman"/>
          <w:kern w:val="0"/>
          <w14:ligatures w14:val="none"/>
        </w:rPr>
        <w:t xml:space="preserve"> in “extended approval process”</w:t>
      </w:r>
      <w:r w:rsidR="00B91FD0">
        <w:rPr>
          <w:rFonts w:ascii="Palatino Linotype" w:hAnsi="Palatino Linotype" w:eastAsia="Palatino Linotype" w:cs="Times New Roman"/>
          <w:kern w:val="0"/>
          <w14:ligatures w14:val="none"/>
        </w:rPr>
        <w:t xml:space="preserve"> as part of Ordering Paragraph 25. There is no Ordering Paragraph 25 </w:t>
      </w:r>
      <w:r w:rsidR="00222B2E">
        <w:rPr>
          <w:rFonts w:ascii="Palatino Linotype" w:hAnsi="Palatino Linotype" w:eastAsia="Palatino Linotype" w:cs="Times New Roman"/>
          <w:kern w:val="0"/>
          <w14:ligatures w14:val="none"/>
        </w:rPr>
        <w:t xml:space="preserve">in the original draft resolution </w:t>
      </w:r>
      <w:r w:rsidR="00631DB7">
        <w:rPr>
          <w:rFonts w:ascii="Palatino Linotype" w:hAnsi="Palatino Linotype" w:eastAsia="Palatino Linotype" w:cs="Times New Roman"/>
          <w:kern w:val="0"/>
          <w14:ligatures w14:val="none"/>
        </w:rPr>
        <w:t xml:space="preserve">and assumes SCE meant Findings and Conclusions 25. The Commission </w:t>
      </w:r>
      <w:r w:rsidR="002662A6">
        <w:rPr>
          <w:rFonts w:ascii="Palatino Linotype" w:hAnsi="Palatino Linotype" w:eastAsia="Palatino Linotype" w:cs="Times New Roman"/>
          <w:kern w:val="0"/>
          <w14:ligatures w14:val="none"/>
        </w:rPr>
        <w:t xml:space="preserve">rejects this request because </w:t>
      </w:r>
      <w:r w:rsidR="002B5B2F">
        <w:rPr>
          <w:rFonts w:ascii="Palatino Linotype" w:hAnsi="Palatino Linotype" w:eastAsia="Palatino Linotype" w:cs="Times New Roman"/>
          <w:kern w:val="0"/>
          <w14:ligatures w14:val="none"/>
        </w:rPr>
        <w:t xml:space="preserve">the original Ordering Paragraph 25 </w:t>
      </w:r>
      <w:r w:rsidR="002662A6">
        <w:rPr>
          <w:rFonts w:ascii="Palatino Linotype" w:hAnsi="Palatino Linotype" w:eastAsia="Palatino Linotype" w:cs="Times New Roman"/>
          <w:kern w:val="0"/>
          <w14:ligatures w14:val="none"/>
        </w:rPr>
        <w:t>already states that the utilities should be able to add sources.</w:t>
      </w:r>
      <w:r w:rsidR="002B5B2F">
        <w:rPr>
          <w:rFonts w:ascii="Palatino Linotype" w:hAnsi="Palatino Linotype" w:eastAsia="Palatino Linotype" w:cs="Times New Roman"/>
          <w:kern w:val="0"/>
          <w14:ligatures w14:val="none"/>
        </w:rPr>
        <w:t xml:space="preserve"> This is now Ordering Paragraph 27.</w:t>
      </w:r>
      <w:r w:rsidR="002662A6">
        <w:rPr>
          <w:rFonts w:ascii="Palatino Linotype" w:hAnsi="Palatino Linotype" w:eastAsia="Palatino Linotype" w:cs="Times New Roman"/>
          <w:kern w:val="0"/>
          <w14:ligatures w14:val="none"/>
        </w:rPr>
        <w:t xml:space="preserve"> </w:t>
      </w:r>
      <w:r w:rsidR="00631DB7">
        <w:rPr>
          <w:rFonts w:ascii="Palatino Linotype" w:hAnsi="Palatino Linotype" w:eastAsia="Palatino Linotype" w:cs="Times New Roman"/>
          <w:kern w:val="0"/>
          <w14:ligatures w14:val="none"/>
        </w:rPr>
        <w:t xml:space="preserve"> </w:t>
      </w:r>
    </w:p>
    <w:p w:rsidR="00A12178" w:rsidP="00A12178" w:rsidRDefault="00A12178" w14:paraId="02304068" w14:textId="77777777">
      <w:pPr>
        <w:spacing w:after="0" w:line="240" w:lineRule="auto"/>
        <w:rPr>
          <w:rFonts w:ascii="Palatino Linotype" w:hAnsi="Palatino Linotype" w:eastAsia="Palatino Linotype" w:cs="Times New Roman"/>
          <w:kern w:val="0"/>
          <w14:ligatures w14:val="none"/>
        </w:rPr>
      </w:pPr>
    </w:p>
    <w:p w:rsidRPr="004569CF" w:rsidR="00271057" w:rsidP="004569CF" w:rsidRDefault="00360A81" w14:paraId="1978F239" w14:textId="518C875B">
      <w:pPr>
        <w:pStyle w:val="Heading2"/>
        <w:rPr>
          <w:rFonts w:ascii="Palatino Linotype" w:hAnsi="Palatino Linotype"/>
          <w:b/>
          <w:bCs/>
          <w:color w:val="auto"/>
          <w:sz w:val="28"/>
          <w:szCs w:val="28"/>
        </w:rPr>
      </w:pPr>
      <w:r>
        <w:rPr>
          <w:rFonts w:ascii="Palatino Linotype" w:hAnsi="Palatino Linotype"/>
          <w:b/>
          <w:bCs/>
          <w:color w:val="auto"/>
          <w:sz w:val="28"/>
          <w:szCs w:val="28"/>
        </w:rPr>
        <w:t xml:space="preserve">The Use and </w:t>
      </w:r>
      <w:r w:rsidR="00091CFE">
        <w:rPr>
          <w:rFonts w:ascii="Palatino Linotype" w:hAnsi="Palatino Linotype"/>
          <w:b/>
          <w:bCs/>
          <w:color w:val="auto"/>
          <w:sz w:val="28"/>
          <w:szCs w:val="28"/>
        </w:rPr>
        <w:t>Treatment</w:t>
      </w:r>
      <w:r w:rsidR="007C60DF">
        <w:rPr>
          <w:rFonts w:ascii="Palatino Linotype" w:hAnsi="Palatino Linotype"/>
          <w:b/>
          <w:bCs/>
          <w:color w:val="auto"/>
          <w:sz w:val="28"/>
          <w:szCs w:val="28"/>
        </w:rPr>
        <w:t xml:space="preserve"> of </w:t>
      </w:r>
      <w:r w:rsidR="000A6B97">
        <w:rPr>
          <w:rFonts w:ascii="Palatino Linotype" w:hAnsi="Palatino Linotype"/>
          <w:b/>
          <w:bCs/>
          <w:color w:val="auto"/>
          <w:sz w:val="28"/>
          <w:szCs w:val="28"/>
        </w:rPr>
        <w:t>State Policies, Regulatory Compliance, and Local Plans</w:t>
      </w:r>
    </w:p>
    <w:p w:rsidR="00495229" w:rsidP="00A12178" w:rsidRDefault="00495229" w14:paraId="48CE091E" w14:textId="70D16347">
      <w:pPr>
        <w:spacing w:after="0" w:line="240" w:lineRule="auto"/>
        <w:rPr>
          <w:rFonts w:ascii="Palatino Linotype" w:hAnsi="Palatino Linotype" w:eastAsia="Palatino Linotype" w:cs="Times New Roman"/>
          <w:kern w:val="0"/>
          <w14:ligatures w14:val="none"/>
        </w:rPr>
      </w:pPr>
      <w:proofErr w:type="spellStart"/>
      <w:r>
        <w:rPr>
          <w:rFonts w:ascii="Palatino Linotype" w:hAnsi="Palatino Linotype" w:eastAsia="Palatino Linotype" w:cs="Times New Roman"/>
          <w:kern w:val="0"/>
          <w14:ligatures w14:val="none"/>
        </w:rPr>
        <w:t>CalAdvocates</w:t>
      </w:r>
      <w:proofErr w:type="spellEnd"/>
      <w:r>
        <w:rPr>
          <w:rFonts w:ascii="Palatino Linotype" w:hAnsi="Palatino Linotype" w:eastAsia="Palatino Linotype" w:cs="Times New Roman"/>
          <w:kern w:val="0"/>
          <w14:ligatures w14:val="none"/>
        </w:rPr>
        <w:t xml:space="preserve"> request that the IOUs conduct workshops and submit a joint Tier 3 Advice Letter that requests the Commission approval of a method of how they will integrate the IEPR with pending loads. This formal approach appears unnecessary and burdensome </w:t>
      </w:r>
      <w:r w:rsidR="00E866ED">
        <w:rPr>
          <w:rFonts w:ascii="Palatino Linotype" w:hAnsi="Palatino Linotype" w:eastAsia="Palatino Linotype" w:cs="Times New Roman"/>
          <w:kern w:val="0"/>
          <w14:ligatures w14:val="none"/>
        </w:rPr>
        <w:t>as</w:t>
      </w:r>
      <w:r>
        <w:rPr>
          <w:rFonts w:ascii="Palatino Linotype" w:hAnsi="Palatino Linotype" w:eastAsia="Palatino Linotype" w:cs="Times New Roman"/>
          <w:kern w:val="0"/>
          <w14:ligatures w14:val="none"/>
        </w:rPr>
        <w:t xml:space="preserve"> it could potentially delay the annual DPP. </w:t>
      </w:r>
      <w:r w:rsidR="00E866ED">
        <w:rPr>
          <w:rFonts w:ascii="Palatino Linotype" w:hAnsi="Palatino Linotype" w:eastAsia="Palatino Linotype" w:cs="Times New Roman"/>
          <w:kern w:val="0"/>
          <w14:ligatures w14:val="none"/>
        </w:rPr>
        <w:t>Furthermore</w:t>
      </w:r>
      <w:r w:rsidR="00CC2D0F">
        <w:rPr>
          <w:rFonts w:ascii="Palatino Linotype" w:hAnsi="Palatino Linotype" w:eastAsia="Palatino Linotype" w:cs="Times New Roman"/>
          <w:kern w:val="0"/>
          <w14:ligatures w14:val="none"/>
        </w:rPr>
        <w:t xml:space="preserve">, </w:t>
      </w:r>
      <w:r w:rsidR="006702CD">
        <w:rPr>
          <w:rFonts w:ascii="Palatino Linotype" w:hAnsi="Palatino Linotype" w:eastAsia="Palatino Linotype" w:cs="Times New Roman"/>
          <w:kern w:val="0"/>
          <w14:ligatures w14:val="none"/>
        </w:rPr>
        <w:t xml:space="preserve">the IOUs are already required to </w:t>
      </w:r>
      <w:r w:rsidR="0095138D">
        <w:rPr>
          <w:rFonts w:ascii="Palatino Linotype" w:hAnsi="Palatino Linotype" w:eastAsia="Palatino Linotype" w:cs="Times New Roman"/>
          <w:kern w:val="0"/>
          <w14:ligatures w14:val="none"/>
        </w:rPr>
        <w:t>submit</w:t>
      </w:r>
      <w:r w:rsidR="00CC2D0F">
        <w:rPr>
          <w:rFonts w:ascii="Palatino Linotype" w:hAnsi="Palatino Linotype" w:eastAsia="Palatino Linotype" w:cs="Times New Roman"/>
          <w:kern w:val="0"/>
          <w14:ligatures w14:val="none"/>
        </w:rPr>
        <w:t xml:space="preserve"> a Tier 3 A</w:t>
      </w:r>
      <w:r w:rsidR="00430526">
        <w:rPr>
          <w:rFonts w:ascii="Palatino Linotype" w:hAnsi="Palatino Linotype" w:eastAsia="Palatino Linotype" w:cs="Times New Roman"/>
          <w:kern w:val="0"/>
          <w14:ligatures w14:val="none"/>
        </w:rPr>
        <w:t xml:space="preserve">dvice Letter </w:t>
      </w:r>
      <w:r w:rsidR="0095138D">
        <w:rPr>
          <w:rFonts w:ascii="Palatino Linotype" w:hAnsi="Palatino Linotype" w:eastAsia="Palatino Linotype" w:cs="Times New Roman"/>
          <w:kern w:val="0"/>
          <w14:ligatures w14:val="none"/>
        </w:rPr>
        <w:t>on</w:t>
      </w:r>
      <w:r w:rsidR="00430526">
        <w:rPr>
          <w:rFonts w:ascii="Palatino Linotype" w:hAnsi="Palatino Linotype" w:eastAsia="Palatino Linotype" w:cs="Times New Roman"/>
          <w:kern w:val="0"/>
          <w14:ligatures w14:val="none"/>
        </w:rPr>
        <w:t xml:space="preserve"> IEPR caps in </w:t>
      </w:r>
      <w:r w:rsidR="000A3E18">
        <w:rPr>
          <w:rFonts w:ascii="Palatino Linotype" w:hAnsi="Palatino Linotype" w:eastAsia="Palatino Linotype" w:cs="Times New Roman"/>
          <w:kern w:val="0"/>
          <w14:ligatures w14:val="none"/>
        </w:rPr>
        <w:t>February</w:t>
      </w:r>
      <w:r w:rsidR="00430526">
        <w:rPr>
          <w:rFonts w:ascii="Palatino Linotype" w:hAnsi="Palatino Linotype" w:eastAsia="Palatino Linotype" w:cs="Times New Roman"/>
          <w:kern w:val="0"/>
          <w14:ligatures w14:val="none"/>
        </w:rPr>
        <w:t xml:space="preserve"> 2026. </w:t>
      </w:r>
    </w:p>
    <w:p w:rsidR="00C25BB2" w:rsidP="00A12178" w:rsidRDefault="00C25BB2" w14:paraId="1B9D8269" w14:textId="77777777">
      <w:pPr>
        <w:spacing w:after="0" w:line="240" w:lineRule="auto"/>
        <w:rPr>
          <w:rFonts w:ascii="Palatino Linotype" w:hAnsi="Palatino Linotype" w:eastAsia="Palatino Linotype" w:cs="Times New Roman"/>
          <w:kern w:val="0"/>
          <w14:ligatures w14:val="none"/>
        </w:rPr>
      </w:pPr>
    </w:p>
    <w:p w:rsidR="00C25BB2" w:rsidP="00A12178" w:rsidRDefault="00C25BB2" w14:paraId="04F521A6" w14:textId="39C64B25">
      <w:pPr>
        <w:spacing w:after="0" w:line="240" w:lineRule="auto"/>
        <w:rPr>
          <w:rFonts w:ascii="Palatino Linotype" w:hAnsi="Palatino Linotype" w:eastAsia="Palatino Linotype" w:cs="Times New Roman"/>
          <w:kern w:val="0"/>
          <w14:ligatures w14:val="none"/>
        </w:rPr>
      </w:pPr>
      <w:r w:rsidRPr="471A3326">
        <w:rPr>
          <w:rFonts w:ascii="Palatino Linotype" w:hAnsi="Palatino Linotype" w:eastAsia="Palatino Linotype" w:cs="Times New Roman"/>
        </w:rPr>
        <w:t>NRDC recommend</w:t>
      </w:r>
      <w:r w:rsidRPr="471A3326" w:rsidR="00F42B84">
        <w:rPr>
          <w:rFonts w:ascii="Palatino Linotype" w:hAnsi="Palatino Linotype" w:eastAsia="Palatino Linotype" w:cs="Times New Roman"/>
        </w:rPr>
        <w:t xml:space="preserve">s for the utilities to report how state policies, regulatory compliance obligations, and local plans were incorporated into each study to derive Category B2 and Category C pending loads. They also requested the utilities to standardized reporting, including data sources, methodologies, assumptions, and hot-spot mapping for Energy Division review. </w:t>
      </w:r>
      <w:r w:rsidRPr="0980C0B8" w:rsidR="00F42B84">
        <w:rPr>
          <w:rFonts w:ascii="Palatino Linotype" w:hAnsi="Palatino Linotype" w:eastAsia="Palatino Linotype" w:cs="Times New Roman"/>
        </w:rPr>
        <w:t>The</w:t>
      </w:r>
      <w:r w:rsidRPr="471A3326" w:rsidR="00F42B84">
        <w:rPr>
          <w:rFonts w:ascii="Palatino Linotype" w:hAnsi="Palatino Linotype" w:eastAsia="Palatino Linotype" w:cs="Times New Roman"/>
        </w:rPr>
        <w:t xml:space="preserve"> </w:t>
      </w:r>
      <w:r w:rsidRPr="471A3326" w:rsidR="00B5107E">
        <w:rPr>
          <w:rFonts w:ascii="Palatino Linotype" w:hAnsi="Palatino Linotype" w:eastAsia="Palatino Linotype" w:cs="Times New Roman"/>
        </w:rPr>
        <w:t xml:space="preserve">Resolution already states that state policy will not be included in identifying pending loads in hot spots because there is no direct method to incorporate them into distribution planning and the IEPR already reflects state policy. Thus, we </w:t>
      </w:r>
      <w:r w:rsidRPr="471A3326" w:rsidR="00017271">
        <w:rPr>
          <w:rFonts w:ascii="Palatino Linotype" w:hAnsi="Palatino Linotype" w:eastAsia="Palatino Linotype" w:cs="Times New Roman"/>
        </w:rPr>
        <w:t>decline</w:t>
      </w:r>
      <w:r w:rsidRPr="471A3326" w:rsidR="00B5107E">
        <w:rPr>
          <w:rFonts w:ascii="Palatino Linotype" w:hAnsi="Palatino Linotype" w:eastAsia="Palatino Linotype" w:cs="Times New Roman"/>
        </w:rPr>
        <w:t xml:space="preserve"> this recommendation. </w:t>
      </w:r>
    </w:p>
    <w:p w:rsidR="00BE326B" w:rsidP="00A12178" w:rsidRDefault="00BE326B" w14:paraId="1D32209A" w14:textId="77777777">
      <w:pPr>
        <w:spacing w:after="0" w:line="240" w:lineRule="auto"/>
        <w:rPr>
          <w:rFonts w:ascii="Palatino Linotype" w:hAnsi="Palatino Linotype" w:eastAsia="Palatino Linotype" w:cs="Times New Roman"/>
          <w:kern w:val="0"/>
          <w14:ligatures w14:val="none"/>
        </w:rPr>
      </w:pPr>
    </w:p>
    <w:p w:rsidR="003D6601" w:rsidP="00A12178" w:rsidRDefault="003D6601" w14:paraId="5B0B2301" w14:textId="77777777">
      <w:pPr>
        <w:spacing w:after="0" w:line="240" w:lineRule="auto"/>
        <w:rPr>
          <w:rFonts w:ascii="Palatino Linotype" w:hAnsi="Palatino Linotype" w:eastAsia="Palatino Linotype" w:cs="Times New Roman"/>
          <w:kern w:val="0"/>
          <w14:ligatures w14:val="none"/>
        </w:rPr>
      </w:pPr>
    </w:p>
    <w:p w:rsidR="4A3BDD87" w:rsidP="00E84751" w:rsidRDefault="00A76F4A" w14:paraId="2DA1B0F4" w14:textId="38110B5B">
      <w:pPr>
        <w:keepNext/>
        <w:spacing w:after="0" w:line="240" w:lineRule="auto"/>
        <w:rPr>
          <w:rFonts w:ascii="Palatino Linotype" w:hAnsi="Palatino Linotype" w:eastAsia="Palatino Linotype" w:cs="Times New Roman"/>
          <w:b/>
          <w:bCs/>
          <w:caps/>
          <w:kern w:val="28"/>
          <w:u w:val="single"/>
          <w14:ligatures w14:val="none"/>
        </w:rPr>
      </w:pPr>
      <w:r w:rsidRPr="00DD2C68">
        <w:rPr>
          <w:rFonts w:ascii="Palatino Linotype" w:hAnsi="Palatino Linotype" w:eastAsia="Palatino Linotype" w:cs="Times New Roman"/>
          <w:b/>
          <w:bCs/>
          <w:caps/>
          <w:kern w:val="28"/>
          <w:u w:val="single"/>
          <w14:ligatures w14:val="none"/>
        </w:rPr>
        <w:lastRenderedPageBreak/>
        <w:t>Findings AND CONCLUSION</w:t>
      </w:r>
    </w:p>
    <w:p w:rsidRPr="00DD2C68" w:rsidR="00E84751" w:rsidP="00E84751" w:rsidRDefault="00E84751" w14:paraId="453549BC" w14:textId="77777777">
      <w:pPr>
        <w:keepNext/>
        <w:spacing w:after="0" w:line="240" w:lineRule="auto"/>
        <w:rPr>
          <w:rFonts w:ascii="Palatino Linotype" w:hAnsi="Palatino Linotype" w:eastAsia="Palatino Linotype" w:cs="Times New Roman"/>
          <w:b/>
          <w:caps/>
          <w:kern w:val="28"/>
          <w:u w:val="single"/>
          <w14:ligatures w14:val="none"/>
        </w:rPr>
      </w:pPr>
    </w:p>
    <w:p w:rsidRPr="00DD2C68" w:rsidR="00A76F4A" w:rsidP="00E84751" w:rsidRDefault="385480A2" w14:paraId="75300465" w14:textId="3F376DB6">
      <w:pPr>
        <w:keepNext/>
        <w:numPr>
          <w:ilvl w:val="0"/>
          <w:numId w:val="1"/>
        </w:numPr>
        <w:spacing w:after="0" w:line="240" w:lineRule="auto"/>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 xml:space="preserve">Decision </w:t>
      </w:r>
      <w:r w:rsidRPr="00DD2C68" w:rsidR="0025293C">
        <w:rPr>
          <w:rFonts w:ascii="Palatino Linotype" w:hAnsi="Palatino Linotype" w:eastAsia="Palatino Linotype" w:cs="Times New Roman"/>
          <w:kern w:val="0"/>
          <w14:ligatures w14:val="none"/>
        </w:rPr>
        <w:t>(</w:t>
      </w:r>
      <w:r w:rsidRPr="00DD2C68">
        <w:rPr>
          <w:rFonts w:ascii="Palatino Linotype" w:hAnsi="Palatino Linotype" w:eastAsia="Palatino Linotype" w:cs="Times New Roman"/>
          <w:kern w:val="0"/>
          <w14:ligatures w14:val="none"/>
        </w:rPr>
        <w:t>D.</w:t>
      </w:r>
      <w:r w:rsidRPr="00DD2C68" w:rsidR="0025293C">
        <w:rPr>
          <w:rFonts w:ascii="Palatino Linotype" w:hAnsi="Palatino Linotype" w:eastAsia="Palatino Linotype" w:cs="Times New Roman"/>
          <w:kern w:val="0"/>
          <w14:ligatures w14:val="none"/>
        </w:rPr>
        <w:t>)</w:t>
      </w:r>
      <w:r w:rsidRPr="00DD2C68">
        <w:rPr>
          <w:rFonts w:ascii="Palatino Linotype" w:hAnsi="Palatino Linotype" w:eastAsia="Palatino Linotype" w:cs="Times New Roman"/>
          <w:kern w:val="0"/>
          <w14:ligatures w14:val="none"/>
        </w:rPr>
        <w:t>24-10-030</w:t>
      </w:r>
      <w:r w:rsidRPr="00DD2C68" w:rsidR="00A76F4A">
        <w:rPr>
          <w:rFonts w:ascii="Palatino Linotype" w:hAnsi="Palatino Linotype" w:eastAsia="Palatino Linotype" w:cs="Times New Roman"/>
          <w:kern w:val="0"/>
          <w14:ligatures w14:val="none"/>
        </w:rPr>
        <w:t xml:space="preserve"> directed </w:t>
      </w:r>
      <w:r w:rsidRPr="00DD2C68" w:rsidR="0FB86D98">
        <w:rPr>
          <w:rFonts w:ascii="Palatino Linotype" w:hAnsi="Palatino Linotype" w:eastAsia="Palatino Linotype" w:cs="Times New Roman"/>
          <w:kern w:val="0"/>
          <w14:ligatures w14:val="none"/>
        </w:rPr>
        <w:t>Pacific Gas and Electric</w:t>
      </w:r>
      <w:r w:rsidRPr="00DD2C68" w:rsidR="00AF302B">
        <w:rPr>
          <w:rFonts w:ascii="Palatino Linotype" w:hAnsi="Palatino Linotype" w:eastAsia="Palatino Linotype" w:cs="Times New Roman"/>
          <w:kern w:val="0"/>
          <w14:ligatures w14:val="none"/>
        </w:rPr>
        <w:t xml:space="preserve"> (PG&amp;E)</w:t>
      </w:r>
      <w:r w:rsidRPr="00DD2C68" w:rsidR="0FB86D98">
        <w:rPr>
          <w:rFonts w:ascii="Palatino Linotype" w:hAnsi="Palatino Linotype" w:eastAsia="Palatino Linotype" w:cs="Times New Roman"/>
          <w:kern w:val="0"/>
          <w14:ligatures w14:val="none"/>
        </w:rPr>
        <w:t>, Souther</w:t>
      </w:r>
      <w:r w:rsidRPr="00DD2C68" w:rsidR="0041446D">
        <w:rPr>
          <w:rFonts w:ascii="Palatino Linotype" w:hAnsi="Palatino Linotype" w:eastAsia="Palatino Linotype" w:cs="Times New Roman"/>
          <w:kern w:val="0"/>
          <w14:ligatures w14:val="none"/>
        </w:rPr>
        <w:t>n</w:t>
      </w:r>
      <w:r w:rsidRPr="00DD2C68" w:rsidR="0FB86D98">
        <w:rPr>
          <w:rFonts w:ascii="Palatino Linotype" w:hAnsi="Palatino Linotype" w:eastAsia="Palatino Linotype" w:cs="Times New Roman"/>
          <w:kern w:val="0"/>
          <w14:ligatures w14:val="none"/>
        </w:rPr>
        <w:t xml:space="preserve"> California Edison</w:t>
      </w:r>
      <w:r w:rsidRPr="00DD2C68" w:rsidR="00AF302B">
        <w:rPr>
          <w:rFonts w:ascii="Palatino Linotype" w:hAnsi="Palatino Linotype" w:eastAsia="Palatino Linotype" w:cs="Times New Roman"/>
          <w:kern w:val="0"/>
          <w14:ligatures w14:val="none"/>
        </w:rPr>
        <w:t xml:space="preserve"> (SCE)</w:t>
      </w:r>
      <w:r w:rsidRPr="00DD2C68" w:rsidR="0FB86D98">
        <w:rPr>
          <w:rFonts w:ascii="Palatino Linotype" w:hAnsi="Palatino Linotype" w:eastAsia="Palatino Linotype" w:cs="Times New Roman"/>
          <w:kern w:val="0"/>
          <w14:ligatures w14:val="none"/>
        </w:rPr>
        <w:t>, and San Diego Gas and Electric</w:t>
      </w:r>
      <w:r w:rsidRPr="00DD2C68" w:rsidR="00AF302B">
        <w:rPr>
          <w:rFonts w:ascii="Palatino Linotype" w:hAnsi="Palatino Linotype" w:eastAsia="Palatino Linotype" w:cs="Times New Roman"/>
          <w:kern w:val="0"/>
          <w14:ligatures w14:val="none"/>
        </w:rPr>
        <w:t xml:space="preserve"> (SDG&amp;E)</w:t>
      </w:r>
      <w:r w:rsidRPr="00DD2C68" w:rsidR="0FB86D98">
        <w:rPr>
          <w:rFonts w:ascii="Palatino Linotype" w:hAnsi="Palatino Linotype" w:eastAsia="Palatino Linotype" w:cs="Times New Roman"/>
          <w:kern w:val="0"/>
          <w14:ligatures w14:val="none"/>
        </w:rPr>
        <w:t xml:space="preserve">, </w:t>
      </w:r>
      <w:r w:rsidRPr="00DD2C68" w:rsidR="00A76F4A">
        <w:rPr>
          <w:rFonts w:ascii="Palatino Linotype" w:hAnsi="Palatino Linotype" w:eastAsia="Palatino Linotype" w:cs="Times New Roman"/>
          <w:kern w:val="0"/>
          <w14:ligatures w14:val="none"/>
        </w:rPr>
        <w:t>to file a</w:t>
      </w:r>
      <w:r w:rsidRPr="00DD2C68" w:rsidR="0041446D">
        <w:rPr>
          <w:rFonts w:ascii="Palatino Linotype" w:hAnsi="Palatino Linotype" w:eastAsia="Palatino Linotype" w:cs="Times New Roman"/>
          <w:kern w:val="0"/>
          <w14:ligatures w14:val="none"/>
        </w:rPr>
        <w:t xml:space="preserve"> joint </w:t>
      </w:r>
      <w:r w:rsidRPr="00DD2C68" w:rsidR="00A76F4A">
        <w:rPr>
          <w:rFonts w:ascii="Palatino Linotype" w:hAnsi="Palatino Linotype" w:eastAsia="Palatino Linotype" w:cs="Times New Roman"/>
          <w:kern w:val="0"/>
          <w14:ligatures w14:val="none"/>
        </w:rPr>
        <w:t xml:space="preserve">Advice Letter to </w:t>
      </w:r>
      <w:r w:rsidRPr="00DD2C68" w:rsidR="6FF743A5">
        <w:rPr>
          <w:rFonts w:ascii="Palatino Linotype" w:hAnsi="Palatino Linotype" w:eastAsia="Palatino Linotype" w:cs="Times New Roman"/>
        </w:rPr>
        <w:t xml:space="preserve">propose </w:t>
      </w:r>
      <w:r w:rsidRPr="00DD2C68" w:rsidR="00C06E89">
        <w:rPr>
          <w:rFonts w:ascii="Palatino Linotype" w:hAnsi="Palatino Linotype" w:eastAsia="Palatino Linotype" w:cs="Times New Roman"/>
        </w:rPr>
        <w:t>a</w:t>
      </w:r>
      <w:r w:rsidRPr="00DD2C68" w:rsidR="6FF743A5">
        <w:rPr>
          <w:rFonts w:ascii="Palatino Linotype" w:hAnsi="Palatino Linotype" w:eastAsia="Palatino Linotype" w:cs="Times New Roman"/>
        </w:rPr>
        <w:t xml:space="preserve"> method for developing </w:t>
      </w:r>
      <w:r w:rsidRPr="00DD2C68" w:rsidR="003B4988">
        <w:rPr>
          <w:rFonts w:ascii="Palatino Linotype" w:hAnsi="Palatino Linotype" w:eastAsia="Palatino Linotype" w:cs="Times New Roman"/>
        </w:rPr>
        <w:t>a</w:t>
      </w:r>
      <w:r w:rsidRPr="00DD2C68" w:rsidR="6FF743A5">
        <w:rPr>
          <w:rFonts w:ascii="Palatino Linotype" w:hAnsi="Palatino Linotype" w:eastAsia="Palatino Linotype" w:cs="Times New Roman"/>
        </w:rPr>
        <w:t xml:space="preserve"> pending loads category and incorporating the category into the </w:t>
      </w:r>
      <w:r w:rsidRPr="00DD2C68" w:rsidR="00AF302B">
        <w:rPr>
          <w:rFonts w:ascii="Palatino Linotype" w:hAnsi="Palatino Linotype" w:eastAsia="Palatino Linotype" w:cs="Times New Roman"/>
        </w:rPr>
        <w:t>d</w:t>
      </w:r>
      <w:r w:rsidRPr="00DD2C68" w:rsidR="6FF743A5">
        <w:rPr>
          <w:rFonts w:ascii="Palatino Linotype" w:hAnsi="Palatino Linotype" w:eastAsia="Palatino Linotype" w:cs="Times New Roman"/>
        </w:rPr>
        <w:t xml:space="preserve">istribution </w:t>
      </w:r>
      <w:r w:rsidRPr="00DD2C68" w:rsidR="00AF302B">
        <w:rPr>
          <w:rFonts w:ascii="Palatino Linotype" w:hAnsi="Palatino Linotype" w:eastAsia="Palatino Linotype" w:cs="Times New Roman"/>
        </w:rPr>
        <w:t>pl</w:t>
      </w:r>
      <w:r w:rsidRPr="00DD2C68" w:rsidR="6FF743A5">
        <w:rPr>
          <w:rFonts w:ascii="Palatino Linotype" w:hAnsi="Palatino Linotype" w:eastAsia="Palatino Linotype" w:cs="Times New Roman"/>
        </w:rPr>
        <w:t xml:space="preserve">anning </w:t>
      </w:r>
      <w:r w:rsidRPr="00DD2C68" w:rsidR="00AF302B">
        <w:rPr>
          <w:rFonts w:ascii="Palatino Linotype" w:hAnsi="Palatino Linotype" w:eastAsia="Palatino Linotype" w:cs="Times New Roman"/>
        </w:rPr>
        <w:t>p</w:t>
      </w:r>
      <w:r w:rsidRPr="00DD2C68" w:rsidR="6FF743A5">
        <w:rPr>
          <w:rFonts w:ascii="Palatino Linotype" w:hAnsi="Palatino Linotype" w:eastAsia="Palatino Linotype" w:cs="Times New Roman"/>
        </w:rPr>
        <w:t>rocess, define the types of information considered in the pending loads category and the general criteria applied to each category, and discuss the risk of pending loads that do not materialize and how to mitigate the risk</w:t>
      </w:r>
      <w:r w:rsidRPr="00DD2C68" w:rsidR="5EB2F07D">
        <w:rPr>
          <w:rFonts w:ascii="Palatino Linotype" w:hAnsi="Palatino Linotype" w:eastAsia="Palatino Linotype" w:cs="Times New Roman"/>
        </w:rPr>
        <w:t>.</w:t>
      </w:r>
    </w:p>
    <w:p w:rsidRPr="00DD2C68" w:rsidR="57F8FD9E" w:rsidP="007A761B" w:rsidRDefault="57F8FD9E" w14:paraId="2E5481D8" w14:textId="3BBB4307">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 xml:space="preserve">On June </w:t>
      </w:r>
      <w:r w:rsidRPr="00DD2C68" w:rsidR="0041446D">
        <w:rPr>
          <w:rFonts w:ascii="Palatino Linotype" w:hAnsi="Palatino Linotype" w:eastAsia="Palatino Linotype" w:cs="Times New Roman"/>
        </w:rPr>
        <w:t>27</w:t>
      </w:r>
      <w:r w:rsidRPr="00DD2C68">
        <w:rPr>
          <w:rFonts w:ascii="Palatino Linotype" w:hAnsi="Palatino Linotype" w:eastAsia="Palatino Linotype" w:cs="Times New Roman"/>
        </w:rPr>
        <w:t xml:space="preserve">, 2025, the </w:t>
      </w:r>
      <w:r w:rsidRPr="22A50854" w:rsidR="77949818">
        <w:rPr>
          <w:rFonts w:ascii="Palatino Linotype" w:hAnsi="Palatino Linotype" w:eastAsia="Palatino Linotype" w:cs="Times New Roman"/>
        </w:rPr>
        <w:t>J</w:t>
      </w:r>
      <w:r w:rsidRPr="22A50854">
        <w:rPr>
          <w:rFonts w:ascii="Palatino Linotype" w:hAnsi="Palatino Linotype" w:eastAsia="Palatino Linotype" w:cs="Times New Roman"/>
        </w:rPr>
        <w:t xml:space="preserve">oint </w:t>
      </w:r>
      <w:r w:rsidRPr="22A50854" w:rsidR="2992D80D">
        <w:rPr>
          <w:rFonts w:ascii="Palatino Linotype" w:hAnsi="Palatino Linotype" w:eastAsia="Palatino Linotype" w:cs="Times New Roman"/>
        </w:rPr>
        <w:t>U</w:t>
      </w:r>
      <w:r w:rsidRPr="00DD2C68">
        <w:rPr>
          <w:rFonts w:ascii="Palatino Linotype" w:hAnsi="Palatino Linotype" w:eastAsia="Palatino Linotype" w:cs="Times New Roman"/>
        </w:rPr>
        <w:t xml:space="preserve">tilities filed their proposals to implement and use a pending loads category in the distribution planning process beginning in the </w:t>
      </w:r>
      <w:r w:rsidR="00E96194">
        <w:br/>
      </w:r>
      <w:r w:rsidRPr="00DD2C68">
        <w:rPr>
          <w:rFonts w:ascii="Palatino Linotype" w:hAnsi="Palatino Linotype" w:eastAsia="Palatino Linotype" w:cs="Times New Roman"/>
        </w:rPr>
        <w:t xml:space="preserve">2025-2026 distribution planning cycle. </w:t>
      </w:r>
    </w:p>
    <w:p w:rsidRPr="00DD2C68" w:rsidR="6BE03DA8" w:rsidP="007A761B" w:rsidRDefault="6BE03DA8" w14:paraId="7A604F47" w14:textId="7342F61E">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 xml:space="preserve">On </w:t>
      </w:r>
      <w:r w:rsidRPr="00DD2C68" w:rsidR="009A6CF5">
        <w:rPr>
          <w:rFonts w:ascii="Palatino Linotype" w:hAnsi="Palatino Linotype" w:eastAsia="Palatino Linotype" w:cs="Times New Roman"/>
        </w:rPr>
        <w:t>July 22,</w:t>
      </w:r>
      <w:r w:rsidRPr="00DD2C68" w:rsidR="0048452E">
        <w:rPr>
          <w:rFonts w:ascii="Palatino Linotype" w:hAnsi="Palatino Linotype" w:eastAsia="Palatino Linotype" w:cs="Times New Roman"/>
        </w:rPr>
        <w:t xml:space="preserve"> 2025,</w:t>
      </w:r>
      <w:r w:rsidRPr="00DD2C68">
        <w:rPr>
          <w:rFonts w:ascii="Palatino Linotype" w:hAnsi="Palatino Linotype" w:eastAsia="Palatino Linotype" w:cs="Times New Roman"/>
        </w:rPr>
        <w:t xml:space="preserve"> </w:t>
      </w:r>
      <w:r w:rsidRPr="00DD2C68" w:rsidR="008C18BD">
        <w:rPr>
          <w:rFonts w:ascii="Palatino Linotype" w:hAnsi="Palatino Linotype" w:eastAsia="Palatino Linotype" w:cs="Times New Roman"/>
        </w:rPr>
        <w:t xml:space="preserve">SCE AL 5567-E et al. </w:t>
      </w:r>
      <w:r w:rsidRPr="00DD2C68">
        <w:rPr>
          <w:rFonts w:ascii="Palatino Linotype" w:hAnsi="Palatino Linotype" w:eastAsia="Palatino Linotype" w:cs="Times New Roman"/>
        </w:rPr>
        <w:t xml:space="preserve">was timely protested by and was responded to </w:t>
      </w:r>
      <w:r w:rsidRPr="00DD2C68" w:rsidR="1EC98EBA">
        <w:rPr>
          <w:rFonts w:ascii="Palatino Linotype" w:hAnsi="Palatino Linotype" w:eastAsia="Palatino Linotype" w:cs="Times New Roman"/>
        </w:rPr>
        <w:t xml:space="preserve">by </w:t>
      </w:r>
      <w:r w:rsidRPr="00DD2C68" w:rsidR="007173E9">
        <w:rPr>
          <w:rFonts w:ascii="Palatino Linotype" w:hAnsi="Palatino Linotype" w:eastAsia="Times New Roman" w:cs="Times New Roman"/>
          <w:kern w:val="0"/>
          <w14:ligatures w14:val="none"/>
        </w:rPr>
        <w:t xml:space="preserve">CALSTART, </w:t>
      </w:r>
      <w:r w:rsidRPr="00DD2C68" w:rsidR="007173E9">
        <w:rPr>
          <w:rFonts w:ascii="Palatino Linotype" w:hAnsi="Palatino Linotype"/>
        </w:rPr>
        <w:t>The Public Advocates Office (Cal Advocates), California Community Choice Association (CalCCA), Environmental Defense Fund and National Resource Defense Council (EDF</w:t>
      </w:r>
      <w:r w:rsidRPr="00DD2C68" w:rsidR="00FE7355">
        <w:rPr>
          <w:rFonts w:ascii="Palatino Linotype" w:hAnsi="Palatino Linotype"/>
        </w:rPr>
        <w:t>/</w:t>
      </w:r>
      <w:r w:rsidRPr="00DD2C68" w:rsidR="007173E9">
        <w:rPr>
          <w:rFonts w:ascii="Palatino Linotype" w:hAnsi="Palatino Linotype"/>
        </w:rPr>
        <w:t xml:space="preserve">NRDC), and The Utility Reform Network (TURN).  </w:t>
      </w:r>
    </w:p>
    <w:p w:rsidRPr="00DD2C68" w:rsidR="00FE7355" w:rsidP="007A761B" w:rsidRDefault="6BE03DA8" w14:paraId="4650C73F" w14:textId="3B5EA6A9">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 xml:space="preserve">On </w:t>
      </w:r>
      <w:r w:rsidRPr="00DD2C68" w:rsidR="007173E9">
        <w:rPr>
          <w:rFonts w:ascii="Palatino Linotype" w:hAnsi="Palatino Linotype" w:eastAsia="Palatino Linotype" w:cs="Times New Roman"/>
        </w:rPr>
        <w:t xml:space="preserve">July </w:t>
      </w:r>
      <w:r w:rsidRPr="00DD2C68" w:rsidR="0048452E">
        <w:rPr>
          <w:rFonts w:ascii="Palatino Linotype" w:hAnsi="Palatino Linotype" w:eastAsia="Palatino Linotype" w:cs="Times New Roman"/>
        </w:rPr>
        <w:t>29, 2025</w:t>
      </w:r>
      <w:r w:rsidRPr="00DD2C68" w:rsidR="007173E9">
        <w:rPr>
          <w:rFonts w:ascii="Palatino Linotype" w:hAnsi="Palatino Linotype" w:eastAsia="Palatino Linotype" w:cs="Times New Roman"/>
        </w:rPr>
        <w:t>,</w:t>
      </w:r>
      <w:r w:rsidRPr="00DD2C68">
        <w:rPr>
          <w:rFonts w:ascii="Palatino Linotype" w:hAnsi="Palatino Linotype" w:eastAsia="Palatino Linotype" w:cs="Times New Roman"/>
        </w:rPr>
        <w:t xml:space="preserve"> </w:t>
      </w:r>
      <w:r w:rsidRPr="00DD2C68" w:rsidR="0048452E">
        <w:rPr>
          <w:rFonts w:ascii="Palatino Linotype" w:hAnsi="Palatino Linotype" w:eastAsia="Palatino Linotype" w:cs="Times New Roman"/>
        </w:rPr>
        <w:t>SCE, on behalf of SCE, PG&amp;E, and SDG&amp;E</w:t>
      </w:r>
      <w:r w:rsidRPr="00DD2C68">
        <w:rPr>
          <w:rFonts w:ascii="Palatino Linotype" w:hAnsi="Palatino Linotype" w:eastAsia="Palatino Linotype" w:cs="Times New Roman"/>
        </w:rPr>
        <w:t xml:space="preserve"> responded to the protests submitted b</w:t>
      </w:r>
      <w:r w:rsidRPr="00DD2C68" w:rsidR="0048452E">
        <w:rPr>
          <w:rFonts w:ascii="Palatino Linotype" w:hAnsi="Palatino Linotype" w:eastAsia="Palatino Linotype" w:cs="Times New Roman"/>
        </w:rPr>
        <w:t xml:space="preserve">y </w:t>
      </w:r>
      <w:r w:rsidRPr="00DD2C68" w:rsidR="0048452E">
        <w:rPr>
          <w:rFonts w:ascii="Palatino Linotype" w:hAnsi="Palatino Linotype" w:eastAsia="Times New Roman" w:cs="Times New Roman"/>
          <w:kern w:val="0"/>
          <w14:ligatures w14:val="none"/>
        </w:rPr>
        <w:t xml:space="preserve">CALSTART, </w:t>
      </w:r>
      <w:r w:rsidRPr="00DD2C68" w:rsidR="0048452E">
        <w:rPr>
          <w:rFonts w:ascii="Palatino Linotype" w:hAnsi="Palatino Linotype"/>
        </w:rPr>
        <w:t>Cal Advocates, CalCCA, EDF/NRD</w:t>
      </w:r>
      <w:r w:rsidRPr="00DD2C68" w:rsidR="00FE7355">
        <w:rPr>
          <w:rFonts w:ascii="Palatino Linotype" w:hAnsi="Palatino Linotype"/>
        </w:rPr>
        <w:t>C</w:t>
      </w:r>
      <w:r w:rsidRPr="00DD2C68" w:rsidR="0048452E">
        <w:rPr>
          <w:rFonts w:ascii="Palatino Linotype" w:hAnsi="Palatino Linotype"/>
        </w:rPr>
        <w:t>, and TURN</w:t>
      </w:r>
      <w:r w:rsidRPr="00DD2C68" w:rsidR="00FE7355">
        <w:rPr>
          <w:rFonts w:ascii="Palatino Linotype" w:hAnsi="Palatino Linotype"/>
        </w:rPr>
        <w:t xml:space="preserve"> </w:t>
      </w:r>
      <w:r w:rsidRPr="00DD2C68">
        <w:rPr>
          <w:rFonts w:ascii="Palatino Linotype" w:hAnsi="Palatino Linotype" w:eastAsia="Palatino Linotype" w:cs="Times New Roman"/>
        </w:rPr>
        <w:t xml:space="preserve">and the responses submitted by </w:t>
      </w:r>
      <w:r w:rsidRPr="00DD2C68" w:rsidR="00FE7355">
        <w:rPr>
          <w:rFonts w:ascii="Palatino Linotype" w:hAnsi="Palatino Linotype" w:eastAsia="Palatino Linotype" w:cs="Times New Roman"/>
        </w:rPr>
        <w:t>CALSTART.</w:t>
      </w:r>
    </w:p>
    <w:p w:rsidRPr="00DD2C68" w:rsidR="6173C856" w:rsidP="007A761B" w:rsidRDefault="6173C856" w14:paraId="715BC93F" w14:textId="1A072A0E">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 xml:space="preserve">It is reasonable to adopt the pending loads </w:t>
      </w:r>
      <w:r w:rsidRPr="00DD2C68" w:rsidR="009702AB">
        <w:rPr>
          <w:rFonts w:ascii="Palatino Linotype" w:hAnsi="Palatino Linotype" w:eastAsia="Palatino Linotype" w:cs="Times New Roman"/>
        </w:rPr>
        <w:t>categories (A, B1, B2, C)</w:t>
      </w:r>
      <w:r w:rsidRPr="00DD2C68">
        <w:rPr>
          <w:rFonts w:ascii="Palatino Linotype" w:hAnsi="Palatino Linotype" w:eastAsia="Palatino Linotype" w:cs="Times New Roman"/>
        </w:rPr>
        <w:t xml:space="preserve"> propos</w:t>
      </w:r>
      <w:r w:rsidRPr="00DD2C68" w:rsidR="009702AB">
        <w:rPr>
          <w:rFonts w:ascii="Palatino Linotype" w:hAnsi="Palatino Linotype" w:eastAsia="Palatino Linotype" w:cs="Times New Roman"/>
        </w:rPr>
        <w:t xml:space="preserve">ed </w:t>
      </w:r>
      <w:r w:rsidRPr="00DD2C68">
        <w:rPr>
          <w:rFonts w:ascii="Palatino Linotype" w:hAnsi="Palatino Linotype" w:eastAsia="Palatino Linotype" w:cs="Times New Roman"/>
        </w:rPr>
        <w:t xml:space="preserve">by </w:t>
      </w:r>
      <w:r w:rsidRPr="00DD2C68" w:rsidR="00BA04DA">
        <w:rPr>
          <w:rFonts w:ascii="Palatino Linotype" w:hAnsi="Palatino Linotype" w:eastAsia="Palatino Linotype" w:cs="Times New Roman"/>
        </w:rPr>
        <w:t>SCE</w:t>
      </w:r>
      <w:r w:rsidR="000C3204">
        <w:rPr>
          <w:rFonts w:ascii="Palatino Linotype" w:hAnsi="Palatino Linotype" w:eastAsia="Palatino Linotype" w:cs="Times New Roman"/>
        </w:rPr>
        <w:t xml:space="preserve"> and modified by this Resolution.</w:t>
      </w:r>
    </w:p>
    <w:p w:rsidRPr="00DD2C68" w:rsidR="00956633" w:rsidP="007A761B" w:rsidRDefault="00956633" w14:paraId="6E5CADA7" w14:textId="002089E0">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 xml:space="preserve">It is reasonable to require SDG&amp;E to </w:t>
      </w:r>
      <w:r w:rsidRPr="00DD2C68" w:rsidR="0015009C">
        <w:rPr>
          <w:rFonts w:ascii="Palatino Linotype" w:hAnsi="Palatino Linotype" w:eastAsia="Palatino Linotype" w:cs="Times New Roman"/>
        </w:rPr>
        <w:t>align its proposal more closely with PG&amp;E and SCE.</w:t>
      </w:r>
    </w:p>
    <w:p w:rsidRPr="00DD2C68" w:rsidR="00041B72" w:rsidP="007A761B" w:rsidRDefault="6173C856" w14:paraId="151E1EC6" w14:textId="746CDB67">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 xml:space="preserve">It is reasonable to </w:t>
      </w:r>
      <w:r w:rsidRPr="00DD2C68" w:rsidR="009B12AC">
        <w:rPr>
          <w:rFonts w:ascii="Palatino Linotype" w:hAnsi="Palatino Linotype" w:eastAsia="Palatino Linotype" w:cs="Times New Roman"/>
        </w:rPr>
        <w:t xml:space="preserve">require standardization of each utility’s </w:t>
      </w:r>
      <w:r w:rsidRPr="00DD2C68" w:rsidR="00C2516F">
        <w:rPr>
          <w:rFonts w:ascii="Palatino Linotype" w:hAnsi="Palatino Linotype" w:eastAsia="Palatino Linotype" w:cs="Times New Roman"/>
        </w:rPr>
        <w:t xml:space="preserve">pending loads proposal by applying the best aspects of each proposal to </w:t>
      </w:r>
      <w:r w:rsidRPr="00DD2C68" w:rsidR="00956633">
        <w:rPr>
          <w:rFonts w:ascii="Palatino Linotype" w:hAnsi="Palatino Linotype" w:eastAsia="Palatino Linotype" w:cs="Times New Roman"/>
        </w:rPr>
        <w:t>all utilities.</w:t>
      </w:r>
    </w:p>
    <w:p w:rsidRPr="00DD2C68" w:rsidR="00041B72" w:rsidP="007A761B" w:rsidRDefault="00041B72" w14:paraId="1479C37F" w14:textId="59958605">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rPr>
        <w:t>D.24-10-030 does not explicitly require the IOUs to submit a single unified framework proposal.</w:t>
      </w:r>
    </w:p>
    <w:p w:rsidRPr="004569CF" w:rsidR="00E91300" w:rsidP="007A761B" w:rsidRDefault="006258BF" w14:paraId="25398D3F" w14:textId="1B8B109B">
      <w:pPr>
        <w:numPr>
          <w:ilvl w:val="0"/>
          <w:numId w:val="1"/>
        </w:numPr>
        <w:spacing w:after="0" w:line="240" w:lineRule="auto"/>
        <w:rPr>
          <w:rFonts w:ascii="Palatino Linotype" w:hAnsi="Palatino Linotype" w:eastAsia="Palatino Linotype" w:cs="Times New Roman"/>
        </w:rPr>
      </w:pPr>
      <w:r w:rsidRPr="004569CF">
        <w:rPr>
          <w:rFonts w:ascii="Palatino Linotype" w:hAnsi="Palatino Linotype" w:eastAsia="Palatino Linotype" w:cs="Times New Roman"/>
        </w:rPr>
        <w:t xml:space="preserve">It is reasonable to </w:t>
      </w:r>
      <w:r w:rsidRPr="004569CF" w:rsidR="00E91300">
        <w:rPr>
          <w:rFonts w:ascii="Palatino Linotype" w:hAnsi="Palatino Linotype" w:eastAsia="Palatino Linotype" w:cs="Times New Roman"/>
        </w:rPr>
        <w:t xml:space="preserve">require the IOUs to </w:t>
      </w:r>
      <w:r w:rsidRPr="004569CF" w:rsidR="008472FF">
        <w:rPr>
          <w:rFonts w:ascii="Palatino Linotype" w:hAnsi="Palatino Linotype" w:eastAsia="Palatino Linotype" w:cs="Times New Roman"/>
        </w:rPr>
        <w:t xml:space="preserve">present their proposed </w:t>
      </w:r>
      <w:r w:rsidR="009113C6">
        <w:rPr>
          <w:rFonts w:ascii="Palatino Linotype" w:hAnsi="Palatino Linotype" w:eastAsia="Palatino Linotype" w:cs="Times New Roman"/>
        </w:rPr>
        <w:t>hot spot</w:t>
      </w:r>
      <w:r w:rsidR="00CF7120">
        <w:rPr>
          <w:rFonts w:ascii="Palatino Linotype" w:hAnsi="Palatino Linotype" w:eastAsia="Palatino Linotype" w:cs="Times New Roman"/>
        </w:rPr>
        <w:t xml:space="preserve"> </w:t>
      </w:r>
      <w:r w:rsidRPr="004569CF" w:rsidR="008472FF">
        <w:rPr>
          <w:rFonts w:ascii="Palatino Linotype" w:hAnsi="Palatino Linotype" w:eastAsia="Palatino Linotype" w:cs="Times New Roman"/>
        </w:rPr>
        <w:t xml:space="preserve">calculation methodology to </w:t>
      </w:r>
      <w:r w:rsidRPr="004569CF" w:rsidR="00DE52A3">
        <w:rPr>
          <w:rFonts w:ascii="Palatino Linotype" w:hAnsi="Palatino Linotype" w:eastAsia="Palatino Linotype" w:cs="Times New Roman"/>
        </w:rPr>
        <w:t xml:space="preserve">Energy Division for review prior to implementation to ensure consistent interpretation of the prescribed calculation, and then to </w:t>
      </w:r>
      <w:r w:rsidRPr="004569CF" w:rsidR="00BD0CB9">
        <w:rPr>
          <w:rFonts w:ascii="Palatino Linotype" w:hAnsi="Palatino Linotype" w:eastAsia="Palatino Linotype" w:cs="Times New Roman"/>
        </w:rPr>
        <w:t xml:space="preserve">present a preview of their approach at the </w:t>
      </w:r>
      <w:r w:rsidRPr="004569CF" w:rsidR="00C1163A">
        <w:rPr>
          <w:rFonts w:ascii="Palatino Linotype" w:hAnsi="Palatino Linotype" w:eastAsia="Palatino Linotype" w:cs="Times New Roman"/>
        </w:rPr>
        <w:t xml:space="preserve">Distribution </w:t>
      </w:r>
      <w:r w:rsidRPr="004569CF" w:rsidR="002328D5">
        <w:rPr>
          <w:rFonts w:ascii="Palatino Linotype" w:hAnsi="Palatino Linotype" w:eastAsia="Palatino Linotype" w:cs="Times New Roman"/>
        </w:rPr>
        <w:t xml:space="preserve">Forecasting Working Group. </w:t>
      </w:r>
    </w:p>
    <w:p w:rsidRPr="004569CF" w:rsidR="008A6387" w:rsidP="007A761B" w:rsidRDefault="008A6387" w14:paraId="1A547921" w14:textId="75AD2E48">
      <w:pPr>
        <w:numPr>
          <w:ilvl w:val="0"/>
          <w:numId w:val="1"/>
        </w:numPr>
        <w:spacing w:after="0" w:line="240" w:lineRule="auto"/>
        <w:rPr>
          <w:rFonts w:ascii="Palatino Linotype" w:hAnsi="Palatino Linotype" w:eastAsia="Palatino Linotype" w:cs="Times New Roman"/>
        </w:rPr>
      </w:pPr>
      <w:r>
        <w:rPr>
          <w:rFonts w:ascii="Palatino Linotype" w:hAnsi="Palatino Linotype" w:eastAsia="Palatino Linotype" w:cs="Times New Roman"/>
        </w:rPr>
        <w:t xml:space="preserve">It is reasonable </w:t>
      </w:r>
      <w:r w:rsidR="00313FA3">
        <w:rPr>
          <w:rFonts w:ascii="Palatino Linotype" w:hAnsi="Palatino Linotype" w:eastAsia="Palatino Linotype" w:cs="Times New Roman"/>
        </w:rPr>
        <w:t xml:space="preserve">to authorize the IOUs </w:t>
      </w:r>
      <w:r w:rsidR="001E775E">
        <w:rPr>
          <w:rFonts w:ascii="Palatino Linotype" w:hAnsi="Palatino Linotype" w:eastAsia="Palatino Linotype" w:cs="Times New Roman"/>
        </w:rPr>
        <w:t xml:space="preserve">to submit a Tier 2 Advice </w:t>
      </w:r>
      <w:r w:rsidR="00C27B97">
        <w:rPr>
          <w:rFonts w:ascii="Palatino Linotype" w:hAnsi="Palatino Linotype" w:eastAsia="Palatino Linotype" w:cs="Times New Roman"/>
        </w:rPr>
        <w:t xml:space="preserve">Letter </w:t>
      </w:r>
      <w:r w:rsidR="00E57E18">
        <w:rPr>
          <w:rFonts w:ascii="Palatino Linotype" w:hAnsi="Palatino Linotype" w:eastAsia="Palatino Linotype" w:cs="Times New Roman"/>
        </w:rPr>
        <w:t xml:space="preserve">if changes to the </w:t>
      </w:r>
      <w:r w:rsidR="008233CD">
        <w:rPr>
          <w:rFonts w:ascii="Palatino Linotype" w:hAnsi="Palatino Linotype" w:eastAsia="Palatino Linotype" w:cs="Times New Roman"/>
        </w:rPr>
        <w:t>h</w:t>
      </w:r>
      <w:r w:rsidR="00E57E18">
        <w:rPr>
          <w:rFonts w:ascii="Palatino Linotype" w:hAnsi="Palatino Linotype" w:eastAsia="Palatino Linotype" w:cs="Times New Roman"/>
        </w:rPr>
        <w:t xml:space="preserve">ot </w:t>
      </w:r>
      <w:proofErr w:type="spellStart"/>
      <w:r w:rsidR="008233CD">
        <w:rPr>
          <w:rFonts w:ascii="Palatino Linotype" w:hAnsi="Palatino Linotype" w:eastAsia="Palatino Linotype" w:cs="Times New Roman"/>
        </w:rPr>
        <w:t>p</w:t>
      </w:r>
      <w:r w:rsidR="00E57E18">
        <w:rPr>
          <w:rFonts w:ascii="Palatino Linotype" w:hAnsi="Palatino Linotype" w:eastAsia="Palatino Linotype" w:cs="Times New Roman"/>
        </w:rPr>
        <w:t>pot</w:t>
      </w:r>
      <w:proofErr w:type="spellEnd"/>
      <w:r w:rsidR="00E57E18">
        <w:rPr>
          <w:rFonts w:ascii="Palatino Linotype" w:hAnsi="Palatino Linotype" w:eastAsia="Palatino Linotype" w:cs="Times New Roman"/>
        </w:rPr>
        <w:t xml:space="preserve"> definition and formula for calculation of capacity constrained areas </w:t>
      </w:r>
      <w:r w:rsidR="00EC7184">
        <w:rPr>
          <w:rFonts w:ascii="Palatino Linotype" w:hAnsi="Palatino Linotype" w:eastAsia="Palatino Linotype" w:cs="Times New Roman"/>
        </w:rPr>
        <w:t>b</w:t>
      </w:r>
      <w:r w:rsidR="000E1718">
        <w:rPr>
          <w:rFonts w:ascii="Palatino Linotype" w:hAnsi="Palatino Linotype" w:eastAsia="Palatino Linotype" w:cs="Times New Roman"/>
        </w:rPr>
        <w:t xml:space="preserve">ecome </w:t>
      </w:r>
      <w:r w:rsidR="00EC7184">
        <w:rPr>
          <w:rFonts w:ascii="Palatino Linotype" w:hAnsi="Palatino Linotype" w:eastAsia="Palatino Linotype" w:cs="Times New Roman"/>
        </w:rPr>
        <w:t xml:space="preserve">necessary </w:t>
      </w:r>
      <w:r w:rsidR="00C36CD1">
        <w:rPr>
          <w:rFonts w:ascii="Palatino Linotype" w:hAnsi="Palatino Linotype" w:eastAsia="Palatino Linotype" w:cs="Times New Roman"/>
        </w:rPr>
        <w:t>before</w:t>
      </w:r>
      <w:r w:rsidR="00EC7184">
        <w:rPr>
          <w:rFonts w:ascii="Palatino Linotype" w:hAnsi="Palatino Linotype" w:eastAsia="Palatino Linotype" w:cs="Times New Roman"/>
        </w:rPr>
        <w:t xml:space="preserve"> the planned 2027 Pending Load Evaluation Workshop and Advi</w:t>
      </w:r>
      <w:r w:rsidR="001B3F28">
        <w:rPr>
          <w:rFonts w:ascii="Palatino Linotype" w:hAnsi="Palatino Linotype" w:eastAsia="Palatino Linotype" w:cs="Times New Roman"/>
        </w:rPr>
        <w:t>c</w:t>
      </w:r>
      <w:r w:rsidR="00EC7184">
        <w:rPr>
          <w:rFonts w:ascii="Palatino Linotype" w:hAnsi="Palatino Linotype" w:eastAsia="Palatino Linotype" w:cs="Times New Roman"/>
        </w:rPr>
        <w:t>e Letter.</w:t>
      </w:r>
    </w:p>
    <w:p w:rsidRPr="00DD2C68" w:rsidR="00041B72" w:rsidP="007A761B" w:rsidRDefault="00C30A3C" w14:paraId="76E7D2A1" w14:textId="32376741">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cs="Times New Roman"/>
        </w:rPr>
        <w:t>It is</w:t>
      </w:r>
      <w:r w:rsidRPr="00DD2C68" w:rsidR="006E74CC">
        <w:rPr>
          <w:rFonts w:ascii="Palatino Linotype" w:hAnsi="Palatino Linotype" w:cs="Times New Roman"/>
        </w:rPr>
        <w:t xml:space="preserve"> </w:t>
      </w:r>
      <w:r w:rsidRPr="00DD2C68" w:rsidR="273E0470">
        <w:rPr>
          <w:rFonts w:ascii="Palatino Linotype" w:hAnsi="Palatino Linotype" w:cs="Times New Roman"/>
        </w:rPr>
        <w:t xml:space="preserve">reasonable to restrict </w:t>
      </w:r>
      <w:r w:rsidRPr="00DD2C68" w:rsidR="006E74CC">
        <w:rPr>
          <w:rFonts w:ascii="Palatino Linotype" w:hAnsi="Palatino Linotype" w:cs="Times New Roman"/>
        </w:rPr>
        <w:t xml:space="preserve">pending loads based on studies </w:t>
      </w:r>
      <w:r w:rsidRPr="00DD2C68" w:rsidR="00000C96">
        <w:rPr>
          <w:rFonts w:ascii="Palatino Linotype" w:hAnsi="Palatino Linotype" w:cs="Times New Roman"/>
        </w:rPr>
        <w:t>not</w:t>
      </w:r>
      <w:r w:rsidRPr="00DD2C68" w:rsidR="006E74CC">
        <w:rPr>
          <w:rFonts w:ascii="Palatino Linotype" w:hAnsi="Palatino Linotype" w:cs="Times New Roman"/>
        </w:rPr>
        <w:t xml:space="preserve"> to exceed the IEPR.</w:t>
      </w:r>
    </w:p>
    <w:p w:rsidRPr="00DD2C68" w:rsidR="006E74CC" w:rsidP="007A761B" w:rsidRDefault="00C30A3C" w14:paraId="75D2488C" w14:textId="33800004">
      <w:pPr>
        <w:numPr>
          <w:ilvl w:val="0"/>
          <w:numId w:val="1"/>
        </w:numPr>
        <w:spacing w:after="0" w:line="240" w:lineRule="auto"/>
        <w:rPr>
          <w:rFonts w:ascii="Palatino Linotype" w:hAnsi="Palatino Linotype" w:eastAsia="Palatino Linotype" w:cs="Times New Roman"/>
        </w:rPr>
      </w:pPr>
      <w:r w:rsidRPr="00DD2C68">
        <w:rPr>
          <w:rFonts w:ascii="Palatino Linotype" w:hAnsi="Palatino Linotype" w:cs="Times New Roman"/>
        </w:rPr>
        <w:t>It is</w:t>
      </w:r>
      <w:r w:rsidRPr="00DD2C68" w:rsidR="00EF1DB8">
        <w:rPr>
          <w:rFonts w:ascii="Palatino Linotype" w:hAnsi="Palatino Linotype" w:cs="Times New Roman"/>
        </w:rPr>
        <w:t xml:space="preserve"> prudent to prohibit the use of studies in Category A and B1.</w:t>
      </w:r>
    </w:p>
    <w:p w:rsidRPr="00DD2C68" w:rsidR="00C30A3C" w:rsidP="007A761B" w:rsidRDefault="00C30A3C" w14:paraId="69F78E65" w14:textId="56091AE8">
      <w:pPr>
        <w:pStyle w:val="ListParagraph"/>
        <w:numPr>
          <w:ilvl w:val="0"/>
          <w:numId w:val="1"/>
        </w:numPr>
        <w:spacing w:line="259" w:lineRule="auto"/>
        <w:rPr>
          <w:rFonts w:ascii="Palatino Linotype" w:hAnsi="Palatino Linotype" w:cs="Times New Roman"/>
        </w:rPr>
      </w:pPr>
      <w:r w:rsidRPr="00DD2C68">
        <w:rPr>
          <w:rFonts w:ascii="Palatino Linotype" w:hAnsi="Palatino Linotype" w:cs="Times New Roman"/>
        </w:rPr>
        <w:lastRenderedPageBreak/>
        <w:t xml:space="preserve">The </w:t>
      </w:r>
      <w:r w:rsidRPr="00DD2C68" w:rsidR="00C41234">
        <w:rPr>
          <w:rFonts w:ascii="Palatino Linotype" w:hAnsi="Palatino Linotype" w:cs="Times New Roman"/>
        </w:rPr>
        <w:t>description of</w:t>
      </w:r>
      <w:r w:rsidRPr="00DD2C68" w:rsidR="00992061">
        <w:rPr>
          <w:rFonts w:ascii="Palatino Linotype" w:hAnsi="Palatino Linotype" w:cs="Times New Roman"/>
        </w:rPr>
        <w:t xml:space="preserve"> SCE’s </w:t>
      </w:r>
      <w:r w:rsidRPr="00DD2C68" w:rsidR="0011388A">
        <w:rPr>
          <w:rFonts w:ascii="Palatino Linotype" w:hAnsi="Palatino Linotype" w:cs="Times New Roman"/>
        </w:rPr>
        <w:t xml:space="preserve">discount factor </w:t>
      </w:r>
      <w:r w:rsidRPr="00DD2C68" w:rsidR="00B57D86">
        <w:rPr>
          <w:rFonts w:ascii="Palatino Linotype" w:hAnsi="Palatino Linotype" w:cs="Times New Roman"/>
        </w:rPr>
        <w:t xml:space="preserve">methodology </w:t>
      </w:r>
      <w:r w:rsidRPr="00DD2C68">
        <w:rPr>
          <w:rFonts w:ascii="Palatino Linotype" w:hAnsi="Palatino Linotype" w:cs="Times New Roman"/>
        </w:rPr>
        <w:t xml:space="preserve">lacks sufficient detail for assessing the certainty of pending loads and </w:t>
      </w:r>
      <w:r w:rsidRPr="00DD2C68" w:rsidR="00B57D86">
        <w:rPr>
          <w:rFonts w:ascii="Palatino Linotype" w:hAnsi="Palatino Linotype" w:cs="Times New Roman"/>
        </w:rPr>
        <w:t>third-party</w:t>
      </w:r>
      <w:r w:rsidRPr="00DD2C68">
        <w:rPr>
          <w:rFonts w:ascii="Palatino Linotype" w:hAnsi="Palatino Linotype" w:cs="Times New Roman"/>
        </w:rPr>
        <w:t xml:space="preserve"> validation of categorization</w:t>
      </w:r>
      <w:r w:rsidRPr="00DD2C68" w:rsidR="002416B2">
        <w:rPr>
          <w:rFonts w:ascii="Palatino Linotype" w:hAnsi="Palatino Linotype" w:cs="Times New Roman"/>
        </w:rPr>
        <w:t xml:space="preserve"> of pending loads</w:t>
      </w:r>
      <w:r w:rsidRPr="00DD2C68">
        <w:rPr>
          <w:rFonts w:ascii="Palatino Linotype" w:hAnsi="Palatino Linotype" w:cs="Times New Roman"/>
        </w:rPr>
        <w:t xml:space="preserve">. </w:t>
      </w:r>
    </w:p>
    <w:p w:rsidRPr="00DD2C68" w:rsidR="00B57D86" w:rsidP="007A761B" w:rsidRDefault="00C30A3C" w14:paraId="71E2E3F6" w14:textId="517E386D">
      <w:pPr>
        <w:pStyle w:val="ListParagraph"/>
        <w:numPr>
          <w:ilvl w:val="0"/>
          <w:numId w:val="1"/>
        </w:numPr>
        <w:spacing w:line="259" w:lineRule="auto"/>
        <w:rPr>
          <w:rFonts w:ascii="Palatino Linotype" w:hAnsi="Palatino Linotype" w:cs="Times New Roman"/>
        </w:rPr>
      </w:pPr>
      <w:r w:rsidRPr="00DD2C68">
        <w:rPr>
          <w:rFonts w:ascii="Palatino Linotype" w:hAnsi="Palatino Linotype" w:cs="Times New Roman"/>
        </w:rPr>
        <w:t xml:space="preserve">It is appropriate for </w:t>
      </w:r>
      <w:r w:rsidRPr="00DD2C68" w:rsidR="00980905">
        <w:rPr>
          <w:rFonts w:ascii="Palatino Linotype" w:hAnsi="Palatino Linotype" w:cs="Times New Roman"/>
        </w:rPr>
        <w:t xml:space="preserve">PG&amp;E, </w:t>
      </w:r>
      <w:r w:rsidRPr="00DD2C68">
        <w:rPr>
          <w:rFonts w:ascii="Palatino Linotype" w:hAnsi="Palatino Linotype" w:cs="Times New Roman"/>
        </w:rPr>
        <w:t xml:space="preserve">SCE, and </w:t>
      </w:r>
      <w:r w:rsidRPr="00DD2C68" w:rsidR="00980905">
        <w:rPr>
          <w:rFonts w:ascii="Palatino Linotype" w:hAnsi="Palatino Linotype" w:cs="Times New Roman"/>
        </w:rPr>
        <w:t>SDG&amp;E</w:t>
      </w:r>
      <w:r w:rsidRPr="00DD2C68">
        <w:rPr>
          <w:rFonts w:ascii="Palatino Linotype" w:hAnsi="Palatino Linotype" w:cs="Times New Roman"/>
        </w:rPr>
        <w:t xml:space="preserve"> to adopt the minimum criteria for each pending load category as proposed by PG&amp;E</w:t>
      </w:r>
      <w:r w:rsidR="002D5A10">
        <w:rPr>
          <w:rFonts w:ascii="Palatino Linotype" w:hAnsi="Palatino Linotype" w:cs="Times New Roman"/>
        </w:rPr>
        <w:t xml:space="preserve"> and modified by this Resolution</w:t>
      </w:r>
      <w:r w:rsidRPr="00DD2C68">
        <w:rPr>
          <w:rFonts w:ascii="Palatino Linotype" w:hAnsi="Palatino Linotype" w:cs="Times New Roman"/>
        </w:rPr>
        <w:t xml:space="preserve">. </w:t>
      </w:r>
    </w:p>
    <w:p w:rsidRPr="00DD2C68" w:rsidR="006A0135" w:rsidP="007A761B" w:rsidRDefault="00245999" w14:paraId="7EA4D427" w14:textId="7A6447DE">
      <w:pPr>
        <w:pStyle w:val="ListParagraph"/>
        <w:numPr>
          <w:ilvl w:val="0"/>
          <w:numId w:val="1"/>
        </w:numPr>
        <w:spacing w:line="259" w:lineRule="auto"/>
        <w:rPr>
          <w:rFonts w:ascii="Palatino Linotype" w:hAnsi="Palatino Linotype" w:cs="Times New Roman"/>
        </w:rPr>
      </w:pPr>
      <w:r w:rsidRPr="00DD2C68">
        <w:rPr>
          <w:rFonts w:ascii="Palatino Linotype" w:hAnsi="Palatino Linotype"/>
        </w:rPr>
        <w:t xml:space="preserve">Hot spots are appropriately defined as specific geographical and capacity-constrained areas with forecasted load growth from </w:t>
      </w:r>
      <w:r w:rsidR="005E3EFF">
        <w:rPr>
          <w:rFonts w:ascii="Palatino Linotype" w:hAnsi="Palatino Linotype"/>
        </w:rPr>
        <w:t xml:space="preserve">any of </w:t>
      </w:r>
      <w:r w:rsidR="002238C3">
        <w:rPr>
          <w:rFonts w:ascii="Palatino Linotype" w:hAnsi="Palatino Linotype"/>
        </w:rPr>
        <w:t xml:space="preserve">these </w:t>
      </w:r>
      <w:r w:rsidRPr="00DD2C68">
        <w:rPr>
          <w:rFonts w:ascii="Palatino Linotype" w:hAnsi="Palatino Linotype"/>
        </w:rPr>
        <w:t>sources</w:t>
      </w:r>
      <w:r w:rsidR="002238C3">
        <w:rPr>
          <w:rFonts w:ascii="Palatino Linotype" w:hAnsi="Palatino Linotype"/>
        </w:rPr>
        <w:t xml:space="preserve"> of load:</w:t>
      </w:r>
      <w:r w:rsidRPr="00DD2C68">
        <w:rPr>
          <w:rFonts w:ascii="Palatino Linotype" w:hAnsi="Palatino Linotype"/>
        </w:rPr>
        <w:t xml:space="preserve"> </w:t>
      </w:r>
      <w:r w:rsidR="00E97BAB">
        <w:rPr>
          <w:rFonts w:ascii="Palatino Linotype" w:hAnsi="Palatino Linotype"/>
        </w:rPr>
        <w:t xml:space="preserve">IEPR </w:t>
      </w:r>
      <w:r w:rsidR="0047538D">
        <w:rPr>
          <w:rFonts w:ascii="Palatino Linotype" w:hAnsi="Palatino Linotype"/>
        </w:rPr>
        <w:t>disaggregation</w:t>
      </w:r>
      <w:r w:rsidR="00E97BAB">
        <w:rPr>
          <w:rFonts w:ascii="Palatino Linotype" w:hAnsi="Palatino Linotype"/>
        </w:rPr>
        <w:t xml:space="preserve">, </w:t>
      </w:r>
      <w:r w:rsidRPr="00DD2C68">
        <w:rPr>
          <w:rFonts w:ascii="Palatino Linotype" w:hAnsi="Palatino Linotype"/>
        </w:rPr>
        <w:t>known loads, Category A, and Category B1 pending loads.</w:t>
      </w:r>
      <w:r w:rsidRPr="00DD2C68" w:rsidR="00E17208">
        <w:rPr>
          <w:rFonts w:ascii="Palatino Linotype" w:hAnsi="Palatino Linotype"/>
        </w:rPr>
        <w:t xml:space="preserve"> </w:t>
      </w:r>
      <w:r w:rsidRPr="00DD2C68" w:rsidR="00D72420">
        <w:rPr>
          <w:rFonts w:ascii="Palatino Linotype" w:hAnsi="Palatino Linotype"/>
        </w:rPr>
        <w:t>Hot spots are further defined in detail in the Hot Spots section.</w:t>
      </w:r>
      <w:r w:rsidRPr="00DD2C68" w:rsidR="004732AD">
        <w:rPr>
          <w:rFonts w:ascii="Palatino Linotype" w:hAnsi="Palatino Linotype"/>
        </w:rPr>
        <w:t xml:space="preserve"> </w:t>
      </w:r>
      <w:r w:rsidRPr="00DD2C68" w:rsidR="006A0135">
        <w:rPr>
          <w:rFonts w:ascii="Palatino Linotype" w:hAnsi="Palatino Linotype"/>
        </w:rPr>
        <w:t xml:space="preserve">It is reasonable for </w:t>
      </w:r>
      <w:r w:rsidR="00AB77D1">
        <w:rPr>
          <w:rFonts w:ascii="Palatino Linotype" w:hAnsi="Palatino Linotype"/>
        </w:rPr>
        <w:t>medium</w:t>
      </w:r>
      <w:r w:rsidRPr="00DD2C68" w:rsidR="00753E8F">
        <w:rPr>
          <w:rFonts w:ascii="Palatino Linotype" w:hAnsi="Palatino Linotype"/>
        </w:rPr>
        <w:t xml:space="preserve"> certain</w:t>
      </w:r>
      <w:r w:rsidR="00AB77D1">
        <w:rPr>
          <w:rFonts w:ascii="Palatino Linotype" w:hAnsi="Palatino Linotype"/>
        </w:rPr>
        <w:t>ty</w:t>
      </w:r>
      <w:r w:rsidRPr="00DD2C68" w:rsidR="00753E8F">
        <w:rPr>
          <w:rFonts w:ascii="Palatino Linotype" w:hAnsi="Palatino Linotype"/>
        </w:rPr>
        <w:t xml:space="preserve"> pending loads </w:t>
      </w:r>
      <w:r w:rsidRPr="00DD2C68" w:rsidR="00A356E3">
        <w:rPr>
          <w:rFonts w:ascii="Palatino Linotype" w:hAnsi="Palatino Linotype"/>
        </w:rPr>
        <w:t xml:space="preserve">in Category B2 </w:t>
      </w:r>
      <w:r w:rsidRPr="00DD2C68" w:rsidR="00864B87">
        <w:rPr>
          <w:rFonts w:ascii="Palatino Linotype" w:hAnsi="Palatino Linotype"/>
        </w:rPr>
        <w:t>to exceed the IEPR if they are in a hot spot.</w:t>
      </w:r>
      <w:r w:rsidRPr="00DD2C68" w:rsidR="00552BDE">
        <w:rPr>
          <w:rFonts w:ascii="Palatino Linotype" w:hAnsi="Palatino Linotype"/>
        </w:rPr>
        <w:t xml:space="preserve">  </w:t>
      </w:r>
      <w:r w:rsidRPr="00DD2C68" w:rsidR="00552BDE">
        <w:rPr>
          <w:rFonts w:ascii="Palatino Linotype" w:hAnsi="Palatino Linotype" w:cs="Times New Roman"/>
        </w:rPr>
        <w:t xml:space="preserve">This hot spot definition will help identify least </w:t>
      </w:r>
      <w:proofErr w:type="gramStart"/>
      <w:r w:rsidRPr="00DD2C68" w:rsidR="00552BDE">
        <w:rPr>
          <w:rFonts w:ascii="Palatino Linotype" w:hAnsi="Palatino Linotype" w:cs="Times New Roman"/>
        </w:rPr>
        <w:t>regrets</w:t>
      </w:r>
      <w:proofErr w:type="gramEnd"/>
      <w:r w:rsidRPr="00DD2C68" w:rsidR="00552BDE">
        <w:rPr>
          <w:rFonts w:ascii="Palatino Linotype" w:hAnsi="Palatino Linotype" w:cs="Times New Roman"/>
        </w:rPr>
        <w:t xml:space="preserve"> investment areas where it is appropriate to </w:t>
      </w:r>
      <w:r w:rsidR="00640754">
        <w:rPr>
          <w:rFonts w:ascii="Palatino Linotype" w:hAnsi="Palatino Linotype" w:cs="Times New Roman"/>
        </w:rPr>
        <w:t>allow</w:t>
      </w:r>
      <w:r w:rsidRPr="00DD2C68" w:rsidR="00640754">
        <w:rPr>
          <w:rFonts w:ascii="Palatino Linotype" w:hAnsi="Palatino Linotype" w:cs="Times New Roman"/>
        </w:rPr>
        <w:t xml:space="preserve"> </w:t>
      </w:r>
      <w:r w:rsidR="00024D7D">
        <w:rPr>
          <w:rFonts w:ascii="Palatino Linotype" w:hAnsi="Palatino Linotype" w:cs="Times New Roman"/>
        </w:rPr>
        <w:t>medium</w:t>
      </w:r>
      <w:r w:rsidRPr="00DD2C68" w:rsidR="00552BDE">
        <w:rPr>
          <w:rFonts w:ascii="Palatino Linotype" w:hAnsi="Palatino Linotype" w:cs="Times New Roman"/>
        </w:rPr>
        <w:t xml:space="preserve"> certainty pending loads from Category B2 </w:t>
      </w:r>
      <w:r w:rsidR="003938AA">
        <w:rPr>
          <w:rFonts w:ascii="Palatino Linotype" w:hAnsi="Palatino Linotype" w:cs="Times New Roman"/>
        </w:rPr>
        <w:t>to exceed</w:t>
      </w:r>
      <w:r w:rsidRPr="00DD2C68" w:rsidR="003938AA">
        <w:rPr>
          <w:rFonts w:ascii="Palatino Linotype" w:hAnsi="Palatino Linotype" w:cs="Times New Roman"/>
        </w:rPr>
        <w:t xml:space="preserve"> </w:t>
      </w:r>
      <w:r w:rsidRPr="00DD2C68" w:rsidR="00552BDE">
        <w:rPr>
          <w:rFonts w:ascii="Palatino Linotype" w:hAnsi="Palatino Linotype" w:cs="Times New Roman"/>
        </w:rPr>
        <w:t>the IEPR forecast.</w:t>
      </w:r>
    </w:p>
    <w:p w:rsidRPr="00DD2C68" w:rsidR="00311E5B" w:rsidP="00311E5B" w:rsidRDefault="00311E5B" w14:paraId="71FF79FD" w14:textId="12955A01">
      <w:pPr>
        <w:pStyle w:val="ListParagraph"/>
        <w:numPr>
          <w:ilvl w:val="0"/>
          <w:numId w:val="1"/>
        </w:numPr>
        <w:spacing w:line="259" w:lineRule="auto"/>
        <w:rPr>
          <w:rFonts w:ascii="Palatino Linotype" w:hAnsi="Palatino Linotype" w:cs="Times New Roman"/>
        </w:rPr>
      </w:pPr>
      <w:r w:rsidRPr="00DD2C68">
        <w:rPr>
          <w:rFonts w:ascii="Palatino Linotype" w:hAnsi="Palatino Linotype"/>
        </w:rPr>
        <w:t xml:space="preserve">Approval of hot spots via annual Advice Letter would be burdensome and ineffective. </w:t>
      </w:r>
    </w:p>
    <w:p w:rsidRPr="00DD2C68" w:rsidR="003F65A2" w:rsidP="00B57D86" w:rsidRDefault="00311E5B" w14:paraId="2778233E" w14:textId="74261565">
      <w:pPr>
        <w:pStyle w:val="ListParagraph"/>
        <w:numPr>
          <w:ilvl w:val="0"/>
          <w:numId w:val="1"/>
        </w:numPr>
        <w:spacing w:line="259" w:lineRule="auto"/>
        <w:rPr>
          <w:rFonts w:ascii="Palatino Linotype" w:hAnsi="Palatino Linotype" w:cs="Times New Roman"/>
        </w:rPr>
      </w:pPr>
      <w:r w:rsidRPr="00DD2C68">
        <w:rPr>
          <w:rFonts w:ascii="Palatino Linotype" w:hAnsi="Palatino Linotype"/>
        </w:rPr>
        <w:t xml:space="preserve">It is reasonable for utilities to report a list of utilized hot spots in the GNA/DUPR with sufficient detail as to allow for known loads and pending loads reported as a part of the filing, as well as the information that supports the identification of the hot spots, to be connected to the hot spot. </w:t>
      </w:r>
    </w:p>
    <w:p w:rsidRPr="00DD2C68" w:rsidR="00C30A3C" w:rsidP="007A761B" w:rsidRDefault="00C30A3C" w14:paraId="51AEA766" w14:textId="740FA65E">
      <w:pPr>
        <w:pStyle w:val="ListParagraph"/>
        <w:numPr>
          <w:ilvl w:val="0"/>
          <w:numId w:val="1"/>
        </w:numPr>
        <w:spacing w:line="259" w:lineRule="auto"/>
        <w:rPr>
          <w:rFonts w:ascii="Palatino Linotype" w:hAnsi="Palatino Linotype" w:cs="Times New Roman"/>
        </w:rPr>
      </w:pPr>
      <w:r w:rsidRPr="00DD2C68">
        <w:rPr>
          <w:rFonts w:ascii="Palatino Linotype" w:hAnsi="Palatino Linotype" w:eastAsia="Palatino Linotype" w:cs="Times New Roman"/>
        </w:rPr>
        <w:t xml:space="preserve">It is </w:t>
      </w:r>
      <w:r w:rsidRPr="00DD2C68" w:rsidR="000C3898">
        <w:rPr>
          <w:rFonts w:ascii="Palatino Linotype" w:hAnsi="Palatino Linotype" w:eastAsia="Palatino Linotype" w:cs="Times New Roman"/>
        </w:rPr>
        <w:t>reasonable and</w:t>
      </w:r>
      <w:r w:rsidRPr="00DD2C68">
        <w:rPr>
          <w:rFonts w:ascii="Palatino Linotype" w:hAnsi="Palatino Linotype" w:eastAsia="Palatino Linotype" w:cs="Times New Roman"/>
        </w:rPr>
        <w:t xml:space="preserve"> </w:t>
      </w:r>
      <w:r w:rsidRPr="00DD2C68" w:rsidR="036417E1">
        <w:rPr>
          <w:rFonts w:ascii="Palatino Linotype" w:hAnsi="Palatino Linotype" w:eastAsia="Palatino Linotype" w:cs="Times New Roman"/>
        </w:rPr>
        <w:t>beneficial</w:t>
      </w:r>
      <w:r w:rsidRPr="00DD2C68">
        <w:rPr>
          <w:rFonts w:ascii="Palatino Linotype" w:hAnsi="Palatino Linotype" w:eastAsia="Palatino Linotype" w:cs="Times New Roman"/>
        </w:rPr>
        <w:t xml:space="preserve"> for the utilities to </w:t>
      </w:r>
      <w:r w:rsidRPr="00DD2C68" w:rsidR="000F5916">
        <w:rPr>
          <w:rFonts w:ascii="Palatino Linotype" w:hAnsi="Palatino Linotype" w:eastAsia="Palatino Linotype" w:cs="Times New Roman"/>
        </w:rPr>
        <w:t xml:space="preserve">report </w:t>
      </w:r>
      <w:r w:rsidRPr="00DD2C68" w:rsidR="00D20595">
        <w:rPr>
          <w:rFonts w:ascii="Palatino Linotype" w:hAnsi="Palatino Linotype" w:eastAsia="Palatino Linotype" w:cs="Times New Roman"/>
        </w:rPr>
        <w:t>all utili</w:t>
      </w:r>
      <w:r w:rsidRPr="00DD2C68" w:rsidR="009E6E84">
        <w:rPr>
          <w:rFonts w:ascii="Palatino Linotype" w:hAnsi="Palatino Linotype" w:eastAsia="Palatino Linotype" w:cs="Times New Roman"/>
        </w:rPr>
        <w:t>zed</w:t>
      </w:r>
      <w:r w:rsidRPr="00DD2C68" w:rsidR="000F5916">
        <w:rPr>
          <w:rFonts w:ascii="Palatino Linotype" w:hAnsi="Palatino Linotype" w:eastAsia="Palatino Linotype" w:cs="Times New Roman"/>
        </w:rPr>
        <w:t xml:space="preserve"> </w:t>
      </w:r>
      <w:proofErr w:type="gramStart"/>
      <w:r w:rsidRPr="00DD2C68" w:rsidR="000F5916">
        <w:rPr>
          <w:rFonts w:ascii="Palatino Linotype" w:hAnsi="Palatino Linotype" w:eastAsia="Palatino Linotype" w:cs="Times New Roman"/>
        </w:rPr>
        <w:t>hotspots</w:t>
      </w:r>
      <w:proofErr w:type="gramEnd"/>
      <w:r w:rsidRPr="00DD2C68" w:rsidR="00351F86">
        <w:rPr>
          <w:rFonts w:ascii="Palatino Linotype" w:hAnsi="Palatino Linotype" w:eastAsia="Palatino Linotype" w:cs="Times New Roman"/>
        </w:rPr>
        <w:t xml:space="preserve"> </w:t>
      </w:r>
      <w:r w:rsidRPr="00DD2C68">
        <w:rPr>
          <w:rFonts w:ascii="Palatino Linotype" w:hAnsi="Palatino Linotype" w:eastAsia="Palatino Linotype" w:cs="Times New Roman"/>
        </w:rPr>
        <w:t>in the annual GNA/DUPR filing</w:t>
      </w:r>
      <w:r w:rsidRPr="00DD2C68" w:rsidR="000603C3">
        <w:rPr>
          <w:rFonts w:ascii="Palatino Linotype" w:hAnsi="Palatino Linotype" w:eastAsia="Palatino Linotype" w:cs="Times New Roman"/>
        </w:rPr>
        <w:t xml:space="preserve"> as described in detail in the Hot Spots section</w:t>
      </w:r>
      <w:r w:rsidRPr="00DD2C68">
        <w:rPr>
          <w:rFonts w:ascii="Palatino Linotype" w:hAnsi="Palatino Linotype" w:eastAsia="Palatino Linotype" w:cs="Times New Roman"/>
        </w:rPr>
        <w:t>.</w:t>
      </w:r>
    </w:p>
    <w:p w:rsidRPr="00DD2C68" w:rsidR="00C30A3C" w:rsidP="007A761B" w:rsidRDefault="00C30A3C" w14:paraId="3AB70825" w14:textId="73BBC518">
      <w:pPr>
        <w:pStyle w:val="ListParagraph"/>
        <w:numPr>
          <w:ilvl w:val="0"/>
          <w:numId w:val="1"/>
        </w:numPr>
        <w:spacing w:line="259" w:lineRule="auto"/>
        <w:rPr>
          <w:rFonts w:ascii="Palatino Linotype" w:hAnsi="Palatino Linotype" w:cs="Times New Roman"/>
        </w:rPr>
      </w:pPr>
      <w:r w:rsidRPr="00DD2C68">
        <w:rPr>
          <w:rFonts w:ascii="Palatino Linotype" w:hAnsi="Palatino Linotype" w:eastAsia="Palatino Linotype" w:cs="Times New Roman"/>
        </w:rPr>
        <w:t>The Transportation Electrification Proactive Planning (TEPP) work product originating from R.23-12-008</w:t>
      </w:r>
      <w:r w:rsidRPr="00DD2C68" w:rsidR="007F77AF">
        <w:rPr>
          <w:rFonts w:ascii="Palatino Linotype" w:hAnsi="Palatino Linotype" w:eastAsia="Palatino Linotype" w:cs="Times New Roman"/>
        </w:rPr>
        <w:t>,</w:t>
      </w:r>
      <w:r w:rsidRPr="00DD2C68">
        <w:rPr>
          <w:rFonts w:ascii="Palatino Linotype" w:hAnsi="Palatino Linotype" w:eastAsia="Palatino Linotype" w:cs="Times New Roman"/>
        </w:rPr>
        <w:t xml:space="preserve"> Transportation Electrification Policy and Infrastructure proceeding</w:t>
      </w:r>
      <w:r w:rsidRPr="00DD2C68" w:rsidR="007F77AF">
        <w:rPr>
          <w:rFonts w:ascii="Palatino Linotype" w:hAnsi="Palatino Linotype" w:eastAsia="Palatino Linotype" w:cs="Times New Roman"/>
        </w:rPr>
        <w:t>,</w:t>
      </w:r>
      <w:r w:rsidRPr="00DD2C68">
        <w:rPr>
          <w:rFonts w:ascii="Palatino Linotype" w:hAnsi="Palatino Linotype" w:eastAsia="Palatino Linotype" w:cs="Times New Roman"/>
        </w:rPr>
        <w:t xml:space="preserve"> is a potential future source of </w:t>
      </w:r>
      <w:r w:rsidRPr="00DD2C68" w:rsidR="00385794">
        <w:rPr>
          <w:rFonts w:ascii="Palatino Linotype" w:hAnsi="Palatino Linotype" w:eastAsia="Palatino Linotype" w:cs="Times New Roman"/>
        </w:rPr>
        <w:t xml:space="preserve">pending load </w:t>
      </w:r>
      <w:r w:rsidRPr="00DD2C68">
        <w:rPr>
          <w:rFonts w:ascii="Palatino Linotype" w:hAnsi="Palatino Linotype" w:eastAsia="Palatino Linotype" w:cs="Times New Roman"/>
        </w:rPr>
        <w:t>data focused on transportation corridors</w:t>
      </w:r>
      <w:r w:rsidRPr="22A50854" w:rsidR="5481F5F4">
        <w:rPr>
          <w:rFonts w:ascii="Palatino Linotype" w:hAnsi="Palatino Linotype" w:eastAsia="Palatino Linotype" w:cs="Times New Roman"/>
        </w:rPr>
        <w:t xml:space="preserve"> and may inform hot spots</w:t>
      </w:r>
      <w:r w:rsidRPr="22A50854">
        <w:rPr>
          <w:rFonts w:ascii="Palatino Linotype" w:hAnsi="Palatino Linotype" w:eastAsia="Palatino Linotype" w:cs="Times New Roman"/>
        </w:rPr>
        <w:t>.</w:t>
      </w:r>
      <w:r w:rsidRPr="22A50854" w:rsidR="00552689">
        <w:rPr>
          <w:rFonts w:ascii="Palatino Linotype" w:hAnsi="Palatino Linotype"/>
        </w:rPr>
        <w:t xml:space="preserve"> </w:t>
      </w:r>
    </w:p>
    <w:p w:rsidRPr="00DD2C68" w:rsidR="00903003" w:rsidP="007A761B" w:rsidRDefault="00385794" w14:paraId="2BFD6F91" w14:textId="7004FF0D">
      <w:pPr>
        <w:pStyle w:val="ListParagraph"/>
        <w:numPr>
          <w:ilvl w:val="0"/>
          <w:numId w:val="1"/>
        </w:numPr>
        <w:spacing w:line="259" w:lineRule="auto"/>
        <w:rPr>
          <w:rFonts w:ascii="Palatino Linotype" w:hAnsi="Palatino Linotype" w:cs="Times New Roman"/>
        </w:rPr>
      </w:pPr>
      <w:r w:rsidRPr="00DD2C68">
        <w:rPr>
          <w:rFonts w:ascii="Palatino Linotype" w:hAnsi="Palatino Linotype" w:eastAsia="Palatino Linotype" w:cs="Palatino Linotype"/>
        </w:rPr>
        <w:t xml:space="preserve">It is reasonable for </w:t>
      </w:r>
      <w:r w:rsidRPr="00DD2C68" w:rsidR="0003657E">
        <w:rPr>
          <w:rFonts w:ascii="Palatino Linotype" w:hAnsi="Palatino Linotype" w:eastAsia="Palatino Linotype" w:cs="Palatino Linotype"/>
        </w:rPr>
        <w:t>t</w:t>
      </w:r>
      <w:r w:rsidRPr="00DD2C68" w:rsidR="00903003">
        <w:rPr>
          <w:rFonts w:ascii="Palatino Linotype" w:hAnsi="Palatino Linotype" w:eastAsia="Palatino Linotype" w:cs="Palatino Linotype"/>
        </w:rPr>
        <w:t>h</w:t>
      </w:r>
      <w:r w:rsidRPr="00DD2C68" w:rsidR="0003657E">
        <w:rPr>
          <w:rFonts w:ascii="Palatino Linotype" w:hAnsi="Palatino Linotype" w:eastAsia="Palatino Linotype" w:cs="Palatino Linotype"/>
        </w:rPr>
        <w:t>e</w:t>
      </w:r>
      <w:r w:rsidRPr="00DD2C68" w:rsidR="00903003">
        <w:rPr>
          <w:rFonts w:ascii="Palatino Linotype" w:hAnsi="Palatino Linotype" w:eastAsia="Palatino Linotype" w:cs="Palatino Linotype"/>
        </w:rPr>
        <w:t xml:space="preserve"> categorization framework</w:t>
      </w:r>
      <w:r w:rsidRPr="00DD2C68" w:rsidR="0003657E">
        <w:rPr>
          <w:rFonts w:ascii="Palatino Linotype" w:hAnsi="Palatino Linotype" w:eastAsia="Palatino Linotype" w:cs="Palatino Linotype"/>
        </w:rPr>
        <w:t xml:space="preserve"> proposed by SCE</w:t>
      </w:r>
      <w:r w:rsidRPr="00DD2C68" w:rsidR="00903003">
        <w:rPr>
          <w:rFonts w:ascii="Palatino Linotype" w:hAnsi="Palatino Linotype" w:eastAsia="Palatino Linotype" w:cs="Palatino Linotype"/>
        </w:rPr>
        <w:t xml:space="preserve"> </w:t>
      </w:r>
      <w:r w:rsidRPr="00DD2C68">
        <w:rPr>
          <w:rFonts w:ascii="Palatino Linotype" w:hAnsi="Palatino Linotype" w:eastAsia="Palatino Linotype" w:cs="Palatino Linotype"/>
        </w:rPr>
        <w:t>to</w:t>
      </w:r>
      <w:r w:rsidRPr="00DD2C68" w:rsidR="00903003">
        <w:rPr>
          <w:rFonts w:ascii="Palatino Linotype" w:hAnsi="Palatino Linotype" w:eastAsia="Palatino Linotype" w:cs="Palatino Linotype"/>
        </w:rPr>
        <w:t xml:space="preserve"> be combined with the minimum criteria proposed by PG&amp;E</w:t>
      </w:r>
      <w:r w:rsidRPr="00DD2C68" w:rsidR="00903003">
        <w:rPr>
          <w:rFonts w:ascii="Palatino Linotype" w:hAnsi="Palatino Linotype"/>
        </w:rPr>
        <w:t xml:space="preserve"> </w:t>
      </w:r>
      <w:r w:rsidRPr="00DD2C68" w:rsidR="00903003">
        <w:rPr>
          <w:rFonts w:ascii="Palatino Linotype" w:hAnsi="Palatino Linotype" w:cs="Arial"/>
        </w:rPr>
        <w:t>​for customer data and study data.</w:t>
      </w:r>
    </w:p>
    <w:p w:rsidRPr="00DD2C68" w:rsidR="006E74CC" w:rsidP="007A761B" w:rsidRDefault="00ED2556" w14:paraId="6CCA6082" w14:textId="6753990C">
      <w:pPr>
        <w:pStyle w:val="ListParagraph"/>
        <w:numPr>
          <w:ilvl w:val="0"/>
          <w:numId w:val="1"/>
        </w:numPr>
        <w:spacing w:line="259" w:lineRule="auto"/>
        <w:rPr>
          <w:rFonts w:ascii="Palatino Linotype" w:hAnsi="Palatino Linotype" w:cs="Times New Roman"/>
        </w:rPr>
      </w:pPr>
      <w:r w:rsidRPr="00DD2C68">
        <w:rPr>
          <w:rFonts w:ascii="Palatino Linotype" w:hAnsi="Palatino Linotype" w:cs="Times New Roman"/>
        </w:rPr>
        <w:t>It is reasonable to hold SDG&amp;E</w:t>
      </w:r>
      <w:r w:rsidRPr="00DD2C68" w:rsidR="00AA421E">
        <w:rPr>
          <w:rFonts w:ascii="Palatino Linotype" w:hAnsi="Palatino Linotype" w:cs="Times New Roman"/>
        </w:rPr>
        <w:t xml:space="preserve"> and SCE</w:t>
      </w:r>
      <w:r w:rsidRPr="00DD2C68">
        <w:rPr>
          <w:rFonts w:ascii="Palatino Linotype" w:hAnsi="Palatino Linotype" w:cs="Times New Roman"/>
        </w:rPr>
        <w:t xml:space="preserve"> to the same standard set by PG&amp;E for the inclusion of bottom-up studies in the pending load category.</w:t>
      </w:r>
    </w:p>
    <w:p w:rsidRPr="00DD2C68" w:rsidR="00AC5C4E" w:rsidP="007A761B" w:rsidRDefault="00AC5C4E" w14:paraId="0C9C7D6D" w14:textId="5EA9074C">
      <w:pPr>
        <w:pStyle w:val="ListParagraph"/>
        <w:numPr>
          <w:ilvl w:val="0"/>
          <w:numId w:val="1"/>
        </w:numPr>
        <w:spacing w:line="259" w:lineRule="auto"/>
        <w:rPr>
          <w:rFonts w:ascii="Palatino Linotype" w:hAnsi="Palatino Linotype" w:cs="Times New Roman"/>
        </w:rPr>
      </w:pPr>
      <w:r w:rsidRPr="00DD2C68">
        <w:rPr>
          <w:rFonts w:ascii="Palatino Linotype" w:hAnsi="Palatino Linotype" w:cs="Times New Roman"/>
        </w:rPr>
        <w:t>SDG&amp;E’s</w:t>
      </w:r>
      <w:r w:rsidRPr="00DD2C68" w:rsidR="0003657E">
        <w:rPr>
          <w:rFonts w:ascii="Palatino Linotype" w:hAnsi="Palatino Linotype" w:cs="Times New Roman"/>
        </w:rPr>
        <w:t xml:space="preserve"> pending load</w:t>
      </w:r>
      <w:r w:rsidRPr="00DD2C68">
        <w:rPr>
          <w:rFonts w:ascii="Palatino Linotype" w:hAnsi="Palatino Linotype" w:cs="Times New Roman"/>
        </w:rPr>
        <w:t xml:space="preserve"> proposal does not reflect the valuable data that may be obtained through direct utility outreach to customers or customer pre-application information or plans that are submitted to the utility.</w:t>
      </w:r>
    </w:p>
    <w:p w:rsidRPr="00DD2C68" w:rsidR="00AC5C4E" w:rsidP="007A761B" w:rsidRDefault="008341AB" w14:paraId="01D77C83" w14:textId="115E0B45">
      <w:pPr>
        <w:pStyle w:val="ListParagraph"/>
        <w:numPr>
          <w:ilvl w:val="0"/>
          <w:numId w:val="1"/>
        </w:numPr>
        <w:spacing w:line="259" w:lineRule="auto"/>
        <w:rPr>
          <w:rFonts w:ascii="Palatino Linotype" w:hAnsi="Palatino Linotype" w:cs="Times New Roman"/>
        </w:rPr>
      </w:pPr>
      <w:r w:rsidRPr="00DD2C68">
        <w:rPr>
          <w:rFonts w:ascii="Palatino Linotype" w:hAnsi="Palatino Linotype" w:cs="Times New Roman"/>
        </w:rPr>
        <w:t>It is reasonable to require SDG&amp;E to</w:t>
      </w:r>
      <w:r w:rsidRPr="00DD2C68" w:rsidR="007F5BC4">
        <w:rPr>
          <w:rFonts w:ascii="Palatino Linotype" w:hAnsi="Palatino Linotype" w:cs="Times New Roman"/>
        </w:rPr>
        <w:t xml:space="preserve"> </w:t>
      </w:r>
      <w:r w:rsidRPr="00DD2C68" w:rsidR="00E1750E">
        <w:rPr>
          <w:rFonts w:ascii="Palatino Linotype" w:hAnsi="Palatino Linotype" w:cs="Times New Roman"/>
        </w:rPr>
        <w:t>comply with the pending load categorization and usage framework in Tables 1 and 2, including</w:t>
      </w:r>
      <w:r w:rsidRPr="00DD2C68">
        <w:rPr>
          <w:rFonts w:ascii="Palatino Linotype" w:hAnsi="Palatino Linotype" w:cs="Times New Roman"/>
        </w:rPr>
        <w:t xml:space="preserve"> creat</w:t>
      </w:r>
      <w:r w:rsidRPr="00DD2C68" w:rsidR="00E1750E">
        <w:rPr>
          <w:rFonts w:ascii="Palatino Linotype" w:hAnsi="Palatino Linotype" w:cs="Times New Roman"/>
        </w:rPr>
        <w:t>ion of</w:t>
      </w:r>
      <w:r w:rsidRPr="00DD2C68">
        <w:rPr>
          <w:rFonts w:ascii="Palatino Linotype" w:hAnsi="Palatino Linotype" w:cs="Times New Roman"/>
        </w:rPr>
        <w:t xml:space="preserve"> Category A of pending loads that include customer plans and pre-application data informed by direct customer engagement and community plans.</w:t>
      </w:r>
    </w:p>
    <w:p w:rsidRPr="00DD2C68" w:rsidR="008341AB" w:rsidP="007A761B" w:rsidRDefault="00385DAA" w14:paraId="2FC58A75" w14:textId="616C0074">
      <w:pPr>
        <w:pStyle w:val="ListParagraph"/>
        <w:numPr>
          <w:ilvl w:val="0"/>
          <w:numId w:val="1"/>
        </w:numPr>
        <w:spacing w:line="259" w:lineRule="auto"/>
        <w:rPr>
          <w:rFonts w:ascii="Palatino Linotype" w:hAnsi="Palatino Linotype" w:cs="Times New Roman"/>
        </w:rPr>
      </w:pPr>
      <w:r w:rsidRPr="00DD2C68">
        <w:rPr>
          <w:rFonts w:ascii="Palatino Linotype" w:hAnsi="Palatino Linotype" w:cs="Times New Roman"/>
        </w:rPr>
        <w:lastRenderedPageBreak/>
        <w:t xml:space="preserve">It is reasonable to require </w:t>
      </w:r>
      <w:r w:rsidRPr="00DD2C68" w:rsidR="00AA421E">
        <w:rPr>
          <w:rFonts w:ascii="Palatino Linotype" w:hAnsi="Palatino Linotype" w:cs="Times New Roman"/>
        </w:rPr>
        <w:t xml:space="preserve">PG&amp;E, SCE, and </w:t>
      </w:r>
      <w:r w:rsidRPr="00DD2C68">
        <w:rPr>
          <w:rFonts w:ascii="Palatino Linotype" w:hAnsi="Palatino Linotype" w:cs="Times New Roman"/>
        </w:rPr>
        <w:t xml:space="preserve">SDG&amp;E to report the Pending Loads Evaluation data as described in </w:t>
      </w:r>
      <w:r w:rsidRPr="00DD2C68" w:rsidR="0062674C">
        <w:rPr>
          <w:rFonts w:ascii="Palatino Linotype" w:hAnsi="Palatino Linotype" w:cs="Times New Roman"/>
        </w:rPr>
        <w:t>D.24-10-030</w:t>
      </w:r>
      <w:r w:rsidRPr="00DD2C68" w:rsidR="000E78C6">
        <w:rPr>
          <w:rFonts w:ascii="Palatino Linotype" w:hAnsi="Palatino Linotype" w:cs="Times New Roman"/>
        </w:rPr>
        <w:t xml:space="preserve"> Ordering Paragraph 14</w:t>
      </w:r>
      <w:r w:rsidRPr="00DD2C68" w:rsidR="00E85949">
        <w:rPr>
          <w:rFonts w:ascii="Palatino Linotype" w:hAnsi="Palatino Linotype" w:cs="Times New Roman"/>
        </w:rPr>
        <w:t xml:space="preserve"> with the </w:t>
      </w:r>
      <w:r w:rsidRPr="00DD2C68" w:rsidR="00A363AC">
        <w:rPr>
          <w:rFonts w:ascii="Palatino Linotype" w:hAnsi="Palatino Linotype" w:cs="Times New Roman"/>
        </w:rPr>
        <w:t xml:space="preserve">minor adjustments </w:t>
      </w:r>
      <w:r w:rsidRPr="00DD2C68" w:rsidR="005D18CF">
        <w:rPr>
          <w:rFonts w:ascii="Palatino Linotype" w:hAnsi="Palatino Linotype" w:cs="Times New Roman"/>
        </w:rPr>
        <w:t>to criteria 1 and 4</w:t>
      </w:r>
      <w:r w:rsidRPr="00DD2C68" w:rsidR="37252C38">
        <w:rPr>
          <w:rFonts w:ascii="Palatino Linotype" w:hAnsi="Palatino Linotype" w:cs="Times New Roman"/>
        </w:rPr>
        <w:t xml:space="preserve"> and a </w:t>
      </w:r>
      <w:proofErr w:type="gramStart"/>
      <w:r w:rsidRPr="00DD2C68" w:rsidR="37252C38">
        <w:rPr>
          <w:rFonts w:ascii="Palatino Linotype" w:hAnsi="Palatino Linotype" w:cs="Times New Roman"/>
        </w:rPr>
        <w:t>new criteria</w:t>
      </w:r>
      <w:proofErr w:type="gramEnd"/>
      <w:r w:rsidRPr="00DD2C68" w:rsidR="37252C38">
        <w:rPr>
          <w:rFonts w:ascii="Palatino Linotype" w:hAnsi="Palatino Linotype" w:cs="Times New Roman"/>
        </w:rPr>
        <w:t xml:space="preserve"> #7 listed</w:t>
      </w:r>
      <w:r w:rsidRPr="00DD2C68" w:rsidR="005D18CF">
        <w:rPr>
          <w:rFonts w:ascii="Palatino Linotype" w:hAnsi="Palatino Linotype" w:cs="Times New Roman"/>
        </w:rPr>
        <w:t xml:space="preserve"> in the </w:t>
      </w:r>
      <w:r w:rsidRPr="00DD2C68" w:rsidR="000C5124">
        <w:rPr>
          <w:rFonts w:ascii="Palatino Linotype" w:hAnsi="Palatino Linotype" w:cs="Times New Roman"/>
        </w:rPr>
        <w:t>Reporting section.</w:t>
      </w:r>
    </w:p>
    <w:p w:rsidRPr="00DD2C68" w:rsidR="00ED2556" w:rsidP="007A761B" w:rsidRDefault="00385DAA" w14:paraId="2798CF96" w14:textId="2CE20EEF">
      <w:pPr>
        <w:pStyle w:val="ListParagraph"/>
        <w:numPr>
          <w:ilvl w:val="0"/>
          <w:numId w:val="1"/>
        </w:numPr>
        <w:spacing w:line="259" w:lineRule="auto"/>
        <w:rPr>
          <w:rFonts w:ascii="Palatino Linotype" w:hAnsi="Palatino Linotype" w:cs="Times New Roman"/>
        </w:rPr>
      </w:pPr>
      <w:r w:rsidRPr="00DD2C68">
        <w:rPr>
          <w:rFonts w:ascii="Palatino Linotype" w:hAnsi="Palatino Linotype" w:eastAsia="Palatino Linotype" w:cs="Times New Roman"/>
        </w:rPr>
        <w:t xml:space="preserve">Changes to the pending load framework </w:t>
      </w:r>
      <w:r w:rsidRPr="00DD2C68" w:rsidR="02EDD396">
        <w:rPr>
          <w:rFonts w:ascii="Palatino Linotype" w:hAnsi="Palatino Linotype" w:eastAsia="Palatino Linotype" w:cs="Times New Roman"/>
        </w:rPr>
        <w:t xml:space="preserve">should </w:t>
      </w:r>
      <w:r w:rsidRPr="00DD2C68">
        <w:rPr>
          <w:rFonts w:ascii="Palatino Linotype" w:hAnsi="Palatino Linotype" w:eastAsia="Palatino Linotype" w:cs="Times New Roman"/>
        </w:rPr>
        <w:t>not be at the utilities’ sole discretion.</w:t>
      </w:r>
    </w:p>
    <w:p w:rsidRPr="00DD2C68" w:rsidR="00DC1DF6" w:rsidP="007A761B" w:rsidRDefault="00DC1DF6" w14:paraId="397D1B77" w14:textId="6F9C3566">
      <w:pPr>
        <w:pStyle w:val="ListParagraph"/>
        <w:numPr>
          <w:ilvl w:val="0"/>
          <w:numId w:val="1"/>
        </w:numPr>
        <w:spacing w:line="259" w:lineRule="auto"/>
        <w:rPr>
          <w:rFonts w:ascii="Palatino Linotype" w:hAnsi="Palatino Linotype" w:cs="Times New Roman"/>
        </w:rPr>
      </w:pPr>
      <w:r w:rsidRPr="00DD2C68">
        <w:rPr>
          <w:rFonts w:ascii="Palatino Linotype" w:hAnsi="Palatino Linotype"/>
        </w:rPr>
        <w:t xml:space="preserve">Utilities should not be able to alter the treatment of, or add, </w:t>
      </w:r>
      <w:r w:rsidRPr="00DD2C68">
        <w:rPr>
          <w:rFonts w:ascii="Palatino Linotype" w:hAnsi="Palatino Linotype"/>
          <w:i/>
          <w:iCs/>
        </w:rPr>
        <w:t>types</w:t>
      </w:r>
      <w:r w:rsidRPr="00DD2C68">
        <w:rPr>
          <w:rFonts w:ascii="Palatino Linotype" w:hAnsi="Palatino Linotype"/>
        </w:rPr>
        <w:t xml:space="preserve"> (e.g., customer information, studies, alternate forecasts, </w:t>
      </w:r>
      <w:r w:rsidR="00B07AE2">
        <w:rPr>
          <w:rFonts w:ascii="Palatino Linotype" w:hAnsi="Palatino Linotype"/>
        </w:rPr>
        <w:t xml:space="preserve">CEQA databases permit status and government/community plans, </w:t>
      </w:r>
      <w:r w:rsidRPr="00DD2C68">
        <w:rPr>
          <w:rFonts w:ascii="Palatino Linotype" w:hAnsi="Palatino Linotype"/>
        </w:rPr>
        <w:t>etc.) of pending load data</w:t>
      </w:r>
      <w:r w:rsidRPr="00DD2C68" w:rsidR="0003657E">
        <w:rPr>
          <w:rFonts w:ascii="Palatino Linotype" w:hAnsi="Palatino Linotype"/>
        </w:rPr>
        <w:t xml:space="preserve"> </w:t>
      </w:r>
      <w:r w:rsidRPr="00DD2C68" w:rsidR="009E3270">
        <w:rPr>
          <w:rFonts w:ascii="Palatino Linotype" w:hAnsi="Palatino Linotype"/>
        </w:rPr>
        <w:t>within the pending load framework without approval</w:t>
      </w:r>
      <w:r w:rsidRPr="00DD2C68" w:rsidR="7C0B1132">
        <w:rPr>
          <w:rFonts w:ascii="Palatino Linotype" w:hAnsi="Palatino Linotype"/>
        </w:rPr>
        <w:t xml:space="preserve"> from the Commission</w:t>
      </w:r>
      <w:r w:rsidRPr="00DD2C68" w:rsidR="009E3270">
        <w:rPr>
          <w:rFonts w:ascii="Palatino Linotype" w:hAnsi="Palatino Linotype"/>
        </w:rPr>
        <w:t xml:space="preserve">. </w:t>
      </w:r>
    </w:p>
    <w:p w:rsidRPr="00DD2C68" w:rsidR="00AA5FAC" w:rsidP="00A6552E" w:rsidRDefault="00DC1DF6" w14:paraId="7D205E4F" w14:textId="66D63650">
      <w:pPr>
        <w:pStyle w:val="ListParagraph"/>
        <w:numPr>
          <w:ilvl w:val="0"/>
          <w:numId w:val="1"/>
        </w:numPr>
        <w:rPr>
          <w:rFonts w:ascii="Palatino Linotype" w:hAnsi="Palatino Linotype"/>
        </w:rPr>
      </w:pPr>
      <w:r w:rsidRPr="00DD2C68">
        <w:rPr>
          <w:rFonts w:ascii="Palatino Linotype" w:hAnsi="Palatino Linotype"/>
        </w:rPr>
        <w:t xml:space="preserve">Utilities should be able to add </w:t>
      </w:r>
      <w:r w:rsidRPr="00DD2C68">
        <w:rPr>
          <w:rFonts w:ascii="Palatino Linotype" w:hAnsi="Palatino Linotype"/>
          <w:i/>
          <w:iCs/>
        </w:rPr>
        <w:t>sources</w:t>
      </w:r>
      <w:r w:rsidRPr="00DD2C68" w:rsidR="00E352B7">
        <w:rPr>
          <w:rFonts w:ascii="Palatino Linotype" w:hAnsi="Palatino Linotype"/>
          <w:i/>
          <w:iCs/>
        </w:rPr>
        <w:t xml:space="preserve"> </w:t>
      </w:r>
      <w:r w:rsidRPr="00DD2C68" w:rsidR="00E352B7">
        <w:rPr>
          <w:rFonts w:ascii="Palatino Linotype" w:hAnsi="Palatino Linotype"/>
        </w:rPr>
        <w:t>(e.g., individual customer plans, each study)</w:t>
      </w:r>
      <w:r w:rsidRPr="00DD2C68">
        <w:rPr>
          <w:rFonts w:ascii="Palatino Linotype" w:hAnsi="Palatino Linotype"/>
        </w:rPr>
        <w:t xml:space="preserve"> of pending load data without an extended approval process, so long as the sources of data are of the </w:t>
      </w:r>
      <w:r w:rsidRPr="00DD2C68">
        <w:rPr>
          <w:rFonts w:ascii="Palatino Linotype" w:hAnsi="Palatino Linotype"/>
          <w:i/>
          <w:iCs/>
        </w:rPr>
        <w:t>types</w:t>
      </w:r>
      <w:r w:rsidRPr="00DD2C68">
        <w:rPr>
          <w:rFonts w:ascii="Palatino Linotype" w:hAnsi="Palatino Linotype"/>
        </w:rPr>
        <w:t xml:space="preserve"> of data allowed in pending loads and meet the criteria of a category.</w:t>
      </w:r>
    </w:p>
    <w:p w:rsidRPr="00DD2C68" w:rsidR="00385DAA" w:rsidP="007A761B" w:rsidRDefault="00575299" w14:paraId="54838494" w14:textId="16C7B84B">
      <w:pPr>
        <w:pStyle w:val="ListParagraph"/>
        <w:numPr>
          <w:ilvl w:val="0"/>
          <w:numId w:val="1"/>
        </w:numPr>
        <w:rPr>
          <w:rFonts w:ascii="Palatino Linotype" w:hAnsi="Palatino Linotype"/>
        </w:rPr>
      </w:pPr>
      <w:r w:rsidRPr="00DD2C68">
        <w:rPr>
          <w:rFonts w:ascii="Palatino Linotype" w:hAnsi="Palatino Linotype"/>
        </w:rPr>
        <w:t>It is reasonable and beneficial for Energy Division staff to be authorized</w:t>
      </w:r>
      <w:r w:rsidRPr="00DD2C68" w:rsidR="007B0C60">
        <w:rPr>
          <w:rFonts w:ascii="Palatino Linotype" w:hAnsi="Palatino Linotype"/>
        </w:rPr>
        <w:t xml:space="preserve"> </w:t>
      </w:r>
      <w:r w:rsidRPr="00DD2C68" w:rsidR="00B323EB">
        <w:rPr>
          <w:rFonts w:ascii="Palatino Linotype" w:hAnsi="Palatino Linotype"/>
        </w:rPr>
        <w:t xml:space="preserve">to direct the three utilities to make changes to the </w:t>
      </w:r>
      <w:r w:rsidR="001E1B9E">
        <w:rPr>
          <w:rFonts w:ascii="Palatino Linotype" w:hAnsi="Palatino Linotype"/>
        </w:rPr>
        <w:t>known</w:t>
      </w:r>
      <w:r w:rsidR="00A813F9">
        <w:rPr>
          <w:rFonts w:ascii="Palatino Linotype" w:hAnsi="Palatino Linotype"/>
        </w:rPr>
        <w:t xml:space="preserve"> loads and </w:t>
      </w:r>
      <w:r w:rsidRPr="00DD2C68" w:rsidR="00B323EB">
        <w:rPr>
          <w:rFonts w:ascii="Palatino Linotype" w:hAnsi="Palatino Linotype"/>
        </w:rPr>
        <w:t xml:space="preserve">pending loads reporting requirements on an annual basis so that valuable data is collected correctly and consistently to inform future changes to the framework. </w:t>
      </w:r>
    </w:p>
    <w:p w:rsidRPr="00DD2C68" w:rsidR="00206ED7" w:rsidP="007A761B" w:rsidRDefault="004D60E6" w14:paraId="23C8431B" w14:textId="059B84B0">
      <w:pPr>
        <w:numPr>
          <w:ilvl w:val="0"/>
          <w:numId w:val="1"/>
        </w:numPr>
        <w:rPr>
          <w:rFonts w:ascii="Palatino Linotype" w:hAnsi="Palatino Linotype"/>
        </w:rPr>
      </w:pPr>
      <w:r w:rsidRPr="00DD2C68">
        <w:rPr>
          <w:rFonts w:ascii="Palatino Linotype" w:hAnsi="Palatino Linotype"/>
        </w:rPr>
        <w:t xml:space="preserve">The process by which the IOUs will re-evaluate </w:t>
      </w:r>
      <w:r w:rsidRPr="00DD2C68" w:rsidR="00626209">
        <w:rPr>
          <w:rFonts w:ascii="Palatino Linotype" w:hAnsi="Palatino Linotype"/>
        </w:rPr>
        <w:t xml:space="preserve">all </w:t>
      </w:r>
      <w:r w:rsidRPr="00DD2C68">
        <w:rPr>
          <w:rFonts w:ascii="Palatino Linotype" w:hAnsi="Palatino Linotype"/>
        </w:rPr>
        <w:t xml:space="preserve">grid needs and </w:t>
      </w:r>
      <w:r w:rsidRPr="00DD2C68" w:rsidR="00F8738C">
        <w:rPr>
          <w:rFonts w:ascii="Palatino Linotype" w:hAnsi="Palatino Linotype"/>
        </w:rPr>
        <w:t>planned investments</w:t>
      </w:r>
      <w:r w:rsidRPr="00DD2C68">
        <w:rPr>
          <w:rFonts w:ascii="Palatino Linotype" w:hAnsi="Palatino Linotype"/>
        </w:rPr>
        <w:t xml:space="preserve"> and report the results of this re-evaluation has not been well defined.</w:t>
      </w:r>
    </w:p>
    <w:p w:rsidRPr="00DD2C68" w:rsidR="000F0E9E" w:rsidP="007A761B" w:rsidRDefault="000F0E9E" w14:paraId="68BC74AB" w14:textId="27386117">
      <w:pPr>
        <w:pStyle w:val="ListParagraph"/>
        <w:numPr>
          <w:ilvl w:val="0"/>
          <w:numId w:val="1"/>
        </w:numPr>
        <w:rPr>
          <w:rFonts w:ascii="Palatino Linotype" w:hAnsi="Palatino Linotype"/>
        </w:rPr>
      </w:pPr>
      <w:r w:rsidRPr="00DD2C68">
        <w:rPr>
          <w:rFonts w:ascii="Palatino Linotype" w:hAnsi="Palatino Linotype"/>
        </w:rPr>
        <w:t xml:space="preserve">It is appropriate to require the IOUs to provide a detailed description of the process that they </w:t>
      </w:r>
      <w:r w:rsidRPr="00DD2C68" w:rsidR="00B25B30">
        <w:rPr>
          <w:rFonts w:ascii="Palatino Linotype" w:hAnsi="Palatino Linotype"/>
        </w:rPr>
        <w:t xml:space="preserve">will </w:t>
      </w:r>
      <w:r w:rsidRPr="00DD2C68">
        <w:rPr>
          <w:rFonts w:ascii="Palatino Linotype" w:hAnsi="Palatino Linotype"/>
        </w:rPr>
        <w:t>use to re-evaluate grid needs and how they propose to provide any information related to the change in needs in the GNA.</w:t>
      </w:r>
    </w:p>
    <w:p w:rsidRPr="00DD2C68" w:rsidR="00033AF2" w:rsidP="007A761B" w:rsidRDefault="0074336D" w14:paraId="1893A02A" w14:textId="2215D195">
      <w:pPr>
        <w:pStyle w:val="ListParagraph"/>
        <w:numPr>
          <w:ilvl w:val="0"/>
          <w:numId w:val="1"/>
        </w:numPr>
        <w:rPr>
          <w:rFonts w:ascii="Palatino Linotype" w:hAnsi="Palatino Linotype"/>
        </w:rPr>
      </w:pPr>
      <w:r w:rsidRPr="00DD2C68">
        <w:rPr>
          <w:rFonts w:ascii="Palatino Linotype" w:hAnsi="Palatino Linotype"/>
        </w:rPr>
        <w:t xml:space="preserve">It is appropriate to require the IOUs to provide a detailed description of the process that they </w:t>
      </w:r>
      <w:r w:rsidRPr="00DD2C68" w:rsidR="007D2BBD">
        <w:rPr>
          <w:rFonts w:ascii="Palatino Linotype" w:hAnsi="Palatino Linotype"/>
        </w:rPr>
        <w:t xml:space="preserve">will </w:t>
      </w:r>
      <w:r w:rsidRPr="00DD2C68">
        <w:rPr>
          <w:rFonts w:ascii="Palatino Linotype" w:hAnsi="Palatino Linotype"/>
        </w:rPr>
        <w:t>use to re-evaluate planned investments and how they propose to provide this information in the DUPR</w:t>
      </w:r>
      <w:r w:rsidRPr="00DD2C68" w:rsidR="001D3F8A">
        <w:rPr>
          <w:rFonts w:ascii="Palatino Linotype" w:hAnsi="Palatino Linotype"/>
        </w:rPr>
        <w:t>.</w:t>
      </w:r>
      <w:r w:rsidRPr="00DD2C68" w:rsidR="75846D6F">
        <w:rPr>
          <w:rFonts w:ascii="Palatino Linotype" w:hAnsi="Palatino Linotype"/>
        </w:rPr>
        <w:t xml:space="preserve"> </w:t>
      </w:r>
      <w:r w:rsidRPr="00DD2C68" w:rsidR="2F24EA6F">
        <w:rPr>
          <w:rFonts w:ascii="Palatino Linotype" w:hAnsi="Palatino Linotype"/>
        </w:rPr>
        <w:t xml:space="preserve">The annual reporting of pending loads was insufficiently addressed by each utility. </w:t>
      </w:r>
    </w:p>
    <w:p w:rsidRPr="00DD2C68" w:rsidR="00033AF2" w:rsidP="007A761B" w:rsidRDefault="00F936C3" w14:paraId="48DF4533" w14:textId="24156A93">
      <w:pPr>
        <w:pStyle w:val="ListParagraph"/>
        <w:numPr>
          <w:ilvl w:val="0"/>
          <w:numId w:val="1"/>
        </w:numPr>
        <w:rPr>
          <w:rFonts w:ascii="Palatino Linotype" w:hAnsi="Palatino Linotype"/>
        </w:rPr>
      </w:pPr>
      <w:r w:rsidRPr="00DD2C68">
        <w:rPr>
          <w:rFonts w:ascii="Palatino Linotype" w:hAnsi="Palatino Linotype"/>
        </w:rPr>
        <w:t xml:space="preserve">PG&amp;E, and all utilities should report, at minimum, the following data fields in their spreadsheet for customer-based pending loads: </w:t>
      </w:r>
      <w:r w:rsidRPr="00DD2C68" w:rsidR="001310D9">
        <w:rPr>
          <w:rFonts w:ascii="Palatino Linotype" w:hAnsi="Palatino Linotype"/>
        </w:rPr>
        <w:t>Facility ID, Unique Identifier, Load Type</w:t>
      </w:r>
      <w:r w:rsidRPr="00DD2C68" w:rsidR="47B00D09">
        <w:rPr>
          <w:rFonts w:ascii="Palatino Linotype" w:hAnsi="Palatino Linotype"/>
        </w:rPr>
        <w:t xml:space="preserve"> (consistent with those </w:t>
      </w:r>
      <w:r w:rsidRPr="00DD2C68" w:rsidR="32C80ABF">
        <w:rPr>
          <w:rFonts w:ascii="Palatino Linotype" w:hAnsi="Palatino Linotype"/>
        </w:rPr>
        <w:t>reported in known loads)</w:t>
      </w:r>
      <w:r w:rsidRPr="00DD2C68" w:rsidR="001310D9">
        <w:rPr>
          <w:rFonts w:ascii="Palatino Linotype" w:hAnsi="Palatino Linotype"/>
        </w:rPr>
        <w:t>, Category</w:t>
      </w:r>
      <w:r w:rsidRPr="00DD2C68" w:rsidR="54BE32A5">
        <w:rPr>
          <w:rFonts w:ascii="Palatino Linotype" w:hAnsi="Palatino Linotype"/>
        </w:rPr>
        <w:t xml:space="preserve"> (consistent with those reported in known loads)</w:t>
      </w:r>
      <w:r w:rsidRPr="00DD2C68" w:rsidR="001310D9">
        <w:rPr>
          <w:rFonts w:ascii="Palatino Linotype" w:hAnsi="Palatino Linotype"/>
        </w:rPr>
        <w:t>, Source of information (e.g., Customer, Communit</w:t>
      </w:r>
      <w:r w:rsidRPr="00DD2C68" w:rsidR="51BDBEEA">
        <w:rPr>
          <w:rFonts w:ascii="Palatino Linotype" w:hAnsi="Palatino Linotype"/>
        </w:rPr>
        <w:t>y Engagement Plan, Database</w:t>
      </w:r>
      <w:r w:rsidRPr="00DD2C68" w:rsidR="001310D9">
        <w:rPr>
          <w:rFonts w:ascii="Palatino Linotype" w:hAnsi="Palatino Linotype"/>
        </w:rPr>
        <w:t xml:space="preserve">), Capacity (MW), Forecast In Service Year, Category of Pending Loads (A, B1), </w:t>
      </w:r>
      <w:r w:rsidRPr="00DD2C68" w:rsidR="0DDEF2A2">
        <w:rPr>
          <w:rFonts w:ascii="Palatino Linotype" w:hAnsi="Palatino Linotype"/>
        </w:rPr>
        <w:t xml:space="preserve">Hot spot located within if any, </w:t>
      </w:r>
      <w:r w:rsidRPr="00DD2C68">
        <w:rPr>
          <w:rFonts w:ascii="Palatino Linotype" w:hAnsi="Palatino Linotype"/>
        </w:rPr>
        <w:t>and IEPR Status.</w:t>
      </w:r>
    </w:p>
    <w:p w:rsidRPr="00DD2C68" w:rsidR="2EC63290" w:rsidP="007A761B" w:rsidRDefault="55437689" w14:paraId="53BBDB9A" w14:textId="3C23B31B">
      <w:pPr>
        <w:pStyle w:val="ListParagraph"/>
        <w:numPr>
          <w:ilvl w:val="0"/>
          <w:numId w:val="1"/>
        </w:numPr>
        <w:rPr>
          <w:rFonts w:ascii="Palatino Linotype" w:hAnsi="Palatino Linotype" w:cs="Times New Roman"/>
        </w:rPr>
      </w:pPr>
      <w:r w:rsidRPr="00DD2C68">
        <w:rPr>
          <w:rFonts w:ascii="Palatino Linotype" w:hAnsi="Palatino Linotype"/>
        </w:rPr>
        <w:lastRenderedPageBreak/>
        <w:t xml:space="preserve">PG&amp;E, and all utilities should report, at minimum, the following data fields in their spreadsheet for study-based pending loads: </w:t>
      </w:r>
      <w:r w:rsidRPr="00DD2C68" w:rsidR="05C79138">
        <w:rPr>
          <w:rFonts w:ascii="Palatino Linotype" w:hAnsi="Palatino Linotype" w:cs="Times New Roman"/>
        </w:rPr>
        <w:t>Source of information (e.g., study,</w:t>
      </w:r>
      <w:r w:rsidRPr="00DD2C68" w:rsidR="20C74BE9">
        <w:rPr>
          <w:rFonts w:ascii="Palatino Linotype" w:hAnsi="Palatino Linotype" w:cs="Times New Roman"/>
        </w:rPr>
        <w:t xml:space="preserve"> </w:t>
      </w:r>
      <w:r w:rsidRPr="00DD2C68" w:rsidR="05C79138">
        <w:rPr>
          <w:rFonts w:ascii="Palatino Linotype" w:hAnsi="Palatino Linotype" w:cs="Times New Roman"/>
        </w:rPr>
        <w:t>forecasting models, etc.) , Data Access (e.g., links to public data, or provider of data if not publicly available)</w:t>
      </w:r>
      <w:r w:rsidRPr="00DD2C68" w:rsidR="054BAF50">
        <w:rPr>
          <w:rFonts w:ascii="Palatino Linotype" w:hAnsi="Palatino Linotype" w:cs="Times New Roman"/>
        </w:rPr>
        <w:t xml:space="preserve">, </w:t>
      </w:r>
      <w:r w:rsidRPr="00DD2C68" w:rsidR="05C79138">
        <w:rPr>
          <w:rFonts w:ascii="Palatino Linotype" w:hAnsi="Palatino Linotype" w:cs="Times New Roman"/>
        </w:rPr>
        <w:t>Detailed Methodology, including how data sources are translated into Pending Loads. Categorization of Pending Loads obtained from the study (B2 or C</w:t>
      </w:r>
      <w:r w:rsidRPr="00DD2C68" w:rsidR="094FDE2C">
        <w:rPr>
          <w:rFonts w:ascii="Palatino Linotype" w:hAnsi="Palatino Linotype" w:cs="Times New Roman"/>
        </w:rPr>
        <w:t xml:space="preserve">), and </w:t>
      </w:r>
      <w:r w:rsidRPr="00DD2C68" w:rsidR="05C79138">
        <w:rPr>
          <w:rFonts w:ascii="Palatino Linotype" w:hAnsi="Palatino Linotype" w:cs="Times New Roman"/>
        </w:rPr>
        <w:t>Hot Spot location, if any</w:t>
      </w:r>
      <w:r w:rsidRPr="00DD2C68" w:rsidR="587007A2">
        <w:rPr>
          <w:rFonts w:ascii="Palatino Linotype" w:hAnsi="Palatino Linotype" w:cs="Times New Roman"/>
        </w:rPr>
        <w:t>.</w:t>
      </w:r>
    </w:p>
    <w:p w:rsidRPr="00DD2C68" w:rsidR="282380CE" w:rsidP="007A761B" w:rsidRDefault="282380CE" w14:paraId="09A21CD4" w14:textId="6294B73D">
      <w:pPr>
        <w:pStyle w:val="ListParagraph"/>
        <w:numPr>
          <w:ilvl w:val="0"/>
          <w:numId w:val="1"/>
        </w:numPr>
        <w:rPr>
          <w:rFonts w:ascii="Palatino Linotype" w:hAnsi="Palatino Linotype" w:eastAsia="Palatino Linotype" w:cs="Palatino Linotype"/>
        </w:rPr>
      </w:pPr>
      <w:r w:rsidRPr="00DD2C68">
        <w:rPr>
          <w:rFonts w:ascii="Palatino Linotype" w:hAnsi="Palatino Linotype" w:cs="Times New Roman"/>
        </w:rPr>
        <w:t xml:space="preserve">It is reasonable to require the </w:t>
      </w:r>
      <w:r w:rsidRPr="00DD2C68">
        <w:rPr>
          <w:rFonts w:ascii="Palatino Linotype" w:hAnsi="Palatino Linotype" w:eastAsia="Palatino Linotype" w:cs="Palatino Linotype"/>
        </w:rPr>
        <w:t xml:space="preserve">IOUs to consult with Energy Division prior to the GNA/DUPR filing date to confirm the fields and formats for how </w:t>
      </w:r>
      <w:r w:rsidR="00F53E19">
        <w:rPr>
          <w:rFonts w:ascii="Palatino Linotype" w:hAnsi="Palatino Linotype" w:eastAsia="Palatino Linotype" w:cs="Palatino Linotype"/>
        </w:rPr>
        <w:t xml:space="preserve">known loads and </w:t>
      </w:r>
      <w:r w:rsidRPr="00DD2C68">
        <w:rPr>
          <w:rFonts w:ascii="Palatino Linotype" w:hAnsi="Palatino Linotype" w:eastAsia="Palatino Linotype" w:cs="Palatino Linotype"/>
        </w:rPr>
        <w:t>pending loads should be reported in the GNA/DUPR.</w:t>
      </w:r>
    </w:p>
    <w:p w:rsidRPr="00DD2C68" w:rsidR="00033AF2" w:rsidP="007A761B" w:rsidRDefault="00033AF2" w14:paraId="6E2FCB03" w14:textId="430B3886">
      <w:pPr>
        <w:pStyle w:val="ListParagraph"/>
        <w:numPr>
          <w:ilvl w:val="0"/>
          <w:numId w:val="1"/>
        </w:numPr>
        <w:rPr>
          <w:rFonts w:ascii="Palatino Linotype" w:hAnsi="Palatino Linotype"/>
        </w:rPr>
      </w:pPr>
      <w:r w:rsidRPr="00DD2C68">
        <w:rPr>
          <w:rFonts w:ascii="Palatino Linotype" w:hAnsi="Palatino Linotype"/>
        </w:rPr>
        <w:t xml:space="preserve">Neither SCE nor SDG&amp;E reference the Community Engagement Plans, or the outreach described therewithin, as a source of customer </w:t>
      </w:r>
      <w:proofErr w:type="gramStart"/>
      <w:r w:rsidRPr="00DD2C68">
        <w:rPr>
          <w:rFonts w:ascii="Palatino Linotype" w:hAnsi="Palatino Linotype"/>
        </w:rPr>
        <w:t>inputs</w:t>
      </w:r>
      <w:proofErr w:type="gramEnd"/>
      <w:r w:rsidRPr="00DD2C68" w:rsidR="2CA3FC7C">
        <w:rPr>
          <w:rFonts w:ascii="Palatino Linotype" w:hAnsi="Palatino Linotype"/>
        </w:rPr>
        <w:t xml:space="preserve"> to pending loads</w:t>
      </w:r>
      <w:r w:rsidRPr="00DD2C68">
        <w:rPr>
          <w:rFonts w:ascii="Palatino Linotype" w:hAnsi="Palatino Linotype"/>
        </w:rPr>
        <w:t>.</w:t>
      </w:r>
    </w:p>
    <w:p w:rsidRPr="00DD2C68" w:rsidR="000F27E7" w:rsidP="007A761B" w:rsidRDefault="00033AF2" w14:paraId="4041F936" w14:textId="611402A7">
      <w:pPr>
        <w:pStyle w:val="ListParagraph"/>
        <w:numPr>
          <w:ilvl w:val="0"/>
          <w:numId w:val="1"/>
        </w:numPr>
        <w:spacing w:after="0" w:line="240" w:lineRule="auto"/>
        <w:rPr>
          <w:rFonts w:ascii="Palatino Linotype" w:hAnsi="Palatino Linotype" w:eastAsia="Palatino Linotype" w:cs="Times New Roman"/>
        </w:rPr>
      </w:pPr>
      <w:r w:rsidRPr="00DD2C68">
        <w:rPr>
          <w:rFonts w:ascii="Palatino Linotype" w:hAnsi="Palatino Linotype"/>
        </w:rPr>
        <w:t xml:space="preserve">It is reasonable for SCE and SDG&amp;E to use the community outreach opportunities described within </w:t>
      </w:r>
      <w:r w:rsidRPr="00DD2C68" w:rsidR="00846456">
        <w:rPr>
          <w:rFonts w:ascii="Palatino Linotype" w:hAnsi="Palatino Linotype"/>
        </w:rPr>
        <w:t xml:space="preserve">each utility’s </w:t>
      </w:r>
      <w:r w:rsidRPr="00DD2C68">
        <w:rPr>
          <w:rFonts w:ascii="Palatino Linotype" w:hAnsi="Palatino Linotype"/>
        </w:rPr>
        <w:t>Community Engagement Plan to collect information on community plans and load growth projects to inform Category A and Category B1 pending loads.</w:t>
      </w:r>
    </w:p>
    <w:p w:rsidRPr="00DD2C68" w:rsidR="000F27E7" w:rsidP="007A761B" w:rsidRDefault="6173C856" w14:paraId="7B66BC17" w14:textId="025453B4">
      <w:pPr>
        <w:pStyle w:val="ListParagraph"/>
        <w:numPr>
          <w:ilvl w:val="0"/>
          <w:numId w:val="1"/>
        </w:numPr>
        <w:spacing w:after="0" w:line="240" w:lineRule="auto"/>
        <w:rPr>
          <w:rFonts w:ascii="Palatino Linotype" w:hAnsi="Palatino Linotype" w:eastAsia="Palatino Linotype" w:cs="Times New Roman"/>
        </w:rPr>
      </w:pPr>
      <w:r w:rsidRPr="00DD2C68">
        <w:rPr>
          <w:rFonts w:ascii="Palatino Linotype" w:hAnsi="Palatino Linotype" w:eastAsia="Palatino Linotype" w:cs="Times New Roman"/>
        </w:rPr>
        <w:t>It is reasonable for the pending loads categories</w:t>
      </w:r>
      <w:r w:rsidR="00BD345E">
        <w:rPr>
          <w:rFonts w:ascii="Palatino Linotype" w:hAnsi="Palatino Linotype" w:eastAsia="Palatino Linotype" w:cs="Times New Roman"/>
        </w:rPr>
        <w:t xml:space="preserve"> and minimum criteria</w:t>
      </w:r>
      <w:r w:rsidRPr="00DD2C68">
        <w:rPr>
          <w:rFonts w:ascii="Palatino Linotype" w:hAnsi="Palatino Linotype" w:eastAsia="Palatino Linotype" w:cs="Times New Roman"/>
        </w:rPr>
        <w:t>, as adopted and modified by this resolution</w:t>
      </w:r>
      <w:r w:rsidR="00403A8D">
        <w:rPr>
          <w:rFonts w:ascii="Palatino Linotype" w:hAnsi="Palatino Linotype" w:eastAsia="Palatino Linotype" w:cs="Times New Roman"/>
        </w:rPr>
        <w:t xml:space="preserve"> in Table 2</w:t>
      </w:r>
      <w:r w:rsidRPr="00DD2C68">
        <w:rPr>
          <w:rFonts w:ascii="Palatino Linotype" w:hAnsi="Palatino Linotype" w:eastAsia="Palatino Linotype" w:cs="Times New Roman"/>
        </w:rPr>
        <w:t xml:space="preserve">, to be implemented in the 2025-2026 </w:t>
      </w:r>
      <w:r w:rsidR="008F5EE9">
        <w:rPr>
          <w:rFonts w:ascii="Palatino Linotype" w:hAnsi="Palatino Linotype" w:eastAsia="Palatino Linotype" w:cs="Times New Roman"/>
        </w:rPr>
        <w:t>DPEP</w:t>
      </w:r>
      <w:r w:rsidRPr="00DD2C68" w:rsidR="008F5EE9">
        <w:rPr>
          <w:rFonts w:ascii="Palatino Linotype" w:hAnsi="Palatino Linotype" w:eastAsia="Palatino Linotype" w:cs="Times New Roman"/>
        </w:rPr>
        <w:t xml:space="preserve"> </w:t>
      </w:r>
      <w:r w:rsidRPr="00DD2C68">
        <w:rPr>
          <w:rFonts w:ascii="Palatino Linotype" w:hAnsi="Palatino Linotype" w:eastAsia="Palatino Linotype" w:cs="Times New Roman"/>
        </w:rPr>
        <w:t>cycle</w:t>
      </w:r>
      <w:r w:rsidRPr="00DD2C68" w:rsidR="00386943">
        <w:rPr>
          <w:rFonts w:ascii="Palatino Linotype" w:hAnsi="Palatino Linotype" w:eastAsia="Palatino Linotype" w:cs="Times New Roman"/>
        </w:rPr>
        <w:t>.</w:t>
      </w:r>
    </w:p>
    <w:p w:rsidR="001B152E" w:rsidP="001B152E" w:rsidRDefault="001B152E" w14:paraId="1BDDF13C" w14:textId="20BD4B94">
      <w:pPr>
        <w:pStyle w:val="ListParagraph"/>
        <w:numPr>
          <w:ilvl w:val="0"/>
          <w:numId w:val="1"/>
        </w:numPr>
        <w:spacing w:after="0" w:line="240" w:lineRule="auto"/>
        <w:rPr>
          <w:rFonts w:ascii="Palatino Linotype" w:hAnsi="Palatino Linotype" w:eastAsia="Palatino Linotype" w:cs="Times New Roman"/>
        </w:rPr>
      </w:pPr>
      <w:r>
        <w:rPr>
          <w:rFonts w:ascii="Palatino Linotype" w:hAnsi="Palatino Linotype" w:eastAsia="Palatino Linotype" w:cs="Times New Roman"/>
        </w:rPr>
        <w:t>It is reasonable that the Minimum Criteria related to the status of Key Permits</w:t>
      </w:r>
      <w:r w:rsidR="00220BA8">
        <w:rPr>
          <w:rFonts w:ascii="Palatino Linotype" w:hAnsi="Palatino Linotype" w:eastAsia="Palatino Linotype" w:cs="Times New Roman"/>
        </w:rPr>
        <w:t xml:space="preserve"> and</w:t>
      </w:r>
      <w:r>
        <w:rPr>
          <w:rFonts w:ascii="Palatino Linotype" w:hAnsi="Palatino Linotype" w:eastAsia="Palatino Linotype" w:cs="Times New Roman"/>
        </w:rPr>
        <w:t xml:space="preserve"> Funding Source</w:t>
      </w:r>
      <w:r w:rsidR="008D2B77">
        <w:rPr>
          <w:rFonts w:ascii="Palatino Linotype" w:hAnsi="Palatino Linotype" w:eastAsia="Palatino Linotype" w:cs="Times New Roman"/>
        </w:rPr>
        <w:t xml:space="preserve"> </w:t>
      </w:r>
      <w:r>
        <w:rPr>
          <w:rFonts w:ascii="Palatino Linotype" w:hAnsi="Palatino Linotype" w:eastAsia="Palatino Linotype" w:cs="Times New Roman"/>
        </w:rPr>
        <w:t xml:space="preserve">be included in the forecast to the extent that such data are </w:t>
      </w:r>
      <w:r w:rsidRPr="0A6F0B80" w:rsidR="1C9ADD09">
        <w:rPr>
          <w:rFonts w:ascii="Palatino Linotype" w:hAnsi="Palatino Linotype" w:eastAsia="Palatino Linotype" w:cs="Times New Roman"/>
        </w:rPr>
        <w:t>available</w:t>
      </w:r>
      <w:r>
        <w:rPr>
          <w:rFonts w:ascii="Palatino Linotype" w:hAnsi="Palatino Linotype" w:eastAsia="Palatino Linotype" w:cs="Times New Roman"/>
        </w:rPr>
        <w:t xml:space="preserve"> within the required timeframe </w:t>
      </w:r>
      <w:r w:rsidR="00926EDA">
        <w:rPr>
          <w:rFonts w:ascii="Palatino Linotype" w:hAnsi="Palatino Linotype" w:eastAsia="Palatino Linotype" w:cs="Times New Roman"/>
        </w:rPr>
        <w:t>to publish the GNA</w:t>
      </w:r>
      <w:r w:rsidR="00336665">
        <w:rPr>
          <w:rFonts w:ascii="Palatino Linotype" w:hAnsi="Palatino Linotype" w:eastAsia="Palatino Linotype" w:cs="Times New Roman"/>
        </w:rPr>
        <w:t>/DUPR</w:t>
      </w:r>
      <w:r w:rsidRPr="0A6F0B80" w:rsidR="1C9ADD09">
        <w:rPr>
          <w:rFonts w:ascii="Palatino Linotype" w:hAnsi="Palatino Linotype" w:eastAsia="Palatino Linotype" w:cs="Times New Roman"/>
        </w:rPr>
        <w:t xml:space="preserve"> </w:t>
      </w:r>
      <w:r>
        <w:rPr>
          <w:rFonts w:ascii="Palatino Linotype" w:hAnsi="Palatino Linotype" w:eastAsia="Palatino Linotype" w:cs="Times New Roman"/>
        </w:rPr>
        <w:t xml:space="preserve">for the 2025-2026 DPEP cycle. </w:t>
      </w:r>
      <w:r w:rsidRPr="0A6F0B80" w:rsidR="2C9FB48E">
        <w:rPr>
          <w:rFonts w:ascii="Palatino Linotype" w:hAnsi="Palatino Linotype" w:eastAsia="Palatino Linotype" w:cs="Times New Roman"/>
        </w:rPr>
        <w:t>It is reasonable that all Minimum Criteria are required for the 2026-2027 DPEP cycle.</w:t>
      </w:r>
    </w:p>
    <w:p w:rsidR="00A76F4A" w:rsidP="00A76F4A" w:rsidRDefault="00A76F4A" w14:paraId="4636079E" w14:textId="20012FBC">
      <w:pPr>
        <w:spacing w:after="0" w:line="240" w:lineRule="auto"/>
        <w:rPr>
          <w:rFonts w:ascii="Palatino Linotype" w:hAnsi="Palatino Linotype" w:eastAsia="Palatino Linotype" w:cs="Times New Roman"/>
          <w:kern w:val="0"/>
          <w14:ligatures w14:val="none"/>
        </w:rPr>
      </w:pPr>
    </w:p>
    <w:p w:rsidRPr="00DD2C68" w:rsidR="00A76F4A" w:rsidP="4708E492" w:rsidRDefault="00A76F4A" w14:paraId="215FEFCC" w14:textId="6891123E">
      <w:pPr>
        <w:keepNext/>
        <w:spacing w:before="120" w:after="240" w:line="240" w:lineRule="auto"/>
        <w:ind w:firstLine="360"/>
        <w:outlineLvl w:val="0"/>
        <w:rPr>
          <w:rFonts w:ascii="Palatino Linotype" w:hAnsi="Palatino Linotype" w:eastAsia="Palatino Linotype" w:cs="Times New Roman"/>
          <w:b/>
          <w:caps/>
          <w:kern w:val="28"/>
          <w:u w:val="single"/>
          <w14:ligatures w14:val="none"/>
        </w:rPr>
      </w:pPr>
      <w:proofErr w:type="gramStart"/>
      <w:r w:rsidRPr="00DD2C68">
        <w:rPr>
          <w:rFonts w:ascii="Palatino Linotype" w:hAnsi="Palatino Linotype" w:eastAsia="Palatino Linotype" w:cs="Times New Roman"/>
          <w:b/>
          <w:caps/>
          <w:kern w:val="28"/>
          <w:u w:val="single"/>
          <w14:ligatures w14:val="none"/>
        </w:rPr>
        <w:t>Therefore</w:t>
      </w:r>
      <w:proofErr w:type="gramEnd"/>
      <w:r w:rsidRPr="00DD2C68">
        <w:rPr>
          <w:rFonts w:ascii="Palatino Linotype" w:hAnsi="Palatino Linotype" w:eastAsia="Palatino Linotype" w:cs="Times New Roman"/>
          <w:b/>
          <w:caps/>
          <w:kern w:val="28"/>
          <w:u w:val="single"/>
          <w14:ligatures w14:val="none"/>
        </w:rPr>
        <w:t xml:space="preserve"> it is ordered that:</w:t>
      </w:r>
    </w:p>
    <w:p w:rsidRPr="00DD2C68" w:rsidR="00755359" w:rsidP="00344F46" w:rsidRDefault="00A76F4A" w14:paraId="730CFC7C" w14:textId="374061E3">
      <w:pPr>
        <w:pStyle w:val="ListParagraph"/>
        <w:numPr>
          <w:ilvl w:val="0"/>
          <w:numId w:val="10"/>
        </w:numPr>
        <w:spacing w:after="120" w:line="240" w:lineRule="auto"/>
        <w:contextualSpacing w:val="0"/>
        <w:rPr>
          <w:rFonts w:ascii="Palatino Linotype" w:hAnsi="Palatino Linotype" w:eastAsia="Palatino Linotype" w:cs="Times New Roman"/>
          <w:snapToGrid w:val="0"/>
          <w:kern w:val="0"/>
          <w14:ligatures w14:val="none"/>
        </w:rPr>
      </w:pPr>
      <w:r w:rsidRPr="00DD2C68">
        <w:rPr>
          <w:rFonts w:ascii="Palatino Linotype" w:hAnsi="Palatino Linotype" w:eastAsia="Palatino Linotype" w:cs="Times New Roman"/>
          <w:snapToGrid w:val="0"/>
          <w:kern w:val="0"/>
          <w14:ligatures w14:val="none"/>
        </w:rPr>
        <w:t xml:space="preserve">The request of the </w:t>
      </w:r>
      <w:r w:rsidRPr="00DD2C68" w:rsidR="00BB5958">
        <w:rPr>
          <w:rFonts w:ascii="Palatino Linotype" w:hAnsi="Palatino Linotype" w:eastAsia="Palatino Linotype" w:cs="Times New Roman"/>
          <w:snapToGrid w:val="0"/>
          <w:kern w:val="0"/>
          <w14:ligatures w14:val="none"/>
        </w:rPr>
        <w:t>Southern California Edison</w:t>
      </w:r>
      <w:r w:rsidRPr="00DD2C68" w:rsidR="004502EA">
        <w:rPr>
          <w:rFonts w:ascii="Palatino Linotype" w:hAnsi="Palatino Linotype" w:eastAsia="Palatino Linotype" w:cs="Times New Roman"/>
          <w:snapToGrid w:val="0"/>
          <w:kern w:val="0"/>
          <w14:ligatures w14:val="none"/>
        </w:rPr>
        <w:t xml:space="preserve"> Company</w:t>
      </w:r>
      <w:r w:rsidRPr="00DD2C68" w:rsidR="00BB5958">
        <w:rPr>
          <w:rFonts w:ascii="Palatino Linotype" w:hAnsi="Palatino Linotype" w:eastAsia="Palatino Linotype" w:cs="Times New Roman"/>
          <w:snapToGrid w:val="0"/>
          <w:kern w:val="0"/>
          <w14:ligatures w14:val="none"/>
        </w:rPr>
        <w:t>, Pacific Gas and Electric</w:t>
      </w:r>
      <w:r w:rsidRPr="00DD2C68" w:rsidR="00AF5E97">
        <w:rPr>
          <w:rFonts w:ascii="Palatino Linotype" w:hAnsi="Palatino Linotype" w:eastAsia="Palatino Linotype" w:cs="Times New Roman"/>
          <w:snapToGrid w:val="0"/>
          <w:kern w:val="0"/>
          <w14:ligatures w14:val="none"/>
        </w:rPr>
        <w:t xml:space="preserve"> </w:t>
      </w:r>
      <w:r w:rsidRPr="00DD2C68" w:rsidR="004502EA">
        <w:rPr>
          <w:rFonts w:ascii="Palatino Linotype" w:hAnsi="Palatino Linotype" w:eastAsia="Palatino Linotype" w:cs="Times New Roman"/>
          <w:snapToGrid w:val="0"/>
          <w:kern w:val="0"/>
          <w14:ligatures w14:val="none"/>
        </w:rPr>
        <w:t>Company</w:t>
      </w:r>
      <w:r w:rsidRPr="00DD2C68" w:rsidR="00BB5958">
        <w:rPr>
          <w:rFonts w:ascii="Palatino Linotype" w:hAnsi="Palatino Linotype" w:eastAsia="Palatino Linotype" w:cs="Times New Roman"/>
          <w:snapToGrid w:val="0"/>
          <w:kern w:val="0"/>
          <w14:ligatures w14:val="none"/>
        </w:rPr>
        <w:t xml:space="preserve">, and San Diego Gas </w:t>
      </w:r>
      <w:r w:rsidRPr="00DD2C68" w:rsidR="004502EA">
        <w:rPr>
          <w:rFonts w:ascii="Palatino Linotype" w:hAnsi="Palatino Linotype" w:eastAsia="Palatino Linotype" w:cs="Times New Roman"/>
          <w:snapToGrid w:val="0"/>
          <w:kern w:val="0"/>
          <w14:ligatures w14:val="none"/>
        </w:rPr>
        <w:t>&amp;</w:t>
      </w:r>
      <w:r w:rsidRPr="00DD2C68" w:rsidR="00BB5958">
        <w:rPr>
          <w:rFonts w:ascii="Palatino Linotype" w:hAnsi="Palatino Linotype" w:eastAsia="Palatino Linotype" w:cs="Times New Roman"/>
          <w:snapToGrid w:val="0"/>
          <w:kern w:val="0"/>
          <w14:ligatures w14:val="none"/>
        </w:rPr>
        <w:t xml:space="preserve"> Electric</w:t>
      </w:r>
      <w:r w:rsidRPr="00DD2C68">
        <w:rPr>
          <w:rFonts w:ascii="Palatino Linotype" w:hAnsi="Palatino Linotype" w:eastAsia="Palatino Linotype" w:cs="Times New Roman"/>
          <w:snapToGrid w:val="0"/>
          <w:kern w:val="0"/>
          <w14:ligatures w14:val="none"/>
        </w:rPr>
        <w:t xml:space="preserve"> </w:t>
      </w:r>
      <w:r w:rsidRPr="00DD2C68" w:rsidR="004502EA">
        <w:rPr>
          <w:rFonts w:ascii="Palatino Linotype" w:hAnsi="Palatino Linotype" w:eastAsia="Palatino Linotype" w:cs="Times New Roman"/>
          <w:snapToGrid w:val="0"/>
          <w:kern w:val="0"/>
          <w14:ligatures w14:val="none"/>
        </w:rPr>
        <w:t>Company</w:t>
      </w:r>
      <w:r w:rsidRPr="00DD2C68" w:rsidR="00AF5E97">
        <w:rPr>
          <w:rFonts w:ascii="Palatino Linotype" w:hAnsi="Palatino Linotype" w:eastAsia="Palatino Linotype" w:cs="Times New Roman"/>
          <w:snapToGrid w:val="0"/>
          <w:kern w:val="0"/>
          <w14:ligatures w14:val="none"/>
        </w:rPr>
        <w:t xml:space="preserve"> </w:t>
      </w:r>
      <w:r w:rsidRPr="00DD2C68">
        <w:rPr>
          <w:rFonts w:ascii="Palatino Linotype" w:hAnsi="Palatino Linotype" w:eastAsia="Palatino Linotype" w:cs="Times New Roman"/>
          <w:snapToGrid w:val="0"/>
          <w:kern w:val="0"/>
          <w14:ligatures w14:val="none"/>
        </w:rPr>
        <w:t xml:space="preserve">to </w:t>
      </w:r>
      <w:r w:rsidRPr="00DD2C68" w:rsidR="00BB5958">
        <w:rPr>
          <w:rFonts w:ascii="Palatino Linotype" w:hAnsi="Palatino Linotype" w:eastAsia="Times New Roman" w:cs="Times New Roman"/>
        </w:rPr>
        <w:t>establish and use the pending loads category in the distribution planning process</w:t>
      </w:r>
      <w:r w:rsidRPr="00DD2C68" w:rsidR="00BB5958">
        <w:rPr>
          <w:rFonts w:ascii="Palatino Linotype" w:hAnsi="Palatino Linotype" w:eastAsia="Palatino Linotype" w:cs="Times New Roman"/>
          <w:snapToGrid w:val="0"/>
          <w:kern w:val="0"/>
          <w14:ligatures w14:val="none"/>
        </w:rPr>
        <w:t xml:space="preserve"> </w:t>
      </w:r>
      <w:r w:rsidRPr="00DD2C68">
        <w:rPr>
          <w:rFonts w:ascii="Palatino Linotype" w:hAnsi="Palatino Linotype" w:eastAsia="Palatino Linotype" w:cs="Times New Roman"/>
          <w:snapToGrid w:val="0"/>
          <w:kern w:val="0"/>
          <w14:ligatures w14:val="none"/>
        </w:rPr>
        <w:t xml:space="preserve">as requested in Advice Letter </w:t>
      </w:r>
      <w:r w:rsidRPr="00DD2C68" w:rsidR="00E44E8B">
        <w:rPr>
          <w:rFonts w:ascii="Palatino Linotype" w:hAnsi="Palatino Linotype" w:eastAsia="Palatino Linotype" w:cs="Times New Roman"/>
          <w:snapToGrid w:val="0"/>
          <w:kern w:val="0"/>
          <w14:ligatures w14:val="none"/>
        </w:rPr>
        <w:t>5567-E</w:t>
      </w:r>
      <w:r w:rsidRPr="00DD2C68" w:rsidR="00D464A8">
        <w:rPr>
          <w:rFonts w:ascii="Palatino Linotype" w:hAnsi="Palatino Linotype" w:eastAsia="Palatino Linotype" w:cs="Times New Roman"/>
          <w:snapToGrid w:val="0"/>
          <w:kern w:val="0"/>
          <w14:ligatures w14:val="none"/>
        </w:rPr>
        <w:t xml:space="preserve"> et al.</w:t>
      </w:r>
      <w:r w:rsidRPr="00DD2C68">
        <w:rPr>
          <w:rFonts w:ascii="Palatino Linotype" w:hAnsi="Palatino Linotype" w:eastAsia="Palatino Linotype" w:cs="Times New Roman"/>
          <w:kern w:val="0"/>
          <w14:ligatures w14:val="none"/>
        </w:rPr>
        <w:t xml:space="preserve"> </w:t>
      </w:r>
      <w:r w:rsidRPr="00DD2C68">
        <w:rPr>
          <w:rFonts w:ascii="Palatino Linotype" w:hAnsi="Palatino Linotype" w:eastAsia="Palatino Linotype" w:cs="Times New Roman"/>
          <w:snapToGrid w:val="0"/>
          <w:kern w:val="0"/>
          <w14:ligatures w14:val="none"/>
        </w:rPr>
        <w:t>is approved</w:t>
      </w:r>
      <w:r w:rsidRPr="00DD2C68" w:rsidR="3BE19A8F">
        <w:rPr>
          <w:rFonts w:ascii="Palatino Linotype" w:hAnsi="Palatino Linotype" w:eastAsia="Palatino Linotype" w:cs="Times New Roman"/>
          <w:snapToGrid w:val="0"/>
          <w:kern w:val="0"/>
          <w14:ligatures w14:val="none"/>
        </w:rPr>
        <w:t xml:space="preserve"> with modifications set forth below and otherwise specified herein.</w:t>
      </w:r>
    </w:p>
    <w:p w:rsidRPr="00DD2C68" w:rsidR="0001114E" w:rsidP="00344F46" w:rsidRDefault="0001114E" w14:paraId="43836300" w14:textId="055C482F">
      <w:pPr>
        <w:pStyle w:val="ListParagraph"/>
        <w:numPr>
          <w:ilvl w:val="0"/>
          <w:numId w:val="10"/>
        </w:numPr>
        <w:spacing w:after="120" w:line="240" w:lineRule="auto"/>
        <w:contextualSpacing w:val="0"/>
        <w:rPr>
          <w:rFonts w:ascii="Palatino Linotype" w:hAnsi="Palatino Linotype" w:eastAsia="Palatino Linotype" w:cs="Times New Roman"/>
          <w:snapToGrid w:val="0"/>
          <w:kern w:val="0"/>
          <w14:ligatures w14:val="none"/>
        </w:rPr>
      </w:pPr>
      <w:r w:rsidRPr="00DD2C68">
        <w:rPr>
          <w:rFonts w:ascii="Palatino Linotype" w:hAnsi="Palatino Linotype" w:eastAsia="Palatino Linotype" w:cs="Times New Roman"/>
          <w:snapToGrid w:val="0"/>
          <w:kern w:val="0"/>
          <w14:ligatures w14:val="none"/>
        </w:rPr>
        <w:t>S</w:t>
      </w:r>
      <w:r w:rsidRPr="00DD2C68" w:rsidR="00343946">
        <w:rPr>
          <w:rFonts w:ascii="Palatino Linotype" w:hAnsi="Palatino Linotype" w:eastAsia="Palatino Linotype" w:cs="Times New Roman"/>
          <w:snapToGrid w:val="0"/>
          <w:kern w:val="0"/>
          <w14:ligatures w14:val="none"/>
        </w:rPr>
        <w:t xml:space="preserve">outhern </w:t>
      </w:r>
      <w:r w:rsidRPr="00DD2C68">
        <w:rPr>
          <w:rFonts w:ascii="Palatino Linotype" w:hAnsi="Palatino Linotype" w:eastAsia="Palatino Linotype" w:cs="Times New Roman"/>
          <w:snapToGrid w:val="0"/>
          <w:kern w:val="0"/>
          <w14:ligatures w14:val="none"/>
        </w:rPr>
        <w:t>C</w:t>
      </w:r>
      <w:r w:rsidRPr="00DD2C68" w:rsidR="00343946">
        <w:rPr>
          <w:rFonts w:ascii="Palatino Linotype" w:hAnsi="Palatino Linotype" w:eastAsia="Palatino Linotype" w:cs="Times New Roman"/>
          <w:snapToGrid w:val="0"/>
          <w:kern w:val="0"/>
          <w14:ligatures w14:val="none"/>
        </w:rPr>
        <w:t xml:space="preserve">alifornia </w:t>
      </w:r>
      <w:r w:rsidRPr="00DD2C68">
        <w:rPr>
          <w:rFonts w:ascii="Palatino Linotype" w:hAnsi="Palatino Linotype" w:eastAsia="Palatino Linotype" w:cs="Times New Roman"/>
          <w:snapToGrid w:val="0"/>
          <w:kern w:val="0"/>
          <w14:ligatures w14:val="none"/>
        </w:rPr>
        <w:t>E</w:t>
      </w:r>
      <w:r w:rsidRPr="00DD2C68" w:rsidR="00343946">
        <w:rPr>
          <w:rFonts w:ascii="Palatino Linotype" w:hAnsi="Palatino Linotype" w:eastAsia="Palatino Linotype" w:cs="Times New Roman"/>
          <w:snapToGrid w:val="0"/>
          <w:kern w:val="0"/>
          <w14:ligatures w14:val="none"/>
        </w:rPr>
        <w:t>dison Company</w:t>
      </w:r>
      <w:r w:rsidRPr="00DD2C68">
        <w:rPr>
          <w:rFonts w:ascii="Palatino Linotype" w:hAnsi="Palatino Linotype" w:eastAsia="Palatino Linotype" w:cs="Times New Roman"/>
          <w:snapToGrid w:val="0"/>
          <w:kern w:val="0"/>
          <w14:ligatures w14:val="none"/>
        </w:rPr>
        <w:t>, P</w:t>
      </w:r>
      <w:r w:rsidRPr="00DD2C68" w:rsidR="004502EA">
        <w:rPr>
          <w:rFonts w:ascii="Palatino Linotype" w:hAnsi="Palatino Linotype" w:eastAsia="Palatino Linotype" w:cs="Times New Roman"/>
          <w:snapToGrid w:val="0"/>
          <w:kern w:val="0"/>
          <w14:ligatures w14:val="none"/>
        </w:rPr>
        <w:t xml:space="preserve">acific </w:t>
      </w:r>
      <w:r w:rsidRPr="00DD2C68">
        <w:rPr>
          <w:rFonts w:ascii="Palatino Linotype" w:hAnsi="Palatino Linotype" w:eastAsia="Palatino Linotype" w:cs="Times New Roman"/>
          <w:snapToGrid w:val="0"/>
          <w:kern w:val="0"/>
          <w14:ligatures w14:val="none"/>
        </w:rPr>
        <w:t>G</w:t>
      </w:r>
      <w:r w:rsidRPr="00DD2C68" w:rsidR="004502EA">
        <w:rPr>
          <w:rFonts w:ascii="Palatino Linotype" w:hAnsi="Palatino Linotype" w:eastAsia="Palatino Linotype" w:cs="Times New Roman"/>
          <w:snapToGrid w:val="0"/>
          <w:kern w:val="0"/>
          <w14:ligatures w14:val="none"/>
        </w:rPr>
        <w:t xml:space="preserve">as and </w:t>
      </w:r>
      <w:r w:rsidRPr="00DD2C68">
        <w:rPr>
          <w:rFonts w:ascii="Palatino Linotype" w:hAnsi="Palatino Linotype" w:eastAsia="Palatino Linotype" w:cs="Times New Roman"/>
          <w:snapToGrid w:val="0"/>
          <w:kern w:val="0"/>
          <w14:ligatures w14:val="none"/>
        </w:rPr>
        <w:t>E</w:t>
      </w:r>
      <w:r w:rsidRPr="00DD2C68" w:rsidR="004502EA">
        <w:rPr>
          <w:rFonts w:ascii="Palatino Linotype" w:hAnsi="Palatino Linotype" w:eastAsia="Palatino Linotype" w:cs="Times New Roman"/>
          <w:snapToGrid w:val="0"/>
          <w:kern w:val="0"/>
          <w14:ligatures w14:val="none"/>
        </w:rPr>
        <w:t>lectric Company</w:t>
      </w:r>
      <w:r w:rsidRPr="00DD2C68">
        <w:rPr>
          <w:rFonts w:ascii="Palatino Linotype" w:hAnsi="Palatino Linotype" w:eastAsia="Palatino Linotype" w:cs="Times New Roman"/>
          <w:snapToGrid w:val="0"/>
          <w:kern w:val="0"/>
          <w14:ligatures w14:val="none"/>
        </w:rPr>
        <w:t>, and S</w:t>
      </w:r>
      <w:r w:rsidRPr="00DD2C68" w:rsidR="004502EA">
        <w:rPr>
          <w:rFonts w:ascii="Palatino Linotype" w:hAnsi="Palatino Linotype" w:eastAsia="Palatino Linotype" w:cs="Times New Roman"/>
          <w:snapToGrid w:val="0"/>
          <w:kern w:val="0"/>
          <w14:ligatures w14:val="none"/>
        </w:rPr>
        <w:t xml:space="preserve">an </w:t>
      </w:r>
      <w:r w:rsidRPr="00DD2C68">
        <w:rPr>
          <w:rFonts w:ascii="Palatino Linotype" w:hAnsi="Palatino Linotype" w:eastAsia="Palatino Linotype" w:cs="Times New Roman"/>
          <w:snapToGrid w:val="0"/>
          <w:kern w:val="0"/>
          <w14:ligatures w14:val="none"/>
        </w:rPr>
        <w:t>D</w:t>
      </w:r>
      <w:r w:rsidRPr="00DD2C68" w:rsidR="004502EA">
        <w:rPr>
          <w:rFonts w:ascii="Palatino Linotype" w:hAnsi="Palatino Linotype" w:eastAsia="Palatino Linotype" w:cs="Times New Roman"/>
          <w:snapToGrid w:val="0"/>
          <w:kern w:val="0"/>
          <w14:ligatures w14:val="none"/>
        </w:rPr>
        <w:t xml:space="preserve">iego </w:t>
      </w:r>
      <w:r w:rsidRPr="00DD2C68">
        <w:rPr>
          <w:rFonts w:ascii="Palatino Linotype" w:hAnsi="Palatino Linotype" w:eastAsia="Palatino Linotype" w:cs="Times New Roman"/>
          <w:snapToGrid w:val="0"/>
          <w:kern w:val="0"/>
          <w14:ligatures w14:val="none"/>
        </w:rPr>
        <w:t>G</w:t>
      </w:r>
      <w:r w:rsidRPr="00DD2C68" w:rsidR="004502EA">
        <w:rPr>
          <w:rFonts w:ascii="Palatino Linotype" w:hAnsi="Palatino Linotype" w:eastAsia="Palatino Linotype" w:cs="Times New Roman"/>
          <w:snapToGrid w:val="0"/>
          <w:kern w:val="0"/>
          <w14:ligatures w14:val="none"/>
        </w:rPr>
        <w:t xml:space="preserve">as </w:t>
      </w:r>
      <w:r w:rsidRPr="00DD2C68">
        <w:rPr>
          <w:rFonts w:ascii="Palatino Linotype" w:hAnsi="Palatino Linotype" w:eastAsia="Palatino Linotype" w:cs="Times New Roman"/>
          <w:snapToGrid w:val="0"/>
          <w:kern w:val="0"/>
          <w14:ligatures w14:val="none"/>
        </w:rPr>
        <w:t>&amp;</w:t>
      </w:r>
      <w:r w:rsidRPr="00DD2C68" w:rsidR="004502EA">
        <w:rPr>
          <w:rFonts w:ascii="Palatino Linotype" w:hAnsi="Palatino Linotype" w:eastAsia="Palatino Linotype" w:cs="Times New Roman"/>
          <w:snapToGrid w:val="0"/>
          <w:kern w:val="0"/>
          <w14:ligatures w14:val="none"/>
        </w:rPr>
        <w:t xml:space="preserve"> </w:t>
      </w:r>
      <w:r w:rsidRPr="00DD2C68">
        <w:rPr>
          <w:rFonts w:ascii="Palatino Linotype" w:hAnsi="Palatino Linotype" w:eastAsia="Palatino Linotype" w:cs="Times New Roman"/>
          <w:snapToGrid w:val="0"/>
          <w:kern w:val="0"/>
          <w14:ligatures w14:val="none"/>
        </w:rPr>
        <w:t>E</w:t>
      </w:r>
      <w:r w:rsidRPr="00DD2C68" w:rsidR="004502EA">
        <w:rPr>
          <w:rFonts w:ascii="Palatino Linotype" w:hAnsi="Palatino Linotype" w:eastAsia="Palatino Linotype" w:cs="Times New Roman"/>
          <w:snapToGrid w:val="0"/>
          <w:kern w:val="0"/>
          <w14:ligatures w14:val="none"/>
        </w:rPr>
        <w:t>lectric Company</w:t>
      </w:r>
      <w:r w:rsidRPr="00DD2C68">
        <w:rPr>
          <w:rFonts w:ascii="Palatino Linotype" w:hAnsi="Palatino Linotype" w:eastAsia="Palatino Linotype" w:cs="Times New Roman"/>
          <w:snapToGrid w:val="0"/>
          <w:kern w:val="0"/>
          <w14:ligatures w14:val="none"/>
        </w:rPr>
        <w:t xml:space="preserve"> shall adopt the pending loads categories A, B1, B2, and C and shall use pending loads in the</w:t>
      </w:r>
      <w:r w:rsidRPr="00DD2C68" w:rsidR="00FC2CDE">
        <w:rPr>
          <w:rFonts w:ascii="Palatino Linotype" w:hAnsi="Palatino Linotype" w:eastAsia="Palatino Linotype" w:cs="Times New Roman"/>
          <w:snapToGrid w:val="0"/>
          <w:kern w:val="0"/>
          <w14:ligatures w14:val="none"/>
        </w:rPr>
        <w:t>ir distribution planning processes</w:t>
      </w:r>
      <w:r w:rsidRPr="00DD2C68">
        <w:rPr>
          <w:rFonts w:ascii="Palatino Linotype" w:hAnsi="Palatino Linotype" w:eastAsia="Palatino Linotype" w:cs="Times New Roman"/>
          <w:snapToGrid w:val="0"/>
          <w:kern w:val="0"/>
          <w14:ligatures w14:val="none"/>
        </w:rPr>
        <w:t xml:space="preserve"> as detailed in Table 1 of this Resolution.</w:t>
      </w:r>
    </w:p>
    <w:p w:rsidRPr="00DD2C68" w:rsidR="00E9100E" w:rsidP="00344F46" w:rsidRDefault="00AF5E97" w14:paraId="75F2405D" w14:textId="0D022C65">
      <w:pPr>
        <w:pStyle w:val="ListParagraph"/>
        <w:numPr>
          <w:ilvl w:val="0"/>
          <w:numId w:val="10"/>
        </w:numPr>
        <w:spacing w:after="120" w:line="240" w:lineRule="auto"/>
        <w:contextualSpacing w:val="0"/>
        <w:rPr>
          <w:rFonts w:ascii="Palatino Linotype" w:hAnsi="Palatino Linotype"/>
        </w:rPr>
      </w:pPr>
      <w:r w:rsidRPr="00DD2C68">
        <w:rPr>
          <w:rFonts w:ascii="Palatino Linotype" w:hAnsi="Palatino Linotype"/>
        </w:rPr>
        <w:lastRenderedPageBreak/>
        <w:t>S</w:t>
      </w:r>
      <w:r w:rsidRPr="00DD2C68" w:rsidR="00FC2CDE">
        <w:rPr>
          <w:rFonts w:ascii="Palatino Linotype" w:hAnsi="Palatino Linotype"/>
        </w:rPr>
        <w:t xml:space="preserve">outhern </w:t>
      </w:r>
      <w:r w:rsidRPr="00DD2C68">
        <w:rPr>
          <w:rFonts w:ascii="Palatino Linotype" w:hAnsi="Palatino Linotype"/>
        </w:rPr>
        <w:t>C</w:t>
      </w:r>
      <w:r w:rsidRPr="00DD2C68" w:rsidR="00FC2CDE">
        <w:rPr>
          <w:rFonts w:ascii="Palatino Linotype" w:hAnsi="Palatino Linotype"/>
        </w:rPr>
        <w:t xml:space="preserve">alifornia </w:t>
      </w:r>
      <w:r w:rsidRPr="00DD2C68">
        <w:rPr>
          <w:rFonts w:ascii="Palatino Linotype" w:hAnsi="Palatino Linotype"/>
        </w:rPr>
        <w:t>E</w:t>
      </w:r>
      <w:r w:rsidRPr="00DD2C68" w:rsidR="00FC2CDE">
        <w:rPr>
          <w:rFonts w:ascii="Palatino Linotype" w:hAnsi="Palatino Linotype"/>
        </w:rPr>
        <w:t>dison Company</w:t>
      </w:r>
      <w:r w:rsidRPr="00DD2C68">
        <w:rPr>
          <w:rFonts w:ascii="Palatino Linotype" w:hAnsi="Palatino Linotype"/>
        </w:rPr>
        <w:t>, P</w:t>
      </w:r>
      <w:r w:rsidRPr="00DD2C68" w:rsidR="00FC2CDE">
        <w:rPr>
          <w:rFonts w:ascii="Palatino Linotype" w:hAnsi="Palatino Linotype"/>
        </w:rPr>
        <w:t xml:space="preserve">acific </w:t>
      </w:r>
      <w:r w:rsidRPr="00DD2C68">
        <w:rPr>
          <w:rFonts w:ascii="Palatino Linotype" w:hAnsi="Palatino Linotype"/>
        </w:rPr>
        <w:t>G</w:t>
      </w:r>
      <w:r w:rsidRPr="00DD2C68" w:rsidR="00FC2CDE">
        <w:rPr>
          <w:rFonts w:ascii="Palatino Linotype" w:hAnsi="Palatino Linotype"/>
        </w:rPr>
        <w:t xml:space="preserve">as and </w:t>
      </w:r>
      <w:r w:rsidRPr="00DD2C68">
        <w:rPr>
          <w:rFonts w:ascii="Palatino Linotype" w:hAnsi="Palatino Linotype"/>
        </w:rPr>
        <w:t>E</w:t>
      </w:r>
      <w:r w:rsidRPr="00DD2C68" w:rsidR="00FC2CDE">
        <w:rPr>
          <w:rFonts w:ascii="Palatino Linotype" w:hAnsi="Palatino Linotype"/>
        </w:rPr>
        <w:t>lectric Company</w:t>
      </w:r>
      <w:r w:rsidRPr="00DD2C68">
        <w:rPr>
          <w:rFonts w:ascii="Palatino Linotype" w:hAnsi="Palatino Linotype"/>
        </w:rPr>
        <w:t>, and S</w:t>
      </w:r>
      <w:r w:rsidRPr="00DD2C68" w:rsidR="00FC2CDE">
        <w:rPr>
          <w:rFonts w:ascii="Palatino Linotype" w:hAnsi="Palatino Linotype"/>
        </w:rPr>
        <w:t xml:space="preserve">an </w:t>
      </w:r>
      <w:r w:rsidRPr="00DD2C68">
        <w:rPr>
          <w:rFonts w:ascii="Palatino Linotype" w:hAnsi="Palatino Linotype"/>
        </w:rPr>
        <w:t>D</w:t>
      </w:r>
      <w:r w:rsidRPr="00DD2C68" w:rsidR="00FC2CDE">
        <w:rPr>
          <w:rFonts w:ascii="Palatino Linotype" w:hAnsi="Palatino Linotype"/>
        </w:rPr>
        <w:t xml:space="preserve">iego </w:t>
      </w:r>
      <w:r w:rsidRPr="00DD2C68">
        <w:rPr>
          <w:rFonts w:ascii="Palatino Linotype" w:hAnsi="Palatino Linotype"/>
        </w:rPr>
        <w:t>G</w:t>
      </w:r>
      <w:r w:rsidRPr="00DD2C68" w:rsidR="00FC2CDE">
        <w:rPr>
          <w:rFonts w:ascii="Palatino Linotype" w:hAnsi="Palatino Linotype"/>
        </w:rPr>
        <w:t xml:space="preserve">as </w:t>
      </w:r>
      <w:r w:rsidRPr="00DD2C68">
        <w:rPr>
          <w:rFonts w:ascii="Palatino Linotype" w:hAnsi="Palatino Linotype"/>
        </w:rPr>
        <w:t>&amp;</w:t>
      </w:r>
      <w:r w:rsidRPr="00DD2C68" w:rsidR="00FC2CDE">
        <w:rPr>
          <w:rFonts w:ascii="Palatino Linotype" w:hAnsi="Palatino Linotype"/>
        </w:rPr>
        <w:t xml:space="preserve"> </w:t>
      </w:r>
      <w:r w:rsidRPr="00DD2C68">
        <w:rPr>
          <w:rFonts w:ascii="Palatino Linotype" w:hAnsi="Palatino Linotype"/>
        </w:rPr>
        <w:t>E</w:t>
      </w:r>
      <w:r w:rsidRPr="00DD2C68" w:rsidR="00FC2CDE">
        <w:rPr>
          <w:rFonts w:ascii="Palatino Linotype" w:hAnsi="Palatino Linotype"/>
        </w:rPr>
        <w:t>lectric Company</w:t>
      </w:r>
      <w:r w:rsidRPr="00DD2C68" w:rsidR="00E9100E">
        <w:rPr>
          <w:rFonts w:ascii="Palatino Linotype" w:hAnsi="Palatino Linotype"/>
        </w:rPr>
        <w:t xml:space="preserve"> shall adopt</w:t>
      </w:r>
      <w:r w:rsidRPr="00DD2C68" w:rsidR="00270060">
        <w:rPr>
          <w:rFonts w:ascii="Palatino Linotype" w:hAnsi="Palatino Linotype"/>
        </w:rPr>
        <w:t xml:space="preserve"> the minimum </w:t>
      </w:r>
      <w:r w:rsidRPr="00DD2C68" w:rsidR="00907EF5">
        <w:rPr>
          <w:rFonts w:ascii="Palatino Linotype" w:hAnsi="Palatino Linotype"/>
        </w:rPr>
        <w:t xml:space="preserve">criteria </w:t>
      </w:r>
      <w:r w:rsidRPr="00DD2C68" w:rsidR="00AC2E87">
        <w:rPr>
          <w:rFonts w:ascii="Palatino Linotype" w:hAnsi="Palatino Linotype"/>
        </w:rPr>
        <w:t>for each pending load category</w:t>
      </w:r>
      <w:r w:rsidRPr="00DD2C68" w:rsidR="00270060">
        <w:rPr>
          <w:rFonts w:ascii="Palatino Linotype" w:hAnsi="Palatino Linotype"/>
        </w:rPr>
        <w:t xml:space="preserve"> </w:t>
      </w:r>
      <w:r w:rsidRPr="00DD2C68" w:rsidR="00A63D9A">
        <w:rPr>
          <w:rFonts w:ascii="Palatino Linotype" w:hAnsi="Palatino Linotype"/>
        </w:rPr>
        <w:t xml:space="preserve">as </w:t>
      </w:r>
      <w:r w:rsidRPr="00DD2C68" w:rsidR="007D4F42">
        <w:rPr>
          <w:rFonts w:ascii="Palatino Linotype" w:hAnsi="Palatino Linotype"/>
        </w:rPr>
        <w:t>detailed in Table 2</w:t>
      </w:r>
      <w:r w:rsidRPr="00DD2C68" w:rsidR="00907EF5">
        <w:rPr>
          <w:rFonts w:ascii="Palatino Linotype" w:hAnsi="Palatino Linotype"/>
        </w:rPr>
        <w:t xml:space="preserve"> of this Resolution. Each pending load must meet all minimum criteria for the category in which it is placed</w:t>
      </w:r>
      <w:r w:rsidRPr="00DD2C68" w:rsidR="007D4F42">
        <w:rPr>
          <w:rFonts w:ascii="Palatino Linotype" w:hAnsi="Palatino Linotype"/>
        </w:rPr>
        <w:t>.</w:t>
      </w:r>
    </w:p>
    <w:p w:rsidRPr="00DD2C68" w:rsidR="00270060" w:rsidP="00344F46" w:rsidRDefault="00907EF5" w14:paraId="1FAE1A94" w14:textId="50232E33">
      <w:pPr>
        <w:pStyle w:val="ListParagraph"/>
        <w:numPr>
          <w:ilvl w:val="0"/>
          <w:numId w:val="10"/>
        </w:numPr>
        <w:spacing w:after="120"/>
        <w:contextualSpacing w:val="0"/>
        <w:rPr>
          <w:rFonts w:ascii="Palatino Linotype" w:hAnsi="Palatino Linotype"/>
        </w:rPr>
      </w:pPr>
      <w:r w:rsidRPr="00DD2C68">
        <w:rPr>
          <w:rFonts w:ascii="Palatino Linotype" w:hAnsi="Palatino Linotype"/>
        </w:rPr>
        <w:t>Pending l</w:t>
      </w:r>
      <w:r w:rsidRPr="00DD2C68" w:rsidR="00D91B62">
        <w:rPr>
          <w:rFonts w:ascii="Palatino Linotype" w:hAnsi="Palatino Linotype"/>
        </w:rPr>
        <w:t xml:space="preserve">oads in Category B2 (study-based pending loads that meet the </w:t>
      </w:r>
      <w:r w:rsidRPr="00DD2C68" w:rsidR="00904417">
        <w:rPr>
          <w:rFonts w:ascii="Palatino Linotype" w:hAnsi="Palatino Linotype"/>
        </w:rPr>
        <w:t xml:space="preserve">Category </w:t>
      </w:r>
      <w:r w:rsidRPr="00DD2C68" w:rsidR="00D91B62">
        <w:rPr>
          <w:rFonts w:ascii="Palatino Linotype" w:hAnsi="Palatino Linotype"/>
        </w:rPr>
        <w:t>B2 minimum criteria</w:t>
      </w:r>
      <w:r w:rsidRPr="00DD2C68" w:rsidR="00FC2CDE">
        <w:rPr>
          <w:rFonts w:ascii="Palatino Linotype" w:hAnsi="Palatino Linotype"/>
        </w:rPr>
        <w:t xml:space="preserve"> detailed in Table 2</w:t>
      </w:r>
      <w:r w:rsidRPr="00DD2C68" w:rsidR="00D91B62">
        <w:rPr>
          <w:rFonts w:ascii="Palatino Linotype" w:hAnsi="Palatino Linotype"/>
        </w:rPr>
        <w:t xml:space="preserve">) shall be capped at the </w:t>
      </w:r>
      <w:r w:rsidRPr="00DD2C68" w:rsidR="00FC2CDE">
        <w:rPr>
          <w:rFonts w:ascii="Palatino Linotype" w:hAnsi="Palatino Linotype"/>
        </w:rPr>
        <w:t xml:space="preserve">California Energy Commission’s </w:t>
      </w:r>
      <w:r w:rsidRPr="00DD2C68" w:rsidR="00D91B62">
        <w:rPr>
          <w:rFonts w:ascii="Palatino Linotype" w:hAnsi="Palatino Linotype"/>
        </w:rPr>
        <w:t>I</w:t>
      </w:r>
      <w:r w:rsidRPr="00DD2C68" w:rsidR="00FC2CDE">
        <w:rPr>
          <w:rFonts w:ascii="Palatino Linotype" w:hAnsi="Palatino Linotype"/>
        </w:rPr>
        <w:t xml:space="preserve">ntegrated </w:t>
      </w:r>
      <w:r w:rsidRPr="00DD2C68" w:rsidR="00D91B62">
        <w:rPr>
          <w:rFonts w:ascii="Palatino Linotype" w:hAnsi="Palatino Linotype"/>
        </w:rPr>
        <w:t>E</w:t>
      </w:r>
      <w:r w:rsidRPr="00DD2C68" w:rsidR="00FC2CDE">
        <w:rPr>
          <w:rFonts w:ascii="Palatino Linotype" w:hAnsi="Palatino Linotype"/>
        </w:rPr>
        <w:t xml:space="preserve">nergy </w:t>
      </w:r>
      <w:r w:rsidRPr="00DD2C68" w:rsidR="00D91B62">
        <w:rPr>
          <w:rFonts w:ascii="Palatino Linotype" w:hAnsi="Palatino Linotype"/>
        </w:rPr>
        <w:t>P</w:t>
      </w:r>
      <w:r w:rsidRPr="00DD2C68" w:rsidR="00FC2CDE">
        <w:rPr>
          <w:rFonts w:ascii="Palatino Linotype" w:hAnsi="Palatino Linotype"/>
        </w:rPr>
        <w:t xml:space="preserve">olicy </w:t>
      </w:r>
      <w:r w:rsidRPr="00DD2C68" w:rsidR="00D91B62">
        <w:rPr>
          <w:rFonts w:ascii="Palatino Linotype" w:hAnsi="Palatino Linotype"/>
        </w:rPr>
        <w:t>R</w:t>
      </w:r>
      <w:r w:rsidRPr="00DD2C68" w:rsidR="00FC2CDE">
        <w:rPr>
          <w:rFonts w:ascii="Palatino Linotype" w:hAnsi="Palatino Linotype"/>
        </w:rPr>
        <w:t>eport</w:t>
      </w:r>
      <w:r w:rsidRPr="00DD2C68" w:rsidR="00660C28">
        <w:rPr>
          <w:rFonts w:ascii="Palatino Linotype" w:hAnsi="Palatino Linotype"/>
        </w:rPr>
        <w:t xml:space="preserve"> (IEPR)</w:t>
      </w:r>
      <w:r w:rsidRPr="00DD2C68" w:rsidR="00D91B62">
        <w:rPr>
          <w:rFonts w:ascii="Palatino Linotype" w:hAnsi="Palatino Linotype"/>
        </w:rPr>
        <w:t xml:space="preserve"> </w:t>
      </w:r>
      <w:r w:rsidRPr="00DD2C68" w:rsidR="0078190E">
        <w:rPr>
          <w:rFonts w:ascii="Palatino Linotype" w:hAnsi="Palatino Linotype"/>
        </w:rPr>
        <w:t xml:space="preserve">except where they are located within an identified hot spot; in such hot spots Category B2 pending loads may be included above the IEPR in the base scenario. </w:t>
      </w:r>
    </w:p>
    <w:p w:rsidRPr="00DD2C68" w:rsidR="006F108B" w:rsidP="00344F46" w:rsidRDefault="00DD20D8" w14:paraId="39783766" w14:textId="62628A5A">
      <w:pPr>
        <w:pStyle w:val="ListParagraph"/>
        <w:numPr>
          <w:ilvl w:val="0"/>
          <w:numId w:val="10"/>
        </w:numPr>
        <w:spacing w:after="120" w:line="240" w:lineRule="auto"/>
        <w:contextualSpacing w:val="0"/>
        <w:rPr>
          <w:rFonts w:ascii="Palatino Linotype" w:hAnsi="Palatino Linotype"/>
        </w:rPr>
      </w:pPr>
      <w:r w:rsidRPr="00DD2C68">
        <w:rPr>
          <w:rFonts w:ascii="Palatino Linotype" w:hAnsi="Palatino Linotype"/>
        </w:rPr>
        <w:t>Studies categorized as Category C (non-customer-based</w:t>
      </w:r>
      <w:r w:rsidRPr="00DD2C68" w:rsidR="00904417">
        <w:rPr>
          <w:rFonts w:ascii="Palatino Linotype" w:hAnsi="Palatino Linotype"/>
        </w:rPr>
        <w:t xml:space="preserve"> studies</w:t>
      </w:r>
      <w:r w:rsidRPr="00DD2C68">
        <w:rPr>
          <w:rFonts w:ascii="Palatino Linotype" w:hAnsi="Palatino Linotype"/>
        </w:rPr>
        <w:t xml:space="preserve"> or studies that do not meet </w:t>
      </w:r>
      <w:r w:rsidRPr="00DD2C68" w:rsidR="00904417">
        <w:rPr>
          <w:rFonts w:ascii="Palatino Linotype" w:hAnsi="Palatino Linotype"/>
        </w:rPr>
        <w:t xml:space="preserve">the Category </w:t>
      </w:r>
      <w:r w:rsidRPr="00DD2C68">
        <w:rPr>
          <w:rFonts w:ascii="Palatino Linotype" w:hAnsi="Palatino Linotype"/>
        </w:rPr>
        <w:t>B2 criteria</w:t>
      </w:r>
      <w:r w:rsidRPr="00DD2C68" w:rsidR="00904417">
        <w:rPr>
          <w:rFonts w:ascii="Palatino Linotype" w:hAnsi="Palatino Linotype"/>
        </w:rPr>
        <w:t xml:space="preserve"> detailed in Table 2</w:t>
      </w:r>
      <w:r w:rsidRPr="00DD2C68">
        <w:rPr>
          <w:rFonts w:ascii="Palatino Linotype" w:hAnsi="Palatino Linotype"/>
        </w:rPr>
        <w:t>)</w:t>
      </w:r>
      <w:r w:rsidRPr="00DD2C68" w:rsidR="003F622E">
        <w:rPr>
          <w:rFonts w:ascii="Palatino Linotype" w:hAnsi="Palatino Linotype"/>
        </w:rPr>
        <w:t xml:space="preserve"> shall be used only </w:t>
      </w:r>
      <w:r w:rsidRPr="00DD2C68" w:rsidR="00686102">
        <w:rPr>
          <w:rFonts w:ascii="Palatino Linotype" w:hAnsi="Palatino Linotype"/>
        </w:rPr>
        <w:t xml:space="preserve">to inform the disaggregation of the </w:t>
      </w:r>
      <w:r w:rsidRPr="00DD2C68" w:rsidR="00904417">
        <w:rPr>
          <w:rFonts w:ascii="Palatino Linotype" w:hAnsi="Palatino Linotype"/>
        </w:rPr>
        <w:t xml:space="preserve">California Energy Commission’s </w:t>
      </w:r>
      <w:r w:rsidRPr="00DD2C68" w:rsidR="00686102">
        <w:rPr>
          <w:rFonts w:ascii="Palatino Linotype" w:hAnsi="Palatino Linotype"/>
        </w:rPr>
        <w:t>I</w:t>
      </w:r>
      <w:r w:rsidRPr="00DD2C68" w:rsidR="00904417">
        <w:rPr>
          <w:rFonts w:ascii="Palatino Linotype" w:hAnsi="Palatino Linotype"/>
        </w:rPr>
        <w:t xml:space="preserve">ntegrated </w:t>
      </w:r>
      <w:r w:rsidRPr="00DD2C68" w:rsidR="00686102">
        <w:rPr>
          <w:rFonts w:ascii="Palatino Linotype" w:hAnsi="Palatino Linotype"/>
        </w:rPr>
        <w:t>E</w:t>
      </w:r>
      <w:r w:rsidRPr="00DD2C68" w:rsidR="00904417">
        <w:rPr>
          <w:rFonts w:ascii="Palatino Linotype" w:hAnsi="Palatino Linotype"/>
        </w:rPr>
        <w:t xml:space="preserve">nergy </w:t>
      </w:r>
      <w:r w:rsidRPr="00DD2C68" w:rsidR="00686102">
        <w:rPr>
          <w:rFonts w:ascii="Palatino Linotype" w:hAnsi="Palatino Linotype"/>
        </w:rPr>
        <w:t>P</w:t>
      </w:r>
      <w:r w:rsidRPr="00DD2C68" w:rsidR="00904417">
        <w:rPr>
          <w:rFonts w:ascii="Palatino Linotype" w:hAnsi="Palatino Linotype"/>
        </w:rPr>
        <w:t xml:space="preserve">olicy </w:t>
      </w:r>
      <w:r w:rsidRPr="00DD2C68" w:rsidR="00686102">
        <w:rPr>
          <w:rFonts w:ascii="Palatino Linotype" w:hAnsi="Palatino Linotype"/>
        </w:rPr>
        <w:t>R</w:t>
      </w:r>
      <w:r w:rsidRPr="00DD2C68" w:rsidR="00904417">
        <w:rPr>
          <w:rFonts w:ascii="Palatino Linotype" w:hAnsi="Palatino Linotype"/>
        </w:rPr>
        <w:t>eport (IEPR)</w:t>
      </w:r>
      <w:r w:rsidRPr="00DD2C68" w:rsidR="00686102">
        <w:rPr>
          <w:rFonts w:ascii="Palatino Linotype" w:hAnsi="Palatino Linotype"/>
        </w:rPr>
        <w:t xml:space="preserve"> and </w:t>
      </w:r>
      <w:r w:rsidRPr="00DD2C68">
        <w:rPr>
          <w:rFonts w:ascii="Palatino Linotype" w:hAnsi="Palatino Linotype"/>
        </w:rPr>
        <w:t>shall not be used to justify investments that would cause load to exceed the IEPR</w:t>
      </w:r>
      <w:r w:rsidRPr="00DD2C68" w:rsidR="006F108B">
        <w:rPr>
          <w:rFonts w:ascii="Palatino Linotype" w:hAnsi="Palatino Linotype"/>
        </w:rPr>
        <w:t xml:space="preserve"> forecast. </w:t>
      </w:r>
    </w:p>
    <w:p w:rsidRPr="00DD2C68" w:rsidR="008561F2" w:rsidP="00276DF6" w:rsidRDefault="0066549D" w14:paraId="42096DDE" w14:textId="55126AC6">
      <w:pPr>
        <w:numPr>
          <w:ilvl w:val="0"/>
          <w:numId w:val="10"/>
        </w:numPr>
        <w:spacing w:after="0" w:line="240" w:lineRule="auto"/>
        <w:rPr>
          <w:rFonts w:ascii="Palatino Linotype" w:hAnsi="Palatino Linotype"/>
        </w:rPr>
      </w:pPr>
      <w:r w:rsidRPr="00DD2C68">
        <w:rPr>
          <w:rFonts w:ascii="Palatino Linotype" w:hAnsi="Palatino Linotype"/>
        </w:rPr>
        <w:t>Pacific Gas and Electric Company, Southern California Edison Company, and San Diego Gas &amp; Electric Company shall define hot spots as</w:t>
      </w:r>
      <w:r w:rsidRPr="00DD2C68" w:rsidR="008561F2">
        <w:rPr>
          <w:rFonts w:ascii="Palatino Linotype" w:hAnsi="Palatino Linotype"/>
        </w:rPr>
        <w:t>:</w:t>
      </w:r>
    </w:p>
    <w:p w:rsidRPr="00DD2C68" w:rsidR="008677B6" w:rsidP="007A761B" w:rsidRDefault="00667873" w14:paraId="2613E876" w14:textId="7F1B54D3">
      <w:pPr>
        <w:pStyle w:val="ListParagraph"/>
        <w:numPr>
          <w:ilvl w:val="0"/>
          <w:numId w:val="15"/>
        </w:numPr>
        <w:spacing w:line="259" w:lineRule="auto"/>
        <w:rPr>
          <w:rFonts w:ascii="Palatino Linotype" w:hAnsi="Palatino Linotype"/>
        </w:rPr>
      </w:pPr>
      <w:r w:rsidRPr="00DD2C68">
        <w:rPr>
          <w:rFonts w:ascii="Palatino Linotype" w:hAnsi="Palatino Linotype"/>
        </w:rPr>
        <w:t xml:space="preserve">a geographical area that is served by electrical infrastructure that is </w:t>
      </w:r>
      <w:r w:rsidR="009D62D7">
        <w:rPr>
          <w:rFonts w:ascii="Palatino Linotype" w:hAnsi="Palatino Linotype"/>
        </w:rPr>
        <w:t>forecas</w:t>
      </w:r>
      <w:r w:rsidR="00D31606">
        <w:rPr>
          <w:rFonts w:ascii="Palatino Linotype" w:hAnsi="Palatino Linotype"/>
        </w:rPr>
        <w:t>ted</w:t>
      </w:r>
      <w:r w:rsidRPr="00DD2C68" w:rsidR="009D62D7">
        <w:rPr>
          <w:rFonts w:ascii="Palatino Linotype" w:hAnsi="Palatino Linotype"/>
        </w:rPr>
        <w:t xml:space="preserve"> </w:t>
      </w:r>
      <w:r w:rsidRPr="00DD2C68">
        <w:rPr>
          <w:rFonts w:ascii="Palatino Linotype" w:hAnsi="Palatino Linotype"/>
        </w:rPr>
        <w:t xml:space="preserve">to experience substantial load growth from </w:t>
      </w:r>
      <w:r w:rsidR="003644E4">
        <w:rPr>
          <w:rFonts w:ascii="Palatino Linotype" w:hAnsi="Palatino Linotype"/>
        </w:rPr>
        <w:t>any of</w:t>
      </w:r>
      <w:r w:rsidRPr="00DD2C68">
        <w:rPr>
          <w:rFonts w:ascii="Palatino Linotype" w:hAnsi="Palatino Linotype"/>
        </w:rPr>
        <w:t xml:space="preserve"> </w:t>
      </w:r>
      <w:r w:rsidR="00396A4C">
        <w:rPr>
          <w:rFonts w:ascii="Palatino Linotype" w:hAnsi="Palatino Linotype"/>
        </w:rPr>
        <w:t>these</w:t>
      </w:r>
      <w:r w:rsidRPr="00DD2C68" w:rsidR="00396A4C">
        <w:rPr>
          <w:rFonts w:ascii="Palatino Linotype" w:hAnsi="Palatino Linotype"/>
        </w:rPr>
        <w:t xml:space="preserve"> sources</w:t>
      </w:r>
      <w:r w:rsidR="00396A4C">
        <w:rPr>
          <w:rFonts w:ascii="Palatino Linotype" w:hAnsi="Palatino Linotype"/>
        </w:rPr>
        <w:t xml:space="preserve"> of load:</w:t>
      </w:r>
      <w:r w:rsidRPr="00DD2C68">
        <w:rPr>
          <w:rFonts w:ascii="Palatino Linotype" w:hAnsi="Palatino Linotype"/>
        </w:rPr>
        <w:t xml:space="preserve"> </w:t>
      </w:r>
      <w:r w:rsidR="00427927">
        <w:rPr>
          <w:rFonts w:ascii="Palatino Linotype" w:hAnsi="Palatino Linotype"/>
        </w:rPr>
        <w:t xml:space="preserve">IEPR disaggregation, </w:t>
      </w:r>
      <w:r w:rsidRPr="00DD2C68">
        <w:rPr>
          <w:rFonts w:ascii="Palatino Linotype" w:hAnsi="Palatino Linotype"/>
        </w:rPr>
        <w:t>known loads, Category A, and Category B1 pending loads, and</w:t>
      </w:r>
    </w:p>
    <w:p w:rsidRPr="00DD2C68" w:rsidR="00CE46B1" w:rsidP="007A761B" w:rsidRDefault="00667873" w14:paraId="7F023BC5" w14:textId="56922B8C">
      <w:pPr>
        <w:pStyle w:val="ListParagraph"/>
        <w:numPr>
          <w:ilvl w:val="0"/>
          <w:numId w:val="15"/>
        </w:numPr>
        <w:spacing w:line="259" w:lineRule="auto"/>
        <w:rPr>
          <w:rFonts w:ascii="Palatino Linotype" w:hAnsi="Palatino Linotype" w:cs="Times New Roman"/>
        </w:rPr>
      </w:pPr>
      <w:proofErr w:type="gramStart"/>
      <w:r w:rsidRPr="00DD2C68">
        <w:rPr>
          <w:rFonts w:ascii="Palatino Linotype" w:hAnsi="Palatino Linotype"/>
        </w:rPr>
        <w:t>that</w:t>
      </w:r>
      <w:proofErr w:type="gramEnd"/>
      <w:r w:rsidRPr="00DD2C68">
        <w:rPr>
          <w:rFonts w:ascii="Palatino Linotype" w:hAnsi="Palatino Linotype"/>
        </w:rPr>
        <w:t xml:space="preserve"> area includes specific electrical infrastructure, i.e., substations and circuits which </w:t>
      </w:r>
      <w:r w:rsidRPr="00DD2C68" w:rsidR="00B14C3F">
        <w:rPr>
          <w:rFonts w:ascii="Palatino Linotype" w:hAnsi="Palatino Linotype"/>
        </w:rPr>
        <w:t>are</w:t>
      </w:r>
      <w:r w:rsidRPr="00DD2C68">
        <w:rPr>
          <w:rFonts w:ascii="Palatino Linotype" w:hAnsi="Palatino Linotype"/>
        </w:rPr>
        <w:t xml:space="preserve"> forecasted to be capacity-constrained within the </w:t>
      </w:r>
      <w:r w:rsidR="00E96194">
        <w:rPr>
          <w:rFonts w:ascii="Palatino Linotype" w:hAnsi="Palatino Linotype"/>
        </w:rPr>
        <w:br/>
      </w:r>
      <w:r w:rsidR="005B5A38">
        <w:rPr>
          <w:rFonts w:ascii="Palatino Linotype" w:hAnsi="Palatino Linotype"/>
        </w:rPr>
        <w:t>ten</w:t>
      </w:r>
      <w:r w:rsidRPr="00DD2C68">
        <w:rPr>
          <w:rFonts w:ascii="Palatino Linotype" w:hAnsi="Palatino Linotype"/>
        </w:rPr>
        <w:t>-year planning period.</w:t>
      </w:r>
    </w:p>
    <w:p w:rsidRPr="00DD2C68" w:rsidR="00667873" w:rsidP="007A761B" w:rsidRDefault="00667873" w14:paraId="7874E24F" w14:textId="47DE744F">
      <w:pPr>
        <w:pStyle w:val="ListParagraph"/>
        <w:numPr>
          <w:ilvl w:val="0"/>
          <w:numId w:val="15"/>
        </w:numPr>
        <w:spacing w:line="259" w:lineRule="auto"/>
        <w:rPr>
          <w:rFonts w:ascii="Palatino Linotype" w:hAnsi="Palatino Linotype" w:cs="Times New Roman"/>
        </w:rPr>
      </w:pPr>
      <w:r w:rsidRPr="00DD2C68">
        <w:rPr>
          <w:rFonts w:ascii="Palatino Linotype" w:hAnsi="Palatino Linotype"/>
        </w:rPr>
        <w:t xml:space="preserve">An area is capacity constrained if the total capability of its infrastructure is only marginally greater than the demand served by the infrastructure after all low cost/no cost solutions have been considered. </w:t>
      </w:r>
      <w:r w:rsidRPr="00DD2C68">
        <w:rPr>
          <w:rFonts w:ascii="Palatino Linotype" w:hAnsi="Palatino Linotype" w:cs="Times New Roman"/>
        </w:rPr>
        <w:t xml:space="preserve">A hot spot will be considered </w:t>
      </w:r>
      <w:r w:rsidR="00C52270">
        <w:rPr>
          <w:rFonts w:ascii="Palatino Linotype" w:hAnsi="Palatino Linotype" w:cs="Times New Roman"/>
        </w:rPr>
        <w:t xml:space="preserve">a constrained area if the total demand from the </w:t>
      </w:r>
      <w:proofErr w:type="gramStart"/>
      <w:r w:rsidR="00A64162">
        <w:rPr>
          <w:rFonts w:ascii="Palatino Linotype" w:hAnsi="Palatino Linotype" w:cs="Times New Roman"/>
        </w:rPr>
        <w:t xml:space="preserve">aforementioned </w:t>
      </w:r>
      <w:r w:rsidR="00BD0E8C">
        <w:rPr>
          <w:rFonts w:ascii="Palatino Linotype" w:hAnsi="Palatino Linotype" w:cs="Times New Roman"/>
        </w:rPr>
        <w:t>load</w:t>
      </w:r>
      <w:proofErr w:type="gramEnd"/>
      <w:r w:rsidR="00BD0E8C">
        <w:rPr>
          <w:rFonts w:ascii="Palatino Linotype" w:hAnsi="Palatino Linotype" w:cs="Times New Roman"/>
        </w:rPr>
        <w:t xml:space="preserve"> </w:t>
      </w:r>
      <w:proofErr w:type="gramStart"/>
      <w:r w:rsidR="00A64162">
        <w:rPr>
          <w:rFonts w:ascii="Palatino Linotype" w:hAnsi="Palatino Linotype" w:cs="Times New Roman"/>
        </w:rPr>
        <w:t>sources,</w:t>
      </w:r>
      <w:proofErr w:type="gramEnd"/>
      <w:r w:rsidR="00A64162">
        <w:rPr>
          <w:rFonts w:ascii="Palatino Linotype" w:hAnsi="Palatino Linotype" w:cs="Times New Roman"/>
        </w:rPr>
        <w:t xml:space="preserve"> is greater than or </w:t>
      </w:r>
      <w:r w:rsidR="00217ED3">
        <w:rPr>
          <w:rFonts w:ascii="Palatino Linotype" w:hAnsi="Palatino Linotype" w:cs="Times New Roman"/>
        </w:rPr>
        <w:t xml:space="preserve">equal to </w:t>
      </w:r>
      <w:r w:rsidR="000D5FFC">
        <w:rPr>
          <w:rFonts w:ascii="Palatino Linotype" w:hAnsi="Palatino Linotype" w:cs="Times New Roman"/>
        </w:rPr>
        <w:t>80% of the total capacity.</w:t>
      </w:r>
    </w:p>
    <w:p w:rsidR="00336232" w:rsidP="007A761B" w:rsidRDefault="00667873" w14:paraId="55A025D6" w14:textId="3C20C674">
      <w:pPr>
        <w:pStyle w:val="ListParagraph"/>
        <w:numPr>
          <w:ilvl w:val="0"/>
          <w:numId w:val="15"/>
        </w:numPr>
        <w:spacing w:line="259" w:lineRule="auto"/>
        <w:rPr>
          <w:rFonts w:ascii="Palatino Linotype" w:hAnsi="Palatino Linotype" w:cs="Times New Roman"/>
        </w:rPr>
      </w:pPr>
      <w:r w:rsidRPr="00DD2C68">
        <w:rPr>
          <w:rFonts w:ascii="Palatino Linotype" w:hAnsi="Palatino Linotype" w:cs="Times New Roman"/>
        </w:rPr>
        <w:t xml:space="preserve">If this occurs, all </w:t>
      </w:r>
      <w:r w:rsidRPr="00DD2C68" w:rsidR="00072663">
        <w:rPr>
          <w:rFonts w:ascii="Palatino Linotype" w:hAnsi="Palatino Linotype" w:cs="Times New Roman"/>
        </w:rPr>
        <w:t xml:space="preserve">Category </w:t>
      </w:r>
      <w:r w:rsidRPr="00DD2C68">
        <w:rPr>
          <w:rFonts w:ascii="Palatino Linotype" w:hAnsi="Palatino Linotype" w:cs="Times New Roman"/>
        </w:rPr>
        <w:t xml:space="preserve">B2 pending loads served in the specific capacity constrained area may exceed the </w:t>
      </w:r>
      <w:r w:rsidRPr="00DD2C68" w:rsidR="642A7607">
        <w:rPr>
          <w:rFonts w:ascii="Palatino Linotype" w:hAnsi="Palatino Linotype"/>
        </w:rPr>
        <w:t>California Energy Commission’s Integrated Energy Policy Repor</w:t>
      </w:r>
      <w:r w:rsidRPr="00DD2C68" w:rsidR="0543F010">
        <w:rPr>
          <w:rFonts w:ascii="Palatino Linotype" w:hAnsi="Palatino Linotype"/>
        </w:rPr>
        <w:t>t</w:t>
      </w:r>
      <w:r w:rsidR="00C523FB">
        <w:rPr>
          <w:rFonts w:ascii="Palatino Linotype" w:hAnsi="Palatino Linotype"/>
        </w:rPr>
        <w:t xml:space="preserve"> if </w:t>
      </w:r>
      <w:r w:rsidR="00336232">
        <w:rPr>
          <w:rFonts w:ascii="Palatino Linotype" w:hAnsi="Palatino Linotype"/>
        </w:rPr>
        <w:t>necessary</w:t>
      </w:r>
      <w:r w:rsidRPr="00DD2C68">
        <w:rPr>
          <w:rFonts w:ascii="Palatino Linotype" w:hAnsi="Palatino Linotype" w:cs="Times New Roman"/>
        </w:rPr>
        <w:t>.</w:t>
      </w:r>
    </w:p>
    <w:p w:rsidRPr="00DD2C68" w:rsidR="00667873" w:rsidP="00276DF6" w:rsidRDefault="00667873" w14:paraId="7B512076" w14:textId="598B71F8">
      <w:pPr>
        <w:pStyle w:val="ListParagraph"/>
        <w:spacing w:line="259" w:lineRule="auto"/>
        <w:ind w:left="1440"/>
        <w:rPr>
          <w:rFonts w:ascii="Palatino Linotype" w:hAnsi="Palatino Linotype" w:cs="Times New Roman"/>
        </w:rPr>
      </w:pPr>
      <w:r w:rsidRPr="00DD2C68">
        <w:rPr>
          <w:rFonts w:ascii="Palatino Linotype" w:hAnsi="Palatino Linotype" w:cs="Times New Roman"/>
        </w:rPr>
        <w:t xml:space="preserve">  </w:t>
      </w:r>
    </w:p>
    <w:p w:rsidR="00F74EEE" w:rsidP="00344F46" w:rsidRDefault="00834CA7" w14:paraId="7EAAB27A" w14:textId="2A954905">
      <w:pPr>
        <w:pStyle w:val="ListParagraph"/>
        <w:spacing w:after="120"/>
        <w:contextualSpacing w:val="0"/>
        <w:rPr>
          <w:rFonts w:ascii="Palatino Linotype" w:hAnsi="Palatino Linotype"/>
        </w:rPr>
      </w:pPr>
      <w:proofErr w:type="gramStart"/>
      <w:r>
        <w:rPr>
          <w:rFonts w:ascii="Palatino Linotype" w:hAnsi="Palatino Linotype"/>
        </w:rPr>
        <w:t>Reporting of</w:t>
      </w:r>
      <w:proofErr w:type="gramEnd"/>
      <w:r>
        <w:rPr>
          <w:rFonts w:ascii="Palatino Linotype" w:hAnsi="Palatino Linotype"/>
        </w:rPr>
        <w:t xml:space="preserve"> </w:t>
      </w:r>
      <w:r w:rsidR="00186547">
        <w:rPr>
          <w:rFonts w:ascii="Palatino Linotype" w:hAnsi="Palatino Linotype"/>
        </w:rPr>
        <w:t xml:space="preserve">capacity constrained areas and </w:t>
      </w:r>
      <w:r w:rsidR="001428F0">
        <w:rPr>
          <w:rFonts w:ascii="Palatino Linotype" w:hAnsi="Palatino Linotype"/>
        </w:rPr>
        <w:t>hot spots</w:t>
      </w:r>
      <w:r w:rsidR="0074159A">
        <w:rPr>
          <w:rFonts w:ascii="Palatino Linotype" w:hAnsi="Palatino Linotype"/>
        </w:rPr>
        <w:t xml:space="preserve"> is only required </w:t>
      </w:r>
      <w:r w:rsidR="00E63DDC">
        <w:rPr>
          <w:rFonts w:ascii="Palatino Linotype" w:hAnsi="Palatino Linotype"/>
        </w:rPr>
        <w:t>for those</w:t>
      </w:r>
      <w:r w:rsidR="0090046C">
        <w:rPr>
          <w:rFonts w:ascii="Palatino Linotype" w:hAnsi="Palatino Linotype"/>
        </w:rPr>
        <w:t xml:space="preserve"> hot spots </w:t>
      </w:r>
      <w:r w:rsidR="007A42CB">
        <w:rPr>
          <w:rFonts w:ascii="Palatino Linotype" w:hAnsi="Palatino Linotype"/>
        </w:rPr>
        <w:t>whe</w:t>
      </w:r>
      <w:r w:rsidR="0090046C">
        <w:rPr>
          <w:rFonts w:ascii="Palatino Linotype" w:hAnsi="Palatino Linotype"/>
        </w:rPr>
        <w:t>re</w:t>
      </w:r>
      <w:r w:rsidR="007A42CB">
        <w:rPr>
          <w:rFonts w:ascii="Palatino Linotype" w:hAnsi="Palatino Linotype"/>
        </w:rPr>
        <w:t xml:space="preserve"> a </w:t>
      </w:r>
      <w:r w:rsidR="00B234FE">
        <w:rPr>
          <w:rFonts w:ascii="Palatino Linotype" w:hAnsi="Palatino Linotype"/>
        </w:rPr>
        <w:t xml:space="preserve">utility </w:t>
      </w:r>
      <w:r w:rsidR="00125856">
        <w:rPr>
          <w:rFonts w:ascii="Palatino Linotype" w:hAnsi="Palatino Linotype"/>
        </w:rPr>
        <w:t xml:space="preserve">seeks to have a B2 pending load </w:t>
      </w:r>
      <w:proofErr w:type="gramStart"/>
      <w:r w:rsidR="00125856">
        <w:rPr>
          <w:rFonts w:ascii="Palatino Linotype" w:hAnsi="Palatino Linotype"/>
        </w:rPr>
        <w:t>exceed</w:t>
      </w:r>
      <w:proofErr w:type="gramEnd"/>
      <w:r w:rsidR="00125856">
        <w:rPr>
          <w:rFonts w:ascii="Palatino Linotype" w:hAnsi="Palatino Linotype"/>
        </w:rPr>
        <w:t xml:space="preserve"> the IEPR.  </w:t>
      </w:r>
      <w:r w:rsidR="00D63EC7">
        <w:rPr>
          <w:rFonts w:ascii="Palatino Linotype" w:hAnsi="Palatino Linotype"/>
        </w:rPr>
        <w:t xml:space="preserve">For </w:t>
      </w:r>
      <w:r w:rsidR="00D63EC7">
        <w:rPr>
          <w:rFonts w:ascii="Palatino Linotype" w:hAnsi="Palatino Linotype"/>
        </w:rPr>
        <w:lastRenderedPageBreak/>
        <w:t>those cases</w:t>
      </w:r>
      <w:r w:rsidR="0009283A">
        <w:rPr>
          <w:rFonts w:ascii="Palatino Linotype" w:hAnsi="Palatino Linotype"/>
        </w:rPr>
        <w:t xml:space="preserve"> each</w:t>
      </w:r>
      <w:r w:rsidRPr="00DD2C68" w:rsidR="0066549D">
        <w:rPr>
          <w:rFonts w:ascii="Palatino Linotype" w:hAnsi="Palatino Linotype"/>
        </w:rPr>
        <w:t xml:space="preserve"> </w:t>
      </w:r>
      <w:r w:rsidRPr="00DD2C68" w:rsidR="0082656D">
        <w:rPr>
          <w:rFonts w:ascii="Palatino Linotype" w:hAnsi="Palatino Linotype"/>
        </w:rPr>
        <w:t>utili</w:t>
      </w:r>
      <w:r w:rsidR="0082656D">
        <w:rPr>
          <w:rFonts w:ascii="Palatino Linotype" w:hAnsi="Palatino Linotype"/>
        </w:rPr>
        <w:t>ty</w:t>
      </w:r>
      <w:r w:rsidRPr="00DD2C68" w:rsidR="0066549D">
        <w:rPr>
          <w:rFonts w:ascii="Palatino Linotype" w:hAnsi="Palatino Linotype"/>
        </w:rPr>
        <w:t xml:space="preserve"> shall report, in their annual Grid Needs Assessment (GNA) and Distribution Upgrade Progress Report (DUPR) filings, a list of identified capacity constrained areas and which of these are designated as hot spots with sufficient detail to connect known loads and pending loads to each hot spot</w:t>
      </w:r>
      <w:r w:rsidRPr="00DD2C68" w:rsidR="00A41015">
        <w:rPr>
          <w:rFonts w:ascii="Palatino Linotype" w:hAnsi="Palatino Linotype"/>
        </w:rPr>
        <w:t xml:space="preserve">. </w:t>
      </w:r>
      <w:r w:rsidRPr="00DD2C68" w:rsidR="00A57C8C">
        <w:rPr>
          <w:rFonts w:ascii="Palatino Linotype" w:hAnsi="Palatino Linotype" w:cs="Times New Roman"/>
        </w:rPr>
        <w:t xml:space="preserve">The utilities in their GNA/DUPR filings shall provide quantitative support for each forecast year of the </w:t>
      </w:r>
      <w:r w:rsidR="00361610">
        <w:rPr>
          <w:rFonts w:ascii="Palatino Linotype" w:hAnsi="Palatino Linotype" w:cs="Times New Roman"/>
        </w:rPr>
        <w:t>ten</w:t>
      </w:r>
      <w:r w:rsidRPr="00DD2C68" w:rsidR="00A57C8C">
        <w:rPr>
          <w:rFonts w:ascii="Palatino Linotype" w:hAnsi="Palatino Linotype" w:cs="Times New Roman"/>
        </w:rPr>
        <w:t>-year planning period for each hot spot</w:t>
      </w:r>
      <w:r w:rsidR="007B42EF">
        <w:rPr>
          <w:rFonts w:ascii="Palatino Linotype" w:hAnsi="Palatino Linotype" w:cs="Times New Roman"/>
        </w:rPr>
        <w:t xml:space="preserve"> in which a B2 pending load is e</w:t>
      </w:r>
      <w:r w:rsidR="0052192C">
        <w:rPr>
          <w:rFonts w:ascii="Palatino Linotype" w:hAnsi="Palatino Linotype" w:cs="Times New Roman"/>
        </w:rPr>
        <w:t>xceeding the IPER</w:t>
      </w:r>
      <w:r w:rsidRPr="00DD2C68" w:rsidR="00A57C8C">
        <w:rPr>
          <w:rFonts w:ascii="Palatino Linotype" w:hAnsi="Palatino Linotype" w:cs="Times New Roman"/>
        </w:rPr>
        <w:t>: (</w:t>
      </w:r>
      <w:proofErr w:type="spellStart"/>
      <w:r w:rsidRPr="00DD2C68" w:rsidR="00A57C8C">
        <w:rPr>
          <w:rFonts w:ascii="Palatino Linotype" w:hAnsi="Palatino Linotype" w:cs="Times New Roman"/>
        </w:rPr>
        <w:t>i</w:t>
      </w:r>
      <w:proofErr w:type="spellEnd"/>
      <w:r w:rsidRPr="00DD2C68" w:rsidR="00A57C8C">
        <w:rPr>
          <w:rFonts w:ascii="Palatino Linotype" w:hAnsi="Palatino Linotype" w:cs="Times New Roman"/>
        </w:rPr>
        <w:t xml:space="preserve">) </w:t>
      </w:r>
      <w:r w:rsidR="00ED6953">
        <w:rPr>
          <w:rFonts w:ascii="Palatino Linotype" w:hAnsi="Palatino Linotype" w:cs="Times New Roman"/>
        </w:rPr>
        <w:t>t</w:t>
      </w:r>
      <w:r w:rsidRPr="00DD2C68" w:rsidR="00A57C8C">
        <w:rPr>
          <w:rFonts w:ascii="Palatino Linotype" w:hAnsi="Palatino Linotype" w:cs="Times New Roman"/>
        </w:rPr>
        <w:t>he list of Known Loads and Pending Loads in the hot spot, and (ii) the calculations used for determining that the hot spot is capacity constrained including the list of infrastructure (including but not limited to substation banks, circuits and ties) and their capabilities, the forecasted demand within the hot spot and the available margin between the two.</w:t>
      </w:r>
      <w:r w:rsidRPr="00DD2C68" w:rsidR="5926B7F9">
        <w:rPr>
          <w:rFonts w:ascii="Palatino Linotype" w:hAnsi="Palatino Linotype" w:cs="Times New Roman"/>
        </w:rPr>
        <w:t xml:space="preserve"> </w:t>
      </w:r>
      <w:r w:rsidRPr="00DD2C68" w:rsidR="5926B7F9">
        <w:rPr>
          <w:rFonts w:ascii="Palatino Linotype" w:hAnsi="Palatino Linotype" w:eastAsia="Palatino Linotype" w:cs="Palatino Linotype"/>
        </w:rPr>
        <w:t>The IOUs must consult with Energy Division prior to the GNA/DUPR filing date to confirm the fields and formats for how pending loads should be reported in the GNA/DUPR.</w:t>
      </w:r>
    </w:p>
    <w:p w:rsidRPr="00F74EEE" w:rsidR="00F74EEE" w:rsidP="00344F46" w:rsidRDefault="00F74EEE" w14:paraId="3EE4EEB5" w14:textId="3C1F14D7">
      <w:pPr>
        <w:pStyle w:val="ListParagraph"/>
        <w:numPr>
          <w:ilvl w:val="0"/>
          <w:numId w:val="10"/>
        </w:numPr>
        <w:spacing w:after="120"/>
        <w:contextualSpacing w:val="0"/>
        <w:rPr>
          <w:rFonts w:ascii="Palatino Linotype" w:hAnsi="Palatino Linotype" w:cs="Times New Roman"/>
        </w:rPr>
      </w:pPr>
      <w:r>
        <w:rPr>
          <w:rFonts w:ascii="Palatino Linotype" w:hAnsi="Palatino Linotype"/>
        </w:rPr>
        <w:t xml:space="preserve">Pacific Gas &amp; Electric, Southern California Edison, and San Diego Gas &amp; Electric shall </w:t>
      </w:r>
      <w:r w:rsidRPr="00F74EEE">
        <w:rPr>
          <w:rFonts w:ascii="Palatino Linotype" w:hAnsi="Palatino Linotype" w:cs="Times New Roman"/>
        </w:rPr>
        <w:t xml:space="preserve">present their proposed </w:t>
      </w:r>
      <w:r w:rsidR="00AB5875">
        <w:rPr>
          <w:rFonts w:ascii="Palatino Linotype" w:hAnsi="Palatino Linotype" w:cs="Times New Roman"/>
        </w:rPr>
        <w:t xml:space="preserve">hot spot </w:t>
      </w:r>
      <w:r w:rsidRPr="00F74EEE">
        <w:rPr>
          <w:rFonts w:ascii="Palatino Linotype" w:hAnsi="Palatino Linotype" w:cs="Times New Roman"/>
        </w:rPr>
        <w:t xml:space="preserve">calculation methodology to the Energy Division for review prior to implementation. Following this review, the IOUs must present a preview of their approach at the Distribution </w:t>
      </w:r>
      <w:r w:rsidR="009321E6">
        <w:rPr>
          <w:rFonts w:ascii="Palatino Linotype" w:hAnsi="Palatino Linotype" w:cs="Times New Roman"/>
        </w:rPr>
        <w:t>Forecasting</w:t>
      </w:r>
      <w:r w:rsidRPr="00F74EEE">
        <w:rPr>
          <w:rFonts w:ascii="Palatino Linotype" w:hAnsi="Palatino Linotype" w:cs="Times New Roman"/>
        </w:rPr>
        <w:t xml:space="preserve"> Working Group.</w:t>
      </w:r>
    </w:p>
    <w:p w:rsidR="00C222FF" w:rsidP="00344F46" w:rsidRDefault="00591C87" w14:paraId="77A43E92" w14:textId="6303A7E7">
      <w:pPr>
        <w:pStyle w:val="ListParagraph"/>
        <w:numPr>
          <w:ilvl w:val="0"/>
          <w:numId w:val="10"/>
        </w:numPr>
        <w:spacing w:after="120"/>
        <w:contextualSpacing w:val="0"/>
        <w:rPr>
          <w:rFonts w:ascii="Palatino Linotype" w:hAnsi="Palatino Linotype"/>
        </w:rPr>
      </w:pPr>
      <w:r>
        <w:rPr>
          <w:rFonts w:ascii="Palatino Linotype" w:hAnsi="Palatino Linotype"/>
        </w:rPr>
        <w:t xml:space="preserve">Pacific Gas &amp; Electric, Southern California Edison, and San Diego Gas &amp; Electric may </w:t>
      </w:r>
      <w:r w:rsidR="00327E41">
        <w:rPr>
          <w:rFonts w:ascii="Palatino Linotype" w:hAnsi="Palatino Linotype"/>
        </w:rPr>
        <w:t xml:space="preserve">submit a Tier 2 Advice Letter if changes to the hot spot definition and formula for calculation of capacity </w:t>
      </w:r>
      <w:r w:rsidR="00192DA6">
        <w:rPr>
          <w:rFonts w:ascii="Palatino Linotype" w:hAnsi="Palatino Linotype"/>
        </w:rPr>
        <w:t>constrained areas are necessary sooner than the 2027 Pending Loads Evaluation Workshop and Advice Letter</w:t>
      </w:r>
      <w:r w:rsidR="004E6D04">
        <w:rPr>
          <w:rFonts w:ascii="Palatino Linotype" w:hAnsi="Palatino Linotype"/>
        </w:rPr>
        <w:t xml:space="preserve"> if necessary</w:t>
      </w:r>
      <w:r w:rsidR="00192DA6">
        <w:rPr>
          <w:rFonts w:ascii="Palatino Linotype" w:hAnsi="Palatino Linotype"/>
        </w:rPr>
        <w:t>.</w:t>
      </w:r>
    </w:p>
    <w:p w:rsidRPr="00DD2C68" w:rsidR="009F4A2F" w:rsidP="00344F46" w:rsidRDefault="003F4202" w14:paraId="6A6FBC6B" w14:textId="107BF675">
      <w:pPr>
        <w:pStyle w:val="ListParagraph"/>
        <w:numPr>
          <w:ilvl w:val="0"/>
          <w:numId w:val="10"/>
        </w:numPr>
        <w:spacing w:after="120"/>
        <w:contextualSpacing w:val="0"/>
        <w:rPr>
          <w:rFonts w:ascii="Palatino Linotype" w:hAnsi="Palatino Linotype"/>
        </w:rPr>
      </w:pPr>
      <w:r w:rsidRPr="00DD2C68">
        <w:rPr>
          <w:rFonts w:ascii="Palatino Linotype" w:hAnsi="Palatino Linotype"/>
        </w:rPr>
        <w:t>S</w:t>
      </w:r>
      <w:r w:rsidRPr="00DD2C68" w:rsidR="00904417">
        <w:rPr>
          <w:rFonts w:ascii="Palatino Linotype" w:hAnsi="Palatino Linotype"/>
        </w:rPr>
        <w:t xml:space="preserve">an </w:t>
      </w:r>
      <w:r w:rsidRPr="00DD2C68">
        <w:rPr>
          <w:rFonts w:ascii="Palatino Linotype" w:hAnsi="Palatino Linotype"/>
        </w:rPr>
        <w:t>D</w:t>
      </w:r>
      <w:r w:rsidRPr="00DD2C68" w:rsidR="00904417">
        <w:rPr>
          <w:rFonts w:ascii="Palatino Linotype" w:hAnsi="Palatino Linotype"/>
        </w:rPr>
        <w:t xml:space="preserve">iego </w:t>
      </w:r>
      <w:r w:rsidRPr="00DD2C68">
        <w:rPr>
          <w:rFonts w:ascii="Palatino Linotype" w:hAnsi="Palatino Linotype"/>
        </w:rPr>
        <w:t>G</w:t>
      </w:r>
      <w:r w:rsidRPr="00DD2C68" w:rsidR="00904417">
        <w:rPr>
          <w:rFonts w:ascii="Palatino Linotype" w:hAnsi="Palatino Linotype"/>
        </w:rPr>
        <w:t xml:space="preserve">as </w:t>
      </w:r>
      <w:r w:rsidRPr="00DD2C68">
        <w:rPr>
          <w:rFonts w:ascii="Palatino Linotype" w:hAnsi="Palatino Linotype"/>
        </w:rPr>
        <w:t>&amp;</w:t>
      </w:r>
      <w:r w:rsidRPr="00DD2C68" w:rsidR="00904417">
        <w:rPr>
          <w:rFonts w:ascii="Palatino Linotype" w:hAnsi="Palatino Linotype"/>
        </w:rPr>
        <w:t xml:space="preserve"> </w:t>
      </w:r>
      <w:r w:rsidRPr="00DD2C68">
        <w:rPr>
          <w:rFonts w:ascii="Palatino Linotype" w:hAnsi="Palatino Linotype"/>
        </w:rPr>
        <w:t>E</w:t>
      </w:r>
      <w:r w:rsidRPr="00DD2C68" w:rsidR="00904417">
        <w:rPr>
          <w:rFonts w:ascii="Palatino Linotype" w:hAnsi="Palatino Linotype"/>
        </w:rPr>
        <w:t>lectric Company</w:t>
      </w:r>
      <w:r w:rsidRPr="00DD2C68" w:rsidR="000F0E18">
        <w:rPr>
          <w:rFonts w:ascii="Palatino Linotype" w:hAnsi="Palatino Linotype"/>
        </w:rPr>
        <w:t xml:space="preserve"> (SDG&amp;E)</w:t>
      </w:r>
      <w:r w:rsidRPr="00DD2C68">
        <w:rPr>
          <w:rFonts w:ascii="Palatino Linotype" w:hAnsi="Palatino Linotype"/>
        </w:rPr>
        <w:t xml:space="preserve"> shall</w:t>
      </w:r>
      <w:r w:rsidRPr="00DD2C68" w:rsidR="00431D3F">
        <w:rPr>
          <w:rFonts w:ascii="Palatino Linotype" w:hAnsi="Palatino Linotype"/>
        </w:rPr>
        <w:t xml:space="preserve"> align its Pending Loads framework with that of Pacific Gas and Electric Company and Southern California Edison Company, as </w:t>
      </w:r>
      <w:r w:rsidRPr="00DD2C68" w:rsidR="000F0E18">
        <w:rPr>
          <w:rFonts w:ascii="Palatino Linotype" w:hAnsi="Palatino Linotype"/>
        </w:rPr>
        <w:t xml:space="preserve">summarized in Tables 1 and 2. </w:t>
      </w:r>
    </w:p>
    <w:p w:rsidRPr="00DD2C68" w:rsidR="009F4A2F" w:rsidP="00344F46" w:rsidRDefault="00646D15" w14:paraId="6E4B21AB" w14:textId="681526A9">
      <w:pPr>
        <w:pStyle w:val="ListParagraph"/>
        <w:numPr>
          <w:ilvl w:val="0"/>
          <w:numId w:val="10"/>
        </w:numPr>
        <w:spacing w:after="120"/>
        <w:contextualSpacing w:val="0"/>
        <w:rPr>
          <w:rFonts w:ascii="Palatino Linotype" w:hAnsi="Palatino Linotype"/>
        </w:rPr>
      </w:pPr>
      <w:r w:rsidRPr="00DD2C68">
        <w:rPr>
          <w:rFonts w:ascii="Palatino Linotype" w:hAnsi="Palatino Linotype"/>
        </w:rPr>
        <w:t>S</w:t>
      </w:r>
      <w:r w:rsidRPr="00DD2C68" w:rsidR="00AB2C13">
        <w:rPr>
          <w:rFonts w:ascii="Palatino Linotype" w:hAnsi="Palatino Linotype"/>
        </w:rPr>
        <w:t xml:space="preserve">outhern </w:t>
      </w:r>
      <w:r w:rsidRPr="00DD2C68">
        <w:rPr>
          <w:rFonts w:ascii="Palatino Linotype" w:hAnsi="Palatino Linotype"/>
        </w:rPr>
        <w:t>C</w:t>
      </w:r>
      <w:r w:rsidRPr="00DD2C68" w:rsidR="00AB2C13">
        <w:rPr>
          <w:rFonts w:ascii="Palatino Linotype" w:hAnsi="Palatino Linotype"/>
        </w:rPr>
        <w:t xml:space="preserve">alifornia </w:t>
      </w:r>
      <w:r w:rsidRPr="00DD2C68">
        <w:rPr>
          <w:rFonts w:ascii="Palatino Linotype" w:hAnsi="Palatino Linotype"/>
        </w:rPr>
        <w:t>E</w:t>
      </w:r>
      <w:r w:rsidRPr="00DD2C68" w:rsidR="00AB2C13">
        <w:rPr>
          <w:rFonts w:ascii="Palatino Linotype" w:hAnsi="Palatino Linotype"/>
        </w:rPr>
        <w:t>dison Company</w:t>
      </w:r>
      <w:r w:rsidRPr="00DD2C68">
        <w:rPr>
          <w:rFonts w:ascii="Palatino Linotype" w:hAnsi="Palatino Linotype"/>
        </w:rPr>
        <w:t>, P</w:t>
      </w:r>
      <w:r w:rsidRPr="00DD2C68" w:rsidR="00AB2C13">
        <w:rPr>
          <w:rFonts w:ascii="Palatino Linotype" w:hAnsi="Palatino Linotype"/>
        </w:rPr>
        <w:t xml:space="preserve">acific </w:t>
      </w:r>
      <w:r w:rsidRPr="00DD2C68">
        <w:rPr>
          <w:rFonts w:ascii="Palatino Linotype" w:hAnsi="Palatino Linotype"/>
        </w:rPr>
        <w:t>G</w:t>
      </w:r>
      <w:r w:rsidRPr="00DD2C68" w:rsidR="00AB2C13">
        <w:rPr>
          <w:rFonts w:ascii="Palatino Linotype" w:hAnsi="Palatino Linotype"/>
        </w:rPr>
        <w:t xml:space="preserve">as and </w:t>
      </w:r>
      <w:r w:rsidRPr="00DD2C68">
        <w:rPr>
          <w:rFonts w:ascii="Palatino Linotype" w:hAnsi="Palatino Linotype"/>
        </w:rPr>
        <w:t>E</w:t>
      </w:r>
      <w:r w:rsidRPr="00DD2C68" w:rsidR="00AB2C13">
        <w:rPr>
          <w:rFonts w:ascii="Palatino Linotype" w:hAnsi="Palatino Linotype"/>
        </w:rPr>
        <w:t>lectric Company</w:t>
      </w:r>
      <w:r w:rsidRPr="00DD2C68">
        <w:rPr>
          <w:rFonts w:ascii="Palatino Linotype" w:hAnsi="Palatino Linotype"/>
        </w:rPr>
        <w:t>, and S</w:t>
      </w:r>
      <w:r w:rsidRPr="00DD2C68" w:rsidR="00AB2C13">
        <w:rPr>
          <w:rFonts w:ascii="Palatino Linotype" w:hAnsi="Palatino Linotype"/>
        </w:rPr>
        <w:t xml:space="preserve">an </w:t>
      </w:r>
      <w:r w:rsidRPr="00DD2C68">
        <w:rPr>
          <w:rFonts w:ascii="Palatino Linotype" w:hAnsi="Palatino Linotype"/>
        </w:rPr>
        <w:t>D</w:t>
      </w:r>
      <w:r w:rsidRPr="00DD2C68" w:rsidR="00AB2C13">
        <w:rPr>
          <w:rFonts w:ascii="Palatino Linotype" w:hAnsi="Palatino Linotype"/>
        </w:rPr>
        <w:t xml:space="preserve">iego </w:t>
      </w:r>
      <w:r w:rsidRPr="00DD2C68">
        <w:rPr>
          <w:rFonts w:ascii="Palatino Linotype" w:hAnsi="Palatino Linotype"/>
        </w:rPr>
        <w:t>G</w:t>
      </w:r>
      <w:r w:rsidRPr="00DD2C68" w:rsidR="00AB2C13">
        <w:rPr>
          <w:rFonts w:ascii="Palatino Linotype" w:hAnsi="Palatino Linotype"/>
        </w:rPr>
        <w:t xml:space="preserve">as </w:t>
      </w:r>
      <w:r w:rsidRPr="00DD2C68">
        <w:rPr>
          <w:rFonts w:ascii="Palatino Linotype" w:hAnsi="Palatino Linotype"/>
        </w:rPr>
        <w:t>&amp;</w:t>
      </w:r>
      <w:r w:rsidRPr="00DD2C68" w:rsidR="00AB2C13">
        <w:rPr>
          <w:rFonts w:ascii="Palatino Linotype" w:hAnsi="Palatino Linotype"/>
        </w:rPr>
        <w:t xml:space="preserve"> </w:t>
      </w:r>
      <w:r w:rsidRPr="00DD2C68">
        <w:rPr>
          <w:rFonts w:ascii="Palatino Linotype" w:hAnsi="Palatino Linotype"/>
        </w:rPr>
        <w:t>E</w:t>
      </w:r>
      <w:r w:rsidRPr="00DD2C68" w:rsidR="00AB2C13">
        <w:rPr>
          <w:rFonts w:ascii="Palatino Linotype" w:hAnsi="Palatino Linotype"/>
        </w:rPr>
        <w:t>lectric Company</w:t>
      </w:r>
      <w:r w:rsidRPr="00DD2C68" w:rsidR="008E7AD6">
        <w:rPr>
          <w:rFonts w:ascii="Palatino Linotype" w:hAnsi="Palatino Linotype"/>
        </w:rPr>
        <w:t xml:space="preserve"> shall report the Pending Loads Evaluation data</w:t>
      </w:r>
      <w:r w:rsidRPr="00DD2C68" w:rsidR="00D0056D">
        <w:rPr>
          <w:rFonts w:ascii="Palatino Linotype" w:hAnsi="Palatino Linotype"/>
        </w:rPr>
        <w:t xml:space="preserve"> in 2027 as a part of the Pending Loads Evaluation Workshop and Advice Letter,</w:t>
      </w:r>
      <w:r w:rsidRPr="00DD2C68" w:rsidR="008E7AD6">
        <w:rPr>
          <w:rFonts w:ascii="Palatino Linotype" w:hAnsi="Palatino Linotype"/>
        </w:rPr>
        <w:t xml:space="preserve"> as described in the Decision D.24-10-030</w:t>
      </w:r>
      <w:r w:rsidRPr="00DD2C68" w:rsidR="006C4FE2">
        <w:rPr>
          <w:rFonts w:ascii="Palatino Linotype" w:hAnsi="Palatino Linotype"/>
        </w:rPr>
        <w:t xml:space="preserve"> Ordering Paragraph 14</w:t>
      </w:r>
      <w:r w:rsidRPr="00DD2C68" w:rsidR="22DEDA47">
        <w:rPr>
          <w:rFonts w:ascii="Palatino Linotype" w:hAnsi="Palatino Linotype"/>
        </w:rPr>
        <w:t>, and as modified in this resolution</w:t>
      </w:r>
      <w:r w:rsidRPr="00DD2C68" w:rsidR="008E7AD6">
        <w:rPr>
          <w:rFonts w:ascii="Palatino Linotype" w:hAnsi="Palatino Linotype"/>
        </w:rPr>
        <w:t>.</w:t>
      </w:r>
    </w:p>
    <w:p w:rsidRPr="00DD2C68" w:rsidR="009F4A2F" w:rsidP="00344F46" w:rsidRDefault="00646D15" w14:paraId="5497EE09" w14:textId="12BB3546">
      <w:pPr>
        <w:pStyle w:val="ListParagraph"/>
        <w:numPr>
          <w:ilvl w:val="0"/>
          <w:numId w:val="10"/>
        </w:numPr>
        <w:spacing w:after="120"/>
        <w:contextualSpacing w:val="0"/>
        <w:rPr>
          <w:rFonts w:ascii="Palatino Linotype" w:hAnsi="Palatino Linotype"/>
        </w:rPr>
      </w:pPr>
      <w:r w:rsidRPr="00DD2C68">
        <w:rPr>
          <w:rFonts w:ascii="Palatino Linotype" w:hAnsi="Palatino Linotype" w:eastAsia="Palatino Linotype" w:cs="Times New Roman"/>
          <w:snapToGrid w:val="0"/>
          <w:kern w:val="0"/>
          <w14:ligatures w14:val="none"/>
        </w:rPr>
        <w:lastRenderedPageBreak/>
        <w:t>S</w:t>
      </w:r>
      <w:r w:rsidRPr="00DD2C68" w:rsidR="00D8320F">
        <w:rPr>
          <w:rFonts w:ascii="Palatino Linotype" w:hAnsi="Palatino Linotype" w:eastAsia="Palatino Linotype" w:cs="Times New Roman"/>
          <w:snapToGrid w:val="0"/>
          <w:kern w:val="0"/>
          <w14:ligatures w14:val="none"/>
        </w:rPr>
        <w:t xml:space="preserve">outhern </w:t>
      </w:r>
      <w:r w:rsidRPr="00DD2C68">
        <w:rPr>
          <w:rFonts w:ascii="Palatino Linotype" w:hAnsi="Palatino Linotype" w:eastAsia="Palatino Linotype" w:cs="Times New Roman"/>
          <w:snapToGrid w:val="0"/>
          <w:kern w:val="0"/>
          <w14:ligatures w14:val="none"/>
        </w:rPr>
        <w:t>C</w:t>
      </w:r>
      <w:r w:rsidRPr="00DD2C68" w:rsidR="00D8320F">
        <w:rPr>
          <w:rFonts w:ascii="Palatino Linotype" w:hAnsi="Palatino Linotype" w:eastAsia="Palatino Linotype" w:cs="Times New Roman"/>
          <w:snapToGrid w:val="0"/>
          <w:kern w:val="0"/>
          <w14:ligatures w14:val="none"/>
        </w:rPr>
        <w:t xml:space="preserve">alifornia </w:t>
      </w:r>
      <w:r w:rsidRPr="00DD2C68">
        <w:rPr>
          <w:rFonts w:ascii="Palatino Linotype" w:hAnsi="Palatino Linotype" w:eastAsia="Palatino Linotype" w:cs="Times New Roman"/>
          <w:snapToGrid w:val="0"/>
          <w:kern w:val="0"/>
          <w14:ligatures w14:val="none"/>
        </w:rPr>
        <w:t>E</w:t>
      </w:r>
      <w:r w:rsidRPr="00DD2C68" w:rsidR="00D8320F">
        <w:rPr>
          <w:rFonts w:ascii="Palatino Linotype" w:hAnsi="Palatino Linotype" w:eastAsia="Palatino Linotype" w:cs="Times New Roman"/>
          <w:snapToGrid w:val="0"/>
          <w:kern w:val="0"/>
          <w14:ligatures w14:val="none"/>
        </w:rPr>
        <w:t>dison Company</w:t>
      </w:r>
      <w:r w:rsidRPr="00DD2C68">
        <w:rPr>
          <w:rFonts w:ascii="Palatino Linotype" w:hAnsi="Palatino Linotype" w:eastAsia="Palatino Linotype" w:cs="Times New Roman"/>
          <w:snapToGrid w:val="0"/>
          <w:kern w:val="0"/>
          <w14:ligatures w14:val="none"/>
        </w:rPr>
        <w:t>, P</w:t>
      </w:r>
      <w:r w:rsidRPr="00DD2C68" w:rsidR="00D8320F">
        <w:rPr>
          <w:rFonts w:ascii="Palatino Linotype" w:hAnsi="Palatino Linotype" w:eastAsia="Palatino Linotype" w:cs="Times New Roman"/>
          <w:snapToGrid w:val="0"/>
          <w:kern w:val="0"/>
          <w14:ligatures w14:val="none"/>
        </w:rPr>
        <w:t xml:space="preserve">acific </w:t>
      </w:r>
      <w:r w:rsidRPr="00DD2C68">
        <w:rPr>
          <w:rFonts w:ascii="Palatino Linotype" w:hAnsi="Palatino Linotype" w:eastAsia="Palatino Linotype" w:cs="Times New Roman"/>
          <w:snapToGrid w:val="0"/>
          <w:kern w:val="0"/>
          <w14:ligatures w14:val="none"/>
        </w:rPr>
        <w:t>G</w:t>
      </w:r>
      <w:r w:rsidRPr="00DD2C68" w:rsidR="00D8320F">
        <w:rPr>
          <w:rFonts w:ascii="Palatino Linotype" w:hAnsi="Palatino Linotype" w:eastAsia="Palatino Linotype" w:cs="Times New Roman"/>
          <w:snapToGrid w:val="0"/>
          <w:kern w:val="0"/>
          <w14:ligatures w14:val="none"/>
        </w:rPr>
        <w:t xml:space="preserve">as and </w:t>
      </w:r>
      <w:r w:rsidRPr="00DD2C68">
        <w:rPr>
          <w:rFonts w:ascii="Palatino Linotype" w:hAnsi="Palatino Linotype" w:eastAsia="Palatino Linotype" w:cs="Times New Roman"/>
          <w:snapToGrid w:val="0"/>
          <w:kern w:val="0"/>
          <w14:ligatures w14:val="none"/>
        </w:rPr>
        <w:t>E</w:t>
      </w:r>
      <w:r w:rsidRPr="00DD2C68" w:rsidR="00D8320F">
        <w:rPr>
          <w:rFonts w:ascii="Palatino Linotype" w:hAnsi="Palatino Linotype" w:eastAsia="Palatino Linotype" w:cs="Times New Roman"/>
          <w:snapToGrid w:val="0"/>
          <w:kern w:val="0"/>
          <w14:ligatures w14:val="none"/>
        </w:rPr>
        <w:t>lectric Company</w:t>
      </w:r>
      <w:r w:rsidRPr="00DD2C68">
        <w:rPr>
          <w:rFonts w:ascii="Palatino Linotype" w:hAnsi="Palatino Linotype" w:eastAsia="Palatino Linotype" w:cs="Times New Roman"/>
          <w:snapToGrid w:val="0"/>
          <w:kern w:val="0"/>
          <w14:ligatures w14:val="none"/>
        </w:rPr>
        <w:t>, and S</w:t>
      </w:r>
      <w:r w:rsidRPr="00DD2C68" w:rsidR="00D8320F">
        <w:rPr>
          <w:rFonts w:ascii="Palatino Linotype" w:hAnsi="Palatino Linotype" w:eastAsia="Palatino Linotype" w:cs="Times New Roman"/>
          <w:snapToGrid w:val="0"/>
          <w:kern w:val="0"/>
          <w14:ligatures w14:val="none"/>
        </w:rPr>
        <w:t xml:space="preserve">an </w:t>
      </w:r>
      <w:r w:rsidRPr="00DD2C68">
        <w:rPr>
          <w:rFonts w:ascii="Palatino Linotype" w:hAnsi="Palatino Linotype" w:eastAsia="Palatino Linotype" w:cs="Times New Roman"/>
          <w:snapToGrid w:val="0"/>
          <w:kern w:val="0"/>
          <w14:ligatures w14:val="none"/>
        </w:rPr>
        <w:t>D</w:t>
      </w:r>
      <w:r w:rsidRPr="00DD2C68" w:rsidR="00D8320F">
        <w:rPr>
          <w:rFonts w:ascii="Palatino Linotype" w:hAnsi="Palatino Linotype" w:eastAsia="Palatino Linotype" w:cs="Times New Roman"/>
          <w:snapToGrid w:val="0"/>
          <w:kern w:val="0"/>
          <w14:ligatures w14:val="none"/>
        </w:rPr>
        <w:t xml:space="preserve">iego </w:t>
      </w:r>
      <w:r w:rsidRPr="00DD2C68">
        <w:rPr>
          <w:rFonts w:ascii="Palatino Linotype" w:hAnsi="Palatino Linotype" w:eastAsia="Palatino Linotype" w:cs="Times New Roman"/>
          <w:snapToGrid w:val="0"/>
          <w:kern w:val="0"/>
          <w14:ligatures w14:val="none"/>
        </w:rPr>
        <w:t>G</w:t>
      </w:r>
      <w:r w:rsidRPr="00DD2C68" w:rsidR="00D8320F">
        <w:rPr>
          <w:rFonts w:ascii="Palatino Linotype" w:hAnsi="Palatino Linotype" w:eastAsia="Palatino Linotype" w:cs="Times New Roman"/>
          <w:snapToGrid w:val="0"/>
          <w:kern w:val="0"/>
          <w14:ligatures w14:val="none"/>
        </w:rPr>
        <w:t xml:space="preserve">as </w:t>
      </w:r>
      <w:r w:rsidRPr="00DD2C68">
        <w:rPr>
          <w:rFonts w:ascii="Palatino Linotype" w:hAnsi="Palatino Linotype" w:eastAsia="Palatino Linotype" w:cs="Times New Roman"/>
          <w:snapToGrid w:val="0"/>
          <w:kern w:val="0"/>
          <w14:ligatures w14:val="none"/>
        </w:rPr>
        <w:t>&amp;</w:t>
      </w:r>
      <w:r w:rsidRPr="00DD2C68" w:rsidR="00D8320F">
        <w:rPr>
          <w:rFonts w:ascii="Palatino Linotype" w:hAnsi="Palatino Linotype" w:eastAsia="Palatino Linotype" w:cs="Times New Roman"/>
          <w:snapToGrid w:val="0"/>
          <w:kern w:val="0"/>
          <w14:ligatures w14:val="none"/>
        </w:rPr>
        <w:t xml:space="preserve"> </w:t>
      </w:r>
      <w:r w:rsidRPr="00DD2C68">
        <w:rPr>
          <w:rFonts w:ascii="Palatino Linotype" w:hAnsi="Palatino Linotype" w:eastAsia="Palatino Linotype" w:cs="Times New Roman"/>
          <w:snapToGrid w:val="0"/>
          <w:kern w:val="0"/>
          <w14:ligatures w14:val="none"/>
        </w:rPr>
        <w:t>E</w:t>
      </w:r>
      <w:r w:rsidRPr="00DD2C68" w:rsidR="00D8320F">
        <w:rPr>
          <w:rFonts w:ascii="Palatino Linotype" w:hAnsi="Palatino Linotype" w:eastAsia="Palatino Linotype" w:cs="Times New Roman"/>
          <w:snapToGrid w:val="0"/>
          <w:kern w:val="0"/>
          <w14:ligatures w14:val="none"/>
        </w:rPr>
        <w:t>lectric Company</w:t>
      </w:r>
      <w:r w:rsidRPr="00DD2C68">
        <w:rPr>
          <w:rFonts w:ascii="Palatino Linotype" w:hAnsi="Palatino Linotype" w:eastAsia="Palatino Linotype" w:cs="Times New Roman"/>
          <w:snapToGrid w:val="0"/>
          <w:kern w:val="0"/>
          <w14:ligatures w14:val="none"/>
        </w:rPr>
        <w:t xml:space="preserve"> </w:t>
      </w:r>
      <w:r w:rsidRPr="00DD2C68" w:rsidR="716E2F39">
        <w:rPr>
          <w:rFonts w:ascii="Palatino Linotype" w:hAnsi="Palatino Linotype"/>
        </w:rPr>
        <w:t>may</w:t>
      </w:r>
      <w:r w:rsidRPr="00DD2C68" w:rsidR="009F4A2F">
        <w:rPr>
          <w:rFonts w:ascii="Palatino Linotype" w:hAnsi="Palatino Linotype"/>
        </w:rPr>
        <w:t xml:space="preserve"> add sources of pending load data without </w:t>
      </w:r>
      <w:r w:rsidRPr="00DD2C68" w:rsidR="00BE26EE">
        <w:rPr>
          <w:rFonts w:ascii="Palatino Linotype" w:hAnsi="Palatino Linotype"/>
        </w:rPr>
        <w:t xml:space="preserve">prior Commission </w:t>
      </w:r>
      <w:r w:rsidRPr="00DD2C68" w:rsidR="009F4A2F">
        <w:rPr>
          <w:rFonts w:ascii="Palatino Linotype" w:hAnsi="Palatino Linotype"/>
        </w:rPr>
        <w:t xml:space="preserve">approval so long as the sources of data are of the </w:t>
      </w:r>
      <w:r w:rsidRPr="00DD2C68" w:rsidR="00BE26EE">
        <w:rPr>
          <w:rFonts w:ascii="Palatino Linotype" w:hAnsi="Palatino Linotype"/>
        </w:rPr>
        <w:t xml:space="preserve">data </w:t>
      </w:r>
      <w:r w:rsidRPr="00DD2C68" w:rsidR="009F4A2F">
        <w:rPr>
          <w:rFonts w:ascii="Palatino Linotype" w:hAnsi="Palatino Linotype"/>
        </w:rPr>
        <w:t xml:space="preserve">types </w:t>
      </w:r>
      <w:r w:rsidRPr="00DD2C68" w:rsidR="00A613BA">
        <w:rPr>
          <w:rFonts w:ascii="Palatino Linotype" w:hAnsi="Palatino Linotype"/>
        </w:rPr>
        <w:t>permitted by this Resolution</w:t>
      </w:r>
      <w:r w:rsidRPr="00DD2C68" w:rsidR="009F4A2F">
        <w:rPr>
          <w:rFonts w:ascii="Palatino Linotype" w:hAnsi="Palatino Linotype"/>
        </w:rPr>
        <w:t xml:space="preserve"> and meet the</w:t>
      </w:r>
      <w:r w:rsidRPr="00DD2C68" w:rsidR="00B82419">
        <w:rPr>
          <w:rFonts w:ascii="Palatino Linotype" w:hAnsi="Palatino Linotype"/>
        </w:rPr>
        <w:t xml:space="preserve"> minimum</w:t>
      </w:r>
      <w:r w:rsidRPr="00DD2C68" w:rsidR="009F4A2F">
        <w:rPr>
          <w:rFonts w:ascii="Palatino Linotype" w:hAnsi="Palatino Linotype"/>
        </w:rPr>
        <w:t xml:space="preserve"> criteria of </w:t>
      </w:r>
      <w:r w:rsidRPr="00DD2C68" w:rsidR="00B82419">
        <w:rPr>
          <w:rFonts w:ascii="Palatino Linotype" w:hAnsi="Palatino Linotype"/>
        </w:rPr>
        <w:t>the</w:t>
      </w:r>
      <w:r w:rsidRPr="00DD2C68" w:rsidR="009F4A2F">
        <w:rPr>
          <w:rFonts w:ascii="Palatino Linotype" w:hAnsi="Palatino Linotype"/>
        </w:rPr>
        <w:t xml:space="preserve"> category</w:t>
      </w:r>
      <w:r w:rsidRPr="00DD2C68" w:rsidR="00B82419">
        <w:rPr>
          <w:rFonts w:ascii="Palatino Linotype" w:hAnsi="Palatino Linotype"/>
        </w:rPr>
        <w:t xml:space="preserve"> they will be used in</w:t>
      </w:r>
      <w:r w:rsidRPr="00DD2C68" w:rsidR="009F4A2F">
        <w:rPr>
          <w:rFonts w:ascii="Palatino Linotype" w:hAnsi="Palatino Linotype"/>
        </w:rPr>
        <w:t>.</w:t>
      </w:r>
      <w:r w:rsidRPr="00DD2C68" w:rsidR="00A613BA">
        <w:rPr>
          <w:rFonts w:ascii="Palatino Linotype" w:hAnsi="Palatino Linotype"/>
        </w:rPr>
        <w:t xml:space="preserve"> Any new sources shall be reported in the next </w:t>
      </w:r>
      <w:r w:rsidRPr="00DD2C68" w:rsidR="201F6F3E">
        <w:rPr>
          <w:rFonts w:ascii="Palatino Linotype" w:hAnsi="Palatino Linotype"/>
        </w:rPr>
        <w:t>G</w:t>
      </w:r>
      <w:r w:rsidRPr="00DD2C68" w:rsidR="448376EF">
        <w:rPr>
          <w:rFonts w:ascii="Palatino Linotype" w:hAnsi="Palatino Linotype"/>
        </w:rPr>
        <w:t xml:space="preserve">rid </w:t>
      </w:r>
      <w:r w:rsidRPr="00DD2C68" w:rsidR="201F6F3E">
        <w:rPr>
          <w:rFonts w:ascii="Palatino Linotype" w:hAnsi="Palatino Linotype"/>
        </w:rPr>
        <w:t>N</w:t>
      </w:r>
      <w:r w:rsidRPr="00DD2C68" w:rsidR="08CA48E2">
        <w:rPr>
          <w:rFonts w:ascii="Palatino Linotype" w:hAnsi="Palatino Linotype"/>
        </w:rPr>
        <w:t xml:space="preserve">eeds </w:t>
      </w:r>
      <w:r w:rsidRPr="00DD2C68" w:rsidR="201F6F3E">
        <w:rPr>
          <w:rFonts w:ascii="Palatino Linotype" w:hAnsi="Palatino Linotype"/>
        </w:rPr>
        <w:t>A</w:t>
      </w:r>
      <w:r w:rsidRPr="00DD2C68" w:rsidR="02999544">
        <w:rPr>
          <w:rFonts w:ascii="Palatino Linotype" w:hAnsi="Palatino Linotype"/>
        </w:rPr>
        <w:t>ssessment</w:t>
      </w:r>
      <w:r w:rsidRPr="00DD2C68" w:rsidR="201F6F3E">
        <w:rPr>
          <w:rFonts w:ascii="Palatino Linotype" w:hAnsi="Palatino Linotype"/>
        </w:rPr>
        <w:t>/D</w:t>
      </w:r>
      <w:r w:rsidRPr="00DD2C68" w:rsidR="603EB632">
        <w:rPr>
          <w:rFonts w:ascii="Palatino Linotype" w:hAnsi="Palatino Linotype"/>
        </w:rPr>
        <w:t xml:space="preserve">istribution </w:t>
      </w:r>
      <w:r w:rsidRPr="00DD2C68" w:rsidR="201F6F3E">
        <w:rPr>
          <w:rFonts w:ascii="Palatino Linotype" w:hAnsi="Palatino Linotype"/>
        </w:rPr>
        <w:t>U</w:t>
      </w:r>
      <w:r w:rsidRPr="00DD2C68" w:rsidR="3884FEB2">
        <w:rPr>
          <w:rFonts w:ascii="Palatino Linotype" w:hAnsi="Palatino Linotype"/>
        </w:rPr>
        <w:t xml:space="preserve">pgrade </w:t>
      </w:r>
      <w:r w:rsidRPr="00DD2C68" w:rsidR="201F6F3E">
        <w:rPr>
          <w:rFonts w:ascii="Palatino Linotype" w:hAnsi="Palatino Linotype"/>
        </w:rPr>
        <w:t>P</w:t>
      </w:r>
      <w:r w:rsidRPr="00DD2C68" w:rsidR="2907CA34">
        <w:rPr>
          <w:rFonts w:ascii="Palatino Linotype" w:hAnsi="Palatino Linotype"/>
        </w:rPr>
        <w:t xml:space="preserve">rogress </w:t>
      </w:r>
      <w:r w:rsidRPr="00DD2C68" w:rsidR="201F6F3E">
        <w:rPr>
          <w:rFonts w:ascii="Palatino Linotype" w:hAnsi="Palatino Linotype"/>
        </w:rPr>
        <w:t>R</w:t>
      </w:r>
      <w:r w:rsidRPr="00DD2C68" w:rsidR="13725FA7">
        <w:rPr>
          <w:rFonts w:ascii="Palatino Linotype" w:hAnsi="Palatino Linotype"/>
        </w:rPr>
        <w:t>eport</w:t>
      </w:r>
      <w:r w:rsidRPr="00DD2C68" w:rsidR="00A613BA">
        <w:rPr>
          <w:rFonts w:ascii="Palatino Linotype" w:hAnsi="Palatino Linotype"/>
        </w:rPr>
        <w:t>.</w:t>
      </w:r>
    </w:p>
    <w:p w:rsidRPr="00DD2C68" w:rsidR="009F4A2F" w:rsidP="00344F46" w:rsidRDefault="00646D15" w14:paraId="3A63A087" w14:textId="43C467F5">
      <w:pPr>
        <w:pStyle w:val="ListParagraph"/>
        <w:numPr>
          <w:ilvl w:val="0"/>
          <w:numId w:val="10"/>
        </w:numPr>
        <w:spacing w:after="120"/>
        <w:contextualSpacing w:val="0"/>
        <w:rPr>
          <w:rFonts w:ascii="Palatino Linotype" w:hAnsi="Palatino Linotype"/>
        </w:rPr>
      </w:pPr>
      <w:r w:rsidRPr="00DD2C68">
        <w:rPr>
          <w:rFonts w:ascii="Palatino Linotype" w:hAnsi="Palatino Linotype" w:eastAsia="Palatino Linotype" w:cs="Times New Roman"/>
          <w:snapToGrid w:val="0"/>
          <w:kern w:val="0"/>
          <w14:ligatures w14:val="none"/>
        </w:rPr>
        <w:t>S</w:t>
      </w:r>
      <w:r w:rsidRPr="00DD2C68" w:rsidR="00B96509">
        <w:rPr>
          <w:rFonts w:ascii="Palatino Linotype" w:hAnsi="Palatino Linotype" w:eastAsia="Palatino Linotype" w:cs="Times New Roman"/>
          <w:snapToGrid w:val="0"/>
          <w:kern w:val="0"/>
          <w14:ligatures w14:val="none"/>
        </w:rPr>
        <w:t xml:space="preserve">outhern </w:t>
      </w:r>
      <w:r w:rsidRPr="00DD2C68">
        <w:rPr>
          <w:rFonts w:ascii="Palatino Linotype" w:hAnsi="Palatino Linotype" w:eastAsia="Palatino Linotype" w:cs="Times New Roman"/>
          <w:snapToGrid w:val="0"/>
          <w:kern w:val="0"/>
          <w14:ligatures w14:val="none"/>
        </w:rPr>
        <w:t>C</w:t>
      </w:r>
      <w:r w:rsidRPr="00DD2C68" w:rsidR="00B96509">
        <w:rPr>
          <w:rFonts w:ascii="Palatino Linotype" w:hAnsi="Palatino Linotype" w:eastAsia="Palatino Linotype" w:cs="Times New Roman"/>
          <w:snapToGrid w:val="0"/>
          <w:kern w:val="0"/>
          <w14:ligatures w14:val="none"/>
        </w:rPr>
        <w:t xml:space="preserve">alifornia </w:t>
      </w:r>
      <w:r w:rsidRPr="00DD2C68">
        <w:rPr>
          <w:rFonts w:ascii="Palatino Linotype" w:hAnsi="Palatino Linotype" w:eastAsia="Palatino Linotype" w:cs="Times New Roman"/>
          <w:snapToGrid w:val="0"/>
          <w:kern w:val="0"/>
          <w14:ligatures w14:val="none"/>
        </w:rPr>
        <w:t>E</w:t>
      </w:r>
      <w:r w:rsidRPr="00DD2C68" w:rsidR="00B96509">
        <w:rPr>
          <w:rFonts w:ascii="Palatino Linotype" w:hAnsi="Palatino Linotype" w:eastAsia="Palatino Linotype" w:cs="Times New Roman"/>
          <w:snapToGrid w:val="0"/>
          <w:kern w:val="0"/>
          <w14:ligatures w14:val="none"/>
        </w:rPr>
        <w:t>dison Company</w:t>
      </w:r>
      <w:r w:rsidRPr="00DD2C68">
        <w:rPr>
          <w:rFonts w:ascii="Palatino Linotype" w:hAnsi="Palatino Linotype" w:eastAsia="Palatino Linotype" w:cs="Times New Roman"/>
          <w:snapToGrid w:val="0"/>
          <w:kern w:val="0"/>
          <w14:ligatures w14:val="none"/>
        </w:rPr>
        <w:t>, P</w:t>
      </w:r>
      <w:r w:rsidRPr="00DD2C68" w:rsidR="00B96509">
        <w:rPr>
          <w:rFonts w:ascii="Palatino Linotype" w:hAnsi="Palatino Linotype" w:eastAsia="Palatino Linotype" w:cs="Times New Roman"/>
          <w:snapToGrid w:val="0"/>
          <w:kern w:val="0"/>
          <w14:ligatures w14:val="none"/>
        </w:rPr>
        <w:t xml:space="preserve">acific </w:t>
      </w:r>
      <w:r w:rsidRPr="00DD2C68">
        <w:rPr>
          <w:rFonts w:ascii="Palatino Linotype" w:hAnsi="Palatino Linotype" w:eastAsia="Palatino Linotype" w:cs="Times New Roman"/>
          <w:snapToGrid w:val="0"/>
          <w:kern w:val="0"/>
          <w14:ligatures w14:val="none"/>
        </w:rPr>
        <w:t>G</w:t>
      </w:r>
      <w:r w:rsidRPr="00DD2C68" w:rsidR="00B96509">
        <w:rPr>
          <w:rFonts w:ascii="Palatino Linotype" w:hAnsi="Palatino Linotype" w:eastAsia="Palatino Linotype" w:cs="Times New Roman"/>
          <w:snapToGrid w:val="0"/>
          <w:kern w:val="0"/>
          <w14:ligatures w14:val="none"/>
        </w:rPr>
        <w:t xml:space="preserve">as and </w:t>
      </w:r>
      <w:r w:rsidRPr="00DD2C68">
        <w:rPr>
          <w:rFonts w:ascii="Palatino Linotype" w:hAnsi="Palatino Linotype" w:eastAsia="Palatino Linotype" w:cs="Times New Roman"/>
          <w:snapToGrid w:val="0"/>
          <w:kern w:val="0"/>
          <w14:ligatures w14:val="none"/>
        </w:rPr>
        <w:t>E</w:t>
      </w:r>
      <w:r w:rsidRPr="00DD2C68" w:rsidR="00B96509">
        <w:rPr>
          <w:rFonts w:ascii="Palatino Linotype" w:hAnsi="Palatino Linotype" w:eastAsia="Palatino Linotype" w:cs="Times New Roman"/>
          <w:snapToGrid w:val="0"/>
          <w:kern w:val="0"/>
          <w14:ligatures w14:val="none"/>
        </w:rPr>
        <w:t>lectric Company</w:t>
      </w:r>
      <w:r w:rsidRPr="00DD2C68">
        <w:rPr>
          <w:rFonts w:ascii="Palatino Linotype" w:hAnsi="Palatino Linotype" w:eastAsia="Palatino Linotype" w:cs="Times New Roman"/>
          <w:snapToGrid w:val="0"/>
          <w:kern w:val="0"/>
          <w14:ligatures w14:val="none"/>
        </w:rPr>
        <w:t>, and S</w:t>
      </w:r>
      <w:r w:rsidRPr="00DD2C68" w:rsidR="00B96509">
        <w:rPr>
          <w:rFonts w:ascii="Palatino Linotype" w:hAnsi="Palatino Linotype" w:eastAsia="Palatino Linotype" w:cs="Times New Roman"/>
          <w:snapToGrid w:val="0"/>
          <w:kern w:val="0"/>
          <w14:ligatures w14:val="none"/>
        </w:rPr>
        <w:t xml:space="preserve">an </w:t>
      </w:r>
      <w:r w:rsidRPr="00DD2C68">
        <w:rPr>
          <w:rFonts w:ascii="Palatino Linotype" w:hAnsi="Palatino Linotype" w:eastAsia="Palatino Linotype" w:cs="Times New Roman"/>
          <w:snapToGrid w:val="0"/>
          <w:kern w:val="0"/>
          <w14:ligatures w14:val="none"/>
        </w:rPr>
        <w:t>D</w:t>
      </w:r>
      <w:r w:rsidRPr="00DD2C68" w:rsidR="00B96509">
        <w:rPr>
          <w:rFonts w:ascii="Palatino Linotype" w:hAnsi="Palatino Linotype" w:eastAsia="Palatino Linotype" w:cs="Times New Roman"/>
          <w:snapToGrid w:val="0"/>
          <w:kern w:val="0"/>
          <w14:ligatures w14:val="none"/>
        </w:rPr>
        <w:t xml:space="preserve">iego </w:t>
      </w:r>
      <w:r w:rsidRPr="00DD2C68">
        <w:rPr>
          <w:rFonts w:ascii="Palatino Linotype" w:hAnsi="Palatino Linotype" w:eastAsia="Palatino Linotype" w:cs="Times New Roman"/>
          <w:snapToGrid w:val="0"/>
          <w:kern w:val="0"/>
          <w14:ligatures w14:val="none"/>
        </w:rPr>
        <w:t>G</w:t>
      </w:r>
      <w:r w:rsidRPr="00DD2C68" w:rsidR="00B96509">
        <w:rPr>
          <w:rFonts w:ascii="Palatino Linotype" w:hAnsi="Palatino Linotype" w:eastAsia="Palatino Linotype" w:cs="Times New Roman"/>
          <w:snapToGrid w:val="0"/>
          <w:kern w:val="0"/>
          <w14:ligatures w14:val="none"/>
        </w:rPr>
        <w:t xml:space="preserve">as </w:t>
      </w:r>
      <w:r w:rsidRPr="00DD2C68">
        <w:rPr>
          <w:rFonts w:ascii="Palatino Linotype" w:hAnsi="Palatino Linotype" w:eastAsia="Palatino Linotype" w:cs="Times New Roman"/>
          <w:snapToGrid w:val="0"/>
          <w:kern w:val="0"/>
          <w14:ligatures w14:val="none"/>
        </w:rPr>
        <w:t>&amp;</w:t>
      </w:r>
      <w:r w:rsidRPr="00DD2C68" w:rsidR="00B96509">
        <w:rPr>
          <w:rFonts w:ascii="Palatino Linotype" w:hAnsi="Palatino Linotype" w:eastAsia="Palatino Linotype" w:cs="Times New Roman"/>
          <w:snapToGrid w:val="0"/>
          <w:kern w:val="0"/>
          <w14:ligatures w14:val="none"/>
        </w:rPr>
        <w:t xml:space="preserve"> </w:t>
      </w:r>
      <w:r w:rsidRPr="00DD2C68">
        <w:rPr>
          <w:rFonts w:ascii="Palatino Linotype" w:hAnsi="Palatino Linotype" w:eastAsia="Palatino Linotype" w:cs="Times New Roman"/>
          <w:snapToGrid w:val="0"/>
          <w:kern w:val="0"/>
          <w14:ligatures w14:val="none"/>
        </w:rPr>
        <w:t>E</w:t>
      </w:r>
      <w:r w:rsidRPr="00DD2C68" w:rsidR="00B96509">
        <w:rPr>
          <w:rFonts w:ascii="Palatino Linotype" w:hAnsi="Palatino Linotype" w:eastAsia="Palatino Linotype" w:cs="Times New Roman"/>
          <w:snapToGrid w:val="0"/>
          <w:kern w:val="0"/>
          <w14:ligatures w14:val="none"/>
        </w:rPr>
        <w:t>lectric Company</w:t>
      </w:r>
      <w:r w:rsidRPr="00DD2C68">
        <w:rPr>
          <w:rFonts w:ascii="Palatino Linotype" w:hAnsi="Palatino Linotype" w:eastAsia="Palatino Linotype" w:cs="Times New Roman"/>
          <w:snapToGrid w:val="0"/>
          <w:kern w:val="0"/>
          <w14:ligatures w14:val="none"/>
        </w:rPr>
        <w:t xml:space="preserve"> </w:t>
      </w:r>
      <w:r w:rsidRPr="00DD2C68" w:rsidR="00210328">
        <w:rPr>
          <w:rFonts w:ascii="Palatino Linotype" w:hAnsi="Palatino Linotype"/>
        </w:rPr>
        <w:t>shall provide</w:t>
      </w:r>
      <w:r w:rsidRPr="00DD2C68" w:rsidR="00E748FD">
        <w:rPr>
          <w:rFonts w:ascii="Palatino Linotype" w:hAnsi="Palatino Linotype"/>
        </w:rPr>
        <w:t xml:space="preserve"> </w:t>
      </w:r>
      <w:r w:rsidRPr="00DD2C68" w:rsidR="00210328">
        <w:rPr>
          <w:rFonts w:ascii="Palatino Linotype" w:hAnsi="Palatino Linotype"/>
        </w:rPr>
        <w:t>a detailed description</w:t>
      </w:r>
      <w:r w:rsidRPr="00DD2C68" w:rsidR="00E748FD">
        <w:rPr>
          <w:rFonts w:ascii="Palatino Linotype" w:hAnsi="Palatino Linotype"/>
        </w:rPr>
        <w:t>, in the G</w:t>
      </w:r>
      <w:r w:rsidRPr="00DD2C68" w:rsidR="0092067B">
        <w:rPr>
          <w:rFonts w:ascii="Palatino Linotype" w:hAnsi="Palatino Linotype"/>
        </w:rPr>
        <w:t xml:space="preserve">rid </w:t>
      </w:r>
      <w:r w:rsidRPr="00DD2C68" w:rsidR="00E748FD">
        <w:rPr>
          <w:rFonts w:ascii="Palatino Linotype" w:hAnsi="Palatino Linotype"/>
        </w:rPr>
        <w:t>N</w:t>
      </w:r>
      <w:r w:rsidRPr="00DD2C68" w:rsidR="0092067B">
        <w:rPr>
          <w:rFonts w:ascii="Palatino Linotype" w:hAnsi="Palatino Linotype"/>
        </w:rPr>
        <w:t xml:space="preserve">eeds </w:t>
      </w:r>
      <w:r w:rsidRPr="00DD2C68" w:rsidR="00E748FD">
        <w:rPr>
          <w:rFonts w:ascii="Palatino Linotype" w:hAnsi="Palatino Linotype"/>
        </w:rPr>
        <w:t>A</w:t>
      </w:r>
      <w:r w:rsidRPr="00DD2C68" w:rsidR="0092067B">
        <w:rPr>
          <w:rFonts w:ascii="Palatino Linotype" w:hAnsi="Palatino Linotype"/>
        </w:rPr>
        <w:t>ssessment</w:t>
      </w:r>
      <w:r w:rsidRPr="00DD2C68" w:rsidR="00E748FD">
        <w:rPr>
          <w:rFonts w:ascii="Palatino Linotype" w:hAnsi="Palatino Linotype"/>
        </w:rPr>
        <w:t xml:space="preserve">, </w:t>
      </w:r>
      <w:r w:rsidRPr="00DD2C68" w:rsidR="00210328">
        <w:rPr>
          <w:rFonts w:ascii="Palatino Linotype" w:hAnsi="Palatino Linotype"/>
        </w:rPr>
        <w:t>of the process they use to re-evaluate grid needs and provide any information related to the changes in needs.</w:t>
      </w:r>
    </w:p>
    <w:p w:rsidRPr="00DD2C68" w:rsidR="009F4A2F" w:rsidP="00344F46" w:rsidRDefault="0092067B" w14:paraId="15122708" w14:textId="7201E31B">
      <w:pPr>
        <w:pStyle w:val="ListParagraph"/>
        <w:numPr>
          <w:ilvl w:val="0"/>
          <w:numId w:val="10"/>
        </w:numPr>
        <w:spacing w:after="120"/>
        <w:contextualSpacing w:val="0"/>
        <w:rPr>
          <w:rFonts w:ascii="Palatino Linotype" w:hAnsi="Palatino Linotype"/>
        </w:rPr>
      </w:pPr>
      <w:r w:rsidRPr="00DD2C68">
        <w:rPr>
          <w:rFonts w:ascii="Palatino Linotype" w:hAnsi="Palatino Linotype" w:eastAsia="Palatino Linotype" w:cs="Times New Roman"/>
          <w:snapToGrid w:val="0"/>
          <w:kern w:val="0"/>
          <w14:ligatures w14:val="none"/>
        </w:rPr>
        <w:t xml:space="preserve">Southern California Edison Company, Pacific Gas and Electric Company, and San Diego Gas &amp; Electric Company </w:t>
      </w:r>
      <w:r w:rsidRPr="00DD2C68" w:rsidR="00210328">
        <w:rPr>
          <w:rFonts w:ascii="Palatino Linotype" w:hAnsi="Palatino Linotype"/>
        </w:rPr>
        <w:t>shall provide a detailed description</w:t>
      </w:r>
      <w:r w:rsidRPr="00DD2C68" w:rsidR="0000221A">
        <w:rPr>
          <w:rFonts w:ascii="Palatino Linotype" w:hAnsi="Palatino Linotype"/>
        </w:rPr>
        <w:t>, in the D</w:t>
      </w:r>
      <w:r w:rsidRPr="00DD2C68" w:rsidR="007717F6">
        <w:rPr>
          <w:rFonts w:ascii="Palatino Linotype" w:hAnsi="Palatino Linotype"/>
        </w:rPr>
        <w:t xml:space="preserve">istribution </w:t>
      </w:r>
      <w:r w:rsidRPr="00DD2C68" w:rsidR="0000221A">
        <w:rPr>
          <w:rFonts w:ascii="Palatino Linotype" w:hAnsi="Palatino Linotype"/>
        </w:rPr>
        <w:t>U</w:t>
      </w:r>
      <w:r w:rsidRPr="00DD2C68" w:rsidR="007717F6">
        <w:rPr>
          <w:rFonts w:ascii="Palatino Linotype" w:hAnsi="Palatino Linotype"/>
        </w:rPr>
        <w:t xml:space="preserve">pgrade </w:t>
      </w:r>
      <w:r w:rsidRPr="00DD2C68" w:rsidR="0000221A">
        <w:rPr>
          <w:rFonts w:ascii="Palatino Linotype" w:hAnsi="Palatino Linotype"/>
        </w:rPr>
        <w:t>P</w:t>
      </w:r>
      <w:r w:rsidRPr="00DD2C68" w:rsidR="007717F6">
        <w:rPr>
          <w:rFonts w:ascii="Palatino Linotype" w:hAnsi="Palatino Linotype"/>
        </w:rPr>
        <w:t xml:space="preserve">roject </w:t>
      </w:r>
      <w:r w:rsidRPr="00DD2C68" w:rsidR="0000221A">
        <w:rPr>
          <w:rFonts w:ascii="Palatino Linotype" w:hAnsi="Palatino Linotype"/>
        </w:rPr>
        <w:t>R</w:t>
      </w:r>
      <w:r w:rsidRPr="00DD2C68" w:rsidR="007717F6">
        <w:rPr>
          <w:rFonts w:ascii="Palatino Linotype" w:hAnsi="Palatino Linotype"/>
        </w:rPr>
        <w:t>eport</w:t>
      </w:r>
      <w:r w:rsidRPr="00DD2C68" w:rsidR="0000221A">
        <w:rPr>
          <w:rFonts w:ascii="Palatino Linotype" w:hAnsi="Palatino Linotype"/>
        </w:rPr>
        <w:t>,</w:t>
      </w:r>
      <w:r w:rsidRPr="00DD2C68" w:rsidR="00210328">
        <w:rPr>
          <w:rFonts w:ascii="Palatino Linotype" w:hAnsi="Palatino Linotype"/>
        </w:rPr>
        <w:t xml:space="preserve"> of the process that they use to re-evaluate planned investments</w:t>
      </w:r>
      <w:r w:rsidRPr="00DD2C68" w:rsidR="0081188B">
        <w:rPr>
          <w:rFonts w:ascii="Palatino Linotype" w:hAnsi="Palatino Linotype"/>
        </w:rPr>
        <w:t xml:space="preserve">, </w:t>
      </w:r>
      <w:r w:rsidRPr="00DD2C68" w:rsidR="00210328">
        <w:rPr>
          <w:rFonts w:ascii="Palatino Linotype" w:hAnsi="Palatino Linotype"/>
        </w:rPr>
        <w:t>how the project execution process work</w:t>
      </w:r>
      <w:r w:rsidRPr="00DD2C68" w:rsidR="00DE7BD3">
        <w:rPr>
          <w:rFonts w:ascii="Palatino Linotype" w:hAnsi="Palatino Linotype"/>
        </w:rPr>
        <w:t>s</w:t>
      </w:r>
      <w:r w:rsidRPr="00DD2C68" w:rsidR="00210328">
        <w:rPr>
          <w:rFonts w:ascii="Palatino Linotype" w:hAnsi="Palatino Linotype"/>
        </w:rPr>
        <w:t xml:space="preserve"> when pending loads change based on the categorization or Pending Loads do not materialize into Known Loads, and how this process </w:t>
      </w:r>
      <w:r w:rsidRPr="00DD2C68" w:rsidR="00DE7BD3">
        <w:rPr>
          <w:rFonts w:ascii="Palatino Linotype" w:hAnsi="Palatino Linotype"/>
        </w:rPr>
        <w:t>is</w:t>
      </w:r>
      <w:r w:rsidRPr="00DD2C68" w:rsidR="00210328">
        <w:rPr>
          <w:rFonts w:ascii="Palatino Linotype" w:hAnsi="Palatino Linotype"/>
        </w:rPr>
        <w:t xml:space="preserve"> different for Pending Loads in Hot Spots.</w:t>
      </w:r>
    </w:p>
    <w:p w:rsidRPr="00DD2C68" w:rsidR="009F4A2F" w:rsidP="00071447" w:rsidRDefault="00842B6E" w14:paraId="2314EDE9" w14:textId="26D06CA5">
      <w:pPr>
        <w:pStyle w:val="ListParagraph"/>
        <w:numPr>
          <w:ilvl w:val="0"/>
          <w:numId w:val="10"/>
        </w:numPr>
        <w:spacing w:after="120"/>
        <w:contextualSpacing w:val="0"/>
        <w:rPr>
          <w:rFonts w:ascii="Palatino Linotype" w:hAnsi="Palatino Linotype"/>
        </w:rPr>
      </w:pPr>
      <w:r w:rsidRPr="00DD2C68">
        <w:rPr>
          <w:rFonts w:ascii="Palatino Linotype" w:hAnsi="Palatino Linotype" w:eastAsia="Palatino Linotype" w:cs="Times New Roman"/>
          <w:snapToGrid w:val="0"/>
          <w:kern w:val="0"/>
          <w14:ligatures w14:val="none"/>
        </w:rPr>
        <w:t xml:space="preserve">Southern California Edison Company, Pacific Gas and Electric Company, and San Diego Gas &amp; Electric Company </w:t>
      </w:r>
      <w:r w:rsidRPr="00DD2C68" w:rsidR="00282B3D">
        <w:rPr>
          <w:rFonts w:ascii="Palatino Linotype" w:hAnsi="Palatino Linotype"/>
        </w:rPr>
        <w:t>shall</w:t>
      </w:r>
      <w:r w:rsidRPr="00DD2C68" w:rsidR="00501671">
        <w:rPr>
          <w:rFonts w:ascii="Palatino Linotype" w:hAnsi="Palatino Linotype"/>
        </w:rPr>
        <w:t xml:space="preserve"> report, at minimum, the following data fields in their spreadsheet for customer-based pending loads</w:t>
      </w:r>
      <w:r w:rsidRPr="00DD2C68" w:rsidR="3017C4D6">
        <w:rPr>
          <w:rFonts w:ascii="Palatino Linotype" w:hAnsi="Palatino Linotype"/>
        </w:rPr>
        <w:t xml:space="preserve"> along with the annual G</w:t>
      </w:r>
      <w:r w:rsidRPr="00DD2C68">
        <w:rPr>
          <w:rFonts w:ascii="Palatino Linotype" w:hAnsi="Palatino Linotype"/>
        </w:rPr>
        <w:t xml:space="preserve">rid </w:t>
      </w:r>
      <w:r w:rsidRPr="00DD2C68" w:rsidR="3017C4D6">
        <w:rPr>
          <w:rFonts w:ascii="Palatino Linotype" w:hAnsi="Palatino Linotype"/>
        </w:rPr>
        <w:t>N</w:t>
      </w:r>
      <w:r w:rsidRPr="00DD2C68" w:rsidR="00C86E7D">
        <w:rPr>
          <w:rFonts w:ascii="Palatino Linotype" w:hAnsi="Palatino Linotype"/>
        </w:rPr>
        <w:t xml:space="preserve">eeds </w:t>
      </w:r>
      <w:r w:rsidRPr="00DD2C68" w:rsidR="3017C4D6">
        <w:rPr>
          <w:rFonts w:ascii="Palatino Linotype" w:hAnsi="Palatino Linotype"/>
        </w:rPr>
        <w:t>A</w:t>
      </w:r>
      <w:r w:rsidRPr="00DD2C68" w:rsidR="00C86E7D">
        <w:rPr>
          <w:rFonts w:ascii="Palatino Linotype" w:hAnsi="Palatino Linotype"/>
        </w:rPr>
        <w:t>ssessment</w:t>
      </w:r>
      <w:r w:rsidRPr="00DD2C68" w:rsidR="3017C4D6">
        <w:rPr>
          <w:rFonts w:ascii="Palatino Linotype" w:hAnsi="Palatino Linotype"/>
        </w:rPr>
        <w:t>/D</w:t>
      </w:r>
      <w:r w:rsidRPr="00DD2C68" w:rsidR="00C86E7D">
        <w:rPr>
          <w:rFonts w:ascii="Palatino Linotype" w:hAnsi="Palatino Linotype"/>
        </w:rPr>
        <w:t xml:space="preserve">istribution </w:t>
      </w:r>
      <w:r w:rsidRPr="00DD2C68" w:rsidR="3017C4D6">
        <w:rPr>
          <w:rFonts w:ascii="Palatino Linotype" w:hAnsi="Palatino Linotype"/>
        </w:rPr>
        <w:t>U</w:t>
      </w:r>
      <w:r w:rsidRPr="00DD2C68" w:rsidR="00C86E7D">
        <w:rPr>
          <w:rFonts w:ascii="Palatino Linotype" w:hAnsi="Palatino Linotype"/>
        </w:rPr>
        <w:t xml:space="preserve">pgrade </w:t>
      </w:r>
      <w:r w:rsidRPr="00DD2C68" w:rsidR="3017C4D6">
        <w:rPr>
          <w:rFonts w:ascii="Palatino Linotype" w:hAnsi="Palatino Linotype"/>
        </w:rPr>
        <w:t>P</w:t>
      </w:r>
      <w:r w:rsidRPr="00DD2C68" w:rsidR="00C86E7D">
        <w:rPr>
          <w:rFonts w:ascii="Palatino Linotype" w:hAnsi="Palatino Linotype"/>
        </w:rPr>
        <w:t xml:space="preserve">roject </w:t>
      </w:r>
      <w:r w:rsidRPr="00DD2C68" w:rsidR="3017C4D6">
        <w:rPr>
          <w:rFonts w:ascii="Palatino Linotype" w:hAnsi="Palatino Linotype"/>
        </w:rPr>
        <w:t>R</w:t>
      </w:r>
      <w:r w:rsidRPr="00DD2C68" w:rsidR="00C86E7D">
        <w:rPr>
          <w:rFonts w:ascii="Palatino Linotype" w:hAnsi="Palatino Linotype"/>
        </w:rPr>
        <w:t>eport</w:t>
      </w:r>
      <w:r w:rsidRPr="00DD2C68" w:rsidR="3017C4D6">
        <w:rPr>
          <w:rFonts w:ascii="Palatino Linotype" w:hAnsi="Palatino Linotype"/>
        </w:rPr>
        <w:t xml:space="preserve"> filings</w:t>
      </w:r>
      <w:r w:rsidRPr="00DD2C68" w:rsidR="00501671">
        <w:rPr>
          <w:rFonts w:ascii="Palatino Linotype" w:hAnsi="Palatino Linotype"/>
        </w:rPr>
        <w:t>: Facility ID, Unique Identifier, Load Type</w:t>
      </w:r>
      <w:r w:rsidRPr="00DD2C68" w:rsidR="2B5E72C9">
        <w:rPr>
          <w:rFonts w:ascii="Palatino Linotype" w:hAnsi="Palatino Linotype"/>
        </w:rPr>
        <w:t xml:space="preserve"> (consistent with those reported in known loads)</w:t>
      </w:r>
      <w:r w:rsidRPr="00DD2C68" w:rsidR="00501671">
        <w:rPr>
          <w:rFonts w:ascii="Palatino Linotype" w:hAnsi="Palatino Linotype"/>
        </w:rPr>
        <w:t>, Category</w:t>
      </w:r>
      <w:r w:rsidRPr="00DD2C68" w:rsidR="645AAEA5">
        <w:rPr>
          <w:rFonts w:ascii="Palatino Linotype" w:hAnsi="Palatino Linotype"/>
        </w:rPr>
        <w:t xml:space="preserve"> (consistent with those reported in known loads)</w:t>
      </w:r>
      <w:r w:rsidRPr="00DD2C68" w:rsidR="00501671">
        <w:rPr>
          <w:rFonts w:ascii="Palatino Linotype" w:hAnsi="Palatino Linotype"/>
        </w:rPr>
        <w:t>, Source of information (e.g., Customer, Community</w:t>
      </w:r>
      <w:r w:rsidRPr="00DD2C68" w:rsidR="0F390122">
        <w:rPr>
          <w:rFonts w:ascii="Palatino Linotype" w:hAnsi="Palatino Linotype"/>
        </w:rPr>
        <w:t xml:space="preserve"> Engagement Plan, Database</w:t>
      </w:r>
      <w:r w:rsidRPr="00DD2C68" w:rsidR="00501671">
        <w:rPr>
          <w:rFonts w:ascii="Palatino Linotype" w:hAnsi="Palatino Linotype"/>
        </w:rPr>
        <w:t xml:space="preserve">), Capacity (MW), Forecast In Service Year, Category of Pending Loads (A, B1), </w:t>
      </w:r>
      <w:r w:rsidR="00E96194">
        <w:rPr>
          <w:rFonts w:ascii="Palatino Linotype" w:hAnsi="Palatino Linotype"/>
        </w:rPr>
        <w:br/>
      </w:r>
      <w:r w:rsidRPr="00DD2C68" w:rsidR="46D6CBD1">
        <w:rPr>
          <w:rFonts w:ascii="Palatino Linotype" w:hAnsi="Palatino Linotype"/>
        </w:rPr>
        <w:t xml:space="preserve">Hot spot located within if any, </w:t>
      </w:r>
      <w:r w:rsidRPr="00DD2C68" w:rsidR="001310D9">
        <w:rPr>
          <w:rFonts w:ascii="Palatino Linotype" w:hAnsi="Palatino Linotype"/>
        </w:rPr>
        <w:t xml:space="preserve">and </w:t>
      </w:r>
      <w:r w:rsidRPr="00DD2C68" w:rsidR="00C86E7D">
        <w:rPr>
          <w:rFonts w:ascii="Palatino Linotype" w:hAnsi="Palatino Linotype"/>
        </w:rPr>
        <w:t>California Energy Commission’s Integrated Energy Policy Report</w:t>
      </w:r>
      <w:r w:rsidRPr="00DD2C68" w:rsidR="00501671">
        <w:rPr>
          <w:rFonts w:ascii="Palatino Linotype" w:hAnsi="Palatino Linotype"/>
        </w:rPr>
        <w:t xml:space="preserve"> Status</w:t>
      </w:r>
      <w:r w:rsidRPr="00DD2C68" w:rsidR="001310D9">
        <w:rPr>
          <w:rFonts w:ascii="Palatino Linotype" w:hAnsi="Palatino Linotype"/>
        </w:rPr>
        <w:t>.</w:t>
      </w:r>
    </w:p>
    <w:p w:rsidRPr="00DD2C68" w:rsidR="009F4A2F" w:rsidP="00071447" w:rsidRDefault="00C86E7D" w14:paraId="3B407A24" w14:textId="003E5A0E">
      <w:pPr>
        <w:pStyle w:val="ListParagraph"/>
        <w:numPr>
          <w:ilvl w:val="0"/>
          <w:numId w:val="10"/>
        </w:numPr>
        <w:spacing w:after="120"/>
        <w:contextualSpacing w:val="0"/>
        <w:rPr>
          <w:rFonts w:ascii="Palatino Linotype" w:hAnsi="Palatino Linotype"/>
        </w:rPr>
      </w:pPr>
      <w:r w:rsidRPr="00DD2C68">
        <w:rPr>
          <w:rFonts w:ascii="Palatino Linotype" w:hAnsi="Palatino Linotype" w:eastAsia="Palatino Linotype" w:cs="Times New Roman"/>
          <w:snapToGrid w:val="0"/>
          <w:kern w:val="0"/>
          <w14:ligatures w14:val="none"/>
        </w:rPr>
        <w:t xml:space="preserve">Southern California Edison Company, Pacific Gas and Electric Company, and San Diego Gas &amp; Electric Company </w:t>
      </w:r>
      <w:r w:rsidRPr="00DD2C68" w:rsidR="00701BF6">
        <w:rPr>
          <w:rFonts w:ascii="Palatino Linotype" w:hAnsi="Palatino Linotype"/>
        </w:rPr>
        <w:t>shall report</w:t>
      </w:r>
      <w:r w:rsidRPr="00DD2C68" w:rsidR="6761D300">
        <w:rPr>
          <w:rFonts w:ascii="Palatino Linotype" w:hAnsi="Palatino Linotype"/>
        </w:rPr>
        <w:t xml:space="preserve"> in their annual Grid Needs Assessment and Distribution Upgrade</w:t>
      </w:r>
      <w:r w:rsidRPr="00DD2C68" w:rsidR="35E00A7D">
        <w:rPr>
          <w:rFonts w:ascii="Palatino Linotype" w:hAnsi="Palatino Linotype"/>
        </w:rPr>
        <w:t xml:space="preserve"> Project Reports</w:t>
      </w:r>
      <w:r w:rsidRPr="00DD2C68" w:rsidR="00701BF6">
        <w:rPr>
          <w:rFonts w:ascii="Palatino Linotype" w:hAnsi="Palatino Linotype"/>
        </w:rPr>
        <w:t xml:space="preserve">, at minimum, data on studies used as the basis of pending loads: Source of information (e.g., study, forecasting models, etc.), Data Access (e.g., links to public data, or provider of </w:t>
      </w:r>
      <w:r w:rsidRPr="00DD2C68" w:rsidR="00701BF6">
        <w:rPr>
          <w:rFonts w:ascii="Palatino Linotype" w:hAnsi="Palatino Linotype"/>
        </w:rPr>
        <w:lastRenderedPageBreak/>
        <w:t>data if not publicly available), Detailed Methodology (including how data sources are translated into Pending Loads), and Categorization of Pending Loads obtained from the study (</w:t>
      </w:r>
      <w:r w:rsidRPr="00DD2C68" w:rsidR="008D4ABC">
        <w:rPr>
          <w:rFonts w:ascii="Palatino Linotype" w:hAnsi="Palatino Linotype" w:cs="Times New Roman"/>
        </w:rPr>
        <w:t xml:space="preserve">Category </w:t>
      </w:r>
      <w:r w:rsidRPr="00DD2C68" w:rsidR="00701BF6">
        <w:rPr>
          <w:rFonts w:ascii="Palatino Linotype" w:hAnsi="Palatino Linotype"/>
        </w:rPr>
        <w:t>B2 or C)</w:t>
      </w:r>
      <w:r w:rsidRPr="00DD2C68" w:rsidR="4612544C">
        <w:rPr>
          <w:rFonts w:ascii="Palatino Linotype" w:hAnsi="Palatino Linotype"/>
        </w:rPr>
        <w:t>, hot spot location, if applicable</w:t>
      </w:r>
      <w:r w:rsidRPr="00DD2C68" w:rsidR="00701BF6">
        <w:rPr>
          <w:rFonts w:ascii="Palatino Linotype" w:hAnsi="Palatino Linotype"/>
        </w:rPr>
        <w:t>.</w:t>
      </w:r>
    </w:p>
    <w:p w:rsidRPr="00DD2C68" w:rsidR="009F4A2F" w:rsidP="00071447" w:rsidRDefault="00C86E7D" w14:paraId="02120035" w14:textId="03981464">
      <w:pPr>
        <w:pStyle w:val="ListParagraph"/>
        <w:numPr>
          <w:ilvl w:val="0"/>
          <w:numId w:val="10"/>
        </w:numPr>
        <w:spacing w:after="120"/>
        <w:contextualSpacing w:val="0"/>
        <w:rPr>
          <w:rFonts w:ascii="Palatino Linotype" w:hAnsi="Palatino Linotype"/>
        </w:rPr>
      </w:pPr>
      <w:r w:rsidRPr="00DD2C68">
        <w:rPr>
          <w:rFonts w:ascii="Palatino Linotype" w:hAnsi="Palatino Linotype" w:eastAsia="Palatino Linotype" w:cs="Times New Roman"/>
          <w:snapToGrid w:val="0"/>
          <w:kern w:val="0"/>
          <w14:ligatures w14:val="none"/>
        </w:rPr>
        <w:t xml:space="preserve">Southern California Edison Company, Pacific Gas and Electric Company, and San Diego Gas &amp; Electric Company </w:t>
      </w:r>
      <w:r w:rsidRPr="00DD2C68" w:rsidR="007B5C85">
        <w:rPr>
          <w:rFonts w:ascii="Palatino Linotype" w:hAnsi="Palatino Linotype"/>
        </w:rPr>
        <w:t xml:space="preserve">shall use the community outreach opportunities described within its Community Engagement Plan to collect information on community plans and load growth projects to inform pending loads. </w:t>
      </w:r>
      <w:r w:rsidRPr="00DD2C68" w:rsidR="00C377DB">
        <w:rPr>
          <w:rFonts w:ascii="Palatino Linotype" w:hAnsi="Palatino Linotype"/>
        </w:rPr>
        <w:t xml:space="preserve">This </w:t>
      </w:r>
      <w:r w:rsidRPr="00DD2C68" w:rsidR="007B5C85">
        <w:rPr>
          <w:rFonts w:ascii="Palatino Linotype" w:hAnsi="Palatino Linotype"/>
        </w:rPr>
        <w:t xml:space="preserve">connection </w:t>
      </w:r>
      <w:r w:rsidRPr="00DD2C68" w:rsidR="00C377DB">
        <w:rPr>
          <w:rFonts w:ascii="Palatino Linotype" w:hAnsi="Palatino Linotype"/>
        </w:rPr>
        <w:t xml:space="preserve">shall be made </w:t>
      </w:r>
      <w:r w:rsidRPr="00DD2C68" w:rsidR="007B5C85">
        <w:rPr>
          <w:rFonts w:ascii="Palatino Linotype" w:hAnsi="Palatino Linotype"/>
        </w:rPr>
        <w:t xml:space="preserve">clear </w:t>
      </w:r>
      <w:proofErr w:type="gramStart"/>
      <w:r w:rsidRPr="00DD2C68" w:rsidR="007B5C85">
        <w:rPr>
          <w:rFonts w:ascii="Palatino Linotype" w:hAnsi="Palatino Linotype"/>
        </w:rPr>
        <w:t>in</w:t>
      </w:r>
      <w:proofErr w:type="gramEnd"/>
      <w:r w:rsidRPr="00DD2C68" w:rsidR="007B5C85">
        <w:rPr>
          <w:rFonts w:ascii="Palatino Linotype" w:hAnsi="Palatino Linotype"/>
        </w:rPr>
        <w:t xml:space="preserve"> reporting on pending load sources</w:t>
      </w:r>
      <w:r w:rsidRPr="00DD2C68" w:rsidR="00C377DB">
        <w:rPr>
          <w:rFonts w:ascii="Palatino Linotype" w:hAnsi="Palatino Linotype"/>
        </w:rPr>
        <w:t xml:space="preserve"> in the G</w:t>
      </w:r>
      <w:r w:rsidRPr="00DD2C68">
        <w:rPr>
          <w:rFonts w:ascii="Palatino Linotype" w:hAnsi="Palatino Linotype"/>
        </w:rPr>
        <w:t xml:space="preserve">rid </w:t>
      </w:r>
      <w:r w:rsidRPr="00DD2C68" w:rsidR="00C377DB">
        <w:rPr>
          <w:rFonts w:ascii="Palatino Linotype" w:hAnsi="Palatino Linotype"/>
        </w:rPr>
        <w:t>N</w:t>
      </w:r>
      <w:r w:rsidRPr="00DD2C68">
        <w:rPr>
          <w:rFonts w:ascii="Palatino Linotype" w:hAnsi="Palatino Linotype"/>
        </w:rPr>
        <w:t xml:space="preserve">eeds </w:t>
      </w:r>
      <w:r w:rsidRPr="00DD2C68" w:rsidR="00C377DB">
        <w:rPr>
          <w:rFonts w:ascii="Palatino Linotype" w:hAnsi="Palatino Linotype"/>
        </w:rPr>
        <w:t>A</w:t>
      </w:r>
      <w:r w:rsidRPr="00DD2C68">
        <w:rPr>
          <w:rFonts w:ascii="Palatino Linotype" w:hAnsi="Palatino Linotype"/>
        </w:rPr>
        <w:t>ssessment</w:t>
      </w:r>
      <w:r w:rsidRPr="00DD2C68" w:rsidR="007B5C85">
        <w:rPr>
          <w:rFonts w:ascii="Palatino Linotype" w:hAnsi="Palatino Linotype"/>
        </w:rPr>
        <w:t>.</w:t>
      </w:r>
    </w:p>
    <w:p w:rsidR="009F06B8" w:rsidP="00071447" w:rsidRDefault="004B6BD4" w14:paraId="523686E0" w14:textId="3D35771B">
      <w:pPr>
        <w:pStyle w:val="ListParagraph"/>
        <w:numPr>
          <w:ilvl w:val="0"/>
          <w:numId w:val="10"/>
        </w:numPr>
        <w:spacing w:after="120"/>
        <w:contextualSpacing w:val="0"/>
        <w:rPr>
          <w:rFonts w:ascii="Palatino Linotype" w:hAnsi="Palatino Linotype" w:eastAsia="Palatino Linotype" w:cs="Times New Roman"/>
        </w:rPr>
      </w:pPr>
      <w:r w:rsidRPr="0A6F0B80">
        <w:rPr>
          <w:rFonts w:ascii="Palatino Linotype" w:hAnsi="Palatino Linotype" w:eastAsia="Palatino Linotype" w:cs="Times New Roman"/>
        </w:rPr>
        <w:t xml:space="preserve">Southern California Edison Company, Pacific Gas and Electric Company, and San Diego Gas &amp; Electric Company </w:t>
      </w:r>
      <w:r w:rsidRPr="00DD2C68">
        <w:rPr>
          <w:rFonts w:ascii="Palatino Linotype" w:hAnsi="Palatino Linotype"/>
        </w:rPr>
        <w:t xml:space="preserve">shall </w:t>
      </w:r>
      <w:r w:rsidR="0049439C">
        <w:rPr>
          <w:rFonts w:ascii="Palatino Linotype" w:hAnsi="Palatino Linotype"/>
        </w:rPr>
        <w:t>include t</w:t>
      </w:r>
      <w:r w:rsidR="009F06B8">
        <w:rPr>
          <w:rFonts w:ascii="Palatino Linotype" w:hAnsi="Palatino Linotype"/>
        </w:rPr>
        <w:t xml:space="preserve">he </w:t>
      </w:r>
      <w:r w:rsidR="004F7A14">
        <w:rPr>
          <w:rFonts w:ascii="Palatino Linotype" w:hAnsi="Palatino Linotype"/>
        </w:rPr>
        <w:t xml:space="preserve">Minimum Criteria </w:t>
      </w:r>
      <w:r w:rsidR="00F37E88">
        <w:rPr>
          <w:rFonts w:ascii="Palatino Linotype" w:hAnsi="Palatino Linotype"/>
        </w:rPr>
        <w:t>related to the</w:t>
      </w:r>
      <w:r w:rsidR="004F7A14">
        <w:rPr>
          <w:rFonts w:ascii="Palatino Linotype" w:hAnsi="Palatino Linotype"/>
        </w:rPr>
        <w:t xml:space="preserve"> status of Key Permits</w:t>
      </w:r>
      <w:r w:rsidRPr="0A6F0B80" w:rsidR="1CE7BE0B">
        <w:rPr>
          <w:rFonts w:ascii="Palatino Linotype" w:hAnsi="Palatino Linotype"/>
        </w:rPr>
        <w:t xml:space="preserve"> and</w:t>
      </w:r>
      <w:r w:rsidR="0011624E">
        <w:rPr>
          <w:rFonts w:ascii="Palatino Linotype" w:hAnsi="Palatino Linotype"/>
        </w:rPr>
        <w:t xml:space="preserve"> </w:t>
      </w:r>
      <w:r w:rsidR="004F7A14">
        <w:rPr>
          <w:rFonts w:ascii="Palatino Linotype" w:hAnsi="Palatino Linotype"/>
        </w:rPr>
        <w:t xml:space="preserve">Funding </w:t>
      </w:r>
      <w:r w:rsidRPr="0A6F0B80" w:rsidR="004F7A14">
        <w:rPr>
          <w:rFonts w:ascii="Palatino Linotype" w:hAnsi="Palatino Linotype"/>
        </w:rPr>
        <w:t>Source</w:t>
      </w:r>
      <w:r w:rsidRPr="0A6F0B80" w:rsidR="754D50AC">
        <w:rPr>
          <w:rFonts w:ascii="Palatino Linotype" w:hAnsi="Palatino Linotype"/>
        </w:rPr>
        <w:t>s</w:t>
      </w:r>
      <w:r w:rsidRPr="0A6F0B80" w:rsidR="004F7A14">
        <w:rPr>
          <w:rFonts w:ascii="Palatino Linotype" w:hAnsi="Palatino Linotype"/>
        </w:rPr>
        <w:t xml:space="preserve">, </w:t>
      </w:r>
      <w:r w:rsidRPr="0A6F0B80" w:rsidR="1B4D1991">
        <w:rPr>
          <w:rFonts w:ascii="Palatino Linotype" w:hAnsi="Palatino Linotype"/>
        </w:rPr>
        <w:t>in pending loads</w:t>
      </w:r>
      <w:r w:rsidR="004F7A14">
        <w:rPr>
          <w:rFonts w:ascii="Palatino Linotype" w:hAnsi="Palatino Linotype"/>
        </w:rPr>
        <w:t xml:space="preserve"> and</w:t>
      </w:r>
      <w:r w:rsidRPr="0A6F0B80" w:rsidR="004F7A14">
        <w:rPr>
          <w:rFonts w:ascii="Palatino Linotype" w:hAnsi="Palatino Linotype" w:eastAsia="Palatino Linotype" w:cs="Times New Roman"/>
        </w:rPr>
        <w:t xml:space="preserve"> the </w:t>
      </w:r>
      <w:r w:rsidRPr="0A6F0B80" w:rsidR="01BCCB45">
        <w:rPr>
          <w:rFonts w:ascii="Palatino Linotype" w:hAnsi="Palatino Linotype" w:eastAsia="Palatino Linotype" w:cs="Times New Roman"/>
        </w:rPr>
        <w:t xml:space="preserve">forecast to the extent that such data are available within the required timeframe </w:t>
      </w:r>
      <w:r w:rsidR="008D1985">
        <w:rPr>
          <w:rFonts w:ascii="Palatino Linotype" w:hAnsi="Palatino Linotype" w:eastAsia="Palatino Linotype" w:cs="Times New Roman"/>
        </w:rPr>
        <w:t xml:space="preserve">to publish the GNA/DUPR for </w:t>
      </w:r>
      <w:r w:rsidRPr="0A6F0B80" w:rsidR="01BCCB45">
        <w:rPr>
          <w:rFonts w:ascii="Palatino Linotype" w:hAnsi="Palatino Linotype" w:eastAsia="Palatino Linotype" w:cs="Times New Roman"/>
        </w:rPr>
        <w:t xml:space="preserve">the 2025-2026 DPEP cycle. All Minimum Criteria </w:t>
      </w:r>
      <w:r w:rsidR="00BB1DE9">
        <w:rPr>
          <w:rFonts w:ascii="Palatino Linotype" w:hAnsi="Palatino Linotype" w:eastAsia="Palatino Linotype" w:cs="Times New Roman"/>
        </w:rPr>
        <w:t xml:space="preserve">must be </w:t>
      </w:r>
      <w:r w:rsidR="00FC4B67">
        <w:rPr>
          <w:rFonts w:ascii="Palatino Linotype" w:hAnsi="Palatino Linotype" w:eastAsia="Palatino Linotype" w:cs="Times New Roman"/>
        </w:rPr>
        <w:t xml:space="preserve">fully </w:t>
      </w:r>
      <w:r w:rsidR="00BB1DE9">
        <w:rPr>
          <w:rFonts w:ascii="Palatino Linotype" w:hAnsi="Palatino Linotype" w:eastAsia="Palatino Linotype" w:cs="Times New Roman"/>
        </w:rPr>
        <w:t xml:space="preserve">implemented </w:t>
      </w:r>
      <w:r w:rsidRPr="0A6F0B80" w:rsidR="01BCCB45">
        <w:rPr>
          <w:rFonts w:ascii="Palatino Linotype" w:hAnsi="Palatino Linotype" w:eastAsia="Palatino Linotype" w:cs="Times New Roman"/>
        </w:rPr>
        <w:t>for the 2026-2027 DPEP cycle.</w:t>
      </w:r>
    </w:p>
    <w:p w:rsidR="00374A7F" w:rsidP="00071447" w:rsidRDefault="005638E2" w14:paraId="7F7AE4C7" w14:textId="1692F01A">
      <w:pPr>
        <w:pStyle w:val="ListParagraph"/>
        <w:numPr>
          <w:ilvl w:val="0"/>
          <w:numId w:val="10"/>
        </w:numPr>
        <w:spacing w:after="120"/>
        <w:contextualSpacing w:val="0"/>
        <w:rPr>
          <w:rFonts w:ascii="Palatino Linotype" w:hAnsi="Palatino Linotype"/>
        </w:rPr>
      </w:pPr>
      <w:r w:rsidRPr="00DD2C68">
        <w:rPr>
          <w:rFonts w:ascii="Palatino Linotype" w:hAnsi="Palatino Linotype"/>
        </w:rPr>
        <w:t xml:space="preserve">The pending loads framework, as described here within, </w:t>
      </w:r>
      <w:r w:rsidRPr="00DD2C68" w:rsidR="008F61E0">
        <w:rPr>
          <w:rFonts w:ascii="Palatino Linotype" w:hAnsi="Palatino Linotype"/>
        </w:rPr>
        <w:t>shall be implemented in the 2025-2026 DPEP cycle</w:t>
      </w:r>
      <w:r w:rsidRPr="00DD2C68" w:rsidR="00947C8D">
        <w:rPr>
          <w:rFonts w:ascii="Palatino Linotype" w:hAnsi="Palatino Linotype"/>
        </w:rPr>
        <w:t xml:space="preserve"> for P</w:t>
      </w:r>
      <w:r w:rsidRPr="00DD2C68" w:rsidR="00C86E7D">
        <w:rPr>
          <w:rFonts w:ascii="Palatino Linotype" w:hAnsi="Palatino Linotype"/>
        </w:rPr>
        <w:t xml:space="preserve">acific </w:t>
      </w:r>
      <w:r w:rsidRPr="00DD2C68" w:rsidR="00947C8D">
        <w:rPr>
          <w:rFonts w:ascii="Palatino Linotype" w:hAnsi="Palatino Linotype"/>
        </w:rPr>
        <w:t>G</w:t>
      </w:r>
      <w:r w:rsidRPr="00DD2C68" w:rsidR="00C86E7D">
        <w:rPr>
          <w:rFonts w:ascii="Palatino Linotype" w:hAnsi="Palatino Linotype"/>
        </w:rPr>
        <w:t xml:space="preserve">as and </w:t>
      </w:r>
      <w:r w:rsidRPr="00DD2C68" w:rsidR="00947C8D">
        <w:rPr>
          <w:rFonts w:ascii="Palatino Linotype" w:hAnsi="Palatino Linotype"/>
        </w:rPr>
        <w:t>E</w:t>
      </w:r>
      <w:r w:rsidRPr="00DD2C68" w:rsidR="00C86E7D">
        <w:rPr>
          <w:rFonts w:ascii="Palatino Linotype" w:hAnsi="Palatino Linotype"/>
        </w:rPr>
        <w:t>lectric Company</w:t>
      </w:r>
      <w:r w:rsidRPr="00DD2C68" w:rsidR="00947C8D">
        <w:rPr>
          <w:rFonts w:ascii="Palatino Linotype" w:hAnsi="Palatino Linotype"/>
        </w:rPr>
        <w:t xml:space="preserve"> S</w:t>
      </w:r>
      <w:r w:rsidRPr="00DD2C68" w:rsidR="00C86E7D">
        <w:rPr>
          <w:rFonts w:ascii="Palatino Linotype" w:hAnsi="Palatino Linotype"/>
        </w:rPr>
        <w:t>outhern California Electric Company</w:t>
      </w:r>
      <w:r w:rsidRPr="00DD2C68" w:rsidR="00947C8D">
        <w:rPr>
          <w:rFonts w:ascii="Palatino Linotype" w:hAnsi="Palatino Linotype"/>
        </w:rPr>
        <w:t>, and S</w:t>
      </w:r>
      <w:r w:rsidRPr="00DD2C68" w:rsidR="00C86E7D">
        <w:rPr>
          <w:rFonts w:ascii="Palatino Linotype" w:hAnsi="Palatino Linotype"/>
        </w:rPr>
        <w:t xml:space="preserve">an </w:t>
      </w:r>
      <w:r w:rsidRPr="00DD2C68" w:rsidR="00947C8D">
        <w:rPr>
          <w:rFonts w:ascii="Palatino Linotype" w:hAnsi="Palatino Linotype"/>
        </w:rPr>
        <w:t>D</w:t>
      </w:r>
      <w:r w:rsidRPr="00DD2C68" w:rsidR="00C86E7D">
        <w:rPr>
          <w:rFonts w:ascii="Palatino Linotype" w:hAnsi="Palatino Linotype"/>
        </w:rPr>
        <w:t xml:space="preserve">iego </w:t>
      </w:r>
      <w:r w:rsidRPr="00DD2C68" w:rsidR="00947C8D">
        <w:rPr>
          <w:rFonts w:ascii="Palatino Linotype" w:hAnsi="Palatino Linotype"/>
        </w:rPr>
        <w:t>G</w:t>
      </w:r>
      <w:r w:rsidRPr="00DD2C68" w:rsidR="00C86E7D">
        <w:rPr>
          <w:rFonts w:ascii="Palatino Linotype" w:hAnsi="Palatino Linotype"/>
        </w:rPr>
        <w:t xml:space="preserve">as </w:t>
      </w:r>
      <w:r w:rsidRPr="00DD2C68" w:rsidR="00947C8D">
        <w:rPr>
          <w:rFonts w:ascii="Palatino Linotype" w:hAnsi="Palatino Linotype"/>
        </w:rPr>
        <w:t>&amp;</w:t>
      </w:r>
      <w:r w:rsidRPr="00DD2C68" w:rsidR="00C86E7D">
        <w:rPr>
          <w:rFonts w:ascii="Palatino Linotype" w:hAnsi="Palatino Linotype"/>
        </w:rPr>
        <w:t xml:space="preserve"> </w:t>
      </w:r>
      <w:r w:rsidRPr="00DD2C68" w:rsidR="00947C8D">
        <w:rPr>
          <w:rFonts w:ascii="Palatino Linotype" w:hAnsi="Palatino Linotype"/>
        </w:rPr>
        <w:t>E</w:t>
      </w:r>
      <w:r w:rsidRPr="00DD2C68" w:rsidR="00C86E7D">
        <w:rPr>
          <w:rFonts w:ascii="Palatino Linotype" w:hAnsi="Palatino Linotype"/>
        </w:rPr>
        <w:t>lectric Company</w:t>
      </w:r>
      <w:r w:rsidRPr="00DD2C68" w:rsidR="008F61E0">
        <w:rPr>
          <w:rFonts w:ascii="Palatino Linotype" w:hAnsi="Palatino Linotype"/>
        </w:rPr>
        <w:t>.</w:t>
      </w:r>
    </w:p>
    <w:p w:rsidRPr="00965BA5" w:rsidR="009F4A2F" w:rsidP="007A761B" w:rsidRDefault="005226AC" w14:paraId="3BC5D3EC" w14:textId="7D42F806">
      <w:pPr>
        <w:pStyle w:val="ListParagraph"/>
        <w:numPr>
          <w:ilvl w:val="0"/>
          <w:numId w:val="10"/>
        </w:numPr>
        <w:rPr>
          <w:rFonts w:ascii="Palatino Linotype" w:hAnsi="Palatino Linotype"/>
        </w:rPr>
      </w:pPr>
      <w:r w:rsidRPr="00DD2C68">
        <w:rPr>
          <w:rFonts w:ascii="Palatino Linotype" w:hAnsi="Palatino Linotype"/>
        </w:rPr>
        <w:t xml:space="preserve">Energy Division staff </w:t>
      </w:r>
      <w:r w:rsidR="00C3669F">
        <w:rPr>
          <w:rFonts w:ascii="Palatino Linotype" w:hAnsi="Palatino Linotype"/>
        </w:rPr>
        <w:t>are</w:t>
      </w:r>
      <w:r w:rsidRPr="00DD2C68">
        <w:rPr>
          <w:rFonts w:ascii="Palatino Linotype" w:hAnsi="Palatino Linotype"/>
        </w:rPr>
        <w:t xml:space="preserve"> authorized to direct the three utilities to make changes to the pending loads </w:t>
      </w:r>
      <w:r w:rsidR="004D0EB3">
        <w:rPr>
          <w:rFonts w:ascii="Palatino Linotype" w:hAnsi="Palatino Linotype"/>
        </w:rPr>
        <w:t>and known</w:t>
      </w:r>
      <w:r w:rsidRPr="0A6F0B80" w:rsidR="15B76744">
        <w:rPr>
          <w:rFonts w:ascii="Palatino Linotype" w:hAnsi="Palatino Linotype"/>
        </w:rPr>
        <w:t xml:space="preserve"> </w:t>
      </w:r>
      <w:r w:rsidRPr="0A6F0B80" w:rsidR="3C6A538E">
        <w:rPr>
          <w:rFonts w:ascii="Palatino Linotype" w:hAnsi="Palatino Linotype"/>
        </w:rPr>
        <w:t>loads</w:t>
      </w:r>
      <w:r w:rsidR="004D0EB3">
        <w:rPr>
          <w:rFonts w:ascii="Palatino Linotype" w:hAnsi="Palatino Linotype"/>
        </w:rPr>
        <w:t xml:space="preserve"> </w:t>
      </w:r>
      <w:r w:rsidRPr="00DD2C68">
        <w:rPr>
          <w:rFonts w:ascii="Palatino Linotype" w:hAnsi="Palatino Linotype"/>
        </w:rPr>
        <w:t xml:space="preserve">reporting requirements on an annual basis </w:t>
      </w:r>
      <w:r w:rsidR="00283C6A">
        <w:rPr>
          <w:rFonts w:ascii="Palatino Linotype" w:hAnsi="Palatino Linotype"/>
        </w:rPr>
        <w:t xml:space="preserve">to ensure </w:t>
      </w:r>
      <w:r w:rsidRPr="00DD2C68">
        <w:rPr>
          <w:rFonts w:ascii="Palatino Linotype" w:hAnsi="Palatino Linotype"/>
        </w:rPr>
        <w:t xml:space="preserve">that valuable data is collected correctly and consistently to inform future changes to the framework. </w:t>
      </w:r>
    </w:p>
    <w:p w:rsidR="00071447" w:rsidRDefault="00071447" w14:paraId="4D5E4C1B" w14:textId="7E0CD6E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br w:type="page"/>
      </w:r>
    </w:p>
    <w:p w:rsidR="00E9797E" w:rsidP="00A76F4A" w:rsidRDefault="00E9797E" w14:paraId="4D9D4FD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DD2C68" w:rsidR="00A76F4A" w:rsidP="00A76F4A" w:rsidRDefault="00A76F4A" w14:paraId="6B9B735A" w14:textId="16F4EE15">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DD2C68">
        <w:rPr>
          <w:rFonts w:ascii="Palatino Linotype" w:hAnsi="Palatino Linotype" w:eastAsia="Palatino Linotype" w:cs="Times New Roman"/>
          <w:kern w:val="0"/>
          <w14:ligatures w14:val="none"/>
        </w:rPr>
        <w:t>This Resolution is effective today.</w:t>
      </w:r>
    </w:p>
    <w:p w:rsidRPr="00DD2C68" w:rsidR="00A76F4A" w:rsidP="4A3BDD87" w:rsidRDefault="00A76F4A" w14:paraId="7C0D2B15" w14:textId="18AD31F3">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DD2C68" w:rsidP="00FD1FC7" w:rsidRDefault="00A76F4A" w14:paraId="3EE2F68C" w14:textId="01C0D337">
      <w:pPr>
        <w:pStyle w:val="10sp0"/>
        <w:spacing w:after="0"/>
        <w:rPr>
          <w:rFonts w:ascii="Palatino Linotype" w:hAnsi="Palatino Linotype"/>
        </w:rPr>
      </w:pPr>
      <w:r w:rsidRPr="00DD2C68">
        <w:rPr>
          <w:rFonts w:ascii="Palatino Linotype" w:hAnsi="Palatino Linotype"/>
        </w:rPr>
        <w:t>The foregoing resolution was duly introduced, passed and adopted at a conference of the Public Utilities Commission of the State of California held on</w:t>
      </w:r>
      <w:r w:rsidRPr="00DD2C68" w:rsidR="00D21F54">
        <w:rPr>
          <w:rFonts w:ascii="Palatino Linotype" w:hAnsi="Palatino Linotype"/>
        </w:rPr>
        <w:t xml:space="preserve"> December </w:t>
      </w:r>
      <w:r w:rsidRPr="26D4981F" w:rsidR="6DAEBF89">
        <w:rPr>
          <w:rFonts w:ascii="Palatino Linotype" w:hAnsi="Palatino Linotype"/>
        </w:rPr>
        <w:t>18</w:t>
      </w:r>
      <w:r w:rsidRPr="00DD2C68" w:rsidR="00D21F54">
        <w:rPr>
          <w:rFonts w:ascii="Palatino Linotype" w:hAnsi="Palatino Linotype"/>
        </w:rPr>
        <w:t>, 2025</w:t>
      </w:r>
      <w:r w:rsidRPr="00DD2C68">
        <w:rPr>
          <w:rFonts w:ascii="Palatino Linotype" w:hAnsi="Palatino Linotype"/>
        </w:rPr>
        <w:t xml:space="preserve">; the following Commissioners </w:t>
      </w:r>
      <w:proofErr w:type="gramStart"/>
      <w:r w:rsidRPr="00DD2C68">
        <w:rPr>
          <w:rFonts w:ascii="Palatino Linotype" w:hAnsi="Palatino Linotype"/>
        </w:rPr>
        <w:t>voting</w:t>
      </w:r>
      <w:proofErr w:type="gramEnd"/>
      <w:r w:rsidRPr="00DD2C68">
        <w:rPr>
          <w:rFonts w:ascii="Palatino Linotype" w:hAnsi="Palatino Linotype"/>
        </w:rPr>
        <w:t xml:space="preserve"> favorably thereon:</w:t>
      </w:r>
    </w:p>
    <w:p w:rsidR="00FD1FC7" w:rsidP="00FD1FC7" w:rsidRDefault="00FD1FC7" w14:paraId="695AF6B6" w14:textId="77777777">
      <w:pPr>
        <w:pStyle w:val="10sp0"/>
        <w:spacing w:after="0"/>
        <w:rPr>
          <w:rFonts w:ascii="Palatino Linotype" w:hAnsi="Palatino Linotype"/>
        </w:rPr>
      </w:pPr>
    </w:p>
    <w:p w:rsidRPr="00FD1FC7" w:rsidR="00FD1FC7" w:rsidP="00FD1FC7" w:rsidRDefault="00FD1FC7" w14:paraId="78EB967E" w14:textId="77777777">
      <w:pPr>
        <w:pStyle w:val="10sp0"/>
        <w:spacing w:after="0"/>
        <w:ind w:left="5940"/>
        <w:rPr>
          <w:rFonts w:ascii="Palatino Linotype" w:hAnsi="Palatino Linotype"/>
        </w:rPr>
      </w:pPr>
      <w:r w:rsidRPr="00FD1FC7">
        <w:rPr>
          <w:rFonts w:ascii="Palatino Linotype" w:hAnsi="Palatino Linotype"/>
        </w:rPr>
        <w:t>/s/ RACHEL PETERSON</w:t>
      </w:r>
    </w:p>
    <w:p w:rsidRPr="00FD1FC7" w:rsidR="00FD1FC7" w:rsidP="00FD1FC7" w:rsidRDefault="00FD1FC7" w14:paraId="00F96214" w14:textId="77777777">
      <w:pPr>
        <w:pStyle w:val="10sp0"/>
        <w:spacing w:after="0"/>
        <w:ind w:left="5940"/>
        <w:rPr>
          <w:rFonts w:ascii="Palatino Linotype" w:hAnsi="Palatino Linotype"/>
        </w:rPr>
      </w:pPr>
      <w:r w:rsidRPr="00FD1FC7">
        <w:rPr>
          <w:rFonts w:ascii="Palatino Linotype" w:hAnsi="Palatino Linotype"/>
        </w:rPr>
        <w:t xml:space="preserve">    Rachel Peterson</w:t>
      </w:r>
    </w:p>
    <w:p w:rsidRPr="00FD1FC7" w:rsidR="00FD1FC7" w:rsidP="00FD1FC7" w:rsidRDefault="00FD1FC7" w14:paraId="7A3447F1" w14:textId="77777777">
      <w:pPr>
        <w:pStyle w:val="10sp0"/>
        <w:spacing w:after="0"/>
        <w:ind w:left="5940"/>
        <w:rPr>
          <w:rFonts w:ascii="Palatino Linotype" w:hAnsi="Palatino Linotype"/>
        </w:rPr>
      </w:pPr>
      <w:r w:rsidRPr="00FD1FC7">
        <w:rPr>
          <w:rFonts w:ascii="Palatino Linotype" w:hAnsi="Palatino Linotype"/>
        </w:rPr>
        <w:t xml:space="preserve">  Executive Director</w:t>
      </w:r>
    </w:p>
    <w:p w:rsidRPr="00FD1FC7" w:rsidR="00FD1FC7" w:rsidP="00FD1FC7" w:rsidRDefault="00FD1FC7" w14:paraId="42B8EEF9" w14:textId="77777777">
      <w:pPr>
        <w:pStyle w:val="10sp0"/>
        <w:spacing w:after="0"/>
        <w:ind w:left="5940"/>
        <w:rPr>
          <w:rFonts w:ascii="Palatino Linotype" w:hAnsi="Palatino Linotype"/>
        </w:rPr>
      </w:pPr>
    </w:p>
    <w:p w:rsidRPr="00FD1FC7" w:rsidR="00FD1FC7" w:rsidP="00FD1FC7" w:rsidRDefault="00FD1FC7" w14:paraId="6C67CA6A" w14:textId="77777777">
      <w:pPr>
        <w:pStyle w:val="10sp0"/>
        <w:spacing w:after="0"/>
        <w:ind w:left="5940"/>
        <w:rPr>
          <w:rFonts w:ascii="Palatino Linotype" w:hAnsi="Palatino Linotype"/>
        </w:rPr>
      </w:pPr>
      <w:r w:rsidRPr="00FD1FC7">
        <w:rPr>
          <w:rFonts w:ascii="Palatino Linotype" w:hAnsi="Palatino Linotype"/>
        </w:rPr>
        <w:t>ALICE REYNOLDS</w:t>
      </w:r>
    </w:p>
    <w:p w:rsidRPr="00FD1FC7" w:rsidR="00FD1FC7" w:rsidP="00FD1FC7" w:rsidRDefault="00FD1FC7" w14:paraId="64CD435C" w14:textId="77777777">
      <w:pPr>
        <w:pStyle w:val="10sp0"/>
        <w:spacing w:after="0"/>
        <w:ind w:left="5940"/>
        <w:rPr>
          <w:rFonts w:ascii="Palatino Linotype" w:hAnsi="Palatino Linotype"/>
        </w:rPr>
      </w:pPr>
      <w:r w:rsidRPr="00FD1FC7">
        <w:rPr>
          <w:rFonts w:ascii="Palatino Linotype" w:hAnsi="Palatino Linotype"/>
        </w:rPr>
        <w:t xml:space="preserve">       President</w:t>
      </w:r>
    </w:p>
    <w:p w:rsidRPr="00377668" w:rsidR="00FD1FC7" w:rsidP="00FD1FC7" w:rsidRDefault="00FD1FC7" w14:paraId="319E0E31" w14:textId="77777777">
      <w:pPr>
        <w:pStyle w:val="10sp0"/>
        <w:spacing w:after="0"/>
        <w:ind w:left="5940"/>
        <w:rPr>
          <w:rFonts w:ascii="Palatino Linotype" w:hAnsi="Palatino Linotype"/>
          <w:sz w:val="16"/>
          <w:szCs w:val="16"/>
        </w:rPr>
      </w:pPr>
    </w:p>
    <w:p w:rsidRPr="00FD1FC7" w:rsidR="00FD1FC7" w:rsidP="00FD1FC7" w:rsidRDefault="00FD1FC7" w14:paraId="17934B9D" w14:textId="77777777">
      <w:pPr>
        <w:pStyle w:val="10sp0"/>
        <w:spacing w:after="0"/>
        <w:ind w:left="5940"/>
        <w:rPr>
          <w:rFonts w:ascii="Palatino Linotype" w:hAnsi="Palatino Linotype"/>
        </w:rPr>
      </w:pPr>
      <w:r w:rsidRPr="00FD1FC7">
        <w:rPr>
          <w:rFonts w:ascii="Palatino Linotype" w:hAnsi="Palatino Linotype"/>
        </w:rPr>
        <w:t>DARCIE L. HOUCK</w:t>
      </w:r>
    </w:p>
    <w:p w:rsidRPr="00FD1FC7" w:rsidR="00FD1FC7" w:rsidP="00FD1FC7" w:rsidRDefault="00FD1FC7" w14:paraId="08C88966" w14:textId="77777777">
      <w:pPr>
        <w:pStyle w:val="10sp0"/>
        <w:spacing w:after="0"/>
        <w:ind w:left="5940"/>
        <w:rPr>
          <w:rFonts w:ascii="Palatino Linotype" w:hAnsi="Palatino Linotype"/>
        </w:rPr>
      </w:pPr>
      <w:r w:rsidRPr="00FD1FC7">
        <w:rPr>
          <w:rFonts w:ascii="Palatino Linotype" w:hAnsi="Palatino Linotype"/>
        </w:rPr>
        <w:t>JOHN REYNOLDS</w:t>
      </w:r>
    </w:p>
    <w:p w:rsidRPr="00FD1FC7" w:rsidR="00FD1FC7" w:rsidP="00FD1FC7" w:rsidRDefault="00FD1FC7" w14:paraId="104BCCD9" w14:textId="77777777">
      <w:pPr>
        <w:pStyle w:val="10sp0"/>
        <w:spacing w:after="0"/>
        <w:ind w:left="5940"/>
        <w:rPr>
          <w:rFonts w:ascii="Palatino Linotype" w:hAnsi="Palatino Linotype"/>
        </w:rPr>
      </w:pPr>
      <w:r w:rsidRPr="00FD1FC7">
        <w:rPr>
          <w:rFonts w:ascii="Palatino Linotype" w:hAnsi="Palatino Linotype"/>
        </w:rPr>
        <w:t>KAREN DOUGLAS</w:t>
      </w:r>
    </w:p>
    <w:p w:rsidRPr="00FD1FC7" w:rsidR="00FD1FC7" w:rsidP="00FD1FC7" w:rsidRDefault="00FD1FC7" w14:paraId="46FE5C8D" w14:textId="77777777">
      <w:pPr>
        <w:pStyle w:val="10sp0"/>
        <w:spacing w:after="0"/>
        <w:ind w:left="5940"/>
        <w:rPr>
          <w:rFonts w:ascii="Palatino Linotype" w:hAnsi="Palatino Linotype"/>
        </w:rPr>
      </w:pPr>
      <w:r w:rsidRPr="00FD1FC7">
        <w:rPr>
          <w:rFonts w:ascii="Palatino Linotype" w:hAnsi="Palatino Linotype"/>
        </w:rPr>
        <w:t xml:space="preserve">       Commissioners</w:t>
      </w:r>
    </w:p>
    <w:p w:rsidRPr="00FD1FC7" w:rsidR="00FD1FC7" w:rsidP="00FD1FC7" w:rsidRDefault="00FD1FC7" w14:paraId="27315E26" w14:textId="77777777">
      <w:pPr>
        <w:pStyle w:val="10sp0"/>
        <w:spacing w:after="0"/>
        <w:ind w:left="5940"/>
        <w:rPr>
          <w:rFonts w:ascii="Palatino Linotype" w:hAnsi="Palatino Linotype"/>
        </w:rPr>
      </w:pPr>
    </w:p>
    <w:p w:rsidRPr="00FD1FC7" w:rsidR="00FD1FC7" w:rsidP="00FD1FC7" w:rsidRDefault="00FD1FC7" w14:paraId="2BF591E0" w14:textId="77777777">
      <w:pPr>
        <w:pStyle w:val="10sp0"/>
        <w:spacing w:after="0"/>
        <w:ind w:left="5130"/>
        <w:rPr>
          <w:rFonts w:ascii="Palatino Linotype" w:hAnsi="Palatino Linotype"/>
        </w:rPr>
      </w:pPr>
      <w:r w:rsidRPr="00FD1FC7">
        <w:rPr>
          <w:rFonts w:ascii="Palatino Linotype" w:hAnsi="Palatino Linotype"/>
        </w:rPr>
        <w:t xml:space="preserve">Commissioner Matthew Baker, recused </w:t>
      </w:r>
    </w:p>
    <w:p w:rsidR="00FD1FC7" w:rsidP="00FD1FC7" w:rsidRDefault="00FD1FC7" w14:paraId="4567BDF0" w14:textId="270C7838">
      <w:pPr>
        <w:pStyle w:val="10sp0"/>
        <w:spacing w:after="0"/>
        <w:ind w:left="5130"/>
        <w:rPr>
          <w:rFonts w:ascii="Palatino Linotype" w:hAnsi="Palatino Linotype"/>
        </w:rPr>
      </w:pPr>
      <w:r w:rsidRPr="00FD1FC7">
        <w:rPr>
          <w:rFonts w:ascii="Palatino Linotype" w:hAnsi="Palatino Linotype"/>
        </w:rPr>
        <w:t>himself and did not participate.</w:t>
      </w:r>
    </w:p>
    <w:p w:rsidR="00071447" w:rsidP="00FD1FC7" w:rsidRDefault="00071447" w14:paraId="7D2848D7" w14:textId="77777777">
      <w:pPr>
        <w:pStyle w:val="10sp0"/>
        <w:spacing w:after="0"/>
        <w:ind w:left="5130"/>
        <w:rPr>
          <w:rFonts w:ascii="Palatino Linotype" w:hAnsi="Palatino Linotype"/>
        </w:rPr>
      </w:pPr>
    </w:p>
    <w:p w:rsidRPr="00DD2C68" w:rsidR="00A76F4A" w:rsidP="00E772E1" w:rsidRDefault="00A76F4A" w14:paraId="0210CE2F" w14:textId="1A6000A4">
      <w:pPr>
        <w:tabs>
          <w:tab w:val="left" w:pos="5568"/>
        </w:tabs>
        <w:rPr>
          <w:rFonts w:ascii="Palatino Linotype" w:hAnsi="Palatino Linotype" w:eastAsia="Palatino Linotype" w:cs="Times New Roman"/>
        </w:rPr>
      </w:pPr>
      <w:r w:rsidRPr="00DD2C68">
        <w:rPr>
          <w:rFonts w:ascii="Palatino Linotype" w:hAnsi="Palatino Linotype" w:eastAsia="Palatino Linotype" w:cs="Times New Roman"/>
        </w:rPr>
        <w:t xml:space="preserve">Dated </w:t>
      </w:r>
      <w:r w:rsidRPr="00FD1FC7" w:rsidR="00D21F54">
        <w:rPr>
          <w:rFonts w:ascii="Palatino Linotype" w:hAnsi="Palatino Linotype" w:eastAsia="Palatino Linotype" w:cs="Times New Roman"/>
          <w:u w:val="single"/>
        </w:rPr>
        <w:t xml:space="preserve">December </w:t>
      </w:r>
      <w:r w:rsidRPr="00FD1FC7" w:rsidR="681738CF">
        <w:rPr>
          <w:rFonts w:ascii="Palatino Linotype" w:hAnsi="Palatino Linotype" w:eastAsia="Palatino Linotype" w:cs="Times New Roman"/>
          <w:u w:val="single"/>
        </w:rPr>
        <w:t>18</w:t>
      </w:r>
      <w:r w:rsidRPr="00FD1FC7" w:rsidR="00D21F54">
        <w:rPr>
          <w:rFonts w:ascii="Palatino Linotype" w:hAnsi="Palatino Linotype" w:eastAsia="Palatino Linotype" w:cs="Times New Roman"/>
          <w:u w:val="single"/>
        </w:rPr>
        <w:t>, 2025</w:t>
      </w:r>
      <w:r w:rsidRPr="00DD2C68">
        <w:rPr>
          <w:rFonts w:ascii="Palatino Linotype" w:hAnsi="Palatino Linotype" w:eastAsia="Palatino Linotype" w:cs="Times New Roman"/>
        </w:rPr>
        <w:t xml:space="preserve">, at </w:t>
      </w:r>
      <w:r w:rsidRPr="00DD2C68" w:rsidR="00D21F54">
        <w:rPr>
          <w:rFonts w:ascii="Palatino Linotype" w:hAnsi="Palatino Linotype" w:eastAsia="Palatino Linotype" w:cs="Times New Roman"/>
        </w:rPr>
        <w:t>Sa</w:t>
      </w:r>
      <w:r w:rsidR="00144001">
        <w:rPr>
          <w:rFonts w:ascii="Palatino Linotype" w:hAnsi="Palatino Linotype" w:eastAsia="Palatino Linotype" w:cs="Times New Roman"/>
        </w:rPr>
        <w:t>cramento</w:t>
      </w:r>
      <w:r w:rsidRPr="00DD2C68">
        <w:rPr>
          <w:rFonts w:ascii="Palatino Linotype" w:hAnsi="Palatino Linotype" w:eastAsia="Palatino Linotype" w:cs="Times New Roman"/>
        </w:rPr>
        <w:t>, California</w:t>
      </w:r>
    </w:p>
    <w:p w:rsidRPr="00DD2C68" w:rsidR="00A76F4A" w:rsidP="00A76F4A" w:rsidRDefault="00A76F4A" w14:paraId="59C29A8B" w14:textId="751F1A50">
      <w:pPr>
        <w:keepNext/>
        <w:spacing w:after="0" w:line="240" w:lineRule="auto"/>
        <w:rPr>
          <w:rFonts w:ascii="Palatino Linotype" w:hAnsi="Palatino Linotype" w:eastAsia="Palatino Linotype" w:cs="Times New Roman"/>
        </w:rPr>
      </w:pPr>
    </w:p>
    <w:p w:rsidR="006429AA" w:rsidRDefault="006429AA" w14:paraId="2B7937A1" w14:textId="77777777"/>
    <w:sectPr w:rsidR="006429A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55BC" w14:textId="77777777" w:rsidR="00384EF1" w:rsidRDefault="00384EF1" w:rsidP="00A76F4A">
      <w:pPr>
        <w:spacing w:after="0" w:line="240" w:lineRule="auto"/>
      </w:pPr>
      <w:r>
        <w:separator/>
      </w:r>
    </w:p>
  </w:endnote>
  <w:endnote w:type="continuationSeparator" w:id="0">
    <w:p w14:paraId="2BFBF455" w14:textId="77777777" w:rsidR="00384EF1" w:rsidRDefault="00384EF1" w:rsidP="00A76F4A">
      <w:pPr>
        <w:spacing w:after="0" w:line="240" w:lineRule="auto"/>
      </w:pPr>
      <w:r>
        <w:continuationSeparator/>
      </w:r>
    </w:p>
  </w:endnote>
  <w:endnote w:type="continuationNotice" w:id="1">
    <w:p w14:paraId="582FD0B2" w14:textId="77777777" w:rsidR="00384EF1" w:rsidRDefault="00384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52697391" w:rsidR="004A7A4C" w:rsidRPr="00D21F54" w:rsidRDefault="00BE3738" w:rsidP="00810068">
        <w:pPr>
          <w:pStyle w:val="Footer"/>
          <w:rPr>
            <w:rFonts w:ascii="Palatino Linotype" w:hAnsi="Palatino Linotype"/>
          </w:rPr>
        </w:pPr>
        <w:r w:rsidRPr="00BE3738">
          <w:rPr>
            <w:rFonts w:ascii="Tahoma" w:hAnsi="Tahoma" w:cs="Tahoma"/>
            <w:sz w:val="16"/>
            <w:szCs w:val="16"/>
          </w:rPr>
          <w:t>592318785</w:t>
        </w:r>
        <w:r w:rsidR="00810068" w:rsidRPr="00BE3738">
          <w:rPr>
            <w:rFonts w:ascii="Palatino Linotype" w:hAnsi="Palatino Linotype"/>
            <w:sz w:val="18"/>
            <w:szCs w:val="18"/>
          </w:rPr>
          <w:t xml:space="preserve">   </w:t>
        </w:r>
        <w:r>
          <w:rPr>
            <w:rFonts w:ascii="Palatino Linotype" w:hAnsi="Palatino Linotype"/>
            <w:sz w:val="20"/>
            <w:szCs w:val="20"/>
          </w:rPr>
          <w:tab/>
        </w:r>
        <w:r w:rsidR="004A7A4C" w:rsidRPr="00D21F54">
          <w:rPr>
            <w:rFonts w:ascii="Palatino Linotype" w:hAnsi="Palatino Linotype"/>
          </w:rPr>
          <w:fldChar w:fldCharType="begin"/>
        </w:r>
        <w:r w:rsidR="004A7A4C" w:rsidRPr="00D21F54">
          <w:rPr>
            <w:rFonts w:ascii="Palatino Linotype" w:hAnsi="Palatino Linotype"/>
          </w:rPr>
          <w:instrText xml:space="preserve"> PAGE   \* MERGEFORMAT </w:instrText>
        </w:r>
        <w:r w:rsidR="004A7A4C" w:rsidRPr="00D21F54">
          <w:rPr>
            <w:rFonts w:ascii="Palatino Linotype" w:hAnsi="Palatino Linotype"/>
          </w:rPr>
          <w:fldChar w:fldCharType="separate"/>
        </w:r>
        <w:r w:rsidR="004A7A4C" w:rsidRPr="00D21F54">
          <w:rPr>
            <w:rFonts w:ascii="Palatino Linotype" w:hAnsi="Palatino Linotype"/>
            <w:noProof/>
          </w:rPr>
          <w:t>2</w:t>
        </w:r>
        <w:r w:rsidR="004A7A4C" w:rsidRPr="00D21F54">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91B5" w14:textId="77777777" w:rsidR="00384EF1" w:rsidRDefault="00384EF1" w:rsidP="00A76F4A">
      <w:pPr>
        <w:spacing w:after="0" w:line="240" w:lineRule="auto"/>
      </w:pPr>
      <w:r>
        <w:separator/>
      </w:r>
    </w:p>
  </w:footnote>
  <w:footnote w:type="continuationSeparator" w:id="0">
    <w:p w14:paraId="4E4375F3" w14:textId="77777777" w:rsidR="00384EF1" w:rsidRDefault="00384EF1" w:rsidP="00A76F4A">
      <w:pPr>
        <w:spacing w:after="0" w:line="240" w:lineRule="auto"/>
      </w:pPr>
      <w:r>
        <w:continuationSeparator/>
      </w:r>
    </w:p>
  </w:footnote>
  <w:footnote w:type="continuationNotice" w:id="1">
    <w:p w14:paraId="56EB5298" w14:textId="77777777" w:rsidR="00384EF1" w:rsidRDefault="00384EF1">
      <w:pPr>
        <w:spacing w:after="0" w:line="240" w:lineRule="auto"/>
      </w:pPr>
    </w:p>
  </w:footnote>
  <w:footnote w:id="2">
    <w:p w14:paraId="15B0EE0D" w14:textId="524B89FA" w:rsidR="001F2863" w:rsidRPr="007E5D4D" w:rsidRDefault="001F2863">
      <w:pPr>
        <w:pStyle w:val="FootnoteText"/>
        <w:rPr>
          <w:rFonts w:ascii="Palatino Linotype" w:hAnsi="Palatino Linotype"/>
        </w:rPr>
      </w:pPr>
      <w:r w:rsidRPr="007E5D4D">
        <w:rPr>
          <w:rStyle w:val="FootnoteReference"/>
          <w:rFonts w:ascii="Palatino Linotype" w:hAnsi="Palatino Linotype"/>
        </w:rPr>
        <w:footnoteRef/>
      </w:r>
      <w:r w:rsidRPr="007E5D4D">
        <w:rPr>
          <w:rFonts w:ascii="Palatino Linotype" w:hAnsi="Palatino Linotype"/>
        </w:rPr>
        <w:t xml:space="preserve"> </w:t>
      </w:r>
      <w:hyperlink r:id="rId1" w:history="1">
        <w:r w:rsidRPr="007E5D4D">
          <w:rPr>
            <w:rStyle w:val="Hyperlink"/>
            <w:rFonts w:ascii="Palatino Linotype" w:hAnsi="Palatino Linotype"/>
            <w:color w:val="auto"/>
            <w:u w:val="none"/>
          </w:rPr>
          <w:t>docs.cpuc.ca.gov/PublishedDocs/Efile/G000/M560/K976/560976504.PDF</w:t>
        </w:r>
      </w:hyperlink>
      <w:r w:rsidR="00C32785">
        <w:t xml:space="preserve"> </w:t>
      </w:r>
    </w:p>
  </w:footnote>
  <w:footnote w:id="3">
    <w:p w14:paraId="61D7C7AB" w14:textId="1F18E198" w:rsidR="42B99B7F" w:rsidRPr="007E5D4D" w:rsidRDefault="42B99B7F" w:rsidP="4708E492">
      <w:pPr>
        <w:pStyle w:val="FootnoteText"/>
        <w:rPr>
          <w:rFonts w:ascii="Palatino Linotype" w:hAnsi="Palatino Linotype"/>
        </w:rPr>
      </w:pPr>
      <w:r w:rsidRPr="007E5D4D">
        <w:rPr>
          <w:rStyle w:val="FootnoteReference"/>
          <w:rFonts w:ascii="Palatino Linotype" w:hAnsi="Palatino Linotype"/>
        </w:rPr>
        <w:footnoteRef/>
      </w:r>
      <w:r w:rsidR="4708E492" w:rsidRPr="007E5D4D">
        <w:rPr>
          <w:rFonts w:ascii="Palatino Linotype" w:hAnsi="Palatino Linotype"/>
        </w:rPr>
        <w:t xml:space="preserve"> </w:t>
      </w:r>
      <w:r w:rsidR="4708E492" w:rsidRPr="007E5D4D">
        <w:rPr>
          <w:rFonts w:ascii="Palatino Linotype" w:hAnsi="Palatino Linotype"/>
          <w:i/>
        </w:rPr>
        <w:t>Known loads</w:t>
      </w:r>
      <w:r w:rsidR="4708E492" w:rsidRPr="007E5D4D">
        <w:rPr>
          <w:rFonts w:ascii="Palatino Linotype" w:hAnsi="Palatino Linotype"/>
        </w:rPr>
        <w:t xml:space="preserve"> are formal requests for service originating from customers who submitted through a formal application that includes specific information related to the magnitude of the load requested, the location, and the timeline.</w:t>
      </w:r>
    </w:p>
  </w:footnote>
  <w:footnote w:id="4">
    <w:p w14:paraId="10D44D05" w14:textId="2CBF92DE" w:rsidR="00D47A51" w:rsidRPr="007E5D4D" w:rsidRDefault="00D47A51">
      <w:pPr>
        <w:pStyle w:val="FootnoteText"/>
        <w:rPr>
          <w:rFonts w:ascii="Palatino Linotype" w:hAnsi="Palatino Linotype"/>
        </w:rPr>
      </w:pPr>
      <w:r w:rsidRPr="007E5D4D">
        <w:rPr>
          <w:rStyle w:val="FootnoteReference"/>
          <w:rFonts w:ascii="Palatino Linotype" w:hAnsi="Palatino Linotype"/>
        </w:rPr>
        <w:footnoteRef/>
      </w:r>
      <w:r w:rsidR="00E75781">
        <w:rPr>
          <w:rFonts w:ascii="Palatino Linotype" w:hAnsi="Palatino Linotype"/>
        </w:rPr>
        <w:t xml:space="preserve"> </w:t>
      </w:r>
      <w:r w:rsidR="4708E492" w:rsidRPr="007E5D4D">
        <w:rPr>
          <w:rFonts w:ascii="Palatino Linotype" w:hAnsi="Palatino Linotype"/>
        </w:rPr>
        <w:t>Customer-based data inputs may include EV charging plans, vehicle telematics, and municipal zoning data. For studies or analysis based on regulatory compliance requirements, this may include local jurisdiction development plans, utility analysis-based compliance obligations, and industry trends.</w:t>
      </w:r>
    </w:p>
  </w:footnote>
  <w:footnote w:id="5">
    <w:p w14:paraId="608B7108" w14:textId="7DE9D386" w:rsidR="00161E1E" w:rsidRPr="007E5D4D" w:rsidRDefault="00161E1E">
      <w:pPr>
        <w:pStyle w:val="FootnoteText"/>
        <w:rPr>
          <w:rFonts w:ascii="Palatino Linotype" w:hAnsi="Palatino Linotype"/>
        </w:rPr>
      </w:pPr>
      <w:r w:rsidRPr="007E5D4D">
        <w:rPr>
          <w:rStyle w:val="FootnoteReference"/>
          <w:rFonts w:ascii="Palatino Linotype" w:hAnsi="Palatino Linotype"/>
        </w:rPr>
        <w:footnoteRef/>
      </w:r>
      <w:r w:rsidR="4708E492" w:rsidRPr="007E5D4D">
        <w:rPr>
          <w:rFonts w:ascii="Palatino Linotype" w:hAnsi="Palatino Linotype"/>
        </w:rPr>
        <w:t xml:space="preserve"> The customer demonstrates that they are aware of what permits are required and the approval process for their project. </w:t>
      </w:r>
    </w:p>
  </w:footnote>
  <w:footnote w:id="6">
    <w:p w14:paraId="3507C4BB" w14:textId="0114CC20" w:rsidR="0038605A" w:rsidRPr="007E5D4D" w:rsidRDefault="00D765DA" w:rsidP="00D765DA">
      <w:pPr>
        <w:pStyle w:val="FootnoteText"/>
        <w:tabs>
          <w:tab w:val="left" w:pos="2445"/>
        </w:tabs>
        <w:rPr>
          <w:rFonts w:ascii="Palatino Linotype" w:hAnsi="Palatino Linotype"/>
        </w:rPr>
      </w:pPr>
      <w:r>
        <w:rPr>
          <w:rFonts w:ascii="Palatino Linotype" w:hAnsi="Palatino Linotype"/>
        </w:rPr>
        <w:tab/>
      </w:r>
    </w:p>
  </w:footnote>
  <w:footnote w:id="7">
    <w:p w14:paraId="31B4CB32" w14:textId="2972D570" w:rsidR="00557B07" w:rsidRPr="007E5D4D" w:rsidRDefault="000D6098">
      <w:pPr>
        <w:pStyle w:val="FootnoteText"/>
        <w:rPr>
          <w:rFonts w:ascii="Palatino Linotype" w:hAnsi="Palatino Linotype"/>
        </w:rPr>
      </w:pPr>
      <w:r w:rsidRPr="007E5D4D">
        <w:rPr>
          <w:rStyle w:val="FootnoteReference"/>
          <w:rFonts w:ascii="Palatino Linotype" w:hAnsi="Palatino Linotype"/>
        </w:rPr>
        <w:footnoteRef/>
      </w:r>
      <w:r w:rsidRPr="007E5D4D">
        <w:rPr>
          <w:rFonts w:ascii="Palatino Linotype" w:hAnsi="Palatino Linotype"/>
        </w:rPr>
        <w:t xml:space="preserve"> </w:t>
      </w:r>
      <w:r w:rsidR="00557B07" w:rsidRPr="007E5D4D">
        <w:rPr>
          <w:rFonts w:ascii="Palatino Linotype" w:hAnsi="Palatino Linotype"/>
        </w:rPr>
        <w:t>Ordering Paragraph 6: Pacific Gas and Electric Company, San Diego Gas &amp; Electric Company, and Southern California Edison Company (Utilities) must implement the use of scenario planning in the distribution planning and execution process (DPEP) beginning with the 2025-2026 DPEP cycle. Scenario planning forecast adoption and investment plan results shall be discussed, respectively, at the annual Distribution Forecast Working Group and annual Distribution Planning Advisory Group workshops. The results of the workshop adopted in Ordering Paragraph 7 below will inform the scenario planning framework.</w:t>
      </w:r>
    </w:p>
  </w:footnote>
  <w:footnote w:id="8">
    <w:p w14:paraId="65E80829" w14:textId="59CEFF31" w:rsidR="005F1328" w:rsidRPr="007E5D4D" w:rsidRDefault="005F1328" w:rsidP="00016583">
      <w:pPr>
        <w:pStyle w:val="FootnoteText"/>
        <w:rPr>
          <w:rFonts w:ascii="Palatino Linotype" w:hAnsi="Palatino Linotype"/>
        </w:rPr>
      </w:pPr>
      <w:r w:rsidRPr="007E5D4D">
        <w:rPr>
          <w:rStyle w:val="FootnoteReference"/>
          <w:rFonts w:ascii="Palatino Linotype" w:hAnsi="Palatino Linotype"/>
        </w:rPr>
        <w:footnoteRef/>
      </w:r>
      <w:r w:rsidRPr="007E5D4D">
        <w:rPr>
          <w:rFonts w:ascii="Palatino Linotype" w:hAnsi="Palatino Linotype"/>
        </w:rPr>
        <w:t xml:space="preserve"> </w:t>
      </w:r>
      <w:r w:rsidR="00557B07" w:rsidRPr="007E5D4D">
        <w:rPr>
          <w:rFonts w:ascii="Palatino Linotype" w:hAnsi="Palatino Linotype"/>
        </w:rPr>
        <w:t>Ordering Paragraph 2: P</w:t>
      </w:r>
      <w:r w:rsidR="00016583" w:rsidRPr="007E5D4D">
        <w:rPr>
          <w:rFonts w:ascii="Palatino Linotype" w:hAnsi="Palatino Linotype"/>
        </w:rPr>
        <w:t>acific Gas and Electric Company, San Diego Gas &amp; Electric Company, and Southern California Edison Company (Utilities) must improve the method for setting caps on load growth from the Integrated Energy Policy Report data with the objective of accurately estimating load growth. Beginning with the 2025-2026 Distribution Planning and Execution Process, Utilities shall work with Commission and California Energy Commission staff in developing proposals for the method and accounting for discrepancies between the system and circuit level. Utilities shall discuss the proposals, including implementation, in annual Distribution Planning Advisory Group, or successor, workshops.</w:t>
      </w:r>
      <w:r w:rsidR="00016583" w:rsidRPr="007E5D4D">
        <w:rPr>
          <w:rFonts w:ascii="Palatino Linotype" w:hAnsi="Palatino Linotype"/>
        </w:rPr>
        <w:cr/>
      </w:r>
    </w:p>
  </w:footnote>
  <w:footnote w:id="9">
    <w:p w14:paraId="7A35B9E4" w14:textId="18AD454A" w:rsidR="00340B85" w:rsidRPr="007E5D4D" w:rsidRDefault="006D25A9" w:rsidP="00340B85">
      <w:pPr>
        <w:pStyle w:val="FootnoteText"/>
        <w:rPr>
          <w:rFonts w:ascii="Palatino Linotype" w:hAnsi="Palatino Linotype"/>
          <w:lang w:val="en-ZW"/>
        </w:rPr>
      </w:pPr>
      <w:r w:rsidRPr="007E5D4D">
        <w:rPr>
          <w:rStyle w:val="FootnoteReference"/>
          <w:rFonts w:ascii="Palatino Linotype" w:hAnsi="Palatino Linotype"/>
        </w:rPr>
        <w:footnoteRef/>
      </w:r>
      <w:r w:rsidRPr="007E5D4D">
        <w:rPr>
          <w:rFonts w:ascii="Palatino Linotype" w:hAnsi="Palatino Linotype"/>
        </w:rPr>
        <w:t xml:space="preserve"> </w:t>
      </w:r>
      <w:r w:rsidRPr="007E5D4D">
        <w:rPr>
          <w:rFonts w:ascii="Palatino Linotype" w:hAnsi="Palatino Linotype"/>
          <w:lang w:val="en-ZW"/>
        </w:rPr>
        <w:t>D.24-10-030</w:t>
      </w:r>
      <w:r w:rsidR="00DB7C7B" w:rsidRPr="007E5D4D">
        <w:rPr>
          <w:rFonts w:ascii="Palatino Linotype" w:hAnsi="Palatino Linotype"/>
          <w:lang w:val="en-ZW"/>
        </w:rPr>
        <w:t xml:space="preserve"> Ordering Paragraph 1</w:t>
      </w:r>
      <w:r w:rsidR="00891F35" w:rsidRPr="007E5D4D">
        <w:rPr>
          <w:rFonts w:ascii="Palatino Linotype" w:hAnsi="Palatino Linotype"/>
          <w:lang w:val="en-ZW"/>
        </w:rPr>
        <w:t xml:space="preserve">4: </w:t>
      </w:r>
      <w:r w:rsidR="00340B85" w:rsidRPr="007E5D4D">
        <w:rPr>
          <w:rFonts w:ascii="Palatino Linotype" w:hAnsi="Palatino Linotype"/>
          <w:lang w:val="en-ZW"/>
        </w:rPr>
        <w:t>…At a minimum, Utilities shall include in their Pending Loads</w:t>
      </w:r>
    </w:p>
    <w:p w14:paraId="0DD64436" w14:textId="3A6A2470" w:rsidR="006D25A9" w:rsidRPr="007E5D4D" w:rsidRDefault="00340B85" w:rsidP="00340B85">
      <w:pPr>
        <w:pStyle w:val="FootnoteText"/>
        <w:rPr>
          <w:rFonts w:ascii="Palatino Linotype" w:hAnsi="Palatino Linotype"/>
          <w:lang w:val="en-ZW"/>
        </w:rPr>
      </w:pPr>
      <w:r w:rsidRPr="007E5D4D">
        <w:rPr>
          <w:rFonts w:ascii="Palatino Linotype" w:hAnsi="Palatino Linotype"/>
          <w:lang w:val="en-ZW"/>
        </w:rPr>
        <w:t>Evaluation Advice Letter: (1) an analysis of the percentage of pending loads that became energization requests in the form of a table that includes each pending load used in forecasting to date; (2) deviance of load size from pending load to actual known load; (3) deviance of load timing between pending loads and actual known load; (4) differences in the accuracy and usefulness of pending loads by load category (i.e., end use); (5) differences in the accuracy and usefulness of pending loads by information source and/or methodology; and (6) the expected in-service date of projects initiated as a result of the pending loads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D5B2" w14:textId="2E7CC846" w:rsidR="4A3BDD87" w:rsidRDefault="005F6DE1" w:rsidP="4A3BDD87">
    <w:pPr>
      <w:pStyle w:val="Header"/>
      <w:tabs>
        <w:tab w:val="clear" w:pos="9360"/>
        <w:tab w:val="right" w:pos="9000"/>
      </w:tabs>
      <w:rPr>
        <w:rFonts w:ascii="Palatino Linotype" w:hAnsi="Palatino Linotype"/>
      </w:rPr>
    </w:pPr>
    <w:r>
      <w:rPr>
        <w:rFonts w:ascii="Palatino Linotype" w:hAnsi="Palatino Linotype"/>
      </w:rPr>
      <w:t>ED/</w:t>
    </w:r>
    <w:r w:rsidR="44C84353" w:rsidRPr="44C84353">
      <w:rPr>
        <w:rFonts w:ascii="Palatino Linotype" w:hAnsi="Palatino Linotype"/>
      </w:rPr>
      <w:t>Resolution E-5413</w:t>
    </w:r>
    <w:r w:rsidR="4A3BDD87">
      <w:tab/>
    </w:r>
    <w:r w:rsidR="4A3BDD87">
      <w:tab/>
    </w:r>
    <w:r w:rsidR="00D21F54">
      <w:rPr>
        <w:rFonts w:ascii="Palatino Linotype" w:hAnsi="Palatino Linotype"/>
      </w:rPr>
      <w:t>December</w:t>
    </w:r>
    <w:r w:rsidR="44C84353" w:rsidRPr="44C84353">
      <w:rPr>
        <w:rFonts w:ascii="Palatino Linotype" w:hAnsi="Palatino Linotype"/>
      </w:rPr>
      <w:t xml:space="preserve"> </w:t>
    </w:r>
    <w:r w:rsidR="007E39E1">
      <w:rPr>
        <w:rFonts w:ascii="Palatino Linotype" w:hAnsi="Palatino Linotype"/>
      </w:rPr>
      <w:t>18</w:t>
    </w:r>
    <w:r w:rsidR="44C84353" w:rsidRPr="44C84353">
      <w:rPr>
        <w:rFonts w:ascii="Palatino Linotype" w:hAnsi="Palatino Linotype"/>
      </w:rPr>
      <w:t>, 2025</w:t>
    </w:r>
  </w:p>
  <w:p w14:paraId="07F18900" w14:textId="254B5311" w:rsidR="00715888" w:rsidRPr="00715888" w:rsidRDefault="00E772E1" w:rsidP="00715888">
    <w:pPr>
      <w:pStyle w:val="Header"/>
      <w:rPr>
        <w:rFonts w:ascii="Palatino Linotype" w:hAnsi="Palatino Linotype"/>
      </w:rPr>
    </w:pPr>
    <w:r>
      <w:rPr>
        <w:rFonts w:ascii="Palatino Linotype" w:hAnsi="Palatino Linotype"/>
      </w:rPr>
      <w:t xml:space="preserve"> </w:t>
    </w:r>
    <w:r w:rsidR="00715888" w:rsidRPr="00715888">
      <w:rPr>
        <w:rFonts w:ascii="Palatino Linotype" w:hAnsi="Palatino Linotype"/>
      </w:rPr>
      <w:t>SCE AL 5567-E, SDG&amp;E AL 46</w:t>
    </w:r>
    <w:r w:rsidR="00403883">
      <w:rPr>
        <w:rFonts w:ascii="Palatino Linotype" w:hAnsi="Palatino Linotype"/>
      </w:rPr>
      <w:t>76</w:t>
    </w:r>
    <w:r w:rsidR="00715888" w:rsidRPr="00715888">
      <w:rPr>
        <w:rFonts w:ascii="Palatino Linotype" w:hAnsi="Palatino Linotype"/>
      </w:rPr>
      <w:t>-E, PG&amp;E AL 7630-E</w:t>
    </w:r>
    <w:r w:rsidR="00873686">
      <w:rPr>
        <w:rFonts w:ascii="Palatino Linotype" w:hAnsi="Palatino Linotype"/>
      </w:rPr>
      <w:t>/JT8</w:t>
    </w:r>
  </w:p>
  <w:p w14:paraId="4A5E9982" w14:textId="58217FBE" w:rsidR="00D21F54" w:rsidRPr="002A1AD8" w:rsidRDefault="00D21F54" w:rsidP="00CA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00F36DA1" w:rsidR="00750E92" w:rsidRPr="00750E92" w:rsidRDefault="0017229C" w:rsidP="00385527">
    <w:pPr>
      <w:pStyle w:val="Header"/>
      <w:rPr>
        <w:rFonts w:ascii="Palatino Linotype" w:hAnsi="Palatino Linotype"/>
      </w:rPr>
    </w:pPr>
    <w:r>
      <w:rPr>
        <w:rFonts w:ascii="Palatino Linotype" w:hAnsi="Palatino Linotype"/>
      </w:rPr>
      <w:tab/>
    </w:r>
    <w:r>
      <w:rPr>
        <w:rFonts w:ascii="Palatino Linotype" w:hAnsi="Palatino Linotype"/>
      </w:rPr>
      <w:tab/>
    </w:r>
    <w:r w:rsidR="00385527">
      <w:rPr>
        <w:rFonts w:ascii="Palatino Linotype" w:hAnsi="Palatino Linotype"/>
      </w:rPr>
      <w:t xml:space="preserve">Date of Issuance: </w:t>
    </w:r>
    <w:r w:rsidR="00AA1E55">
      <w:rPr>
        <w:rFonts w:ascii="Palatino Linotype" w:hAnsi="Palatino Linotype"/>
      </w:rPr>
      <w:t xml:space="preserve">December </w:t>
    </w:r>
    <w:r>
      <w:rPr>
        <w:rFonts w:ascii="Palatino Linotype" w:hAnsi="Palatino Linotype"/>
      </w:rPr>
      <w:t>24, 2025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328"/>
    <w:multiLevelType w:val="hybridMultilevel"/>
    <w:tmpl w:val="91A2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A3100"/>
    <w:multiLevelType w:val="hybridMultilevel"/>
    <w:tmpl w:val="6CDEDA7A"/>
    <w:lvl w:ilvl="0" w:tplc="24CCFA62">
      <w:start w:val="1"/>
      <w:numFmt w:val="decimal"/>
      <w:lvlText w:val="%1)"/>
      <w:lvlJc w:val="left"/>
      <w:pPr>
        <w:ind w:left="720" w:hanging="360"/>
      </w:pPr>
    </w:lvl>
    <w:lvl w:ilvl="1" w:tplc="050CD984">
      <w:start w:val="1"/>
      <w:numFmt w:val="lowerLetter"/>
      <w:lvlText w:val="%2."/>
      <w:lvlJc w:val="left"/>
      <w:pPr>
        <w:ind w:left="1440" w:hanging="360"/>
      </w:pPr>
    </w:lvl>
    <w:lvl w:ilvl="2" w:tplc="59322BB4">
      <w:start w:val="1"/>
      <w:numFmt w:val="lowerRoman"/>
      <w:lvlText w:val="%3."/>
      <w:lvlJc w:val="right"/>
      <w:pPr>
        <w:ind w:left="2160" w:hanging="180"/>
      </w:pPr>
    </w:lvl>
    <w:lvl w:ilvl="3" w:tplc="053E9A06">
      <w:start w:val="1"/>
      <w:numFmt w:val="decimal"/>
      <w:lvlText w:val="%4."/>
      <w:lvlJc w:val="left"/>
      <w:pPr>
        <w:ind w:left="2880" w:hanging="360"/>
      </w:pPr>
    </w:lvl>
    <w:lvl w:ilvl="4" w:tplc="87CCFFC0">
      <w:start w:val="1"/>
      <w:numFmt w:val="lowerLetter"/>
      <w:lvlText w:val="%5."/>
      <w:lvlJc w:val="left"/>
      <w:pPr>
        <w:ind w:left="3600" w:hanging="360"/>
      </w:pPr>
    </w:lvl>
    <w:lvl w:ilvl="5" w:tplc="20DAB43E">
      <w:start w:val="1"/>
      <w:numFmt w:val="lowerRoman"/>
      <w:lvlText w:val="%6."/>
      <w:lvlJc w:val="right"/>
      <w:pPr>
        <w:ind w:left="4320" w:hanging="180"/>
      </w:pPr>
    </w:lvl>
    <w:lvl w:ilvl="6" w:tplc="2A0EAAEC">
      <w:start w:val="1"/>
      <w:numFmt w:val="decimal"/>
      <w:lvlText w:val="%7."/>
      <w:lvlJc w:val="left"/>
      <w:pPr>
        <w:ind w:left="5040" w:hanging="360"/>
      </w:pPr>
    </w:lvl>
    <w:lvl w:ilvl="7" w:tplc="B4D85C12">
      <w:start w:val="1"/>
      <w:numFmt w:val="lowerLetter"/>
      <w:lvlText w:val="%8."/>
      <w:lvlJc w:val="left"/>
      <w:pPr>
        <w:ind w:left="5760" w:hanging="360"/>
      </w:pPr>
    </w:lvl>
    <w:lvl w:ilvl="8" w:tplc="74E60084">
      <w:start w:val="1"/>
      <w:numFmt w:val="lowerRoman"/>
      <w:lvlText w:val="%9."/>
      <w:lvlJc w:val="right"/>
      <w:pPr>
        <w:ind w:left="6480" w:hanging="180"/>
      </w:pPr>
    </w:lvl>
  </w:abstractNum>
  <w:abstractNum w:abstractNumId="2" w15:restartNumberingAfterBreak="0">
    <w:nsid w:val="057B61F1"/>
    <w:multiLevelType w:val="hybridMultilevel"/>
    <w:tmpl w:val="B4D27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B7819"/>
    <w:multiLevelType w:val="singleLevel"/>
    <w:tmpl w:val="0409000F"/>
    <w:lvl w:ilvl="0">
      <w:start w:val="1"/>
      <w:numFmt w:val="decimal"/>
      <w:lvlText w:val="%1."/>
      <w:lvlJc w:val="left"/>
      <w:pPr>
        <w:ind w:left="720" w:hanging="360"/>
      </w:pPr>
    </w:lvl>
  </w:abstractNum>
  <w:abstractNum w:abstractNumId="4" w15:restartNumberingAfterBreak="0">
    <w:nsid w:val="1277163C"/>
    <w:multiLevelType w:val="multilevel"/>
    <w:tmpl w:val="75F8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D2517"/>
    <w:multiLevelType w:val="multilevel"/>
    <w:tmpl w:val="4EE0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D95531"/>
    <w:multiLevelType w:val="hybridMultilevel"/>
    <w:tmpl w:val="EF901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892EF4"/>
    <w:multiLevelType w:val="hybridMultilevel"/>
    <w:tmpl w:val="CFE883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8F891"/>
    <w:multiLevelType w:val="hybridMultilevel"/>
    <w:tmpl w:val="4EEC0CA4"/>
    <w:lvl w:ilvl="0" w:tplc="3EFCC194">
      <w:start w:val="1"/>
      <w:numFmt w:val="bullet"/>
      <w:lvlText w:val=""/>
      <w:lvlJc w:val="left"/>
      <w:pPr>
        <w:ind w:left="720" w:hanging="360"/>
      </w:pPr>
      <w:rPr>
        <w:rFonts w:ascii="Symbol" w:hAnsi="Symbol" w:hint="default"/>
      </w:rPr>
    </w:lvl>
    <w:lvl w:ilvl="1" w:tplc="C4709600">
      <w:start w:val="1"/>
      <w:numFmt w:val="bullet"/>
      <w:lvlText w:val="o"/>
      <w:lvlJc w:val="left"/>
      <w:pPr>
        <w:ind w:left="1440" w:hanging="360"/>
      </w:pPr>
      <w:rPr>
        <w:rFonts w:ascii="Courier New" w:hAnsi="Courier New" w:hint="default"/>
      </w:rPr>
    </w:lvl>
    <w:lvl w:ilvl="2" w:tplc="13CE2F5E">
      <w:start w:val="1"/>
      <w:numFmt w:val="bullet"/>
      <w:lvlText w:val=""/>
      <w:lvlJc w:val="left"/>
      <w:pPr>
        <w:ind w:left="2160" w:hanging="360"/>
      </w:pPr>
      <w:rPr>
        <w:rFonts w:ascii="Wingdings" w:hAnsi="Wingdings" w:hint="default"/>
      </w:rPr>
    </w:lvl>
    <w:lvl w:ilvl="3" w:tplc="99CCCBF4">
      <w:start w:val="1"/>
      <w:numFmt w:val="bullet"/>
      <w:lvlText w:val=""/>
      <w:lvlJc w:val="left"/>
      <w:pPr>
        <w:ind w:left="2880" w:hanging="360"/>
      </w:pPr>
      <w:rPr>
        <w:rFonts w:ascii="Symbol" w:hAnsi="Symbol" w:hint="default"/>
      </w:rPr>
    </w:lvl>
    <w:lvl w:ilvl="4" w:tplc="D36EA648">
      <w:start w:val="1"/>
      <w:numFmt w:val="bullet"/>
      <w:lvlText w:val="o"/>
      <w:lvlJc w:val="left"/>
      <w:pPr>
        <w:ind w:left="3600" w:hanging="360"/>
      </w:pPr>
      <w:rPr>
        <w:rFonts w:ascii="Courier New" w:hAnsi="Courier New" w:hint="default"/>
      </w:rPr>
    </w:lvl>
    <w:lvl w:ilvl="5" w:tplc="8DCC6688">
      <w:start w:val="1"/>
      <w:numFmt w:val="bullet"/>
      <w:lvlText w:val=""/>
      <w:lvlJc w:val="left"/>
      <w:pPr>
        <w:ind w:left="4320" w:hanging="360"/>
      </w:pPr>
      <w:rPr>
        <w:rFonts w:ascii="Wingdings" w:hAnsi="Wingdings" w:hint="default"/>
      </w:rPr>
    </w:lvl>
    <w:lvl w:ilvl="6" w:tplc="E3EC7646">
      <w:start w:val="1"/>
      <w:numFmt w:val="bullet"/>
      <w:lvlText w:val=""/>
      <w:lvlJc w:val="left"/>
      <w:pPr>
        <w:ind w:left="5040" w:hanging="360"/>
      </w:pPr>
      <w:rPr>
        <w:rFonts w:ascii="Symbol" w:hAnsi="Symbol" w:hint="default"/>
      </w:rPr>
    </w:lvl>
    <w:lvl w:ilvl="7" w:tplc="DBE45D70">
      <w:start w:val="1"/>
      <w:numFmt w:val="bullet"/>
      <w:lvlText w:val="o"/>
      <w:lvlJc w:val="left"/>
      <w:pPr>
        <w:ind w:left="5760" w:hanging="360"/>
      </w:pPr>
      <w:rPr>
        <w:rFonts w:ascii="Courier New" w:hAnsi="Courier New" w:hint="default"/>
      </w:rPr>
    </w:lvl>
    <w:lvl w:ilvl="8" w:tplc="F7CE39F4">
      <w:start w:val="1"/>
      <w:numFmt w:val="bullet"/>
      <w:lvlText w:val=""/>
      <w:lvlJc w:val="left"/>
      <w:pPr>
        <w:ind w:left="6480" w:hanging="360"/>
      </w:pPr>
      <w:rPr>
        <w:rFonts w:ascii="Wingdings" w:hAnsi="Wingdings" w:hint="default"/>
      </w:rPr>
    </w:lvl>
  </w:abstractNum>
  <w:abstractNum w:abstractNumId="9" w15:restartNumberingAfterBreak="0">
    <w:nsid w:val="1BBA732D"/>
    <w:multiLevelType w:val="multilevel"/>
    <w:tmpl w:val="91A4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FB2804"/>
    <w:multiLevelType w:val="hybridMultilevel"/>
    <w:tmpl w:val="D696E7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24EE6"/>
    <w:multiLevelType w:val="hybridMultilevel"/>
    <w:tmpl w:val="2C0A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500B6"/>
    <w:multiLevelType w:val="hybridMultilevel"/>
    <w:tmpl w:val="8304AA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B0678B"/>
    <w:multiLevelType w:val="hybridMultilevel"/>
    <w:tmpl w:val="0744051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37150E"/>
    <w:multiLevelType w:val="hybridMultilevel"/>
    <w:tmpl w:val="6096B3A8"/>
    <w:lvl w:ilvl="0" w:tplc="4412B6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C867E2"/>
    <w:multiLevelType w:val="hybridMultilevel"/>
    <w:tmpl w:val="20E8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0749F0"/>
    <w:multiLevelType w:val="hybridMultilevel"/>
    <w:tmpl w:val="62E42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F2355"/>
    <w:multiLevelType w:val="hybridMultilevel"/>
    <w:tmpl w:val="44189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8414F"/>
    <w:multiLevelType w:val="hybridMultilevel"/>
    <w:tmpl w:val="7EE0B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1F79DE"/>
    <w:multiLevelType w:val="hybridMultilevel"/>
    <w:tmpl w:val="3BB26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C510DC"/>
    <w:multiLevelType w:val="hybridMultilevel"/>
    <w:tmpl w:val="D0641B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77302B"/>
    <w:multiLevelType w:val="multilevel"/>
    <w:tmpl w:val="206AF7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1467632"/>
    <w:multiLevelType w:val="hybridMultilevel"/>
    <w:tmpl w:val="1D943A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F94A2C"/>
    <w:multiLevelType w:val="multilevel"/>
    <w:tmpl w:val="76367E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8362544"/>
    <w:multiLevelType w:val="hybridMultilevel"/>
    <w:tmpl w:val="D3A4B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5052FA"/>
    <w:multiLevelType w:val="hybridMultilevel"/>
    <w:tmpl w:val="FBA0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767461"/>
    <w:multiLevelType w:val="hybridMultilevel"/>
    <w:tmpl w:val="07301502"/>
    <w:lvl w:ilvl="0" w:tplc="6908D802">
      <w:start w:val="1"/>
      <w:numFmt w:val="bullet"/>
      <w:lvlText w:val=""/>
      <w:lvlJc w:val="left"/>
      <w:pPr>
        <w:ind w:left="1440" w:hanging="360"/>
      </w:pPr>
      <w:rPr>
        <w:rFonts w:ascii="Symbol" w:hAnsi="Symbol"/>
      </w:rPr>
    </w:lvl>
    <w:lvl w:ilvl="1" w:tplc="7DC0A174">
      <w:start w:val="1"/>
      <w:numFmt w:val="bullet"/>
      <w:lvlText w:val=""/>
      <w:lvlJc w:val="left"/>
      <w:pPr>
        <w:ind w:left="1440" w:hanging="360"/>
      </w:pPr>
      <w:rPr>
        <w:rFonts w:ascii="Symbol" w:hAnsi="Symbol"/>
      </w:rPr>
    </w:lvl>
    <w:lvl w:ilvl="2" w:tplc="8042F30C">
      <w:start w:val="1"/>
      <w:numFmt w:val="bullet"/>
      <w:lvlText w:val=""/>
      <w:lvlJc w:val="left"/>
      <w:pPr>
        <w:ind w:left="1440" w:hanging="360"/>
      </w:pPr>
      <w:rPr>
        <w:rFonts w:ascii="Symbol" w:hAnsi="Symbol"/>
      </w:rPr>
    </w:lvl>
    <w:lvl w:ilvl="3" w:tplc="9A345F4C">
      <w:start w:val="1"/>
      <w:numFmt w:val="bullet"/>
      <w:lvlText w:val=""/>
      <w:lvlJc w:val="left"/>
      <w:pPr>
        <w:ind w:left="1440" w:hanging="360"/>
      </w:pPr>
      <w:rPr>
        <w:rFonts w:ascii="Symbol" w:hAnsi="Symbol"/>
      </w:rPr>
    </w:lvl>
    <w:lvl w:ilvl="4" w:tplc="60FABB42">
      <w:start w:val="1"/>
      <w:numFmt w:val="bullet"/>
      <w:lvlText w:val=""/>
      <w:lvlJc w:val="left"/>
      <w:pPr>
        <w:ind w:left="1440" w:hanging="360"/>
      </w:pPr>
      <w:rPr>
        <w:rFonts w:ascii="Symbol" w:hAnsi="Symbol"/>
      </w:rPr>
    </w:lvl>
    <w:lvl w:ilvl="5" w:tplc="78304B1C">
      <w:start w:val="1"/>
      <w:numFmt w:val="bullet"/>
      <w:lvlText w:val=""/>
      <w:lvlJc w:val="left"/>
      <w:pPr>
        <w:ind w:left="1440" w:hanging="360"/>
      </w:pPr>
      <w:rPr>
        <w:rFonts w:ascii="Symbol" w:hAnsi="Symbol"/>
      </w:rPr>
    </w:lvl>
    <w:lvl w:ilvl="6" w:tplc="01FC7E80">
      <w:start w:val="1"/>
      <w:numFmt w:val="bullet"/>
      <w:lvlText w:val=""/>
      <w:lvlJc w:val="left"/>
      <w:pPr>
        <w:ind w:left="1440" w:hanging="360"/>
      </w:pPr>
      <w:rPr>
        <w:rFonts w:ascii="Symbol" w:hAnsi="Symbol"/>
      </w:rPr>
    </w:lvl>
    <w:lvl w:ilvl="7" w:tplc="8F123F6A">
      <w:start w:val="1"/>
      <w:numFmt w:val="bullet"/>
      <w:lvlText w:val=""/>
      <w:lvlJc w:val="left"/>
      <w:pPr>
        <w:ind w:left="1440" w:hanging="360"/>
      </w:pPr>
      <w:rPr>
        <w:rFonts w:ascii="Symbol" w:hAnsi="Symbol"/>
      </w:rPr>
    </w:lvl>
    <w:lvl w:ilvl="8" w:tplc="476ED124">
      <w:start w:val="1"/>
      <w:numFmt w:val="bullet"/>
      <w:lvlText w:val=""/>
      <w:lvlJc w:val="left"/>
      <w:pPr>
        <w:ind w:left="1440" w:hanging="360"/>
      </w:pPr>
      <w:rPr>
        <w:rFonts w:ascii="Symbol" w:hAnsi="Symbol"/>
      </w:rPr>
    </w:lvl>
  </w:abstractNum>
  <w:abstractNum w:abstractNumId="27" w15:restartNumberingAfterBreak="0">
    <w:nsid w:val="3C58315C"/>
    <w:multiLevelType w:val="hybridMultilevel"/>
    <w:tmpl w:val="A3183DDC"/>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E53501"/>
    <w:multiLevelType w:val="hybridMultilevel"/>
    <w:tmpl w:val="441897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710C2D"/>
    <w:multiLevelType w:val="hybridMultilevel"/>
    <w:tmpl w:val="AA6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A43FC0"/>
    <w:multiLevelType w:val="hybridMultilevel"/>
    <w:tmpl w:val="4D10BAF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981851"/>
    <w:multiLevelType w:val="hybridMultilevel"/>
    <w:tmpl w:val="300E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9E31E3"/>
    <w:multiLevelType w:val="multilevel"/>
    <w:tmpl w:val="FD10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0D4CE3"/>
    <w:multiLevelType w:val="hybridMultilevel"/>
    <w:tmpl w:val="D2F83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5771CA1"/>
    <w:multiLevelType w:val="hybridMultilevel"/>
    <w:tmpl w:val="2A2E921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170018"/>
    <w:multiLevelType w:val="multilevel"/>
    <w:tmpl w:val="AA62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BC704C"/>
    <w:multiLevelType w:val="hybridMultilevel"/>
    <w:tmpl w:val="8304AA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66825AF"/>
    <w:multiLevelType w:val="hybridMultilevel"/>
    <w:tmpl w:val="36C20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70D6602"/>
    <w:multiLevelType w:val="multilevel"/>
    <w:tmpl w:val="525A97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40" w15:restartNumberingAfterBreak="0">
    <w:nsid w:val="59C775A7"/>
    <w:multiLevelType w:val="hybridMultilevel"/>
    <w:tmpl w:val="8304A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372C2D"/>
    <w:multiLevelType w:val="hybridMultilevel"/>
    <w:tmpl w:val="F41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0D21E5"/>
    <w:multiLevelType w:val="hybridMultilevel"/>
    <w:tmpl w:val="F1BE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2871DA"/>
    <w:multiLevelType w:val="hybridMultilevel"/>
    <w:tmpl w:val="441897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38129F4"/>
    <w:multiLevelType w:val="multilevel"/>
    <w:tmpl w:val="69B8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E319E6"/>
    <w:multiLevelType w:val="multilevel"/>
    <w:tmpl w:val="7A105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8BC42C9"/>
    <w:multiLevelType w:val="hybridMultilevel"/>
    <w:tmpl w:val="A4E20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0955DB3"/>
    <w:multiLevelType w:val="multilevel"/>
    <w:tmpl w:val="DF4A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DC01CD"/>
    <w:multiLevelType w:val="hybridMultilevel"/>
    <w:tmpl w:val="99F6E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52" w15:restartNumberingAfterBreak="0">
    <w:nsid w:val="72CA0DE2"/>
    <w:multiLevelType w:val="hybridMultilevel"/>
    <w:tmpl w:val="7218A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931E8D"/>
    <w:multiLevelType w:val="hybridMultilevel"/>
    <w:tmpl w:val="8284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BA7E51"/>
    <w:multiLevelType w:val="hybridMultilevel"/>
    <w:tmpl w:val="6FDE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5C1F6C"/>
    <w:multiLevelType w:val="hybridMultilevel"/>
    <w:tmpl w:val="99F84D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F50EC2"/>
    <w:multiLevelType w:val="multilevel"/>
    <w:tmpl w:val="CD9E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4E752E"/>
    <w:multiLevelType w:val="hybridMultilevel"/>
    <w:tmpl w:val="EEBC34A6"/>
    <w:lvl w:ilvl="0" w:tplc="1C66BE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940D7"/>
    <w:multiLevelType w:val="multilevel"/>
    <w:tmpl w:val="984281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7E0C733D"/>
    <w:multiLevelType w:val="hybridMultilevel"/>
    <w:tmpl w:val="8A82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1409E7"/>
    <w:multiLevelType w:val="multilevel"/>
    <w:tmpl w:val="40FEDB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E2DCF33"/>
    <w:multiLevelType w:val="hybridMultilevel"/>
    <w:tmpl w:val="62D639F8"/>
    <w:lvl w:ilvl="0" w:tplc="FFFFFFFF">
      <w:start w:val="1"/>
      <w:numFmt w:val="decimal"/>
      <w:lvlText w:val="%1."/>
      <w:lvlJc w:val="left"/>
      <w:pPr>
        <w:ind w:left="360" w:hanging="360"/>
      </w:pPr>
    </w:lvl>
    <w:lvl w:ilvl="1" w:tplc="47AC0E5E">
      <w:start w:val="1"/>
      <w:numFmt w:val="lowerLetter"/>
      <w:lvlText w:val="%2."/>
      <w:lvlJc w:val="left"/>
      <w:pPr>
        <w:ind w:left="1080" w:hanging="360"/>
      </w:pPr>
    </w:lvl>
    <w:lvl w:ilvl="2" w:tplc="73865B2C">
      <w:start w:val="1"/>
      <w:numFmt w:val="lowerRoman"/>
      <w:lvlText w:val="%3."/>
      <w:lvlJc w:val="right"/>
      <w:pPr>
        <w:ind w:left="1800" w:hanging="180"/>
      </w:pPr>
    </w:lvl>
    <w:lvl w:ilvl="3" w:tplc="0FD0F8D8">
      <w:start w:val="1"/>
      <w:numFmt w:val="decimal"/>
      <w:lvlText w:val="%4."/>
      <w:lvlJc w:val="left"/>
      <w:pPr>
        <w:ind w:left="2520" w:hanging="360"/>
      </w:pPr>
    </w:lvl>
    <w:lvl w:ilvl="4" w:tplc="226E3C2E">
      <w:start w:val="1"/>
      <w:numFmt w:val="lowerLetter"/>
      <w:lvlText w:val="%5."/>
      <w:lvlJc w:val="left"/>
      <w:pPr>
        <w:ind w:left="3240" w:hanging="360"/>
      </w:pPr>
    </w:lvl>
    <w:lvl w:ilvl="5" w:tplc="103E8C20">
      <w:start w:val="1"/>
      <w:numFmt w:val="lowerRoman"/>
      <w:lvlText w:val="%6."/>
      <w:lvlJc w:val="right"/>
      <w:pPr>
        <w:ind w:left="3960" w:hanging="180"/>
      </w:pPr>
    </w:lvl>
    <w:lvl w:ilvl="6" w:tplc="4CAAA6E8">
      <w:start w:val="1"/>
      <w:numFmt w:val="decimal"/>
      <w:lvlText w:val="%7."/>
      <w:lvlJc w:val="left"/>
      <w:pPr>
        <w:ind w:left="4680" w:hanging="360"/>
      </w:pPr>
    </w:lvl>
    <w:lvl w:ilvl="7" w:tplc="AC945B56">
      <w:start w:val="1"/>
      <w:numFmt w:val="lowerLetter"/>
      <w:lvlText w:val="%8."/>
      <w:lvlJc w:val="left"/>
      <w:pPr>
        <w:ind w:left="5400" w:hanging="360"/>
      </w:pPr>
    </w:lvl>
    <w:lvl w:ilvl="8" w:tplc="541AD8F6">
      <w:start w:val="1"/>
      <w:numFmt w:val="lowerRoman"/>
      <w:lvlText w:val="%9."/>
      <w:lvlJc w:val="right"/>
      <w:pPr>
        <w:ind w:left="6120" w:hanging="180"/>
      </w:pPr>
    </w:lvl>
  </w:abstractNum>
  <w:num w:numId="1" w16cid:durableId="859779824">
    <w:abstractNumId w:val="61"/>
  </w:num>
  <w:num w:numId="2" w16cid:durableId="1754620235">
    <w:abstractNumId w:val="18"/>
  </w:num>
  <w:num w:numId="3" w16cid:durableId="969365539">
    <w:abstractNumId w:val="48"/>
  </w:num>
  <w:num w:numId="4" w16cid:durableId="426273653">
    <w:abstractNumId w:val="51"/>
  </w:num>
  <w:num w:numId="5" w16cid:durableId="1665742661">
    <w:abstractNumId w:val="0"/>
  </w:num>
  <w:num w:numId="6" w16cid:durableId="1897546887">
    <w:abstractNumId w:val="15"/>
  </w:num>
  <w:num w:numId="7" w16cid:durableId="1675112172">
    <w:abstractNumId w:val="37"/>
  </w:num>
  <w:num w:numId="8" w16cid:durableId="2088113153">
    <w:abstractNumId w:val="6"/>
  </w:num>
  <w:num w:numId="9" w16cid:durableId="333921106">
    <w:abstractNumId w:val="50"/>
  </w:num>
  <w:num w:numId="10" w16cid:durableId="2023625325">
    <w:abstractNumId w:val="10"/>
  </w:num>
  <w:num w:numId="11" w16cid:durableId="1137181623">
    <w:abstractNumId w:val="29"/>
  </w:num>
  <w:num w:numId="12" w16cid:durableId="812791014">
    <w:abstractNumId w:val="11"/>
  </w:num>
  <w:num w:numId="13" w16cid:durableId="1204053867">
    <w:abstractNumId w:val="31"/>
  </w:num>
  <w:num w:numId="14" w16cid:durableId="1429157847">
    <w:abstractNumId w:val="59"/>
  </w:num>
  <w:num w:numId="15" w16cid:durableId="1069841670">
    <w:abstractNumId w:val="14"/>
  </w:num>
  <w:num w:numId="16" w16cid:durableId="1977950765">
    <w:abstractNumId w:val="1"/>
  </w:num>
  <w:num w:numId="17" w16cid:durableId="495264515">
    <w:abstractNumId w:val="8"/>
  </w:num>
  <w:num w:numId="18" w16cid:durableId="944842790">
    <w:abstractNumId w:val="39"/>
  </w:num>
  <w:num w:numId="19" w16cid:durableId="1991593136">
    <w:abstractNumId w:val="3"/>
  </w:num>
  <w:num w:numId="20" w16cid:durableId="468133998">
    <w:abstractNumId w:val="41"/>
  </w:num>
  <w:num w:numId="21" w16cid:durableId="1435323490">
    <w:abstractNumId w:val="27"/>
  </w:num>
  <w:num w:numId="22" w16cid:durableId="1542938008">
    <w:abstractNumId w:val="40"/>
  </w:num>
  <w:num w:numId="23" w16cid:durableId="1925215056">
    <w:abstractNumId w:val="17"/>
  </w:num>
  <w:num w:numId="24" w16cid:durableId="1726828798">
    <w:abstractNumId w:val="12"/>
  </w:num>
  <w:num w:numId="25" w16cid:durableId="1815217165">
    <w:abstractNumId w:val="13"/>
  </w:num>
  <w:num w:numId="26" w16cid:durableId="1760132682">
    <w:abstractNumId w:val="36"/>
  </w:num>
  <w:num w:numId="27" w16cid:durableId="61295014">
    <w:abstractNumId w:val="20"/>
  </w:num>
  <w:num w:numId="28" w16cid:durableId="1311325635">
    <w:abstractNumId w:val="22"/>
  </w:num>
  <w:num w:numId="29" w16cid:durableId="253054510">
    <w:abstractNumId w:val="55"/>
  </w:num>
  <w:num w:numId="30" w16cid:durableId="230621793">
    <w:abstractNumId w:val="52"/>
  </w:num>
  <w:num w:numId="31" w16cid:durableId="1934969665">
    <w:abstractNumId w:val="33"/>
  </w:num>
  <w:num w:numId="32" w16cid:durableId="505822512">
    <w:abstractNumId w:val="19"/>
  </w:num>
  <w:num w:numId="33" w16cid:durableId="117800458">
    <w:abstractNumId w:val="16"/>
  </w:num>
  <w:num w:numId="34" w16cid:durableId="603153060">
    <w:abstractNumId w:val="2"/>
  </w:num>
  <w:num w:numId="35" w16cid:durableId="335573703">
    <w:abstractNumId w:val="7"/>
  </w:num>
  <w:num w:numId="36" w16cid:durableId="1914390677">
    <w:abstractNumId w:val="30"/>
  </w:num>
  <w:num w:numId="37" w16cid:durableId="79716974">
    <w:abstractNumId w:val="34"/>
  </w:num>
  <w:num w:numId="38" w16cid:durableId="1018314657">
    <w:abstractNumId w:val="24"/>
  </w:num>
  <w:num w:numId="39" w16cid:durableId="1508598809">
    <w:abstractNumId w:val="47"/>
  </w:num>
  <w:num w:numId="40" w16cid:durableId="917791516">
    <w:abstractNumId w:val="5"/>
  </w:num>
  <w:num w:numId="41" w16cid:durableId="1451432027">
    <w:abstractNumId w:val="60"/>
  </w:num>
  <w:num w:numId="42" w16cid:durableId="937248440">
    <w:abstractNumId w:val="58"/>
  </w:num>
  <w:num w:numId="43" w16cid:durableId="1970554620">
    <w:abstractNumId w:val="23"/>
  </w:num>
  <w:num w:numId="44" w16cid:durableId="1580167456">
    <w:abstractNumId w:val="46"/>
  </w:num>
  <w:num w:numId="45" w16cid:durableId="6298207">
    <w:abstractNumId w:val="21"/>
  </w:num>
  <w:num w:numId="46" w16cid:durableId="37511084">
    <w:abstractNumId w:val="45"/>
  </w:num>
  <w:num w:numId="47" w16cid:durableId="1308780008">
    <w:abstractNumId w:val="4"/>
  </w:num>
  <w:num w:numId="48" w16cid:durableId="1227112692">
    <w:abstractNumId w:val="38"/>
  </w:num>
  <w:num w:numId="49" w16cid:durableId="123351344">
    <w:abstractNumId w:val="9"/>
  </w:num>
  <w:num w:numId="50" w16cid:durableId="620503589">
    <w:abstractNumId w:val="28"/>
  </w:num>
  <w:num w:numId="51" w16cid:durableId="323363238">
    <w:abstractNumId w:val="44"/>
  </w:num>
  <w:num w:numId="52" w16cid:durableId="941300970">
    <w:abstractNumId w:val="49"/>
  </w:num>
  <w:num w:numId="53" w16cid:durableId="1654672994">
    <w:abstractNumId w:val="56"/>
  </w:num>
  <w:num w:numId="54" w16cid:durableId="1566839480">
    <w:abstractNumId w:val="32"/>
  </w:num>
  <w:num w:numId="55" w16cid:durableId="35592340">
    <w:abstractNumId w:val="35"/>
  </w:num>
  <w:num w:numId="56" w16cid:durableId="1019820333">
    <w:abstractNumId w:val="25"/>
  </w:num>
  <w:num w:numId="57" w16cid:durableId="1891335085">
    <w:abstractNumId w:val="43"/>
  </w:num>
  <w:num w:numId="58" w16cid:durableId="1501001981">
    <w:abstractNumId w:val="42"/>
  </w:num>
  <w:num w:numId="59" w16cid:durableId="1053772137">
    <w:abstractNumId w:val="53"/>
  </w:num>
  <w:num w:numId="60" w16cid:durableId="1002128444">
    <w:abstractNumId w:val="54"/>
  </w:num>
  <w:num w:numId="61" w16cid:durableId="1745223991">
    <w:abstractNumId w:val="26"/>
  </w:num>
  <w:num w:numId="62" w16cid:durableId="1299265235">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326"/>
    <w:rsid w:val="0000051B"/>
    <w:rsid w:val="0000067A"/>
    <w:rsid w:val="0000088C"/>
    <w:rsid w:val="00000C96"/>
    <w:rsid w:val="00000EF2"/>
    <w:rsid w:val="000016E9"/>
    <w:rsid w:val="0000221A"/>
    <w:rsid w:val="0000260D"/>
    <w:rsid w:val="00002BC0"/>
    <w:rsid w:val="00002DF8"/>
    <w:rsid w:val="0000300E"/>
    <w:rsid w:val="000035B6"/>
    <w:rsid w:val="00003709"/>
    <w:rsid w:val="000038A7"/>
    <w:rsid w:val="000038ED"/>
    <w:rsid w:val="0000391C"/>
    <w:rsid w:val="00004376"/>
    <w:rsid w:val="000043A6"/>
    <w:rsid w:val="00004BF2"/>
    <w:rsid w:val="00004F9E"/>
    <w:rsid w:val="00004FD8"/>
    <w:rsid w:val="000058AA"/>
    <w:rsid w:val="00005F97"/>
    <w:rsid w:val="00006077"/>
    <w:rsid w:val="000062A9"/>
    <w:rsid w:val="00006A7D"/>
    <w:rsid w:val="00007347"/>
    <w:rsid w:val="00007604"/>
    <w:rsid w:val="000078BF"/>
    <w:rsid w:val="000079EF"/>
    <w:rsid w:val="00007A6D"/>
    <w:rsid w:val="00007E28"/>
    <w:rsid w:val="000102E5"/>
    <w:rsid w:val="0001034F"/>
    <w:rsid w:val="0001114E"/>
    <w:rsid w:val="00011947"/>
    <w:rsid w:val="00011C78"/>
    <w:rsid w:val="00012AD7"/>
    <w:rsid w:val="00012DC4"/>
    <w:rsid w:val="00013275"/>
    <w:rsid w:val="00013C27"/>
    <w:rsid w:val="00013F0C"/>
    <w:rsid w:val="00014540"/>
    <w:rsid w:val="000151F2"/>
    <w:rsid w:val="0001547B"/>
    <w:rsid w:val="0001614B"/>
    <w:rsid w:val="00016583"/>
    <w:rsid w:val="000166BD"/>
    <w:rsid w:val="00016A0E"/>
    <w:rsid w:val="00016E9F"/>
    <w:rsid w:val="00017271"/>
    <w:rsid w:val="000172F0"/>
    <w:rsid w:val="000173A2"/>
    <w:rsid w:val="00017EF5"/>
    <w:rsid w:val="000206AB"/>
    <w:rsid w:val="000208AF"/>
    <w:rsid w:val="00020A2A"/>
    <w:rsid w:val="00020C59"/>
    <w:rsid w:val="00020D46"/>
    <w:rsid w:val="00021D18"/>
    <w:rsid w:val="00022739"/>
    <w:rsid w:val="00022D08"/>
    <w:rsid w:val="000230FF"/>
    <w:rsid w:val="0002347A"/>
    <w:rsid w:val="00023C37"/>
    <w:rsid w:val="00023D2A"/>
    <w:rsid w:val="000242B9"/>
    <w:rsid w:val="000243B2"/>
    <w:rsid w:val="00024D7D"/>
    <w:rsid w:val="00024D8C"/>
    <w:rsid w:val="00024E40"/>
    <w:rsid w:val="00024FBC"/>
    <w:rsid w:val="00025117"/>
    <w:rsid w:val="00025FD1"/>
    <w:rsid w:val="000261F7"/>
    <w:rsid w:val="0002689D"/>
    <w:rsid w:val="0002781B"/>
    <w:rsid w:val="0002793E"/>
    <w:rsid w:val="00027A1D"/>
    <w:rsid w:val="0003005B"/>
    <w:rsid w:val="00030BD8"/>
    <w:rsid w:val="00031142"/>
    <w:rsid w:val="000312F9"/>
    <w:rsid w:val="000313FC"/>
    <w:rsid w:val="00031662"/>
    <w:rsid w:val="00031707"/>
    <w:rsid w:val="00031743"/>
    <w:rsid w:val="00031C05"/>
    <w:rsid w:val="00031C3E"/>
    <w:rsid w:val="00031D8F"/>
    <w:rsid w:val="000324AD"/>
    <w:rsid w:val="00032535"/>
    <w:rsid w:val="0003277D"/>
    <w:rsid w:val="000329B4"/>
    <w:rsid w:val="00032A87"/>
    <w:rsid w:val="00032D8F"/>
    <w:rsid w:val="000330ED"/>
    <w:rsid w:val="00033AF2"/>
    <w:rsid w:val="00033B88"/>
    <w:rsid w:val="00033D71"/>
    <w:rsid w:val="00033E2B"/>
    <w:rsid w:val="00033E71"/>
    <w:rsid w:val="00034158"/>
    <w:rsid w:val="000349FB"/>
    <w:rsid w:val="00034A8D"/>
    <w:rsid w:val="00035FA4"/>
    <w:rsid w:val="0003657E"/>
    <w:rsid w:val="00036716"/>
    <w:rsid w:val="00036969"/>
    <w:rsid w:val="0003727B"/>
    <w:rsid w:val="0003742E"/>
    <w:rsid w:val="0003758D"/>
    <w:rsid w:val="00037610"/>
    <w:rsid w:val="0003763A"/>
    <w:rsid w:val="0003791F"/>
    <w:rsid w:val="00040168"/>
    <w:rsid w:val="00040F84"/>
    <w:rsid w:val="00040F9E"/>
    <w:rsid w:val="000410BF"/>
    <w:rsid w:val="000411F1"/>
    <w:rsid w:val="00041684"/>
    <w:rsid w:val="00041B47"/>
    <w:rsid w:val="00041B72"/>
    <w:rsid w:val="00041D30"/>
    <w:rsid w:val="00042156"/>
    <w:rsid w:val="0004274E"/>
    <w:rsid w:val="00042BEA"/>
    <w:rsid w:val="00042CEF"/>
    <w:rsid w:val="00042D7D"/>
    <w:rsid w:val="00042DBF"/>
    <w:rsid w:val="00042FE5"/>
    <w:rsid w:val="000433F2"/>
    <w:rsid w:val="00043601"/>
    <w:rsid w:val="00043C8B"/>
    <w:rsid w:val="000447DB"/>
    <w:rsid w:val="00044AF4"/>
    <w:rsid w:val="000450C5"/>
    <w:rsid w:val="00045702"/>
    <w:rsid w:val="000459F7"/>
    <w:rsid w:val="00046149"/>
    <w:rsid w:val="000465E5"/>
    <w:rsid w:val="000469AE"/>
    <w:rsid w:val="00046DC5"/>
    <w:rsid w:val="000471CB"/>
    <w:rsid w:val="0004790F"/>
    <w:rsid w:val="00047E48"/>
    <w:rsid w:val="00047FE2"/>
    <w:rsid w:val="00050071"/>
    <w:rsid w:val="0005030A"/>
    <w:rsid w:val="000507A1"/>
    <w:rsid w:val="00050812"/>
    <w:rsid w:val="00050ACB"/>
    <w:rsid w:val="00050D14"/>
    <w:rsid w:val="00050DC4"/>
    <w:rsid w:val="00050E24"/>
    <w:rsid w:val="00051107"/>
    <w:rsid w:val="00051A24"/>
    <w:rsid w:val="00051AAB"/>
    <w:rsid w:val="00051CB2"/>
    <w:rsid w:val="00051E35"/>
    <w:rsid w:val="000520BC"/>
    <w:rsid w:val="000521DC"/>
    <w:rsid w:val="00052225"/>
    <w:rsid w:val="0005289F"/>
    <w:rsid w:val="00052ADD"/>
    <w:rsid w:val="00052D59"/>
    <w:rsid w:val="0005325B"/>
    <w:rsid w:val="00053F45"/>
    <w:rsid w:val="0005404C"/>
    <w:rsid w:val="00054071"/>
    <w:rsid w:val="00054277"/>
    <w:rsid w:val="000549CA"/>
    <w:rsid w:val="00054D11"/>
    <w:rsid w:val="00054DED"/>
    <w:rsid w:val="0005532E"/>
    <w:rsid w:val="00055637"/>
    <w:rsid w:val="00055B57"/>
    <w:rsid w:val="00055B6D"/>
    <w:rsid w:val="000568BD"/>
    <w:rsid w:val="00056C95"/>
    <w:rsid w:val="00056FAE"/>
    <w:rsid w:val="000575B5"/>
    <w:rsid w:val="000576A4"/>
    <w:rsid w:val="00057D05"/>
    <w:rsid w:val="00057FAA"/>
    <w:rsid w:val="000603C3"/>
    <w:rsid w:val="0006058D"/>
    <w:rsid w:val="000608B3"/>
    <w:rsid w:val="00061072"/>
    <w:rsid w:val="0006119F"/>
    <w:rsid w:val="0006129A"/>
    <w:rsid w:val="000622F5"/>
    <w:rsid w:val="0006237C"/>
    <w:rsid w:val="00062C8B"/>
    <w:rsid w:val="00062D7A"/>
    <w:rsid w:val="00062D81"/>
    <w:rsid w:val="00062EF1"/>
    <w:rsid w:val="00062F30"/>
    <w:rsid w:val="00063233"/>
    <w:rsid w:val="00063636"/>
    <w:rsid w:val="000636BA"/>
    <w:rsid w:val="00063A9D"/>
    <w:rsid w:val="00063D93"/>
    <w:rsid w:val="00064552"/>
    <w:rsid w:val="00064888"/>
    <w:rsid w:val="00064D10"/>
    <w:rsid w:val="00064E81"/>
    <w:rsid w:val="000650DD"/>
    <w:rsid w:val="00065C3F"/>
    <w:rsid w:val="00065D14"/>
    <w:rsid w:val="000664B7"/>
    <w:rsid w:val="000664ED"/>
    <w:rsid w:val="0006697F"/>
    <w:rsid w:val="0006708C"/>
    <w:rsid w:val="00067E65"/>
    <w:rsid w:val="00067ED3"/>
    <w:rsid w:val="00070044"/>
    <w:rsid w:val="00070462"/>
    <w:rsid w:val="000708C6"/>
    <w:rsid w:val="00070F38"/>
    <w:rsid w:val="00071447"/>
    <w:rsid w:val="000717B2"/>
    <w:rsid w:val="00071E70"/>
    <w:rsid w:val="000720CA"/>
    <w:rsid w:val="0007229C"/>
    <w:rsid w:val="000724AD"/>
    <w:rsid w:val="00072663"/>
    <w:rsid w:val="0007277C"/>
    <w:rsid w:val="0007279A"/>
    <w:rsid w:val="0007299F"/>
    <w:rsid w:val="00072D74"/>
    <w:rsid w:val="000739FD"/>
    <w:rsid w:val="00073EA6"/>
    <w:rsid w:val="0007422A"/>
    <w:rsid w:val="0007444F"/>
    <w:rsid w:val="00074482"/>
    <w:rsid w:val="00074BCC"/>
    <w:rsid w:val="00074DC3"/>
    <w:rsid w:val="0007518F"/>
    <w:rsid w:val="0007549D"/>
    <w:rsid w:val="000759DC"/>
    <w:rsid w:val="000760EE"/>
    <w:rsid w:val="000763CF"/>
    <w:rsid w:val="00076509"/>
    <w:rsid w:val="000765FF"/>
    <w:rsid w:val="000767C2"/>
    <w:rsid w:val="00077480"/>
    <w:rsid w:val="00077B59"/>
    <w:rsid w:val="00080E54"/>
    <w:rsid w:val="00081096"/>
    <w:rsid w:val="00081A0B"/>
    <w:rsid w:val="00081A50"/>
    <w:rsid w:val="000824B0"/>
    <w:rsid w:val="00082A37"/>
    <w:rsid w:val="00083132"/>
    <w:rsid w:val="0008322D"/>
    <w:rsid w:val="00083309"/>
    <w:rsid w:val="000839D4"/>
    <w:rsid w:val="00084881"/>
    <w:rsid w:val="00084B87"/>
    <w:rsid w:val="00085054"/>
    <w:rsid w:val="00085B08"/>
    <w:rsid w:val="00085BF5"/>
    <w:rsid w:val="00085EF3"/>
    <w:rsid w:val="00086070"/>
    <w:rsid w:val="000860E2"/>
    <w:rsid w:val="00086A54"/>
    <w:rsid w:val="00086BB6"/>
    <w:rsid w:val="000872A0"/>
    <w:rsid w:val="000879B3"/>
    <w:rsid w:val="00087ACB"/>
    <w:rsid w:val="0008B159"/>
    <w:rsid w:val="000905A1"/>
    <w:rsid w:val="000905AD"/>
    <w:rsid w:val="0009134B"/>
    <w:rsid w:val="000913C6"/>
    <w:rsid w:val="000915BB"/>
    <w:rsid w:val="000919DD"/>
    <w:rsid w:val="00091CFE"/>
    <w:rsid w:val="000924DC"/>
    <w:rsid w:val="00092553"/>
    <w:rsid w:val="0009283A"/>
    <w:rsid w:val="0009286E"/>
    <w:rsid w:val="00093183"/>
    <w:rsid w:val="00093651"/>
    <w:rsid w:val="000944F1"/>
    <w:rsid w:val="00094810"/>
    <w:rsid w:val="00094837"/>
    <w:rsid w:val="0009526A"/>
    <w:rsid w:val="0009562F"/>
    <w:rsid w:val="00095670"/>
    <w:rsid w:val="00095C16"/>
    <w:rsid w:val="00095CC1"/>
    <w:rsid w:val="00095E24"/>
    <w:rsid w:val="00095FC2"/>
    <w:rsid w:val="00096178"/>
    <w:rsid w:val="00096B01"/>
    <w:rsid w:val="00096CE7"/>
    <w:rsid w:val="00096F17"/>
    <w:rsid w:val="000975F6"/>
    <w:rsid w:val="0009780B"/>
    <w:rsid w:val="00097AA4"/>
    <w:rsid w:val="00097FB6"/>
    <w:rsid w:val="000A0064"/>
    <w:rsid w:val="000A042C"/>
    <w:rsid w:val="000A0540"/>
    <w:rsid w:val="000A0650"/>
    <w:rsid w:val="000A0CE3"/>
    <w:rsid w:val="000A10E7"/>
    <w:rsid w:val="000A27D1"/>
    <w:rsid w:val="000A292B"/>
    <w:rsid w:val="000A2963"/>
    <w:rsid w:val="000A30E9"/>
    <w:rsid w:val="000A34E6"/>
    <w:rsid w:val="000A387E"/>
    <w:rsid w:val="000A3D65"/>
    <w:rsid w:val="000A3E18"/>
    <w:rsid w:val="000A3F5F"/>
    <w:rsid w:val="000A49FB"/>
    <w:rsid w:val="000A4D34"/>
    <w:rsid w:val="000A57A3"/>
    <w:rsid w:val="000A5AF6"/>
    <w:rsid w:val="000A5B27"/>
    <w:rsid w:val="000A5E91"/>
    <w:rsid w:val="000A604A"/>
    <w:rsid w:val="000A6309"/>
    <w:rsid w:val="000A636E"/>
    <w:rsid w:val="000A63D1"/>
    <w:rsid w:val="000A68FB"/>
    <w:rsid w:val="000A6B84"/>
    <w:rsid w:val="000A6B97"/>
    <w:rsid w:val="000A7C49"/>
    <w:rsid w:val="000A7EF6"/>
    <w:rsid w:val="000B01E9"/>
    <w:rsid w:val="000B0210"/>
    <w:rsid w:val="000B0D81"/>
    <w:rsid w:val="000B0DA8"/>
    <w:rsid w:val="000B168D"/>
    <w:rsid w:val="000B1941"/>
    <w:rsid w:val="000B1E82"/>
    <w:rsid w:val="000B1F4D"/>
    <w:rsid w:val="000B2187"/>
    <w:rsid w:val="000B2A67"/>
    <w:rsid w:val="000B35D5"/>
    <w:rsid w:val="000B3AEE"/>
    <w:rsid w:val="000B3BFE"/>
    <w:rsid w:val="000B3EC6"/>
    <w:rsid w:val="000B4B21"/>
    <w:rsid w:val="000B4D48"/>
    <w:rsid w:val="000B4F47"/>
    <w:rsid w:val="000B53A6"/>
    <w:rsid w:val="000B5D6A"/>
    <w:rsid w:val="000B62B0"/>
    <w:rsid w:val="000B643A"/>
    <w:rsid w:val="000B6E64"/>
    <w:rsid w:val="000B7058"/>
    <w:rsid w:val="000B70DD"/>
    <w:rsid w:val="000B73A6"/>
    <w:rsid w:val="000B7A89"/>
    <w:rsid w:val="000B7C08"/>
    <w:rsid w:val="000B7CC1"/>
    <w:rsid w:val="000B7DF5"/>
    <w:rsid w:val="000B7F8F"/>
    <w:rsid w:val="000C004E"/>
    <w:rsid w:val="000C0505"/>
    <w:rsid w:val="000C0748"/>
    <w:rsid w:val="000C11DD"/>
    <w:rsid w:val="000C11FD"/>
    <w:rsid w:val="000C13FB"/>
    <w:rsid w:val="000C1B73"/>
    <w:rsid w:val="000C1B7E"/>
    <w:rsid w:val="000C2414"/>
    <w:rsid w:val="000C25B5"/>
    <w:rsid w:val="000C27AA"/>
    <w:rsid w:val="000C2E34"/>
    <w:rsid w:val="000C3204"/>
    <w:rsid w:val="000C3773"/>
    <w:rsid w:val="000C3878"/>
    <w:rsid w:val="000C3898"/>
    <w:rsid w:val="000C3C55"/>
    <w:rsid w:val="000C3E0C"/>
    <w:rsid w:val="000C415C"/>
    <w:rsid w:val="000C455F"/>
    <w:rsid w:val="000C45C4"/>
    <w:rsid w:val="000C496E"/>
    <w:rsid w:val="000C5124"/>
    <w:rsid w:val="000C5D9C"/>
    <w:rsid w:val="000C5F7A"/>
    <w:rsid w:val="000C6394"/>
    <w:rsid w:val="000C669F"/>
    <w:rsid w:val="000C678C"/>
    <w:rsid w:val="000C6B2C"/>
    <w:rsid w:val="000C7967"/>
    <w:rsid w:val="000C7F4F"/>
    <w:rsid w:val="000D095D"/>
    <w:rsid w:val="000D0BFF"/>
    <w:rsid w:val="000D119A"/>
    <w:rsid w:val="000D126F"/>
    <w:rsid w:val="000D15D3"/>
    <w:rsid w:val="000D1B5D"/>
    <w:rsid w:val="000D1E3D"/>
    <w:rsid w:val="000D20F7"/>
    <w:rsid w:val="000D25DA"/>
    <w:rsid w:val="000D29BA"/>
    <w:rsid w:val="000D2B18"/>
    <w:rsid w:val="000D2F89"/>
    <w:rsid w:val="000D34B9"/>
    <w:rsid w:val="000D360B"/>
    <w:rsid w:val="000D3735"/>
    <w:rsid w:val="000D3F5D"/>
    <w:rsid w:val="000D441F"/>
    <w:rsid w:val="000D4471"/>
    <w:rsid w:val="000D4873"/>
    <w:rsid w:val="000D505B"/>
    <w:rsid w:val="000D5293"/>
    <w:rsid w:val="000D5E6F"/>
    <w:rsid w:val="000D5E99"/>
    <w:rsid w:val="000D5FDC"/>
    <w:rsid w:val="000D5FFC"/>
    <w:rsid w:val="000D6098"/>
    <w:rsid w:val="000D62A8"/>
    <w:rsid w:val="000D62CD"/>
    <w:rsid w:val="000D67FA"/>
    <w:rsid w:val="000D70C3"/>
    <w:rsid w:val="000D7925"/>
    <w:rsid w:val="000D7AEE"/>
    <w:rsid w:val="000D7E8C"/>
    <w:rsid w:val="000E0281"/>
    <w:rsid w:val="000E06C9"/>
    <w:rsid w:val="000E0822"/>
    <w:rsid w:val="000E085F"/>
    <w:rsid w:val="000E08EF"/>
    <w:rsid w:val="000E0DE1"/>
    <w:rsid w:val="000E1093"/>
    <w:rsid w:val="000E1581"/>
    <w:rsid w:val="000E1718"/>
    <w:rsid w:val="000E1A14"/>
    <w:rsid w:val="000E2278"/>
    <w:rsid w:val="000E2447"/>
    <w:rsid w:val="000E24C8"/>
    <w:rsid w:val="000E2685"/>
    <w:rsid w:val="000E277B"/>
    <w:rsid w:val="000E2A49"/>
    <w:rsid w:val="000E2E71"/>
    <w:rsid w:val="000E3334"/>
    <w:rsid w:val="000E333F"/>
    <w:rsid w:val="000E373C"/>
    <w:rsid w:val="000E3759"/>
    <w:rsid w:val="000E3C04"/>
    <w:rsid w:val="000E3DB7"/>
    <w:rsid w:val="000E433D"/>
    <w:rsid w:val="000E45F9"/>
    <w:rsid w:val="000E4A76"/>
    <w:rsid w:val="000E4C2E"/>
    <w:rsid w:val="000E4C6E"/>
    <w:rsid w:val="000E5771"/>
    <w:rsid w:val="000E610F"/>
    <w:rsid w:val="000E6671"/>
    <w:rsid w:val="000E66CE"/>
    <w:rsid w:val="000E714F"/>
    <w:rsid w:val="000E74A1"/>
    <w:rsid w:val="000E78C6"/>
    <w:rsid w:val="000E78D7"/>
    <w:rsid w:val="000E7C0A"/>
    <w:rsid w:val="000E7CA9"/>
    <w:rsid w:val="000F0E18"/>
    <w:rsid w:val="000F0E7E"/>
    <w:rsid w:val="000F0E8F"/>
    <w:rsid w:val="000F0E9E"/>
    <w:rsid w:val="000F150E"/>
    <w:rsid w:val="000F19CF"/>
    <w:rsid w:val="000F1D0E"/>
    <w:rsid w:val="000F1FC5"/>
    <w:rsid w:val="000F2143"/>
    <w:rsid w:val="000F2491"/>
    <w:rsid w:val="000F27E7"/>
    <w:rsid w:val="000F2BA2"/>
    <w:rsid w:val="000F2EDC"/>
    <w:rsid w:val="000F32D9"/>
    <w:rsid w:val="000F3A25"/>
    <w:rsid w:val="000F3C09"/>
    <w:rsid w:val="000F43EC"/>
    <w:rsid w:val="000F4499"/>
    <w:rsid w:val="000F4D50"/>
    <w:rsid w:val="000F4DBA"/>
    <w:rsid w:val="000F4DE5"/>
    <w:rsid w:val="000F5303"/>
    <w:rsid w:val="000F57E2"/>
    <w:rsid w:val="000F5916"/>
    <w:rsid w:val="000F59FD"/>
    <w:rsid w:val="000F6C99"/>
    <w:rsid w:val="000F6DCD"/>
    <w:rsid w:val="000F7425"/>
    <w:rsid w:val="000F7777"/>
    <w:rsid w:val="000F7978"/>
    <w:rsid w:val="0010085D"/>
    <w:rsid w:val="001008B1"/>
    <w:rsid w:val="0010104B"/>
    <w:rsid w:val="0010135D"/>
    <w:rsid w:val="00101BDC"/>
    <w:rsid w:val="00101C63"/>
    <w:rsid w:val="00101F5E"/>
    <w:rsid w:val="00101FB2"/>
    <w:rsid w:val="001021B3"/>
    <w:rsid w:val="001028D7"/>
    <w:rsid w:val="00102AFC"/>
    <w:rsid w:val="00102F8D"/>
    <w:rsid w:val="0010356D"/>
    <w:rsid w:val="001037A9"/>
    <w:rsid w:val="00103BAE"/>
    <w:rsid w:val="00104D5D"/>
    <w:rsid w:val="001053B1"/>
    <w:rsid w:val="001055C3"/>
    <w:rsid w:val="00105897"/>
    <w:rsid w:val="00105AF3"/>
    <w:rsid w:val="00105C83"/>
    <w:rsid w:val="00106261"/>
    <w:rsid w:val="001063C6"/>
    <w:rsid w:val="0010717D"/>
    <w:rsid w:val="0010734D"/>
    <w:rsid w:val="00107A04"/>
    <w:rsid w:val="001104F3"/>
    <w:rsid w:val="001109FC"/>
    <w:rsid w:val="00110A60"/>
    <w:rsid w:val="00110C1C"/>
    <w:rsid w:val="00110FB1"/>
    <w:rsid w:val="00112BCB"/>
    <w:rsid w:val="00112CB3"/>
    <w:rsid w:val="0011388A"/>
    <w:rsid w:val="001148B5"/>
    <w:rsid w:val="00114AE2"/>
    <w:rsid w:val="00115544"/>
    <w:rsid w:val="001157B0"/>
    <w:rsid w:val="00115889"/>
    <w:rsid w:val="0011624E"/>
    <w:rsid w:val="0011685A"/>
    <w:rsid w:val="00116DB1"/>
    <w:rsid w:val="0011701E"/>
    <w:rsid w:val="00117086"/>
    <w:rsid w:val="0011743C"/>
    <w:rsid w:val="00117A86"/>
    <w:rsid w:val="00117FD5"/>
    <w:rsid w:val="001201A1"/>
    <w:rsid w:val="001208EE"/>
    <w:rsid w:val="00120A7B"/>
    <w:rsid w:val="001210F5"/>
    <w:rsid w:val="0012182B"/>
    <w:rsid w:val="00121A0B"/>
    <w:rsid w:val="00121F7D"/>
    <w:rsid w:val="0012203E"/>
    <w:rsid w:val="001222C8"/>
    <w:rsid w:val="0012240E"/>
    <w:rsid w:val="00122DCE"/>
    <w:rsid w:val="0012314E"/>
    <w:rsid w:val="001233D2"/>
    <w:rsid w:val="0012358F"/>
    <w:rsid w:val="00123832"/>
    <w:rsid w:val="00123C55"/>
    <w:rsid w:val="00123FDD"/>
    <w:rsid w:val="00124718"/>
    <w:rsid w:val="00124EC8"/>
    <w:rsid w:val="001250E6"/>
    <w:rsid w:val="00125441"/>
    <w:rsid w:val="00125525"/>
    <w:rsid w:val="00125856"/>
    <w:rsid w:val="00125C5D"/>
    <w:rsid w:val="00125DC5"/>
    <w:rsid w:val="00126630"/>
    <w:rsid w:val="00126DC2"/>
    <w:rsid w:val="00126E7E"/>
    <w:rsid w:val="00126FB9"/>
    <w:rsid w:val="0012735D"/>
    <w:rsid w:val="0012741A"/>
    <w:rsid w:val="00127602"/>
    <w:rsid w:val="00127799"/>
    <w:rsid w:val="001278BA"/>
    <w:rsid w:val="001278CF"/>
    <w:rsid w:val="00127D48"/>
    <w:rsid w:val="00130126"/>
    <w:rsid w:val="0013020A"/>
    <w:rsid w:val="0013033E"/>
    <w:rsid w:val="00130C18"/>
    <w:rsid w:val="001310D9"/>
    <w:rsid w:val="001311E8"/>
    <w:rsid w:val="001314DF"/>
    <w:rsid w:val="00131746"/>
    <w:rsid w:val="0013179A"/>
    <w:rsid w:val="001317EC"/>
    <w:rsid w:val="001318AD"/>
    <w:rsid w:val="00131BC0"/>
    <w:rsid w:val="00132101"/>
    <w:rsid w:val="00132162"/>
    <w:rsid w:val="001332CB"/>
    <w:rsid w:val="00133B83"/>
    <w:rsid w:val="001340CE"/>
    <w:rsid w:val="00134709"/>
    <w:rsid w:val="00134B4A"/>
    <w:rsid w:val="0013536E"/>
    <w:rsid w:val="001356E6"/>
    <w:rsid w:val="001357FD"/>
    <w:rsid w:val="00135942"/>
    <w:rsid w:val="00135948"/>
    <w:rsid w:val="00135DCB"/>
    <w:rsid w:val="00136144"/>
    <w:rsid w:val="0013634D"/>
    <w:rsid w:val="00136C23"/>
    <w:rsid w:val="001370A1"/>
    <w:rsid w:val="0013723D"/>
    <w:rsid w:val="001379E5"/>
    <w:rsid w:val="00137BA2"/>
    <w:rsid w:val="00140670"/>
    <w:rsid w:val="00140689"/>
    <w:rsid w:val="00140691"/>
    <w:rsid w:val="001407C7"/>
    <w:rsid w:val="00140E65"/>
    <w:rsid w:val="00140F36"/>
    <w:rsid w:val="0014111E"/>
    <w:rsid w:val="00141295"/>
    <w:rsid w:val="001419A9"/>
    <w:rsid w:val="00141C89"/>
    <w:rsid w:val="00141CD4"/>
    <w:rsid w:val="001421E7"/>
    <w:rsid w:val="0014227A"/>
    <w:rsid w:val="0014288C"/>
    <w:rsid w:val="001428F0"/>
    <w:rsid w:val="00143060"/>
    <w:rsid w:val="00143162"/>
    <w:rsid w:val="00143734"/>
    <w:rsid w:val="00143735"/>
    <w:rsid w:val="001438CF"/>
    <w:rsid w:val="00143D9C"/>
    <w:rsid w:val="00144001"/>
    <w:rsid w:val="001447ED"/>
    <w:rsid w:val="00144849"/>
    <w:rsid w:val="00144CF6"/>
    <w:rsid w:val="00144F9A"/>
    <w:rsid w:val="00145742"/>
    <w:rsid w:val="00145D36"/>
    <w:rsid w:val="00145E65"/>
    <w:rsid w:val="001462C9"/>
    <w:rsid w:val="00146FC7"/>
    <w:rsid w:val="00147029"/>
    <w:rsid w:val="0014713A"/>
    <w:rsid w:val="001472A8"/>
    <w:rsid w:val="00150058"/>
    <w:rsid w:val="0015009C"/>
    <w:rsid w:val="00150418"/>
    <w:rsid w:val="00150A64"/>
    <w:rsid w:val="00150CF8"/>
    <w:rsid w:val="001511F6"/>
    <w:rsid w:val="00152491"/>
    <w:rsid w:val="001524FD"/>
    <w:rsid w:val="00152672"/>
    <w:rsid w:val="0015268F"/>
    <w:rsid w:val="001529C2"/>
    <w:rsid w:val="001529C3"/>
    <w:rsid w:val="00152AD9"/>
    <w:rsid w:val="00152B59"/>
    <w:rsid w:val="00153549"/>
    <w:rsid w:val="00153734"/>
    <w:rsid w:val="0015378F"/>
    <w:rsid w:val="00153A5B"/>
    <w:rsid w:val="00154336"/>
    <w:rsid w:val="001547E1"/>
    <w:rsid w:val="00154804"/>
    <w:rsid w:val="00154A23"/>
    <w:rsid w:val="00154FD0"/>
    <w:rsid w:val="00155617"/>
    <w:rsid w:val="00155EA6"/>
    <w:rsid w:val="0015630B"/>
    <w:rsid w:val="00157142"/>
    <w:rsid w:val="00157D12"/>
    <w:rsid w:val="00157E5F"/>
    <w:rsid w:val="001603BE"/>
    <w:rsid w:val="00161164"/>
    <w:rsid w:val="00161250"/>
    <w:rsid w:val="00161560"/>
    <w:rsid w:val="0016178D"/>
    <w:rsid w:val="00161AC0"/>
    <w:rsid w:val="00161CCD"/>
    <w:rsid w:val="00161E1E"/>
    <w:rsid w:val="0016204D"/>
    <w:rsid w:val="0016238B"/>
    <w:rsid w:val="001629AB"/>
    <w:rsid w:val="00162A44"/>
    <w:rsid w:val="00162C75"/>
    <w:rsid w:val="001632D4"/>
    <w:rsid w:val="001639BD"/>
    <w:rsid w:val="00163F26"/>
    <w:rsid w:val="001641CE"/>
    <w:rsid w:val="001643F7"/>
    <w:rsid w:val="00164799"/>
    <w:rsid w:val="00164FAB"/>
    <w:rsid w:val="00165EA3"/>
    <w:rsid w:val="0016637A"/>
    <w:rsid w:val="00166574"/>
    <w:rsid w:val="00166C9C"/>
    <w:rsid w:val="00167836"/>
    <w:rsid w:val="00167966"/>
    <w:rsid w:val="00167DF3"/>
    <w:rsid w:val="001700E2"/>
    <w:rsid w:val="0017014B"/>
    <w:rsid w:val="0017016B"/>
    <w:rsid w:val="001707D8"/>
    <w:rsid w:val="001708B7"/>
    <w:rsid w:val="00171D5B"/>
    <w:rsid w:val="0017219F"/>
    <w:rsid w:val="0017229C"/>
    <w:rsid w:val="001722DE"/>
    <w:rsid w:val="001725AE"/>
    <w:rsid w:val="001727F6"/>
    <w:rsid w:val="00172D7F"/>
    <w:rsid w:val="00173946"/>
    <w:rsid w:val="00173B48"/>
    <w:rsid w:val="00173E7D"/>
    <w:rsid w:val="001755EE"/>
    <w:rsid w:val="00175C3A"/>
    <w:rsid w:val="00175D2D"/>
    <w:rsid w:val="00175DC0"/>
    <w:rsid w:val="00176261"/>
    <w:rsid w:val="0017678C"/>
    <w:rsid w:val="001775A2"/>
    <w:rsid w:val="001775E8"/>
    <w:rsid w:val="00177B78"/>
    <w:rsid w:val="001801F3"/>
    <w:rsid w:val="001805B7"/>
    <w:rsid w:val="001806D1"/>
    <w:rsid w:val="00180712"/>
    <w:rsid w:val="00181164"/>
    <w:rsid w:val="001818A4"/>
    <w:rsid w:val="00181BD9"/>
    <w:rsid w:val="001822D4"/>
    <w:rsid w:val="00182367"/>
    <w:rsid w:val="00182CF0"/>
    <w:rsid w:val="00182DF2"/>
    <w:rsid w:val="001832AA"/>
    <w:rsid w:val="001833AB"/>
    <w:rsid w:val="0018403B"/>
    <w:rsid w:val="0018422A"/>
    <w:rsid w:val="001846A7"/>
    <w:rsid w:val="00184A25"/>
    <w:rsid w:val="00184C7C"/>
    <w:rsid w:val="001857BE"/>
    <w:rsid w:val="001858FD"/>
    <w:rsid w:val="00185C7A"/>
    <w:rsid w:val="00185E35"/>
    <w:rsid w:val="0018647D"/>
    <w:rsid w:val="00186514"/>
    <w:rsid w:val="00186547"/>
    <w:rsid w:val="00186566"/>
    <w:rsid w:val="0018674B"/>
    <w:rsid w:val="00186904"/>
    <w:rsid w:val="00186A65"/>
    <w:rsid w:val="001870F2"/>
    <w:rsid w:val="00187921"/>
    <w:rsid w:val="00187CA3"/>
    <w:rsid w:val="00190C97"/>
    <w:rsid w:val="00190F21"/>
    <w:rsid w:val="001914C0"/>
    <w:rsid w:val="001915A4"/>
    <w:rsid w:val="0019230B"/>
    <w:rsid w:val="00192DA6"/>
    <w:rsid w:val="001931E0"/>
    <w:rsid w:val="001932E4"/>
    <w:rsid w:val="001932E9"/>
    <w:rsid w:val="00193750"/>
    <w:rsid w:val="001938FB"/>
    <w:rsid w:val="00194D70"/>
    <w:rsid w:val="00194E69"/>
    <w:rsid w:val="001950E3"/>
    <w:rsid w:val="00195687"/>
    <w:rsid w:val="001959AA"/>
    <w:rsid w:val="00195A51"/>
    <w:rsid w:val="0019633C"/>
    <w:rsid w:val="00196579"/>
    <w:rsid w:val="00196D72"/>
    <w:rsid w:val="00196DBC"/>
    <w:rsid w:val="00197127"/>
    <w:rsid w:val="001974C9"/>
    <w:rsid w:val="0019792F"/>
    <w:rsid w:val="001A08E5"/>
    <w:rsid w:val="001A0C2F"/>
    <w:rsid w:val="001A0CF0"/>
    <w:rsid w:val="001A11AF"/>
    <w:rsid w:val="001A1CC2"/>
    <w:rsid w:val="001A2361"/>
    <w:rsid w:val="001A23C2"/>
    <w:rsid w:val="001A2744"/>
    <w:rsid w:val="001A2FCA"/>
    <w:rsid w:val="001A3457"/>
    <w:rsid w:val="001A355B"/>
    <w:rsid w:val="001A3847"/>
    <w:rsid w:val="001A4160"/>
    <w:rsid w:val="001A418C"/>
    <w:rsid w:val="001A4312"/>
    <w:rsid w:val="001A5457"/>
    <w:rsid w:val="001A54A5"/>
    <w:rsid w:val="001A5855"/>
    <w:rsid w:val="001A64FC"/>
    <w:rsid w:val="001A6A44"/>
    <w:rsid w:val="001A6A97"/>
    <w:rsid w:val="001A6BE5"/>
    <w:rsid w:val="001A6E7F"/>
    <w:rsid w:val="001A73AA"/>
    <w:rsid w:val="001B04BC"/>
    <w:rsid w:val="001B098B"/>
    <w:rsid w:val="001B1253"/>
    <w:rsid w:val="001B1323"/>
    <w:rsid w:val="001B152E"/>
    <w:rsid w:val="001B15D3"/>
    <w:rsid w:val="001B15DB"/>
    <w:rsid w:val="001B165C"/>
    <w:rsid w:val="001B1EE7"/>
    <w:rsid w:val="001B1F88"/>
    <w:rsid w:val="001B21D5"/>
    <w:rsid w:val="001B22E0"/>
    <w:rsid w:val="001B2501"/>
    <w:rsid w:val="001B2A56"/>
    <w:rsid w:val="001B2ABF"/>
    <w:rsid w:val="001B2C71"/>
    <w:rsid w:val="001B2C84"/>
    <w:rsid w:val="001B2CD4"/>
    <w:rsid w:val="001B2D11"/>
    <w:rsid w:val="001B3078"/>
    <w:rsid w:val="001B3A00"/>
    <w:rsid w:val="001B3F28"/>
    <w:rsid w:val="001B4172"/>
    <w:rsid w:val="001B49CB"/>
    <w:rsid w:val="001B5263"/>
    <w:rsid w:val="001B556F"/>
    <w:rsid w:val="001B651E"/>
    <w:rsid w:val="001B6CFC"/>
    <w:rsid w:val="001B7056"/>
    <w:rsid w:val="001B7090"/>
    <w:rsid w:val="001B7959"/>
    <w:rsid w:val="001B79B0"/>
    <w:rsid w:val="001B7EDF"/>
    <w:rsid w:val="001C0194"/>
    <w:rsid w:val="001C0565"/>
    <w:rsid w:val="001C0AFF"/>
    <w:rsid w:val="001C11C5"/>
    <w:rsid w:val="001C22B3"/>
    <w:rsid w:val="001C29C7"/>
    <w:rsid w:val="001C2D20"/>
    <w:rsid w:val="001C2D52"/>
    <w:rsid w:val="001C3273"/>
    <w:rsid w:val="001C36EC"/>
    <w:rsid w:val="001C3766"/>
    <w:rsid w:val="001C42C7"/>
    <w:rsid w:val="001C517A"/>
    <w:rsid w:val="001C5D12"/>
    <w:rsid w:val="001C5F66"/>
    <w:rsid w:val="001C6C2D"/>
    <w:rsid w:val="001C70B0"/>
    <w:rsid w:val="001C7214"/>
    <w:rsid w:val="001C7268"/>
    <w:rsid w:val="001C743F"/>
    <w:rsid w:val="001C7DB8"/>
    <w:rsid w:val="001C7F76"/>
    <w:rsid w:val="001D171C"/>
    <w:rsid w:val="001D1BC5"/>
    <w:rsid w:val="001D24E9"/>
    <w:rsid w:val="001D30B2"/>
    <w:rsid w:val="001D35DA"/>
    <w:rsid w:val="001D3F8A"/>
    <w:rsid w:val="001D3F90"/>
    <w:rsid w:val="001D3FC1"/>
    <w:rsid w:val="001D4124"/>
    <w:rsid w:val="001D43C0"/>
    <w:rsid w:val="001D4901"/>
    <w:rsid w:val="001D4A8E"/>
    <w:rsid w:val="001D4ACF"/>
    <w:rsid w:val="001D4C7D"/>
    <w:rsid w:val="001D4CC9"/>
    <w:rsid w:val="001D4CCC"/>
    <w:rsid w:val="001D4D01"/>
    <w:rsid w:val="001D4F88"/>
    <w:rsid w:val="001D5040"/>
    <w:rsid w:val="001D51DE"/>
    <w:rsid w:val="001D53F0"/>
    <w:rsid w:val="001D54E9"/>
    <w:rsid w:val="001D5879"/>
    <w:rsid w:val="001D630F"/>
    <w:rsid w:val="001D648C"/>
    <w:rsid w:val="001D64DF"/>
    <w:rsid w:val="001D6664"/>
    <w:rsid w:val="001D6A33"/>
    <w:rsid w:val="001D6C00"/>
    <w:rsid w:val="001D6D1D"/>
    <w:rsid w:val="001D6F23"/>
    <w:rsid w:val="001D6F37"/>
    <w:rsid w:val="001D7050"/>
    <w:rsid w:val="001D7279"/>
    <w:rsid w:val="001D732B"/>
    <w:rsid w:val="001D798D"/>
    <w:rsid w:val="001D7BA1"/>
    <w:rsid w:val="001E01CD"/>
    <w:rsid w:val="001E0A53"/>
    <w:rsid w:val="001E0C42"/>
    <w:rsid w:val="001E17EF"/>
    <w:rsid w:val="001E1B9E"/>
    <w:rsid w:val="001E27C4"/>
    <w:rsid w:val="001E3046"/>
    <w:rsid w:val="001E30E3"/>
    <w:rsid w:val="001E34ED"/>
    <w:rsid w:val="001E352B"/>
    <w:rsid w:val="001E3C41"/>
    <w:rsid w:val="001E46A2"/>
    <w:rsid w:val="001E4AFF"/>
    <w:rsid w:val="001E6309"/>
    <w:rsid w:val="001E682E"/>
    <w:rsid w:val="001E6DD1"/>
    <w:rsid w:val="001E70D1"/>
    <w:rsid w:val="001E758D"/>
    <w:rsid w:val="001E775E"/>
    <w:rsid w:val="001E7844"/>
    <w:rsid w:val="001E7871"/>
    <w:rsid w:val="001E79D4"/>
    <w:rsid w:val="001E7CC2"/>
    <w:rsid w:val="001F00C4"/>
    <w:rsid w:val="001F0717"/>
    <w:rsid w:val="001F0F76"/>
    <w:rsid w:val="001F1289"/>
    <w:rsid w:val="001F134A"/>
    <w:rsid w:val="001F158A"/>
    <w:rsid w:val="001F16E8"/>
    <w:rsid w:val="001F1709"/>
    <w:rsid w:val="001F1A8D"/>
    <w:rsid w:val="001F1B23"/>
    <w:rsid w:val="001F1F6B"/>
    <w:rsid w:val="001F20FC"/>
    <w:rsid w:val="001F24F4"/>
    <w:rsid w:val="001F2639"/>
    <w:rsid w:val="001F2863"/>
    <w:rsid w:val="001F3597"/>
    <w:rsid w:val="001F3705"/>
    <w:rsid w:val="001F3B5C"/>
    <w:rsid w:val="001F3EEC"/>
    <w:rsid w:val="001F4212"/>
    <w:rsid w:val="001F4474"/>
    <w:rsid w:val="001F449A"/>
    <w:rsid w:val="001F49E6"/>
    <w:rsid w:val="001F4E27"/>
    <w:rsid w:val="001F5104"/>
    <w:rsid w:val="001F5261"/>
    <w:rsid w:val="001F5AA2"/>
    <w:rsid w:val="001F6060"/>
    <w:rsid w:val="001F60EC"/>
    <w:rsid w:val="001F612A"/>
    <w:rsid w:val="001F6234"/>
    <w:rsid w:val="001F6357"/>
    <w:rsid w:val="001F6819"/>
    <w:rsid w:val="001F7296"/>
    <w:rsid w:val="001F7319"/>
    <w:rsid w:val="001F79E1"/>
    <w:rsid w:val="001F7C4A"/>
    <w:rsid w:val="00200205"/>
    <w:rsid w:val="0020069F"/>
    <w:rsid w:val="002007AB"/>
    <w:rsid w:val="00200ED4"/>
    <w:rsid w:val="00201260"/>
    <w:rsid w:val="0020181E"/>
    <w:rsid w:val="00202ADE"/>
    <w:rsid w:val="00202C00"/>
    <w:rsid w:val="002033A8"/>
    <w:rsid w:val="0020367E"/>
    <w:rsid w:val="00203E12"/>
    <w:rsid w:val="00203F1E"/>
    <w:rsid w:val="0020413D"/>
    <w:rsid w:val="002046A4"/>
    <w:rsid w:val="0020470E"/>
    <w:rsid w:val="0020498D"/>
    <w:rsid w:val="00204B1B"/>
    <w:rsid w:val="00205A79"/>
    <w:rsid w:val="00205AAA"/>
    <w:rsid w:val="00205D68"/>
    <w:rsid w:val="002061B9"/>
    <w:rsid w:val="002064E0"/>
    <w:rsid w:val="002069B8"/>
    <w:rsid w:val="00206BF2"/>
    <w:rsid w:val="00206ED7"/>
    <w:rsid w:val="0020717B"/>
    <w:rsid w:val="00207B06"/>
    <w:rsid w:val="00207B07"/>
    <w:rsid w:val="00210328"/>
    <w:rsid w:val="00210B8F"/>
    <w:rsid w:val="00210FCA"/>
    <w:rsid w:val="00211353"/>
    <w:rsid w:val="002121EC"/>
    <w:rsid w:val="00212507"/>
    <w:rsid w:val="00212765"/>
    <w:rsid w:val="002128DE"/>
    <w:rsid w:val="00213765"/>
    <w:rsid w:val="00213927"/>
    <w:rsid w:val="0021420B"/>
    <w:rsid w:val="00214865"/>
    <w:rsid w:val="0021502E"/>
    <w:rsid w:val="00215237"/>
    <w:rsid w:val="0021528B"/>
    <w:rsid w:val="00215EEF"/>
    <w:rsid w:val="00215F66"/>
    <w:rsid w:val="002163A5"/>
    <w:rsid w:val="00216872"/>
    <w:rsid w:val="00216E38"/>
    <w:rsid w:val="00217233"/>
    <w:rsid w:val="002174E9"/>
    <w:rsid w:val="00217573"/>
    <w:rsid w:val="00217786"/>
    <w:rsid w:val="002179A1"/>
    <w:rsid w:val="00217D69"/>
    <w:rsid w:val="00217ED3"/>
    <w:rsid w:val="00220167"/>
    <w:rsid w:val="002205D8"/>
    <w:rsid w:val="00220BA8"/>
    <w:rsid w:val="00221154"/>
    <w:rsid w:val="00221598"/>
    <w:rsid w:val="00221A4C"/>
    <w:rsid w:val="00221FF9"/>
    <w:rsid w:val="0022283A"/>
    <w:rsid w:val="00222878"/>
    <w:rsid w:val="002228C1"/>
    <w:rsid w:val="00222B2E"/>
    <w:rsid w:val="00222FBC"/>
    <w:rsid w:val="00223223"/>
    <w:rsid w:val="00223435"/>
    <w:rsid w:val="002238C3"/>
    <w:rsid w:val="00223931"/>
    <w:rsid w:val="0022455E"/>
    <w:rsid w:val="00224589"/>
    <w:rsid w:val="00224B2E"/>
    <w:rsid w:val="002255DC"/>
    <w:rsid w:val="0022579B"/>
    <w:rsid w:val="00225DB7"/>
    <w:rsid w:val="002266E3"/>
    <w:rsid w:val="0022675A"/>
    <w:rsid w:val="002267DE"/>
    <w:rsid w:val="0022699B"/>
    <w:rsid w:val="00226C44"/>
    <w:rsid w:val="002274F8"/>
    <w:rsid w:val="0022796E"/>
    <w:rsid w:val="0023093B"/>
    <w:rsid w:val="00230C48"/>
    <w:rsid w:val="00230FC5"/>
    <w:rsid w:val="00231CA4"/>
    <w:rsid w:val="00231ECD"/>
    <w:rsid w:val="002320DB"/>
    <w:rsid w:val="002320FE"/>
    <w:rsid w:val="002328AA"/>
    <w:rsid w:val="002328D5"/>
    <w:rsid w:val="00232D1C"/>
    <w:rsid w:val="00232EE4"/>
    <w:rsid w:val="002331CA"/>
    <w:rsid w:val="00233362"/>
    <w:rsid w:val="00233E4C"/>
    <w:rsid w:val="0023422F"/>
    <w:rsid w:val="00234420"/>
    <w:rsid w:val="00234C2D"/>
    <w:rsid w:val="00234CA0"/>
    <w:rsid w:val="0023597E"/>
    <w:rsid w:val="00235B02"/>
    <w:rsid w:val="002368B2"/>
    <w:rsid w:val="00236CBD"/>
    <w:rsid w:val="00236D86"/>
    <w:rsid w:val="0024004E"/>
    <w:rsid w:val="0024028C"/>
    <w:rsid w:val="0024029E"/>
    <w:rsid w:val="002405CD"/>
    <w:rsid w:val="002416B2"/>
    <w:rsid w:val="00241855"/>
    <w:rsid w:val="0024186E"/>
    <w:rsid w:val="00241943"/>
    <w:rsid w:val="002419B0"/>
    <w:rsid w:val="00241BBA"/>
    <w:rsid w:val="00241D57"/>
    <w:rsid w:val="0024227F"/>
    <w:rsid w:val="002422F5"/>
    <w:rsid w:val="00243384"/>
    <w:rsid w:val="002433E8"/>
    <w:rsid w:val="002439E1"/>
    <w:rsid w:val="00243D02"/>
    <w:rsid w:val="00243DF5"/>
    <w:rsid w:val="00243F3E"/>
    <w:rsid w:val="00244718"/>
    <w:rsid w:val="00244787"/>
    <w:rsid w:val="00244A0D"/>
    <w:rsid w:val="00244EA0"/>
    <w:rsid w:val="0024507B"/>
    <w:rsid w:val="00245308"/>
    <w:rsid w:val="002454F3"/>
    <w:rsid w:val="00245647"/>
    <w:rsid w:val="0024591F"/>
    <w:rsid w:val="00245999"/>
    <w:rsid w:val="0024609B"/>
    <w:rsid w:val="0024627F"/>
    <w:rsid w:val="002464CD"/>
    <w:rsid w:val="0024703C"/>
    <w:rsid w:val="002473CF"/>
    <w:rsid w:val="002479F0"/>
    <w:rsid w:val="00247F4E"/>
    <w:rsid w:val="002500BC"/>
    <w:rsid w:val="00250885"/>
    <w:rsid w:val="00250F63"/>
    <w:rsid w:val="00251251"/>
    <w:rsid w:val="002514A5"/>
    <w:rsid w:val="00251688"/>
    <w:rsid w:val="00251A3E"/>
    <w:rsid w:val="00251C69"/>
    <w:rsid w:val="0025235E"/>
    <w:rsid w:val="00252765"/>
    <w:rsid w:val="0025293C"/>
    <w:rsid w:val="00252FE4"/>
    <w:rsid w:val="0025311B"/>
    <w:rsid w:val="00253185"/>
    <w:rsid w:val="002531B0"/>
    <w:rsid w:val="002541AF"/>
    <w:rsid w:val="00254248"/>
    <w:rsid w:val="00254485"/>
    <w:rsid w:val="002548B5"/>
    <w:rsid w:val="0025532E"/>
    <w:rsid w:val="00255AE8"/>
    <w:rsid w:val="00255DE8"/>
    <w:rsid w:val="00256421"/>
    <w:rsid w:val="00256A26"/>
    <w:rsid w:val="00257CF7"/>
    <w:rsid w:val="002608AE"/>
    <w:rsid w:val="002612AD"/>
    <w:rsid w:val="002618FC"/>
    <w:rsid w:val="00261942"/>
    <w:rsid w:val="002619AC"/>
    <w:rsid w:val="0026259C"/>
    <w:rsid w:val="00262719"/>
    <w:rsid w:val="00262907"/>
    <w:rsid w:val="00262AB8"/>
    <w:rsid w:val="00262AF5"/>
    <w:rsid w:val="0026331E"/>
    <w:rsid w:val="002637E4"/>
    <w:rsid w:val="00263A86"/>
    <w:rsid w:val="00263D6D"/>
    <w:rsid w:val="00263D6F"/>
    <w:rsid w:val="00263DCA"/>
    <w:rsid w:val="002640D1"/>
    <w:rsid w:val="00264278"/>
    <w:rsid w:val="0026429B"/>
    <w:rsid w:val="00264C28"/>
    <w:rsid w:val="00264D96"/>
    <w:rsid w:val="00264E05"/>
    <w:rsid w:val="002652D1"/>
    <w:rsid w:val="002658A3"/>
    <w:rsid w:val="00265B74"/>
    <w:rsid w:val="00265E84"/>
    <w:rsid w:val="002662A6"/>
    <w:rsid w:val="00266D2B"/>
    <w:rsid w:val="00266D85"/>
    <w:rsid w:val="00266FCC"/>
    <w:rsid w:val="00267117"/>
    <w:rsid w:val="00267367"/>
    <w:rsid w:val="00267ED6"/>
    <w:rsid w:val="00270060"/>
    <w:rsid w:val="00270DE9"/>
    <w:rsid w:val="00270E65"/>
    <w:rsid w:val="00271057"/>
    <w:rsid w:val="0027111D"/>
    <w:rsid w:val="00271C16"/>
    <w:rsid w:val="0027212A"/>
    <w:rsid w:val="00273840"/>
    <w:rsid w:val="00273873"/>
    <w:rsid w:val="0027497D"/>
    <w:rsid w:val="00275C76"/>
    <w:rsid w:val="00275EFE"/>
    <w:rsid w:val="00276103"/>
    <w:rsid w:val="002761F6"/>
    <w:rsid w:val="0027692C"/>
    <w:rsid w:val="00276DF6"/>
    <w:rsid w:val="00277085"/>
    <w:rsid w:val="002770EA"/>
    <w:rsid w:val="002776EE"/>
    <w:rsid w:val="002778C5"/>
    <w:rsid w:val="002778D4"/>
    <w:rsid w:val="00277932"/>
    <w:rsid w:val="00277D8F"/>
    <w:rsid w:val="00277E56"/>
    <w:rsid w:val="00277FFA"/>
    <w:rsid w:val="00280761"/>
    <w:rsid w:val="00280A60"/>
    <w:rsid w:val="00280CF4"/>
    <w:rsid w:val="00281003"/>
    <w:rsid w:val="002812FA"/>
    <w:rsid w:val="002817DF"/>
    <w:rsid w:val="002819C0"/>
    <w:rsid w:val="00281F8D"/>
    <w:rsid w:val="00282B3D"/>
    <w:rsid w:val="00282C5A"/>
    <w:rsid w:val="00283330"/>
    <w:rsid w:val="002833AE"/>
    <w:rsid w:val="00283465"/>
    <w:rsid w:val="00283C6A"/>
    <w:rsid w:val="00283D51"/>
    <w:rsid w:val="002848B8"/>
    <w:rsid w:val="0028561D"/>
    <w:rsid w:val="002859A4"/>
    <w:rsid w:val="00285C45"/>
    <w:rsid w:val="00286019"/>
    <w:rsid w:val="00286550"/>
    <w:rsid w:val="0028661A"/>
    <w:rsid w:val="00286B3A"/>
    <w:rsid w:val="0028784F"/>
    <w:rsid w:val="0029014A"/>
    <w:rsid w:val="00290191"/>
    <w:rsid w:val="00290953"/>
    <w:rsid w:val="00290AC3"/>
    <w:rsid w:val="00290CE5"/>
    <w:rsid w:val="002912D8"/>
    <w:rsid w:val="0029191A"/>
    <w:rsid w:val="00291980"/>
    <w:rsid w:val="002923FA"/>
    <w:rsid w:val="0029309F"/>
    <w:rsid w:val="00293813"/>
    <w:rsid w:val="00293C0B"/>
    <w:rsid w:val="00293ED4"/>
    <w:rsid w:val="00293F4D"/>
    <w:rsid w:val="00294484"/>
    <w:rsid w:val="0029483D"/>
    <w:rsid w:val="00294C26"/>
    <w:rsid w:val="00294C41"/>
    <w:rsid w:val="002951FA"/>
    <w:rsid w:val="00295BD0"/>
    <w:rsid w:val="00296108"/>
    <w:rsid w:val="00296153"/>
    <w:rsid w:val="0029621C"/>
    <w:rsid w:val="00296454"/>
    <w:rsid w:val="00296C76"/>
    <w:rsid w:val="00296CB4"/>
    <w:rsid w:val="002A06C1"/>
    <w:rsid w:val="002A0C40"/>
    <w:rsid w:val="002A0FE2"/>
    <w:rsid w:val="002A18AB"/>
    <w:rsid w:val="002A2962"/>
    <w:rsid w:val="002A303A"/>
    <w:rsid w:val="002A32BE"/>
    <w:rsid w:val="002A3534"/>
    <w:rsid w:val="002A3609"/>
    <w:rsid w:val="002A3EB6"/>
    <w:rsid w:val="002A3F5B"/>
    <w:rsid w:val="002A3FFA"/>
    <w:rsid w:val="002A4110"/>
    <w:rsid w:val="002A4191"/>
    <w:rsid w:val="002A4214"/>
    <w:rsid w:val="002A42F3"/>
    <w:rsid w:val="002A43F4"/>
    <w:rsid w:val="002A4944"/>
    <w:rsid w:val="002A5683"/>
    <w:rsid w:val="002A619E"/>
    <w:rsid w:val="002A64B6"/>
    <w:rsid w:val="002A6584"/>
    <w:rsid w:val="002A671D"/>
    <w:rsid w:val="002A68BF"/>
    <w:rsid w:val="002A7725"/>
    <w:rsid w:val="002B067A"/>
    <w:rsid w:val="002B0DC0"/>
    <w:rsid w:val="002B1554"/>
    <w:rsid w:val="002B1825"/>
    <w:rsid w:val="002B204C"/>
    <w:rsid w:val="002B301C"/>
    <w:rsid w:val="002B39EE"/>
    <w:rsid w:val="002B46A4"/>
    <w:rsid w:val="002B46F8"/>
    <w:rsid w:val="002B4B32"/>
    <w:rsid w:val="002B5021"/>
    <w:rsid w:val="002B547D"/>
    <w:rsid w:val="002B5B2F"/>
    <w:rsid w:val="002B5CCF"/>
    <w:rsid w:val="002B6138"/>
    <w:rsid w:val="002B658C"/>
    <w:rsid w:val="002B66EC"/>
    <w:rsid w:val="002B6996"/>
    <w:rsid w:val="002B6A4A"/>
    <w:rsid w:val="002B6C40"/>
    <w:rsid w:val="002B6CD4"/>
    <w:rsid w:val="002B6EA8"/>
    <w:rsid w:val="002B6EE6"/>
    <w:rsid w:val="002B7626"/>
    <w:rsid w:val="002B76BD"/>
    <w:rsid w:val="002B7CB6"/>
    <w:rsid w:val="002C0295"/>
    <w:rsid w:val="002C0F8F"/>
    <w:rsid w:val="002C11D6"/>
    <w:rsid w:val="002C15D6"/>
    <w:rsid w:val="002C1FCD"/>
    <w:rsid w:val="002C2276"/>
    <w:rsid w:val="002C2391"/>
    <w:rsid w:val="002C2E7C"/>
    <w:rsid w:val="002C2FB7"/>
    <w:rsid w:val="002C32D7"/>
    <w:rsid w:val="002C341C"/>
    <w:rsid w:val="002C3D84"/>
    <w:rsid w:val="002C3F3D"/>
    <w:rsid w:val="002C44F5"/>
    <w:rsid w:val="002C49F2"/>
    <w:rsid w:val="002C4B53"/>
    <w:rsid w:val="002C4C8D"/>
    <w:rsid w:val="002C5787"/>
    <w:rsid w:val="002C65CE"/>
    <w:rsid w:val="002C6618"/>
    <w:rsid w:val="002C6CB5"/>
    <w:rsid w:val="002C7462"/>
    <w:rsid w:val="002C7BF1"/>
    <w:rsid w:val="002C7F31"/>
    <w:rsid w:val="002C7FDF"/>
    <w:rsid w:val="002D079E"/>
    <w:rsid w:val="002D11C9"/>
    <w:rsid w:val="002D15F1"/>
    <w:rsid w:val="002D195F"/>
    <w:rsid w:val="002D1A42"/>
    <w:rsid w:val="002D1C50"/>
    <w:rsid w:val="002D2190"/>
    <w:rsid w:val="002D2615"/>
    <w:rsid w:val="002D2DCD"/>
    <w:rsid w:val="002D35AF"/>
    <w:rsid w:val="002D3761"/>
    <w:rsid w:val="002D38B5"/>
    <w:rsid w:val="002D3D5B"/>
    <w:rsid w:val="002D3E4E"/>
    <w:rsid w:val="002D549F"/>
    <w:rsid w:val="002D583A"/>
    <w:rsid w:val="002D5A10"/>
    <w:rsid w:val="002D5E20"/>
    <w:rsid w:val="002D6840"/>
    <w:rsid w:val="002D6C76"/>
    <w:rsid w:val="002D6FFB"/>
    <w:rsid w:val="002D75E3"/>
    <w:rsid w:val="002D7828"/>
    <w:rsid w:val="002E0E1B"/>
    <w:rsid w:val="002E0E1F"/>
    <w:rsid w:val="002E10A3"/>
    <w:rsid w:val="002E1C1A"/>
    <w:rsid w:val="002E1C64"/>
    <w:rsid w:val="002E208C"/>
    <w:rsid w:val="002E225F"/>
    <w:rsid w:val="002E2E33"/>
    <w:rsid w:val="002E31D1"/>
    <w:rsid w:val="002E3A1F"/>
    <w:rsid w:val="002E3A84"/>
    <w:rsid w:val="002E3DF2"/>
    <w:rsid w:val="002E3EBF"/>
    <w:rsid w:val="002E3FD3"/>
    <w:rsid w:val="002E4A70"/>
    <w:rsid w:val="002E4BDD"/>
    <w:rsid w:val="002E4ED3"/>
    <w:rsid w:val="002E5FC5"/>
    <w:rsid w:val="002E6216"/>
    <w:rsid w:val="002E6510"/>
    <w:rsid w:val="002E74E0"/>
    <w:rsid w:val="002E774F"/>
    <w:rsid w:val="002F0844"/>
    <w:rsid w:val="002F158D"/>
    <w:rsid w:val="002F1AAD"/>
    <w:rsid w:val="002F1C99"/>
    <w:rsid w:val="002F26BB"/>
    <w:rsid w:val="002F290C"/>
    <w:rsid w:val="002F29FE"/>
    <w:rsid w:val="002F2EB8"/>
    <w:rsid w:val="002F3561"/>
    <w:rsid w:val="002F373C"/>
    <w:rsid w:val="002F37D7"/>
    <w:rsid w:val="002F3F90"/>
    <w:rsid w:val="002F48EE"/>
    <w:rsid w:val="002F54CD"/>
    <w:rsid w:val="002F6211"/>
    <w:rsid w:val="002F66A9"/>
    <w:rsid w:val="002F7058"/>
    <w:rsid w:val="002F72E6"/>
    <w:rsid w:val="0030121B"/>
    <w:rsid w:val="00301CB6"/>
    <w:rsid w:val="00301F72"/>
    <w:rsid w:val="003022B9"/>
    <w:rsid w:val="00302528"/>
    <w:rsid w:val="00302B25"/>
    <w:rsid w:val="00302BB6"/>
    <w:rsid w:val="00302C66"/>
    <w:rsid w:val="00302C86"/>
    <w:rsid w:val="00302E48"/>
    <w:rsid w:val="00303230"/>
    <w:rsid w:val="00303C12"/>
    <w:rsid w:val="00303DDE"/>
    <w:rsid w:val="0030410F"/>
    <w:rsid w:val="003048EB"/>
    <w:rsid w:val="00304AE5"/>
    <w:rsid w:val="00304DAE"/>
    <w:rsid w:val="00305169"/>
    <w:rsid w:val="003052C7"/>
    <w:rsid w:val="00306316"/>
    <w:rsid w:val="00306416"/>
    <w:rsid w:val="003065AE"/>
    <w:rsid w:val="00306631"/>
    <w:rsid w:val="0030671F"/>
    <w:rsid w:val="0030687B"/>
    <w:rsid w:val="00306DDB"/>
    <w:rsid w:val="00307341"/>
    <w:rsid w:val="00307767"/>
    <w:rsid w:val="00307975"/>
    <w:rsid w:val="00307F39"/>
    <w:rsid w:val="00310230"/>
    <w:rsid w:val="00310432"/>
    <w:rsid w:val="0031108A"/>
    <w:rsid w:val="00311D1F"/>
    <w:rsid w:val="00311E5B"/>
    <w:rsid w:val="00312716"/>
    <w:rsid w:val="00312A36"/>
    <w:rsid w:val="00312F3B"/>
    <w:rsid w:val="0031330D"/>
    <w:rsid w:val="00313570"/>
    <w:rsid w:val="00313BF6"/>
    <w:rsid w:val="00313FA3"/>
    <w:rsid w:val="00314457"/>
    <w:rsid w:val="00314471"/>
    <w:rsid w:val="0031488B"/>
    <w:rsid w:val="00314B7E"/>
    <w:rsid w:val="00314EF9"/>
    <w:rsid w:val="003154C0"/>
    <w:rsid w:val="00315C07"/>
    <w:rsid w:val="00315F3D"/>
    <w:rsid w:val="003163BB"/>
    <w:rsid w:val="00316561"/>
    <w:rsid w:val="00317C17"/>
    <w:rsid w:val="00317CC9"/>
    <w:rsid w:val="00317DC5"/>
    <w:rsid w:val="00321536"/>
    <w:rsid w:val="003216F0"/>
    <w:rsid w:val="00321BAA"/>
    <w:rsid w:val="0032277A"/>
    <w:rsid w:val="00322A3D"/>
    <w:rsid w:val="00322CA0"/>
    <w:rsid w:val="00322FC0"/>
    <w:rsid w:val="003232D3"/>
    <w:rsid w:val="00323319"/>
    <w:rsid w:val="00323D1E"/>
    <w:rsid w:val="00324C97"/>
    <w:rsid w:val="00324F6B"/>
    <w:rsid w:val="00325581"/>
    <w:rsid w:val="0032576A"/>
    <w:rsid w:val="0032577F"/>
    <w:rsid w:val="00325781"/>
    <w:rsid w:val="00325B31"/>
    <w:rsid w:val="00326140"/>
    <w:rsid w:val="003261FB"/>
    <w:rsid w:val="00326369"/>
    <w:rsid w:val="00326ABD"/>
    <w:rsid w:val="003274DE"/>
    <w:rsid w:val="00327595"/>
    <w:rsid w:val="00327598"/>
    <w:rsid w:val="00327E41"/>
    <w:rsid w:val="00330014"/>
    <w:rsid w:val="00331002"/>
    <w:rsid w:val="003311DE"/>
    <w:rsid w:val="00331895"/>
    <w:rsid w:val="00331CDF"/>
    <w:rsid w:val="00331F8E"/>
    <w:rsid w:val="0033325A"/>
    <w:rsid w:val="00333600"/>
    <w:rsid w:val="003339F0"/>
    <w:rsid w:val="00334209"/>
    <w:rsid w:val="00334610"/>
    <w:rsid w:val="0033473A"/>
    <w:rsid w:val="00334A5F"/>
    <w:rsid w:val="00334C8C"/>
    <w:rsid w:val="00334F63"/>
    <w:rsid w:val="00334FE1"/>
    <w:rsid w:val="00335045"/>
    <w:rsid w:val="00335534"/>
    <w:rsid w:val="0033554C"/>
    <w:rsid w:val="003358DF"/>
    <w:rsid w:val="00336232"/>
    <w:rsid w:val="00336665"/>
    <w:rsid w:val="0033678E"/>
    <w:rsid w:val="00336844"/>
    <w:rsid w:val="0033695F"/>
    <w:rsid w:val="00336B60"/>
    <w:rsid w:val="00336E63"/>
    <w:rsid w:val="00337472"/>
    <w:rsid w:val="003374B4"/>
    <w:rsid w:val="00337CB6"/>
    <w:rsid w:val="00340B85"/>
    <w:rsid w:val="00341032"/>
    <w:rsid w:val="003412F3"/>
    <w:rsid w:val="00341342"/>
    <w:rsid w:val="00341C93"/>
    <w:rsid w:val="003420D9"/>
    <w:rsid w:val="003421F4"/>
    <w:rsid w:val="00343046"/>
    <w:rsid w:val="003430BE"/>
    <w:rsid w:val="00343946"/>
    <w:rsid w:val="00344926"/>
    <w:rsid w:val="00344F46"/>
    <w:rsid w:val="00344F80"/>
    <w:rsid w:val="00345381"/>
    <w:rsid w:val="00345781"/>
    <w:rsid w:val="003459E9"/>
    <w:rsid w:val="00345D4A"/>
    <w:rsid w:val="00345DC1"/>
    <w:rsid w:val="00345FFE"/>
    <w:rsid w:val="00346585"/>
    <w:rsid w:val="00346BA1"/>
    <w:rsid w:val="00346C74"/>
    <w:rsid w:val="0034739D"/>
    <w:rsid w:val="0034748C"/>
    <w:rsid w:val="00347793"/>
    <w:rsid w:val="00350112"/>
    <w:rsid w:val="00350411"/>
    <w:rsid w:val="00350695"/>
    <w:rsid w:val="00350964"/>
    <w:rsid w:val="00350C4C"/>
    <w:rsid w:val="00350F4C"/>
    <w:rsid w:val="003519F5"/>
    <w:rsid w:val="00351DFF"/>
    <w:rsid w:val="00351F86"/>
    <w:rsid w:val="00352295"/>
    <w:rsid w:val="003525CE"/>
    <w:rsid w:val="003525E3"/>
    <w:rsid w:val="00352AB4"/>
    <w:rsid w:val="00352CC9"/>
    <w:rsid w:val="003530C3"/>
    <w:rsid w:val="0035313B"/>
    <w:rsid w:val="00353B66"/>
    <w:rsid w:val="00354117"/>
    <w:rsid w:val="003547E4"/>
    <w:rsid w:val="0035495B"/>
    <w:rsid w:val="00354BD4"/>
    <w:rsid w:val="00355379"/>
    <w:rsid w:val="0035594E"/>
    <w:rsid w:val="003559B7"/>
    <w:rsid w:val="00356116"/>
    <w:rsid w:val="0035692C"/>
    <w:rsid w:val="00356C6F"/>
    <w:rsid w:val="00357121"/>
    <w:rsid w:val="00357228"/>
    <w:rsid w:val="003600D7"/>
    <w:rsid w:val="0036018A"/>
    <w:rsid w:val="003603BD"/>
    <w:rsid w:val="003604FB"/>
    <w:rsid w:val="00360804"/>
    <w:rsid w:val="00360895"/>
    <w:rsid w:val="00360A81"/>
    <w:rsid w:val="00360D5E"/>
    <w:rsid w:val="00361016"/>
    <w:rsid w:val="0036150F"/>
    <w:rsid w:val="00361610"/>
    <w:rsid w:val="003624B7"/>
    <w:rsid w:val="00362911"/>
    <w:rsid w:val="00362D30"/>
    <w:rsid w:val="00362F25"/>
    <w:rsid w:val="00363341"/>
    <w:rsid w:val="00363559"/>
    <w:rsid w:val="003636EC"/>
    <w:rsid w:val="0036371D"/>
    <w:rsid w:val="003642C3"/>
    <w:rsid w:val="003644E4"/>
    <w:rsid w:val="00364535"/>
    <w:rsid w:val="003646AD"/>
    <w:rsid w:val="00364C76"/>
    <w:rsid w:val="00364ED0"/>
    <w:rsid w:val="00364F19"/>
    <w:rsid w:val="003652C8"/>
    <w:rsid w:val="003655E7"/>
    <w:rsid w:val="00365867"/>
    <w:rsid w:val="003659F2"/>
    <w:rsid w:val="00365E3D"/>
    <w:rsid w:val="00366583"/>
    <w:rsid w:val="003669A2"/>
    <w:rsid w:val="00366E5C"/>
    <w:rsid w:val="0036760E"/>
    <w:rsid w:val="00367AE5"/>
    <w:rsid w:val="00370384"/>
    <w:rsid w:val="00370688"/>
    <w:rsid w:val="00370A9F"/>
    <w:rsid w:val="00370B9B"/>
    <w:rsid w:val="003712DE"/>
    <w:rsid w:val="003719B7"/>
    <w:rsid w:val="0037294C"/>
    <w:rsid w:val="00373165"/>
    <w:rsid w:val="0037394F"/>
    <w:rsid w:val="00373C90"/>
    <w:rsid w:val="00373CC1"/>
    <w:rsid w:val="00374053"/>
    <w:rsid w:val="00374118"/>
    <w:rsid w:val="0037413F"/>
    <w:rsid w:val="00374A7F"/>
    <w:rsid w:val="00374D34"/>
    <w:rsid w:val="003751A7"/>
    <w:rsid w:val="00375397"/>
    <w:rsid w:val="00375627"/>
    <w:rsid w:val="00375D8C"/>
    <w:rsid w:val="00375E0E"/>
    <w:rsid w:val="003761CF"/>
    <w:rsid w:val="00377668"/>
    <w:rsid w:val="00377715"/>
    <w:rsid w:val="00377A8C"/>
    <w:rsid w:val="0038017A"/>
    <w:rsid w:val="003802B3"/>
    <w:rsid w:val="003808ED"/>
    <w:rsid w:val="00380A2C"/>
    <w:rsid w:val="003811F7"/>
    <w:rsid w:val="00381BAB"/>
    <w:rsid w:val="00381E3A"/>
    <w:rsid w:val="003823CE"/>
    <w:rsid w:val="0038258E"/>
    <w:rsid w:val="00382A85"/>
    <w:rsid w:val="00383165"/>
    <w:rsid w:val="00383BCD"/>
    <w:rsid w:val="00383D1A"/>
    <w:rsid w:val="00384280"/>
    <w:rsid w:val="003842EA"/>
    <w:rsid w:val="003846A6"/>
    <w:rsid w:val="003849D8"/>
    <w:rsid w:val="00384C86"/>
    <w:rsid w:val="00384EF1"/>
    <w:rsid w:val="00385527"/>
    <w:rsid w:val="00385794"/>
    <w:rsid w:val="00385968"/>
    <w:rsid w:val="00385DAA"/>
    <w:rsid w:val="0038605A"/>
    <w:rsid w:val="003867D2"/>
    <w:rsid w:val="00386943"/>
    <w:rsid w:val="00386AC0"/>
    <w:rsid w:val="00386D48"/>
    <w:rsid w:val="00386FA2"/>
    <w:rsid w:val="003871CD"/>
    <w:rsid w:val="00387F0E"/>
    <w:rsid w:val="00390EF7"/>
    <w:rsid w:val="0039124F"/>
    <w:rsid w:val="0039127A"/>
    <w:rsid w:val="00391A3A"/>
    <w:rsid w:val="00391C0A"/>
    <w:rsid w:val="00391E00"/>
    <w:rsid w:val="0039278A"/>
    <w:rsid w:val="00392F79"/>
    <w:rsid w:val="00392F9E"/>
    <w:rsid w:val="00393745"/>
    <w:rsid w:val="0039378E"/>
    <w:rsid w:val="003938AA"/>
    <w:rsid w:val="00393C33"/>
    <w:rsid w:val="00393C47"/>
    <w:rsid w:val="0039409C"/>
    <w:rsid w:val="00394BD9"/>
    <w:rsid w:val="00395736"/>
    <w:rsid w:val="00395A6A"/>
    <w:rsid w:val="0039634C"/>
    <w:rsid w:val="00396627"/>
    <w:rsid w:val="00396784"/>
    <w:rsid w:val="00396A4C"/>
    <w:rsid w:val="00396A5B"/>
    <w:rsid w:val="00396EC4"/>
    <w:rsid w:val="00396FD7"/>
    <w:rsid w:val="00397703"/>
    <w:rsid w:val="003A0DB6"/>
    <w:rsid w:val="003A0FE8"/>
    <w:rsid w:val="003A1154"/>
    <w:rsid w:val="003A12C4"/>
    <w:rsid w:val="003A1571"/>
    <w:rsid w:val="003A178F"/>
    <w:rsid w:val="003A1D23"/>
    <w:rsid w:val="003A2072"/>
    <w:rsid w:val="003A212F"/>
    <w:rsid w:val="003A234A"/>
    <w:rsid w:val="003A2FF6"/>
    <w:rsid w:val="003A30AC"/>
    <w:rsid w:val="003A31E5"/>
    <w:rsid w:val="003A3599"/>
    <w:rsid w:val="003A36FB"/>
    <w:rsid w:val="003A3963"/>
    <w:rsid w:val="003A3A3D"/>
    <w:rsid w:val="003A3A70"/>
    <w:rsid w:val="003A3B78"/>
    <w:rsid w:val="003A3BD1"/>
    <w:rsid w:val="003A434E"/>
    <w:rsid w:val="003A44A5"/>
    <w:rsid w:val="003A464B"/>
    <w:rsid w:val="003A4883"/>
    <w:rsid w:val="003A5994"/>
    <w:rsid w:val="003A599A"/>
    <w:rsid w:val="003A62AF"/>
    <w:rsid w:val="003A6846"/>
    <w:rsid w:val="003A6887"/>
    <w:rsid w:val="003A70CE"/>
    <w:rsid w:val="003A74FF"/>
    <w:rsid w:val="003B0B09"/>
    <w:rsid w:val="003B0D9A"/>
    <w:rsid w:val="003B0F3E"/>
    <w:rsid w:val="003B1395"/>
    <w:rsid w:val="003B1543"/>
    <w:rsid w:val="003B1B84"/>
    <w:rsid w:val="003B21EB"/>
    <w:rsid w:val="003B22B1"/>
    <w:rsid w:val="003B2E0D"/>
    <w:rsid w:val="003B3026"/>
    <w:rsid w:val="003B3190"/>
    <w:rsid w:val="003B339B"/>
    <w:rsid w:val="003B36F2"/>
    <w:rsid w:val="003B4306"/>
    <w:rsid w:val="003B4988"/>
    <w:rsid w:val="003B4A70"/>
    <w:rsid w:val="003B4C86"/>
    <w:rsid w:val="003B5344"/>
    <w:rsid w:val="003B5C9D"/>
    <w:rsid w:val="003B6964"/>
    <w:rsid w:val="003B74BC"/>
    <w:rsid w:val="003B783E"/>
    <w:rsid w:val="003B7B85"/>
    <w:rsid w:val="003B7DE8"/>
    <w:rsid w:val="003C04C7"/>
    <w:rsid w:val="003C0A28"/>
    <w:rsid w:val="003C2261"/>
    <w:rsid w:val="003C22A2"/>
    <w:rsid w:val="003C23D2"/>
    <w:rsid w:val="003C243B"/>
    <w:rsid w:val="003C297C"/>
    <w:rsid w:val="003C31BE"/>
    <w:rsid w:val="003C407D"/>
    <w:rsid w:val="003C459A"/>
    <w:rsid w:val="003C4D15"/>
    <w:rsid w:val="003C5CCF"/>
    <w:rsid w:val="003C5ED8"/>
    <w:rsid w:val="003C608F"/>
    <w:rsid w:val="003C63F5"/>
    <w:rsid w:val="003C6465"/>
    <w:rsid w:val="003C64CD"/>
    <w:rsid w:val="003C7446"/>
    <w:rsid w:val="003C795E"/>
    <w:rsid w:val="003D00F3"/>
    <w:rsid w:val="003D044E"/>
    <w:rsid w:val="003D0669"/>
    <w:rsid w:val="003D082A"/>
    <w:rsid w:val="003D0C2F"/>
    <w:rsid w:val="003D193B"/>
    <w:rsid w:val="003D1AA2"/>
    <w:rsid w:val="003D2027"/>
    <w:rsid w:val="003D2AE8"/>
    <w:rsid w:val="003D3805"/>
    <w:rsid w:val="003D48D9"/>
    <w:rsid w:val="003D4C81"/>
    <w:rsid w:val="003D4D81"/>
    <w:rsid w:val="003D4ED3"/>
    <w:rsid w:val="003D5863"/>
    <w:rsid w:val="003D5A18"/>
    <w:rsid w:val="003D5DBF"/>
    <w:rsid w:val="003D6601"/>
    <w:rsid w:val="003D662F"/>
    <w:rsid w:val="003D6867"/>
    <w:rsid w:val="003D762C"/>
    <w:rsid w:val="003D76C4"/>
    <w:rsid w:val="003E0226"/>
    <w:rsid w:val="003E0327"/>
    <w:rsid w:val="003E06F9"/>
    <w:rsid w:val="003E0A17"/>
    <w:rsid w:val="003E0AB4"/>
    <w:rsid w:val="003E129E"/>
    <w:rsid w:val="003E13DC"/>
    <w:rsid w:val="003E1549"/>
    <w:rsid w:val="003E1A2F"/>
    <w:rsid w:val="003E1A53"/>
    <w:rsid w:val="003E1F19"/>
    <w:rsid w:val="003E2546"/>
    <w:rsid w:val="003E3A00"/>
    <w:rsid w:val="003E3A95"/>
    <w:rsid w:val="003E44E4"/>
    <w:rsid w:val="003E44FA"/>
    <w:rsid w:val="003E4F4D"/>
    <w:rsid w:val="003E52A3"/>
    <w:rsid w:val="003E6287"/>
    <w:rsid w:val="003E62F5"/>
    <w:rsid w:val="003E63EC"/>
    <w:rsid w:val="003E6719"/>
    <w:rsid w:val="003E67D9"/>
    <w:rsid w:val="003E69CB"/>
    <w:rsid w:val="003E6AFD"/>
    <w:rsid w:val="003E7181"/>
    <w:rsid w:val="003E72CE"/>
    <w:rsid w:val="003E7875"/>
    <w:rsid w:val="003E7E19"/>
    <w:rsid w:val="003F0ACE"/>
    <w:rsid w:val="003F0C03"/>
    <w:rsid w:val="003F0C3E"/>
    <w:rsid w:val="003F1819"/>
    <w:rsid w:val="003F1E13"/>
    <w:rsid w:val="003F28BD"/>
    <w:rsid w:val="003F2ACE"/>
    <w:rsid w:val="003F2CF1"/>
    <w:rsid w:val="003F2D33"/>
    <w:rsid w:val="003F30B1"/>
    <w:rsid w:val="003F3167"/>
    <w:rsid w:val="003F31F1"/>
    <w:rsid w:val="003F34A9"/>
    <w:rsid w:val="003F35A1"/>
    <w:rsid w:val="003F3C86"/>
    <w:rsid w:val="003F3D1A"/>
    <w:rsid w:val="003F3E6E"/>
    <w:rsid w:val="003F3F8C"/>
    <w:rsid w:val="003F404A"/>
    <w:rsid w:val="003F4202"/>
    <w:rsid w:val="003F429A"/>
    <w:rsid w:val="003F46DC"/>
    <w:rsid w:val="003F4766"/>
    <w:rsid w:val="003F4B51"/>
    <w:rsid w:val="003F4E4B"/>
    <w:rsid w:val="003F5132"/>
    <w:rsid w:val="003F58FA"/>
    <w:rsid w:val="003F5B7A"/>
    <w:rsid w:val="003F5BA7"/>
    <w:rsid w:val="003F5D20"/>
    <w:rsid w:val="003F600C"/>
    <w:rsid w:val="003F622E"/>
    <w:rsid w:val="003F62E4"/>
    <w:rsid w:val="003F65A2"/>
    <w:rsid w:val="003F7674"/>
    <w:rsid w:val="003F7AB8"/>
    <w:rsid w:val="003F7D8B"/>
    <w:rsid w:val="00400500"/>
    <w:rsid w:val="0040056A"/>
    <w:rsid w:val="004005BD"/>
    <w:rsid w:val="00400C66"/>
    <w:rsid w:val="004016BC"/>
    <w:rsid w:val="0040176A"/>
    <w:rsid w:val="004019A2"/>
    <w:rsid w:val="00401BA6"/>
    <w:rsid w:val="004020BC"/>
    <w:rsid w:val="00402339"/>
    <w:rsid w:val="00402588"/>
    <w:rsid w:val="004033A2"/>
    <w:rsid w:val="004034AD"/>
    <w:rsid w:val="00403883"/>
    <w:rsid w:val="00403A70"/>
    <w:rsid w:val="00403A8D"/>
    <w:rsid w:val="00403C33"/>
    <w:rsid w:val="004044B6"/>
    <w:rsid w:val="004061EA"/>
    <w:rsid w:val="004065DD"/>
    <w:rsid w:val="00406720"/>
    <w:rsid w:val="004067E5"/>
    <w:rsid w:val="0040685F"/>
    <w:rsid w:val="00406981"/>
    <w:rsid w:val="004107FD"/>
    <w:rsid w:val="00410A21"/>
    <w:rsid w:val="00410E49"/>
    <w:rsid w:val="00410EB1"/>
    <w:rsid w:val="00411044"/>
    <w:rsid w:val="00411293"/>
    <w:rsid w:val="00411BF3"/>
    <w:rsid w:val="00412566"/>
    <w:rsid w:val="004132BD"/>
    <w:rsid w:val="00413BB8"/>
    <w:rsid w:val="004141D9"/>
    <w:rsid w:val="0041446D"/>
    <w:rsid w:val="004144DC"/>
    <w:rsid w:val="00414A6F"/>
    <w:rsid w:val="00414CA0"/>
    <w:rsid w:val="00414ED0"/>
    <w:rsid w:val="00415067"/>
    <w:rsid w:val="00415338"/>
    <w:rsid w:val="004153BE"/>
    <w:rsid w:val="0041559C"/>
    <w:rsid w:val="0041577D"/>
    <w:rsid w:val="004157BA"/>
    <w:rsid w:val="00415A79"/>
    <w:rsid w:val="00415A86"/>
    <w:rsid w:val="00416047"/>
    <w:rsid w:val="004162B1"/>
    <w:rsid w:val="00416BD2"/>
    <w:rsid w:val="004176F3"/>
    <w:rsid w:val="00417B8C"/>
    <w:rsid w:val="00417DE4"/>
    <w:rsid w:val="00417E52"/>
    <w:rsid w:val="00417F89"/>
    <w:rsid w:val="004214E3"/>
    <w:rsid w:val="0042157C"/>
    <w:rsid w:val="00421DBB"/>
    <w:rsid w:val="00422039"/>
    <w:rsid w:val="00422AD6"/>
    <w:rsid w:val="004230A7"/>
    <w:rsid w:val="004232F8"/>
    <w:rsid w:val="00424C90"/>
    <w:rsid w:val="004255F8"/>
    <w:rsid w:val="0042566E"/>
    <w:rsid w:val="0042583C"/>
    <w:rsid w:val="00425BB6"/>
    <w:rsid w:val="00425BFC"/>
    <w:rsid w:val="00425C56"/>
    <w:rsid w:val="00426844"/>
    <w:rsid w:val="00426B56"/>
    <w:rsid w:val="00426CF3"/>
    <w:rsid w:val="00426E95"/>
    <w:rsid w:val="00427671"/>
    <w:rsid w:val="004278EC"/>
    <w:rsid w:val="00427927"/>
    <w:rsid w:val="00427D4A"/>
    <w:rsid w:val="00427F72"/>
    <w:rsid w:val="00430120"/>
    <w:rsid w:val="00430217"/>
    <w:rsid w:val="004304A1"/>
    <w:rsid w:val="00430526"/>
    <w:rsid w:val="0043058F"/>
    <w:rsid w:val="00430C49"/>
    <w:rsid w:val="00430DF6"/>
    <w:rsid w:val="0043114A"/>
    <w:rsid w:val="004313F1"/>
    <w:rsid w:val="004318DE"/>
    <w:rsid w:val="00431D3F"/>
    <w:rsid w:val="00431F3D"/>
    <w:rsid w:val="00432C53"/>
    <w:rsid w:val="00433A13"/>
    <w:rsid w:val="00433A3C"/>
    <w:rsid w:val="00434023"/>
    <w:rsid w:val="00434DED"/>
    <w:rsid w:val="00435066"/>
    <w:rsid w:val="0043522C"/>
    <w:rsid w:val="0043573D"/>
    <w:rsid w:val="00435CB5"/>
    <w:rsid w:val="00435E58"/>
    <w:rsid w:val="00436221"/>
    <w:rsid w:val="00436950"/>
    <w:rsid w:val="00436A54"/>
    <w:rsid w:val="00437146"/>
    <w:rsid w:val="004374A9"/>
    <w:rsid w:val="00437600"/>
    <w:rsid w:val="00437D8C"/>
    <w:rsid w:val="004402D0"/>
    <w:rsid w:val="004402E0"/>
    <w:rsid w:val="004402FE"/>
    <w:rsid w:val="004403B9"/>
    <w:rsid w:val="00440869"/>
    <w:rsid w:val="00440AAC"/>
    <w:rsid w:val="00440C65"/>
    <w:rsid w:val="00440E19"/>
    <w:rsid w:val="00441719"/>
    <w:rsid w:val="0044201E"/>
    <w:rsid w:val="00442308"/>
    <w:rsid w:val="00442476"/>
    <w:rsid w:val="004424D8"/>
    <w:rsid w:val="00442587"/>
    <w:rsid w:val="0044268A"/>
    <w:rsid w:val="00442720"/>
    <w:rsid w:val="00442880"/>
    <w:rsid w:val="00442B53"/>
    <w:rsid w:val="00442C6D"/>
    <w:rsid w:val="00442F2E"/>
    <w:rsid w:val="00443075"/>
    <w:rsid w:val="004430A1"/>
    <w:rsid w:val="004430EA"/>
    <w:rsid w:val="0044360B"/>
    <w:rsid w:val="0044372C"/>
    <w:rsid w:val="00443B89"/>
    <w:rsid w:val="00444AF6"/>
    <w:rsid w:val="00444B8D"/>
    <w:rsid w:val="00445203"/>
    <w:rsid w:val="004454A4"/>
    <w:rsid w:val="004457F6"/>
    <w:rsid w:val="0044603F"/>
    <w:rsid w:val="004465BA"/>
    <w:rsid w:val="00446749"/>
    <w:rsid w:val="0044678B"/>
    <w:rsid w:val="00447BEB"/>
    <w:rsid w:val="0045014D"/>
    <w:rsid w:val="0045019C"/>
    <w:rsid w:val="004502EA"/>
    <w:rsid w:val="00450A4E"/>
    <w:rsid w:val="00451235"/>
    <w:rsid w:val="00451A0D"/>
    <w:rsid w:val="00452CB2"/>
    <w:rsid w:val="00452EA2"/>
    <w:rsid w:val="00453356"/>
    <w:rsid w:val="004535F2"/>
    <w:rsid w:val="00454365"/>
    <w:rsid w:val="004550B8"/>
    <w:rsid w:val="0045557E"/>
    <w:rsid w:val="004555B5"/>
    <w:rsid w:val="00455929"/>
    <w:rsid w:val="00455C6E"/>
    <w:rsid w:val="004562A8"/>
    <w:rsid w:val="004569CF"/>
    <w:rsid w:val="00456AC4"/>
    <w:rsid w:val="00457282"/>
    <w:rsid w:val="004572EE"/>
    <w:rsid w:val="0045730B"/>
    <w:rsid w:val="0045746B"/>
    <w:rsid w:val="00457803"/>
    <w:rsid w:val="00457C86"/>
    <w:rsid w:val="00460257"/>
    <w:rsid w:val="00460654"/>
    <w:rsid w:val="00460DD4"/>
    <w:rsid w:val="00460ECD"/>
    <w:rsid w:val="0046176E"/>
    <w:rsid w:val="004619B9"/>
    <w:rsid w:val="00461FB4"/>
    <w:rsid w:val="0046228C"/>
    <w:rsid w:val="004629C1"/>
    <w:rsid w:val="00462D66"/>
    <w:rsid w:val="00462E2C"/>
    <w:rsid w:val="00462EE7"/>
    <w:rsid w:val="00463006"/>
    <w:rsid w:val="004630B2"/>
    <w:rsid w:val="0046373E"/>
    <w:rsid w:val="0046386E"/>
    <w:rsid w:val="004646FD"/>
    <w:rsid w:val="00464C1B"/>
    <w:rsid w:val="00465172"/>
    <w:rsid w:val="004656E1"/>
    <w:rsid w:val="00466505"/>
    <w:rsid w:val="0046655D"/>
    <w:rsid w:val="0046676D"/>
    <w:rsid w:val="00466878"/>
    <w:rsid w:val="00466EB4"/>
    <w:rsid w:val="00466FAD"/>
    <w:rsid w:val="0046710B"/>
    <w:rsid w:val="004673CB"/>
    <w:rsid w:val="00467A26"/>
    <w:rsid w:val="00467A58"/>
    <w:rsid w:val="00467A65"/>
    <w:rsid w:val="00467BEC"/>
    <w:rsid w:val="00467D1A"/>
    <w:rsid w:val="00467D4B"/>
    <w:rsid w:val="00470FE7"/>
    <w:rsid w:val="004711A8"/>
    <w:rsid w:val="00471734"/>
    <w:rsid w:val="00471D22"/>
    <w:rsid w:val="00471F27"/>
    <w:rsid w:val="004732AD"/>
    <w:rsid w:val="00473945"/>
    <w:rsid w:val="00473BA0"/>
    <w:rsid w:val="00473F84"/>
    <w:rsid w:val="00474CA8"/>
    <w:rsid w:val="00474D97"/>
    <w:rsid w:val="00474E39"/>
    <w:rsid w:val="0047538D"/>
    <w:rsid w:val="004753E4"/>
    <w:rsid w:val="00475541"/>
    <w:rsid w:val="00475ADB"/>
    <w:rsid w:val="00475BB1"/>
    <w:rsid w:val="004760C5"/>
    <w:rsid w:val="00476C21"/>
    <w:rsid w:val="00476C88"/>
    <w:rsid w:val="004770C8"/>
    <w:rsid w:val="00477AFC"/>
    <w:rsid w:val="0048075B"/>
    <w:rsid w:val="004810D9"/>
    <w:rsid w:val="004816AF"/>
    <w:rsid w:val="004817A4"/>
    <w:rsid w:val="00481B90"/>
    <w:rsid w:val="00482087"/>
    <w:rsid w:val="00482560"/>
    <w:rsid w:val="004826BA"/>
    <w:rsid w:val="00482DFC"/>
    <w:rsid w:val="00482E90"/>
    <w:rsid w:val="0048323C"/>
    <w:rsid w:val="00483338"/>
    <w:rsid w:val="0048347B"/>
    <w:rsid w:val="004837F3"/>
    <w:rsid w:val="00483A39"/>
    <w:rsid w:val="00483E8D"/>
    <w:rsid w:val="00483F89"/>
    <w:rsid w:val="004840BF"/>
    <w:rsid w:val="0048452E"/>
    <w:rsid w:val="00484A37"/>
    <w:rsid w:val="00484EA1"/>
    <w:rsid w:val="0048575A"/>
    <w:rsid w:val="00485820"/>
    <w:rsid w:val="004863C1"/>
    <w:rsid w:val="004865B4"/>
    <w:rsid w:val="004867DC"/>
    <w:rsid w:val="00486BDA"/>
    <w:rsid w:val="0048708F"/>
    <w:rsid w:val="004874D4"/>
    <w:rsid w:val="004876AA"/>
    <w:rsid w:val="00490046"/>
    <w:rsid w:val="004905D7"/>
    <w:rsid w:val="004907AC"/>
    <w:rsid w:val="00490EF3"/>
    <w:rsid w:val="00491986"/>
    <w:rsid w:val="00492322"/>
    <w:rsid w:val="00492602"/>
    <w:rsid w:val="004928AB"/>
    <w:rsid w:val="00492F86"/>
    <w:rsid w:val="00493933"/>
    <w:rsid w:val="00493D08"/>
    <w:rsid w:val="00493D0F"/>
    <w:rsid w:val="00493ECA"/>
    <w:rsid w:val="00493F8C"/>
    <w:rsid w:val="0049439C"/>
    <w:rsid w:val="0049452E"/>
    <w:rsid w:val="00494779"/>
    <w:rsid w:val="004948F5"/>
    <w:rsid w:val="00494A9A"/>
    <w:rsid w:val="00494B37"/>
    <w:rsid w:val="004950B2"/>
    <w:rsid w:val="00495229"/>
    <w:rsid w:val="00495290"/>
    <w:rsid w:val="00495721"/>
    <w:rsid w:val="0049577E"/>
    <w:rsid w:val="00495CCA"/>
    <w:rsid w:val="00497503"/>
    <w:rsid w:val="004A020E"/>
    <w:rsid w:val="004A022E"/>
    <w:rsid w:val="004A0401"/>
    <w:rsid w:val="004A043D"/>
    <w:rsid w:val="004A10CF"/>
    <w:rsid w:val="004A12A3"/>
    <w:rsid w:val="004A276F"/>
    <w:rsid w:val="004A2FEB"/>
    <w:rsid w:val="004A308A"/>
    <w:rsid w:val="004A322D"/>
    <w:rsid w:val="004A34CA"/>
    <w:rsid w:val="004A3AB3"/>
    <w:rsid w:val="004A3D44"/>
    <w:rsid w:val="004A4789"/>
    <w:rsid w:val="004A4A2F"/>
    <w:rsid w:val="004A4BEC"/>
    <w:rsid w:val="004A4E22"/>
    <w:rsid w:val="004A4F3E"/>
    <w:rsid w:val="004A51E7"/>
    <w:rsid w:val="004A5944"/>
    <w:rsid w:val="004A5B4C"/>
    <w:rsid w:val="004A5D8D"/>
    <w:rsid w:val="004A5DF5"/>
    <w:rsid w:val="004A5F24"/>
    <w:rsid w:val="004A60C0"/>
    <w:rsid w:val="004A62A1"/>
    <w:rsid w:val="004A6AD2"/>
    <w:rsid w:val="004A6AFC"/>
    <w:rsid w:val="004A7607"/>
    <w:rsid w:val="004A7741"/>
    <w:rsid w:val="004A7A4C"/>
    <w:rsid w:val="004A7F4A"/>
    <w:rsid w:val="004B0070"/>
    <w:rsid w:val="004B0A54"/>
    <w:rsid w:val="004B0AE6"/>
    <w:rsid w:val="004B1134"/>
    <w:rsid w:val="004B156C"/>
    <w:rsid w:val="004B2DE8"/>
    <w:rsid w:val="004B3240"/>
    <w:rsid w:val="004B3845"/>
    <w:rsid w:val="004B3A86"/>
    <w:rsid w:val="004B3C63"/>
    <w:rsid w:val="004B3D3C"/>
    <w:rsid w:val="004B4714"/>
    <w:rsid w:val="004B5030"/>
    <w:rsid w:val="004B6BD4"/>
    <w:rsid w:val="004B6E50"/>
    <w:rsid w:val="004B71DF"/>
    <w:rsid w:val="004B72B8"/>
    <w:rsid w:val="004B7480"/>
    <w:rsid w:val="004B7C15"/>
    <w:rsid w:val="004C02ED"/>
    <w:rsid w:val="004C0F7D"/>
    <w:rsid w:val="004C15E3"/>
    <w:rsid w:val="004C2AEF"/>
    <w:rsid w:val="004C2DD7"/>
    <w:rsid w:val="004C2E17"/>
    <w:rsid w:val="004C3572"/>
    <w:rsid w:val="004C35D1"/>
    <w:rsid w:val="004C4017"/>
    <w:rsid w:val="004C4C9D"/>
    <w:rsid w:val="004C5130"/>
    <w:rsid w:val="004C5398"/>
    <w:rsid w:val="004C5907"/>
    <w:rsid w:val="004C656A"/>
    <w:rsid w:val="004C6AE2"/>
    <w:rsid w:val="004C6DF0"/>
    <w:rsid w:val="004C7037"/>
    <w:rsid w:val="004C70CF"/>
    <w:rsid w:val="004C72DA"/>
    <w:rsid w:val="004C7A21"/>
    <w:rsid w:val="004C7EB0"/>
    <w:rsid w:val="004C7F04"/>
    <w:rsid w:val="004D0141"/>
    <w:rsid w:val="004D052A"/>
    <w:rsid w:val="004D06DC"/>
    <w:rsid w:val="004D0973"/>
    <w:rsid w:val="004D0B83"/>
    <w:rsid w:val="004D0EB3"/>
    <w:rsid w:val="004D2EC5"/>
    <w:rsid w:val="004D34CF"/>
    <w:rsid w:val="004D36B8"/>
    <w:rsid w:val="004D3EC2"/>
    <w:rsid w:val="004D468F"/>
    <w:rsid w:val="004D4E63"/>
    <w:rsid w:val="004D5230"/>
    <w:rsid w:val="004D5E12"/>
    <w:rsid w:val="004D60E6"/>
    <w:rsid w:val="004D7012"/>
    <w:rsid w:val="004D7B58"/>
    <w:rsid w:val="004E00A5"/>
    <w:rsid w:val="004E09C8"/>
    <w:rsid w:val="004E0AB9"/>
    <w:rsid w:val="004E0D17"/>
    <w:rsid w:val="004E1194"/>
    <w:rsid w:val="004E17B0"/>
    <w:rsid w:val="004E18C9"/>
    <w:rsid w:val="004E1A52"/>
    <w:rsid w:val="004E2285"/>
    <w:rsid w:val="004E24B5"/>
    <w:rsid w:val="004E2E54"/>
    <w:rsid w:val="004E2F41"/>
    <w:rsid w:val="004E30E5"/>
    <w:rsid w:val="004E397E"/>
    <w:rsid w:val="004E3E7F"/>
    <w:rsid w:val="004E492C"/>
    <w:rsid w:val="004E53D9"/>
    <w:rsid w:val="004E5A9B"/>
    <w:rsid w:val="004E5C0D"/>
    <w:rsid w:val="004E5D63"/>
    <w:rsid w:val="004E5DFD"/>
    <w:rsid w:val="004E5FE5"/>
    <w:rsid w:val="004E6BAC"/>
    <w:rsid w:val="004E6D04"/>
    <w:rsid w:val="004E73C3"/>
    <w:rsid w:val="004E73E0"/>
    <w:rsid w:val="004E74BB"/>
    <w:rsid w:val="004E7572"/>
    <w:rsid w:val="004E7ADC"/>
    <w:rsid w:val="004E7D46"/>
    <w:rsid w:val="004F0027"/>
    <w:rsid w:val="004F00C5"/>
    <w:rsid w:val="004F07E6"/>
    <w:rsid w:val="004F0BBF"/>
    <w:rsid w:val="004F0CBD"/>
    <w:rsid w:val="004F1214"/>
    <w:rsid w:val="004F1D94"/>
    <w:rsid w:val="004F2330"/>
    <w:rsid w:val="004F30B4"/>
    <w:rsid w:val="004F324A"/>
    <w:rsid w:val="004F443E"/>
    <w:rsid w:val="004F4453"/>
    <w:rsid w:val="004F4D2F"/>
    <w:rsid w:val="004F4DEA"/>
    <w:rsid w:val="004F51CE"/>
    <w:rsid w:val="004F595B"/>
    <w:rsid w:val="004F610F"/>
    <w:rsid w:val="004F661B"/>
    <w:rsid w:val="004F6AB2"/>
    <w:rsid w:val="004F6BB4"/>
    <w:rsid w:val="004F73F2"/>
    <w:rsid w:val="004F7A14"/>
    <w:rsid w:val="004F7B94"/>
    <w:rsid w:val="00500477"/>
    <w:rsid w:val="005004E6"/>
    <w:rsid w:val="005009FF"/>
    <w:rsid w:val="00501421"/>
    <w:rsid w:val="00501556"/>
    <w:rsid w:val="00501671"/>
    <w:rsid w:val="00501AA5"/>
    <w:rsid w:val="00501B81"/>
    <w:rsid w:val="00501CCA"/>
    <w:rsid w:val="00501DB7"/>
    <w:rsid w:val="005023C7"/>
    <w:rsid w:val="00502B56"/>
    <w:rsid w:val="00502F22"/>
    <w:rsid w:val="0050312C"/>
    <w:rsid w:val="00503884"/>
    <w:rsid w:val="005039E2"/>
    <w:rsid w:val="00503BB3"/>
    <w:rsid w:val="005042B0"/>
    <w:rsid w:val="00504818"/>
    <w:rsid w:val="00504D00"/>
    <w:rsid w:val="00504F13"/>
    <w:rsid w:val="0050504E"/>
    <w:rsid w:val="0050551D"/>
    <w:rsid w:val="005057BC"/>
    <w:rsid w:val="00505846"/>
    <w:rsid w:val="00506064"/>
    <w:rsid w:val="00506581"/>
    <w:rsid w:val="00506976"/>
    <w:rsid w:val="00506AA7"/>
    <w:rsid w:val="005071A5"/>
    <w:rsid w:val="005072DF"/>
    <w:rsid w:val="00507616"/>
    <w:rsid w:val="00507BD8"/>
    <w:rsid w:val="00510313"/>
    <w:rsid w:val="005108A7"/>
    <w:rsid w:val="00511108"/>
    <w:rsid w:val="0051112F"/>
    <w:rsid w:val="00511488"/>
    <w:rsid w:val="005115E6"/>
    <w:rsid w:val="00511B19"/>
    <w:rsid w:val="00512212"/>
    <w:rsid w:val="00512382"/>
    <w:rsid w:val="00512744"/>
    <w:rsid w:val="00512EB4"/>
    <w:rsid w:val="00513E4A"/>
    <w:rsid w:val="0051418F"/>
    <w:rsid w:val="00514618"/>
    <w:rsid w:val="005148F1"/>
    <w:rsid w:val="00515391"/>
    <w:rsid w:val="00515BC2"/>
    <w:rsid w:val="005165F6"/>
    <w:rsid w:val="00516611"/>
    <w:rsid w:val="0051675D"/>
    <w:rsid w:val="0051725C"/>
    <w:rsid w:val="005175BA"/>
    <w:rsid w:val="00517B9B"/>
    <w:rsid w:val="0052045A"/>
    <w:rsid w:val="005204ED"/>
    <w:rsid w:val="00520E58"/>
    <w:rsid w:val="0052114B"/>
    <w:rsid w:val="0052192C"/>
    <w:rsid w:val="00521C27"/>
    <w:rsid w:val="00521DD1"/>
    <w:rsid w:val="005226AC"/>
    <w:rsid w:val="005228D0"/>
    <w:rsid w:val="00522CC5"/>
    <w:rsid w:val="00522F2C"/>
    <w:rsid w:val="00523044"/>
    <w:rsid w:val="005232BA"/>
    <w:rsid w:val="00523412"/>
    <w:rsid w:val="005236F5"/>
    <w:rsid w:val="00523CF6"/>
    <w:rsid w:val="0052478D"/>
    <w:rsid w:val="0052482A"/>
    <w:rsid w:val="00524FC9"/>
    <w:rsid w:val="00525085"/>
    <w:rsid w:val="0052512D"/>
    <w:rsid w:val="0052576D"/>
    <w:rsid w:val="00525A1F"/>
    <w:rsid w:val="00525AF3"/>
    <w:rsid w:val="00525BDD"/>
    <w:rsid w:val="005274EF"/>
    <w:rsid w:val="0052783C"/>
    <w:rsid w:val="00530610"/>
    <w:rsid w:val="00530AFF"/>
    <w:rsid w:val="00530C2B"/>
    <w:rsid w:val="005310C5"/>
    <w:rsid w:val="00531228"/>
    <w:rsid w:val="00531239"/>
    <w:rsid w:val="00531A36"/>
    <w:rsid w:val="00531AFE"/>
    <w:rsid w:val="00532018"/>
    <w:rsid w:val="00532069"/>
    <w:rsid w:val="005331A1"/>
    <w:rsid w:val="005334B2"/>
    <w:rsid w:val="00533AA6"/>
    <w:rsid w:val="00533D80"/>
    <w:rsid w:val="00534998"/>
    <w:rsid w:val="005349EF"/>
    <w:rsid w:val="00534CDB"/>
    <w:rsid w:val="00535426"/>
    <w:rsid w:val="00535555"/>
    <w:rsid w:val="005355D1"/>
    <w:rsid w:val="005356F4"/>
    <w:rsid w:val="005357D9"/>
    <w:rsid w:val="005359F4"/>
    <w:rsid w:val="00535E32"/>
    <w:rsid w:val="00535E85"/>
    <w:rsid w:val="00535FA8"/>
    <w:rsid w:val="00535FA9"/>
    <w:rsid w:val="00536618"/>
    <w:rsid w:val="00536C5B"/>
    <w:rsid w:val="00537106"/>
    <w:rsid w:val="005374AD"/>
    <w:rsid w:val="00537BC3"/>
    <w:rsid w:val="00537D44"/>
    <w:rsid w:val="00537D64"/>
    <w:rsid w:val="005401D1"/>
    <w:rsid w:val="00540780"/>
    <w:rsid w:val="005411AB"/>
    <w:rsid w:val="005412DD"/>
    <w:rsid w:val="0054132E"/>
    <w:rsid w:val="00541560"/>
    <w:rsid w:val="005418CE"/>
    <w:rsid w:val="00541B0D"/>
    <w:rsid w:val="00541BCE"/>
    <w:rsid w:val="00541C15"/>
    <w:rsid w:val="005424C5"/>
    <w:rsid w:val="005425C3"/>
    <w:rsid w:val="005429DB"/>
    <w:rsid w:val="00542A1D"/>
    <w:rsid w:val="00543108"/>
    <w:rsid w:val="0054383F"/>
    <w:rsid w:val="0054394F"/>
    <w:rsid w:val="00543D08"/>
    <w:rsid w:val="00544837"/>
    <w:rsid w:val="00544AAD"/>
    <w:rsid w:val="00544C6A"/>
    <w:rsid w:val="00544F59"/>
    <w:rsid w:val="00545094"/>
    <w:rsid w:val="00545BED"/>
    <w:rsid w:val="00545F4C"/>
    <w:rsid w:val="0054655C"/>
    <w:rsid w:val="005470D8"/>
    <w:rsid w:val="00547B4D"/>
    <w:rsid w:val="00547D92"/>
    <w:rsid w:val="00547DAB"/>
    <w:rsid w:val="005502F1"/>
    <w:rsid w:val="0055053F"/>
    <w:rsid w:val="00550561"/>
    <w:rsid w:val="005509CC"/>
    <w:rsid w:val="00550ACC"/>
    <w:rsid w:val="0055131A"/>
    <w:rsid w:val="00551922"/>
    <w:rsid w:val="00551B14"/>
    <w:rsid w:val="00552689"/>
    <w:rsid w:val="00552AFD"/>
    <w:rsid w:val="00552BDE"/>
    <w:rsid w:val="00553102"/>
    <w:rsid w:val="00553385"/>
    <w:rsid w:val="00553B0F"/>
    <w:rsid w:val="00553D7A"/>
    <w:rsid w:val="00553E96"/>
    <w:rsid w:val="005545A5"/>
    <w:rsid w:val="00554845"/>
    <w:rsid w:val="00554945"/>
    <w:rsid w:val="00554BC9"/>
    <w:rsid w:val="00554D64"/>
    <w:rsid w:val="005554C4"/>
    <w:rsid w:val="00555580"/>
    <w:rsid w:val="00555583"/>
    <w:rsid w:val="005557EC"/>
    <w:rsid w:val="00555E5E"/>
    <w:rsid w:val="00556261"/>
    <w:rsid w:val="00556682"/>
    <w:rsid w:val="005566ED"/>
    <w:rsid w:val="00556AB8"/>
    <w:rsid w:val="00556F4D"/>
    <w:rsid w:val="005576AB"/>
    <w:rsid w:val="00557B07"/>
    <w:rsid w:val="00557E9B"/>
    <w:rsid w:val="00557EA2"/>
    <w:rsid w:val="00557FCA"/>
    <w:rsid w:val="00557FCD"/>
    <w:rsid w:val="005604B1"/>
    <w:rsid w:val="0056086D"/>
    <w:rsid w:val="00562655"/>
    <w:rsid w:val="00562989"/>
    <w:rsid w:val="00562DEE"/>
    <w:rsid w:val="005638D6"/>
    <w:rsid w:val="005638E2"/>
    <w:rsid w:val="005639D9"/>
    <w:rsid w:val="005639DC"/>
    <w:rsid w:val="00563B82"/>
    <w:rsid w:val="00563F7C"/>
    <w:rsid w:val="00564338"/>
    <w:rsid w:val="00564586"/>
    <w:rsid w:val="00564F52"/>
    <w:rsid w:val="00565776"/>
    <w:rsid w:val="005659B8"/>
    <w:rsid w:val="00565C0A"/>
    <w:rsid w:val="00565F65"/>
    <w:rsid w:val="00566422"/>
    <w:rsid w:val="00566647"/>
    <w:rsid w:val="00567207"/>
    <w:rsid w:val="00567738"/>
    <w:rsid w:val="0056784A"/>
    <w:rsid w:val="0056796F"/>
    <w:rsid w:val="0057018F"/>
    <w:rsid w:val="0057023A"/>
    <w:rsid w:val="00570270"/>
    <w:rsid w:val="00570701"/>
    <w:rsid w:val="005708DA"/>
    <w:rsid w:val="00570EAC"/>
    <w:rsid w:val="00571122"/>
    <w:rsid w:val="00571BE0"/>
    <w:rsid w:val="00571ED9"/>
    <w:rsid w:val="005737E6"/>
    <w:rsid w:val="005739B5"/>
    <w:rsid w:val="00573B6D"/>
    <w:rsid w:val="00574486"/>
    <w:rsid w:val="0057467C"/>
    <w:rsid w:val="005749E8"/>
    <w:rsid w:val="00574C22"/>
    <w:rsid w:val="005750DB"/>
    <w:rsid w:val="00575299"/>
    <w:rsid w:val="005764D3"/>
    <w:rsid w:val="00576593"/>
    <w:rsid w:val="005770A0"/>
    <w:rsid w:val="0057745A"/>
    <w:rsid w:val="00577755"/>
    <w:rsid w:val="00577766"/>
    <w:rsid w:val="00577FDE"/>
    <w:rsid w:val="005801BD"/>
    <w:rsid w:val="00580348"/>
    <w:rsid w:val="005814D0"/>
    <w:rsid w:val="00581686"/>
    <w:rsid w:val="005817E1"/>
    <w:rsid w:val="00582129"/>
    <w:rsid w:val="005825F8"/>
    <w:rsid w:val="00582722"/>
    <w:rsid w:val="005827D9"/>
    <w:rsid w:val="00582856"/>
    <w:rsid w:val="0058310B"/>
    <w:rsid w:val="005832D4"/>
    <w:rsid w:val="0058362D"/>
    <w:rsid w:val="00583C23"/>
    <w:rsid w:val="00583D54"/>
    <w:rsid w:val="00584215"/>
    <w:rsid w:val="00584216"/>
    <w:rsid w:val="005843F3"/>
    <w:rsid w:val="00584645"/>
    <w:rsid w:val="00584A6D"/>
    <w:rsid w:val="005853DB"/>
    <w:rsid w:val="00586A35"/>
    <w:rsid w:val="00586D90"/>
    <w:rsid w:val="005875C8"/>
    <w:rsid w:val="005879FB"/>
    <w:rsid w:val="00587B63"/>
    <w:rsid w:val="00587F9A"/>
    <w:rsid w:val="0059008A"/>
    <w:rsid w:val="005904B5"/>
    <w:rsid w:val="00590D37"/>
    <w:rsid w:val="005914C4"/>
    <w:rsid w:val="00591894"/>
    <w:rsid w:val="00591C87"/>
    <w:rsid w:val="00591EB0"/>
    <w:rsid w:val="00591F78"/>
    <w:rsid w:val="00592124"/>
    <w:rsid w:val="0059234E"/>
    <w:rsid w:val="005928CD"/>
    <w:rsid w:val="00592CBE"/>
    <w:rsid w:val="00593729"/>
    <w:rsid w:val="00593777"/>
    <w:rsid w:val="00594B5B"/>
    <w:rsid w:val="00594EFE"/>
    <w:rsid w:val="00594FE9"/>
    <w:rsid w:val="00595507"/>
    <w:rsid w:val="005957B6"/>
    <w:rsid w:val="0059583E"/>
    <w:rsid w:val="00595E72"/>
    <w:rsid w:val="005962A3"/>
    <w:rsid w:val="005962CD"/>
    <w:rsid w:val="00596B1F"/>
    <w:rsid w:val="00596D64"/>
    <w:rsid w:val="00596EE7"/>
    <w:rsid w:val="005972A3"/>
    <w:rsid w:val="00597891"/>
    <w:rsid w:val="005978BB"/>
    <w:rsid w:val="005A001D"/>
    <w:rsid w:val="005A0195"/>
    <w:rsid w:val="005A05E1"/>
    <w:rsid w:val="005A0B7B"/>
    <w:rsid w:val="005A0E6B"/>
    <w:rsid w:val="005A20BE"/>
    <w:rsid w:val="005A2439"/>
    <w:rsid w:val="005A2835"/>
    <w:rsid w:val="005A2945"/>
    <w:rsid w:val="005A2C7B"/>
    <w:rsid w:val="005A2DD2"/>
    <w:rsid w:val="005A3098"/>
    <w:rsid w:val="005A33BE"/>
    <w:rsid w:val="005A3574"/>
    <w:rsid w:val="005A36B4"/>
    <w:rsid w:val="005A4065"/>
    <w:rsid w:val="005A4364"/>
    <w:rsid w:val="005A45A7"/>
    <w:rsid w:val="005A47E6"/>
    <w:rsid w:val="005A4DE2"/>
    <w:rsid w:val="005A4E2E"/>
    <w:rsid w:val="005A4FBF"/>
    <w:rsid w:val="005A5581"/>
    <w:rsid w:val="005A5944"/>
    <w:rsid w:val="005A5A81"/>
    <w:rsid w:val="005A60DF"/>
    <w:rsid w:val="005A6120"/>
    <w:rsid w:val="005A69FF"/>
    <w:rsid w:val="005A6DE7"/>
    <w:rsid w:val="005A731E"/>
    <w:rsid w:val="005A7D5A"/>
    <w:rsid w:val="005B0333"/>
    <w:rsid w:val="005B0745"/>
    <w:rsid w:val="005B0F77"/>
    <w:rsid w:val="005B109D"/>
    <w:rsid w:val="005B15C9"/>
    <w:rsid w:val="005B1AC0"/>
    <w:rsid w:val="005B1B5F"/>
    <w:rsid w:val="005B218C"/>
    <w:rsid w:val="005B246F"/>
    <w:rsid w:val="005B248B"/>
    <w:rsid w:val="005B24B0"/>
    <w:rsid w:val="005B2B47"/>
    <w:rsid w:val="005B2B4B"/>
    <w:rsid w:val="005B2BDE"/>
    <w:rsid w:val="005B2EE3"/>
    <w:rsid w:val="005B2FCA"/>
    <w:rsid w:val="005B33EC"/>
    <w:rsid w:val="005B36CC"/>
    <w:rsid w:val="005B3A1A"/>
    <w:rsid w:val="005B3C82"/>
    <w:rsid w:val="005B45A8"/>
    <w:rsid w:val="005B465F"/>
    <w:rsid w:val="005B4791"/>
    <w:rsid w:val="005B52F4"/>
    <w:rsid w:val="005B58CB"/>
    <w:rsid w:val="005B5A38"/>
    <w:rsid w:val="005B5E0E"/>
    <w:rsid w:val="005B5EDF"/>
    <w:rsid w:val="005B62AD"/>
    <w:rsid w:val="005B6CBC"/>
    <w:rsid w:val="005B738C"/>
    <w:rsid w:val="005B792C"/>
    <w:rsid w:val="005B7FD7"/>
    <w:rsid w:val="005C0840"/>
    <w:rsid w:val="005C0EA0"/>
    <w:rsid w:val="005C1BE4"/>
    <w:rsid w:val="005C1EB5"/>
    <w:rsid w:val="005C20F1"/>
    <w:rsid w:val="005C2781"/>
    <w:rsid w:val="005C32DE"/>
    <w:rsid w:val="005C3B04"/>
    <w:rsid w:val="005C425D"/>
    <w:rsid w:val="005C4863"/>
    <w:rsid w:val="005C4A10"/>
    <w:rsid w:val="005C4B27"/>
    <w:rsid w:val="005C4B82"/>
    <w:rsid w:val="005C4F51"/>
    <w:rsid w:val="005C4FB1"/>
    <w:rsid w:val="005C4FB5"/>
    <w:rsid w:val="005C52E9"/>
    <w:rsid w:val="005C5620"/>
    <w:rsid w:val="005C567B"/>
    <w:rsid w:val="005C5729"/>
    <w:rsid w:val="005C6285"/>
    <w:rsid w:val="005C638D"/>
    <w:rsid w:val="005C7284"/>
    <w:rsid w:val="005C773C"/>
    <w:rsid w:val="005C79CB"/>
    <w:rsid w:val="005C7FEC"/>
    <w:rsid w:val="005D035C"/>
    <w:rsid w:val="005D05AC"/>
    <w:rsid w:val="005D086F"/>
    <w:rsid w:val="005D167A"/>
    <w:rsid w:val="005D18CF"/>
    <w:rsid w:val="005D1A8E"/>
    <w:rsid w:val="005D1CD9"/>
    <w:rsid w:val="005D1D16"/>
    <w:rsid w:val="005D1F2F"/>
    <w:rsid w:val="005D1FD0"/>
    <w:rsid w:val="005D285F"/>
    <w:rsid w:val="005D28DA"/>
    <w:rsid w:val="005D35DB"/>
    <w:rsid w:val="005D3B0A"/>
    <w:rsid w:val="005D3BE3"/>
    <w:rsid w:val="005D3C75"/>
    <w:rsid w:val="005D3D97"/>
    <w:rsid w:val="005D553C"/>
    <w:rsid w:val="005D5CB2"/>
    <w:rsid w:val="005D5E76"/>
    <w:rsid w:val="005D6300"/>
    <w:rsid w:val="005D6420"/>
    <w:rsid w:val="005D6440"/>
    <w:rsid w:val="005D6565"/>
    <w:rsid w:val="005D6867"/>
    <w:rsid w:val="005D6AA4"/>
    <w:rsid w:val="005D6D39"/>
    <w:rsid w:val="005D7884"/>
    <w:rsid w:val="005E0062"/>
    <w:rsid w:val="005E0446"/>
    <w:rsid w:val="005E04F4"/>
    <w:rsid w:val="005E08CA"/>
    <w:rsid w:val="005E0AAB"/>
    <w:rsid w:val="005E0B89"/>
    <w:rsid w:val="005E10AC"/>
    <w:rsid w:val="005E16D4"/>
    <w:rsid w:val="005E18C6"/>
    <w:rsid w:val="005E1D9D"/>
    <w:rsid w:val="005E214F"/>
    <w:rsid w:val="005E229F"/>
    <w:rsid w:val="005E23A1"/>
    <w:rsid w:val="005E24C3"/>
    <w:rsid w:val="005E29EE"/>
    <w:rsid w:val="005E2A57"/>
    <w:rsid w:val="005E2E31"/>
    <w:rsid w:val="005E33D4"/>
    <w:rsid w:val="005E3C4D"/>
    <w:rsid w:val="005E3EFF"/>
    <w:rsid w:val="005E408F"/>
    <w:rsid w:val="005E4161"/>
    <w:rsid w:val="005E4421"/>
    <w:rsid w:val="005E5D22"/>
    <w:rsid w:val="005E5E46"/>
    <w:rsid w:val="005E612C"/>
    <w:rsid w:val="005F1256"/>
    <w:rsid w:val="005F1328"/>
    <w:rsid w:val="005F14A6"/>
    <w:rsid w:val="005F1B20"/>
    <w:rsid w:val="005F212D"/>
    <w:rsid w:val="005F2D99"/>
    <w:rsid w:val="005F2EB4"/>
    <w:rsid w:val="005F3C06"/>
    <w:rsid w:val="005F3DAD"/>
    <w:rsid w:val="005F49CD"/>
    <w:rsid w:val="005F4CBC"/>
    <w:rsid w:val="005F4CD3"/>
    <w:rsid w:val="005F5086"/>
    <w:rsid w:val="005F54B3"/>
    <w:rsid w:val="005F5E3C"/>
    <w:rsid w:val="005F63FE"/>
    <w:rsid w:val="005F6729"/>
    <w:rsid w:val="005F6DE1"/>
    <w:rsid w:val="005F7B32"/>
    <w:rsid w:val="005F7BD0"/>
    <w:rsid w:val="00600132"/>
    <w:rsid w:val="00600555"/>
    <w:rsid w:val="006011D5"/>
    <w:rsid w:val="00601324"/>
    <w:rsid w:val="00601854"/>
    <w:rsid w:val="00601A81"/>
    <w:rsid w:val="00602144"/>
    <w:rsid w:val="006031D1"/>
    <w:rsid w:val="00603793"/>
    <w:rsid w:val="00603D37"/>
    <w:rsid w:val="006041CB"/>
    <w:rsid w:val="0060436B"/>
    <w:rsid w:val="006044CF"/>
    <w:rsid w:val="006046E3"/>
    <w:rsid w:val="00604751"/>
    <w:rsid w:val="00604BB3"/>
    <w:rsid w:val="00604EAF"/>
    <w:rsid w:val="00605203"/>
    <w:rsid w:val="00605D2C"/>
    <w:rsid w:val="00605E0F"/>
    <w:rsid w:val="0060688D"/>
    <w:rsid w:val="00606BEE"/>
    <w:rsid w:val="00606D87"/>
    <w:rsid w:val="00607155"/>
    <w:rsid w:val="006076E3"/>
    <w:rsid w:val="006077E9"/>
    <w:rsid w:val="00607FDE"/>
    <w:rsid w:val="00610028"/>
    <w:rsid w:val="0061005B"/>
    <w:rsid w:val="00610977"/>
    <w:rsid w:val="006109BE"/>
    <w:rsid w:val="00610C27"/>
    <w:rsid w:val="006110A8"/>
    <w:rsid w:val="00612267"/>
    <w:rsid w:val="006123A3"/>
    <w:rsid w:val="006124AF"/>
    <w:rsid w:val="00612B4A"/>
    <w:rsid w:val="00612E73"/>
    <w:rsid w:val="00612F43"/>
    <w:rsid w:val="0061327D"/>
    <w:rsid w:val="00613ED0"/>
    <w:rsid w:val="00613EFC"/>
    <w:rsid w:val="00615083"/>
    <w:rsid w:val="0061508F"/>
    <w:rsid w:val="006155FB"/>
    <w:rsid w:val="00615EB5"/>
    <w:rsid w:val="00616205"/>
    <w:rsid w:val="006163C3"/>
    <w:rsid w:val="00616754"/>
    <w:rsid w:val="00616943"/>
    <w:rsid w:val="00616F1D"/>
    <w:rsid w:val="006172C4"/>
    <w:rsid w:val="0061763C"/>
    <w:rsid w:val="0062017C"/>
    <w:rsid w:val="00620AC0"/>
    <w:rsid w:val="00620AD4"/>
    <w:rsid w:val="00620E0D"/>
    <w:rsid w:val="00621B52"/>
    <w:rsid w:val="00622017"/>
    <w:rsid w:val="00622135"/>
    <w:rsid w:val="006223D7"/>
    <w:rsid w:val="00622FE6"/>
    <w:rsid w:val="006234BC"/>
    <w:rsid w:val="006234D4"/>
    <w:rsid w:val="006237A3"/>
    <w:rsid w:val="006239D8"/>
    <w:rsid w:val="006245D0"/>
    <w:rsid w:val="00625035"/>
    <w:rsid w:val="00625571"/>
    <w:rsid w:val="006258BF"/>
    <w:rsid w:val="00626209"/>
    <w:rsid w:val="00626402"/>
    <w:rsid w:val="00626456"/>
    <w:rsid w:val="00626684"/>
    <w:rsid w:val="0062674C"/>
    <w:rsid w:val="0062678E"/>
    <w:rsid w:val="00626C4B"/>
    <w:rsid w:val="00626D10"/>
    <w:rsid w:val="00626D75"/>
    <w:rsid w:val="0062747C"/>
    <w:rsid w:val="00627B90"/>
    <w:rsid w:val="00627E24"/>
    <w:rsid w:val="00627F7C"/>
    <w:rsid w:val="006302EC"/>
    <w:rsid w:val="00630418"/>
    <w:rsid w:val="00630629"/>
    <w:rsid w:val="00630666"/>
    <w:rsid w:val="00630EF7"/>
    <w:rsid w:val="00631485"/>
    <w:rsid w:val="00631C1B"/>
    <w:rsid w:val="00631C8D"/>
    <w:rsid w:val="00631DB7"/>
    <w:rsid w:val="0063223D"/>
    <w:rsid w:val="006336BB"/>
    <w:rsid w:val="00633EF7"/>
    <w:rsid w:val="00634282"/>
    <w:rsid w:val="0063448B"/>
    <w:rsid w:val="00634817"/>
    <w:rsid w:val="00635078"/>
    <w:rsid w:val="00635A0A"/>
    <w:rsid w:val="00636687"/>
    <w:rsid w:val="006369C5"/>
    <w:rsid w:val="00636CB9"/>
    <w:rsid w:val="006375C1"/>
    <w:rsid w:val="00637E14"/>
    <w:rsid w:val="00637E4C"/>
    <w:rsid w:val="00637E75"/>
    <w:rsid w:val="00640122"/>
    <w:rsid w:val="006403BC"/>
    <w:rsid w:val="006403EC"/>
    <w:rsid w:val="006406EA"/>
    <w:rsid w:val="00640754"/>
    <w:rsid w:val="00640991"/>
    <w:rsid w:val="00641087"/>
    <w:rsid w:val="0064148D"/>
    <w:rsid w:val="00641515"/>
    <w:rsid w:val="0064178F"/>
    <w:rsid w:val="0064197B"/>
    <w:rsid w:val="00641D93"/>
    <w:rsid w:val="006421F6"/>
    <w:rsid w:val="00642740"/>
    <w:rsid w:val="006429AA"/>
    <w:rsid w:val="00643216"/>
    <w:rsid w:val="006432B3"/>
    <w:rsid w:val="0064354E"/>
    <w:rsid w:val="006443C1"/>
    <w:rsid w:val="00645131"/>
    <w:rsid w:val="0064577B"/>
    <w:rsid w:val="0064599B"/>
    <w:rsid w:val="0064626B"/>
    <w:rsid w:val="006463A8"/>
    <w:rsid w:val="00646D15"/>
    <w:rsid w:val="00646D93"/>
    <w:rsid w:val="00646DCD"/>
    <w:rsid w:val="00646EF2"/>
    <w:rsid w:val="0064712B"/>
    <w:rsid w:val="0064726F"/>
    <w:rsid w:val="006500F2"/>
    <w:rsid w:val="00650BB8"/>
    <w:rsid w:val="00651092"/>
    <w:rsid w:val="006517DF"/>
    <w:rsid w:val="00651D2D"/>
    <w:rsid w:val="00651EE2"/>
    <w:rsid w:val="0065227B"/>
    <w:rsid w:val="00652E8D"/>
    <w:rsid w:val="0065484F"/>
    <w:rsid w:val="006557DF"/>
    <w:rsid w:val="00655E46"/>
    <w:rsid w:val="00656081"/>
    <w:rsid w:val="0065615C"/>
    <w:rsid w:val="0065629C"/>
    <w:rsid w:val="00656463"/>
    <w:rsid w:val="006564F5"/>
    <w:rsid w:val="006568E0"/>
    <w:rsid w:val="00656D67"/>
    <w:rsid w:val="00656DFE"/>
    <w:rsid w:val="00657700"/>
    <w:rsid w:val="00657A21"/>
    <w:rsid w:val="00657C43"/>
    <w:rsid w:val="00657C59"/>
    <w:rsid w:val="00660C28"/>
    <w:rsid w:val="00660C50"/>
    <w:rsid w:val="00661B18"/>
    <w:rsid w:val="00661B5D"/>
    <w:rsid w:val="00661EDE"/>
    <w:rsid w:val="00662074"/>
    <w:rsid w:val="00662191"/>
    <w:rsid w:val="00662AFC"/>
    <w:rsid w:val="00662BFE"/>
    <w:rsid w:val="00662E35"/>
    <w:rsid w:val="0066311B"/>
    <w:rsid w:val="0066363A"/>
    <w:rsid w:val="00663C74"/>
    <w:rsid w:val="00663C8A"/>
    <w:rsid w:val="006642A7"/>
    <w:rsid w:val="00664417"/>
    <w:rsid w:val="0066549D"/>
    <w:rsid w:val="006656A3"/>
    <w:rsid w:val="00665887"/>
    <w:rsid w:val="00665955"/>
    <w:rsid w:val="006660BF"/>
    <w:rsid w:val="006664AD"/>
    <w:rsid w:val="00666CB0"/>
    <w:rsid w:val="00666F92"/>
    <w:rsid w:val="006672FE"/>
    <w:rsid w:val="00667532"/>
    <w:rsid w:val="00667873"/>
    <w:rsid w:val="00667C6A"/>
    <w:rsid w:val="006702CD"/>
    <w:rsid w:val="006704D3"/>
    <w:rsid w:val="006708BF"/>
    <w:rsid w:val="00670A0D"/>
    <w:rsid w:val="00670A32"/>
    <w:rsid w:val="00670D38"/>
    <w:rsid w:val="00670F43"/>
    <w:rsid w:val="00672E7F"/>
    <w:rsid w:val="00673934"/>
    <w:rsid w:val="00673AF0"/>
    <w:rsid w:val="00673E05"/>
    <w:rsid w:val="006748C0"/>
    <w:rsid w:val="00674D84"/>
    <w:rsid w:val="006753B8"/>
    <w:rsid w:val="0067565B"/>
    <w:rsid w:val="00675BD1"/>
    <w:rsid w:val="00675D50"/>
    <w:rsid w:val="00676D22"/>
    <w:rsid w:val="00677357"/>
    <w:rsid w:val="006778C8"/>
    <w:rsid w:val="00680634"/>
    <w:rsid w:val="00680644"/>
    <w:rsid w:val="00680F4F"/>
    <w:rsid w:val="00681686"/>
    <w:rsid w:val="00681C17"/>
    <w:rsid w:val="00681CB2"/>
    <w:rsid w:val="0068205E"/>
    <w:rsid w:val="00682473"/>
    <w:rsid w:val="00682575"/>
    <w:rsid w:val="00682822"/>
    <w:rsid w:val="006828A4"/>
    <w:rsid w:val="00684493"/>
    <w:rsid w:val="00684B34"/>
    <w:rsid w:val="006858E6"/>
    <w:rsid w:val="00685AF8"/>
    <w:rsid w:val="00685C08"/>
    <w:rsid w:val="00685C60"/>
    <w:rsid w:val="00686102"/>
    <w:rsid w:val="00686524"/>
    <w:rsid w:val="006867FA"/>
    <w:rsid w:val="00686C45"/>
    <w:rsid w:val="00686C59"/>
    <w:rsid w:val="006872D2"/>
    <w:rsid w:val="006876E4"/>
    <w:rsid w:val="006879CE"/>
    <w:rsid w:val="00687D11"/>
    <w:rsid w:val="00690134"/>
    <w:rsid w:val="00690310"/>
    <w:rsid w:val="006903E8"/>
    <w:rsid w:val="00690617"/>
    <w:rsid w:val="006917C1"/>
    <w:rsid w:val="00691A28"/>
    <w:rsid w:val="00691C94"/>
    <w:rsid w:val="00691D9F"/>
    <w:rsid w:val="00691FB4"/>
    <w:rsid w:val="006922F8"/>
    <w:rsid w:val="006925BF"/>
    <w:rsid w:val="00692BA6"/>
    <w:rsid w:val="00692F3E"/>
    <w:rsid w:val="0069393B"/>
    <w:rsid w:val="0069395B"/>
    <w:rsid w:val="00694C92"/>
    <w:rsid w:val="00694D19"/>
    <w:rsid w:val="0069502F"/>
    <w:rsid w:val="006956F6"/>
    <w:rsid w:val="00695894"/>
    <w:rsid w:val="00695B00"/>
    <w:rsid w:val="00695E8B"/>
    <w:rsid w:val="0069616B"/>
    <w:rsid w:val="0069634F"/>
    <w:rsid w:val="006963CB"/>
    <w:rsid w:val="00696A66"/>
    <w:rsid w:val="00697A0E"/>
    <w:rsid w:val="006A0135"/>
    <w:rsid w:val="006A1106"/>
    <w:rsid w:val="006A115B"/>
    <w:rsid w:val="006A1178"/>
    <w:rsid w:val="006A1404"/>
    <w:rsid w:val="006A2192"/>
    <w:rsid w:val="006A270D"/>
    <w:rsid w:val="006A2AA0"/>
    <w:rsid w:val="006A2DD0"/>
    <w:rsid w:val="006A312E"/>
    <w:rsid w:val="006A3602"/>
    <w:rsid w:val="006A4077"/>
    <w:rsid w:val="006A49C7"/>
    <w:rsid w:val="006A4A21"/>
    <w:rsid w:val="006A4D1A"/>
    <w:rsid w:val="006A4ED7"/>
    <w:rsid w:val="006A514A"/>
    <w:rsid w:val="006A52AB"/>
    <w:rsid w:val="006A52C6"/>
    <w:rsid w:val="006A5503"/>
    <w:rsid w:val="006A5628"/>
    <w:rsid w:val="006A5D21"/>
    <w:rsid w:val="006A62F7"/>
    <w:rsid w:val="006A6B57"/>
    <w:rsid w:val="006A6C14"/>
    <w:rsid w:val="006A6DE7"/>
    <w:rsid w:val="006A70AC"/>
    <w:rsid w:val="006B0B0A"/>
    <w:rsid w:val="006B0B7F"/>
    <w:rsid w:val="006B0BAF"/>
    <w:rsid w:val="006B164E"/>
    <w:rsid w:val="006B18A3"/>
    <w:rsid w:val="006B1E53"/>
    <w:rsid w:val="006B2BDA"/>
    <w:rsid w:val="006B346F"/>
    <w:rsid w:val="006B3619"/>
    <w:rsid w:val="006B470E"/>
    <w:rsid w:val="006B4F79"/>
    <w:rsid w:val="006B5022"/>
    <w:rsid w:val="006B5315"/>
    <w:rsid w:val="006B5AEC"/>
    <w:rsid w:val="006B6C72"/>
    <w:rsid w:val="006B6D17"/>
    <w:rsid w:val="006B6E8A"/>
    <w:rsid w:val="006B6F2C"/>
    <w:rsid w:val="006B73A4"/>
    <w:rsid w:val="006B781F"/>
    <w:rsid w:val="006B78BE"/>
    <w:rsid w:val="006B7BB7"/>
    <w:rsid w:val="006C0161"/>
    <w:rsid w:val="006C091A"/>
    <w:rsid w:val="006C0CD1"/>
    <w:rsid w:val="006C1148"/>
    <w:rsid w:val="006C1659"/>
    <w:rsid w:val="006C1E68"/>
    <w:rsid w:val="006C285A"/>
    <w:rsid w:val="006C2EE7"/>
    <w:rsid w:val="006C313F"/>
    <w:rsid w:val="006C318C"/>
    <w:rsid w:val="006C321D"/>
    <w:rsid w:val="006C33C4"/>
    <w:rsid w:val="006C4285"/>
    <w:rsid w:val="006C448C"/>
    <w:rsid w:val="006C4598"/>
    <w:rsid w:val="006C45C3"/>
    <w:rsid w:val="006C4D8F"/>
    <w:rsid w:val="006C4FE2"/>
    <w:rsid w:val="006C5BE0"/>
    <w:rsid w:val="006C61AB"/>
    <w:rsid w:val="006C6258"/>
    <w:rsid w:val="006C6B8D"/>
    <w:rsid w:val="006C74FF"/>
    <w:rsid w:val="006C7AC4"/>
    <w:rsid w:val="006C7B90"/>
    <w:rsid w:val="006C7F55"/>
    <w:rsid w:val="006D02C9"/>
    <w:rsid w:val="006D071F"/>
    <w:rsid w:val="006D08DF"/>
    <w:rsid w:val="006D0DA0"/>
    <w:rsid w:val="006D0E65"/>
    <w:rsid w:val="006D11DF"/>
    <w:rsid w:val="006D187D"/>
    <w:rsid w:val="006D1BA6"/>
    <w:rsid w:val="006D1FB8"/>
    <w:rsid w:val="006D25A9"/>
    <w:rsid w:val="006D27E4"/>
    <w:rsid w:val="006D2A16"/>
    <w:rsid w:val="006D2C67"/>
    <w:rsid w:val="006D2FD3"/>
    <w:rsid w:val="006D3061"/>
    <w:rsid w:val="006D3A6C"/>
    <w:rsid w:val="006D4105"/>
    <w:rsid w:val="006D4193"/>
    <w:rsid w:val="006D454E"/>
    <w:rsid w:val="006D4BA1"/>
    <w:rsid w:val="006D4C0D"/>
    <w:rsid w:val="006D4E27"/>
    <w:rsid w:val="006D525F"/>
    <w:rsid w:val="006D5301"/>
    <w:rsid w:val="006D5722"/>
    <w:rsid w:val="006D6CA3"/>
    <w:rsid w:val="006D74D8"/>
    <w:rsid w:val="006D78B5"/>
    <w:rsid w:val="006D79A0"/>
    <w:rsid w:val="006D7D87"/>
    <w:rsid w:val="006E04D7"/>
    <w:rsid w:val="006E08D0"/>
    <w:rsid w:val="006E0BD8"/>
    <w:rsid w:val="006E0D9E"/>
    <w:rsid w:val="006E16F6"/>
    <w:rsid w:val="006E1724"/>
    <w:rsid w:val="006E18C2"/>
    <w:rsid w:val="006E2222"/>
    <w:rsid w:val="006E266B"/>
    <w:rsid w:val="006E298A"/>
    <w:rsid w:val="006E2A85"/>
    <w:rsid w:val="006E2D63"/>
    <w:rsid w:val="006E30A0"/>
    <w:rsid w:val="006E320B"/>
    <w:rsid w:val="006E3BA9"/>
    <w:rsid w:val="006E4990"/>
    <w:rsid w:val="006E4CBA"/>
    <w:rsid w:val="006E4E4B"/>
    <w:rsid w:val="006E4EE2"/>
    <w:rsid w:val="006E51D8"/>
    <w:rsid w:val="006E5A22"/>
    <w:rsid w:val="006E6F02"/>
    <w:rsid w:val="006E728D"/>
    <w:rsid w:val="006E72E9"/>
    <w:rsid w:val="006E74CC"/>
    <w:rsid w:val="006E7929"/>
    <w:rsid w:val="006F05BE"/>
    <w:rsid w:val="006F0B90"/>
    <w:rsid w:val="006F0DEC"/>
    <w:rsid w:val="006F108B"/>
    <w:rsid w:val="006F137E"/>
    <w:rsid w:val="006F1D6E"/>
    <w:rsid w:val="006F1DC6"/>
    <w:rsid w:val="006F20F5"/>
    <w:rsid w:val="006F24E3"/>
    <w:rsid w:val="006F2C2E"/>
    <w:rsid w:val="006F2EC8"/>
    <w:rsid w:val="006F38DC"/>
    <w:rsid w:val="006F3F6A"/>
    <w:rsid w:val="006F4426"/>
    <w:rsid w:val="006F518A"/>
    <w:rsid w:val="006F54CB"/>
    <w:rsid w:val="006F54E5"/>
    <w:rsid w:val="006F5653"/>
    <w:rsid w:val="006F5712"/>
    <w:rsid w:val="006F5749"/>
    <w:rsid w:val="006F59B5"/>
    <w:rsid w:val="006F5D95"/>
    <w:rsid w:val="006F6005"/>
    <w:rsid w:val="006F6B9A"/>
    <w:rsid w:val="006F6ED0"/>
    <w:rsid w:val="006F7836"/>
    <w:rsid w:val="006F7B88"/>
    <w:rsid w:val="0070001D"/>
    <w:rsid w:val="00700225"/>
    <w:rsid w:val="007005F4"/>
    <w:rsid w:val="00700991"/>
    <w:rsid w:val="007010E4"/>
    <w:rsid w:val="00701142"/>
    <w:rsid w:val="00701BF6"/>
    <w:rsid w:val="00701E0B"/>
    <w:rsid w:val="00701E52"/>
    <w:rsid w:val="00703203"/>
    <w:rsid w:val="00703E5D"/>
    <w:rsid w:val="0070412A"/>
    <w:rsid w:val="00704FD2"/>
    <w:rsid w:val="00704FFF"/>
    <w:rsid w:val="007054EA"/>
    <w:rsid w:val="00705529"/>
    <w:rsid w:val="00705CBA"/>
    <w:rsid w:val="007060A1"/>
    <w:rsid w:val="00706334"/>
    <w:rsid w:val="007063F6"/>
    <w:rsid w:val="00706B11"/>
    <w:rsid w:val="007073E9"/>
    <w:rsid w:val="00707700"/>
    <w:rsid w:val="00707B44"/>
    <w:rsid w:val="00707C1C"/>
    <w:rsid w:val="00710345"/>
    <w:rsid w:val="007104F5"/>
    <w:rsid w:val="00710C6B"/>
    <w:rsid w:val="00710E4B"/>
    <w:rsid w:val="0071116C"/>
    <w:rsid w:val="00711BF1"/>
    <w:rsid w:val="00711C55"/>
    <w:rsid w:val="00712288"/>
    <w:rsid w:val="00712873"/>
    <w:rsid w:val="00712883"/>
    <w:rsid w:val="00712895"/>
    <w:rsid w:val="00713135"/>
    <w:rsid w:val="007132B4"/>
    <w:rsid w:val="0071389D"/>
    <w:rsid w:val="00713917"/>
    <w:rsid w:val="00713EB2"/>
    <w:rsid w:val="00714576"/>
    <w:rsid w:val="007145B0"/>
    <w:rsid w:val="0071473A"/>
    <w:rsid w:val="007149E5"/>
    <w:rsid w:val="00714A98"/>
    <w:rsid w:val="00714B64"/>
    <w:rsid w:val="00715021"/>
    <w:rsid w:val="00715888"/>
    <w:rsid w:val="00715E0B"/>
    <w:rsid w:val="00716264"/>
    <w:rsid w:val="00716459"/>
    <w:rsid w:val="007168D3"/>
    <w:rsid w:val="00716C57"/>
    <w:rsid w:val="0071703A"/>
    <w:rsid w:val="0071703D"/>
    <w:rsid w:val="0071707D"/>
    <w:rsid w:val="007173E9"/>
    <w:rsid w:val="0071767B"/>
    <w:rsid w:val="007179BE"/>
    <w:rsid w:val="00717C33"/>
    <w:rsid w:val="007201FC"/>
    <w:rsid w:val="007202E5"/>
    <w:rsid w:val="007205EC"/>
    <w:rsid w:val="00720EFF"/>
    <w:rsid w:val="00721202"/>
    <w:rsid w:val="007214BE"/>
    <w:rsid w:val="0072163D"/>
    <w:rsid w:val="00721AD9"/>
    <w:rsid w:val="00721CF1"/>
    <w:rsid w:val="00721E48"/>
    <w:rsid w:val="00721E6B"/>
    <w:rsid w:val="0072262E"/>
    <w:rsid w:val="007228E0"/>
    <w:rsid w:val="00722B85"/>
    <w:rsid w:val="00723204"/>
    <w:rsid w:val="007237EA"/>
    <w:rsid w:val="0072391D"/>
    <w:rsid w:val="00723952"/>
    <w:rsid w:val="00723F98"/>
    <w:rsid w:val="0072454E"/>
    <w:rsid w:val="0072455B"/>
    <w:rsid w:val="00724D23"/>
    <w:rsid w:val="00725DB6"/>
    <w:rsid w:val="00726069"/>
    <w:rsid w:val="0072705E"/>
    <w:rsid w:val="00727119"/>
    <w:rsid w:val="00727B7D"/>
    <w:rsid w:val="00727C69"/>
    <w:rsid w:val="007305AB"/>
    <w:rsid w:val="0073089A"/>
    <w:rsid w:val="00732A3D"/>
    <w:rsid w:val="00732B80"/>
    <w:rsid w:val="00732BAD"/>
    <w:rsid w:val="00732F86"/>
    <w:rsid w:val="007331A2"/>
    <w:rsid w:val="007335B8"/>
    <w:rsid w:val="00733A88"/>
    <w:rsid w:val="00733D95"/>
    <w:rsid w:val="007348D0"/>
    <w:rsid w:val="00734CD2"/>
    <w:rsid w:val="0073505B"/>
    <w:rsid w:val="0073513E"/>
    <w:rsid w:val="0073515A"/>
    <w:rsid w:val="0073553A"/>
    <w:rsid w:val="00735BB2"/>
    <w:rsid w:val="00735DC3"/>
    <w:rsid w:val="00735E22"/>
    <w:rsid w:val="00736165"/>
    <w:rsid w:val="007365D4"/>
    <w:rsid w:val="00736B48"/>
    <w:rsid w:val="00736C35"/>
    <w:rsid w:val="007376F2"/>
    <w:rsid w:val="007400D7"/>
    <w:rsid w:val="007403E1"/>
    <w:rsid w:val="00740423"/>
    <w:rsid w:val="00740C8E"/>
    <w:rsid w:val="0074159A"/>
    <w:rsid w:val="00741781"/>
    <w:rsid w:val="00741796"/>
    <w:rsid w:val="00741C05"/>
    <w:rsid w:val="00741C37"/>
    <w:rsid w:val="00741F76"/>
    <w:rsid w:val="00742C18"/>
    <w:rsid w:val="00742E01"/>
    <w:rsid w:val="0074336D"/>
    <w:rsid w:val="00743DF9"/>
    <w:rsid w:val="00744195"/>
    <w:rsid w:val="007441AD"/>
    <w:rsid w:val="007443C2"/>
    <w:rsid w:val="0074463F"/>
    <w:rsid w:val="0074489C"/>
    <w:rsid w:val="007448E5"/>
    <w:rsid w:val="00744A80"/>
    <w:rsid w:val="00744B44"/>
    <w:rsid w:val="00744E0E"/>
    <w:rsid w:val="00744F36"/>
    <w:rsid w:val="007451C6"/>
    <w:rsid w:val="00745AD1"/>
    <w:rsid w:val="00745C43"/>
    <w:rsid w:val="00746404"/>
    <w:rsid w:val="0074690D"/>
    <w:rsid w:val="00750305"/>
    <w:rsid w:val="00750413"/>
    <w:rsid w:val="00750730"/>
    <w:rsid w:val="00750C95"/>
    <w:rsid w:val="00750E92"/>
    <w:rsid w:val="007512A0"/>
    <w:rsid w:val="00751470"/>
    <w:rsid w:val="00751CDF"/>
    <w:rsid w:val="00752416"/>
    <w:rsid w:val="00752853"/>
    <w:rsid w:val="00752C6E"/>
    <w:rsid w:val="00752DC5"/>
    <w:rsid w:val="00752DF2"/>
    <w:rsid w:val="007530DF"/>
    <w:rsid w:val="0075327E"/>
    <w:rsid w:val="007535C9"/>
    <w:rsid w:val="00753AD0"/>
    <w:rsid w:val="00753CD2"/>
    <w:rsid w:val="00753E8F"/>
    <w:rsid w:val="00754219"/>
    <w:rsid w:val="00754B4E"/>
    <w:rsid w:val="00754C28"/>
    <w:rsid w:val="00754F78"/>
    <w:rsid w:val="00755359"/>
    <w:rsid w:val="007553A4"/>
    <w:rsid w:val="00755673"/>
    <w:rsid w:val="00755950"/>
    <w:rsid w:val="00755C24"/>
    <w:rsid w:val="00755FE3"/>
    <w:rsid w:val="00756829"/>
    <w:rsid w:val="00756CD4"/>
    <w:rsid w:val="00756D75"/>
    <w:rsid w:val="00757025"/>
    <w:rsid w:val="00757793"/>
    <w:rsid w:val="00757B27"/>
    <w:rsid w:val="00757F7E"/>
    <w:rsid w:val="00760942"/>
    <w:rsid w:val="00760A36"/>
    <w:rsid w:val="00760C61"/>
    <w:rsid w:val="00761316"/>
    <w:rsid w:val="00761319"/>
    <w:rsid w:val="00761538"/>
    <w:rsid w:val="00761767"/>
    <w:rsid w:val="00761863"/>
    <w:rsid w:val="0076201B"/>
    <w:rsid w:val="00762ACE"/>
    <w:rsid w:val="00763613"/>
    <w:rsid w:val="007638BD"/>
    <w:rsid w:val="00763B3E"/>
    <w:rsid w:val="00764321"/>
    <w:rsid w:val="00764455"/>
    <w:rsid w:val="00764467"/>
    <w:rsid w:val="00764CEF"/>
    <w:rsid w:val="00764D0E"/>
    <w:rsid w:val="00766186"/>
    <w:rsid w:val="007662C1"/>
    <w:rsid w:val="007665D3"/>
    <w:rsid w:val="007666B9"/>
    <w:rsid w:val="00766ABA"/>
    <w:rsid w:val="00766BB4"/>
    <w:rsid w:val="00766DE1"/>
    <w:rsid w:val="00767516"/>
    <w:rsid w:val="00767636"/>
    <w:rsid w:val="007677BB"/>
    <w:rsid w:val="00767E1B"/>
    <w:rsid w:val="0077082B"/>
    <w:rsid w:val="007708B1"/>
    <w:rsid w:val="007709AA"/>
    <w:rsid w:val="007710D8"/>
    <w:rsid w:val="007717F6"/>
    <w:rsid w:val="00771BDF"/>
    <w:rsid w:val="00771C4D"/>
    <w:rsid w:val="00771DEA"/>
    <w:rsid w:val="00771F51"/>
    <w:rsid w:val="007721B9"/>
    <w:rsid w:val="007726C6"/>
    <w:rsid w:val="007727CD"/>
    <w:rsid w:val="007732AD"/>
    <w:rsid w:val="00773D61"/>
    <w:rsid w:val="00773EB1"/>
    <w:rsid w:val="007740A2"/>
    <w:rsid w:val="00774273"/>
    <w:rsid w:val="007742B1"/>
    <w:rsid w:val="007748C1"/>
    <w:rsid w:val="007755DE"/>
    <w:rsid w:val="007757FA"/>
    <w:rsid w:val="0077627A"/>
    <w:rsid w:val="007770F6"/>
    <w:rsid w:val="007778B9"/>
    <w:rsid w:val="007779D1"/>
    <w:rsid w:val="00780154"/>
    <w:rsid w:val="00780235"/>
    <w:rsid w:val="007802D4"/>
    <w:rsid w:val="0078041F"/>
    <w:rsid w:val="0078095C"/>
    <w:rsid w:val="00780A05"/>
    <w:rsid w:val="007813C8"/>
    <w:rsid w:val="0078190E"/>
    <w:rsid w:val="00781F1F"/>
    <w:rsid w:val="00781FB0"/>
    <w:rsid w:val="0078252A"/>
    <w:rsid w:val="007825B8"/>
    <w:rsid w:val="007827B2"/>
    <w:rsid w:val="00782BDA"/>
    <w:rsid w:val="007837EF"/>
    <w:rsid w:val="00783806"/>
    <w:rsid w:val="0078394F"/>
    <w:rsid w:val="00783F73"/>
    <w:rsid w:val="00784641"/>
    <w:rsid w:val="00785080"/>
    <w:rsid w:val="0078617F"/>
    <w:rsid w:val="007861F3"/>
    <w:rsid w:val="00787194"/>
    <w:rsid w:val="0078771C"/>
    <w:rsid w:val="00787B02"/>
    <w:rsid w:val="00790141"/>
    <w:rsid w:val="0079133A"/>
    <w:rsid w:val="007913A7"/>
    <w:rsid w:val="00791517"/>
    <w:rsid w:val="00791B98"/>
    <w:rsid w:val="00791FA7"/>
    <w:rsid w:val="00792089"/>
    <w:rsid w:val="00792353"/>
    <w:rsid w:val="0079253D"/>
    <w:rsid w:val="007931D7"/>
    <w:rsid w:val="007933A8"/>
    <w:rsid w:val="00793443"/>
    <w:rsid w:val="007934ED"/>
    <w:rsid w:val="00793C47"/>
    <w:rsid w:val="00793C59"/>
    <w:rsid w:val="0079404C"/>
    <w:rsid w:val="00794838"/>
    <w:rsid w:val="00794900"/>
    <w:rsid w:val="00794CFA"/>
    <w:rsid w:val="0079507F"/>
    <w:rsid w:val="00795152"/>
    <w:rsid w:val="00795379"/>
    <w:rsid w:val="00795493"/>
    <w:rsid w:val="007955E0"/>
    <w:rsid w:val="0079570F"/>
    <w:rsid w:val="007959D1"/>
    <w:rsid w:val="00796312"/>
    <w:rsid w:val="00796731"/>
    <w:rsid w:val="00796927"/>
    <w:rsid w:val="00796C00"/>
    <w:rsid w:val="00796ED9"/>
    <w:rsid w:val="00797159"/>
    <w:rsid w:val="007972CE"/>
    <w:rsid w:val="0079755A"/>
    <w:rsid w:val="00797587"/>
    <w:rsid w:val="00797668"/>
    <w:rsid w:val="007A0011"/>
    <w:rsid w:val="007A049E"/>
    <w:rsid w:val="007A0C7C"/>
    <w:rsid w:val="007A1B83"/>
    <w:rsid w:val="007A1C87"/>
    <w:rsid w:val="007A1D06"/>
    <w:rsid w:val="007A26FC"/>
    <w:rsid w:val="007A283A"/>
    <w:rsid w:val="007A297F"/>
    <w:rsid w:val="007A2E86"/>
    <w:rsid w:val="007A408F"/>
    <w:rsid w:val="007A42CB"/>
    <w:rsid w:val="007A42E5"/>
    <w:rsid w:val="007A4380"/>
    <w:rsid w:val="007A5175"/>
    <w:rsid w:val="007A5771"/>
    <w:rsid w:val="007A5A17"/>
    <w:rsid w:val="007A5D7C"/>
    <w:rsid w:val="007A60FE"/>
    <w:rsid w:val="007A6296"/>
    <w:rsid w:val="007A63AE"/>
    <w:rsid w:val="007A6797"/>
    <w:rsid w:val="007A6A76"/>
    <w:rsid w:val="007A6D1B"/>
    <w:rsid w:val="007A703C"/>
    <w:rsid w:val="007A7068"/>
    <w:rsid w:val="007A710D"/>
    <w:rsid w:val="007A71E4"/>
    <w:rsid w:val="007A761B"/>
    <w:rsid w:val="007B036F"/>
    <w:rsid w:val="007B044F"/>
    <w:rsid w:val="007B0C60"/>
    <w:rsid w:val="007B1213"/>
    <w:rsid w:val="007B1597"/>
    <w:rsid w:val="007B214C"/>
    <w:rsid w:val="007B2300"/>
    <w:rsid w:val="007B2DDC"/>
    <w:rsid w:val="007B2E88"/>
    <w:rsid w:val="007B2EFF"/>
    <w:rsid w:val="007B325B"/>
    <w:rsid w:val="007B3890"/>
    <w:rsid w:val="007B3B10"/>
    <w:rsid w:val="007B422A"/>
    <w:rsid w:val="007B42EF"/>
    <w:rsid w:val="007B4812"/>
    <w:rsid w:val="007B52BF"/>
    <w:rsid w:val="007B5C4F"/>
    <w:rsid w:val="007B5C85"/>
    <w:rsid w:val="007B5FB9"/>
    <w:rsid w:val="007B6697"/>
    <w:rsid w:val="007B6EA1"/>
    <w:rsid w:val="007B75F6"/>
    <w:rsid w:val="007B7638"/>
    <w:rsid w:val="007B7B08"/>
    <w:rsid w:val="007B7CD9"/>
    <w:rsid w:val="007B7E4C"/>
    <w:rsid w:val="007C01F4"/>
    <w:rsid w:val="007C06A3"/>
    <w:rsid w:val="007C0989"/>
    <w:rsid w:val="007C09C5"/>
    <w:rsid w:val="007C0F04"/>
    <w:rsid w:val="007C0FF7"/>
    <w:rsid w:val="007C11BA"/>
    <w:rsid w:val="007C1256"/>
    <w:rsid w:val="007C12B3"/>
    <w:rsid w:val="007C1754"/>
    <w:rsid w:val="007C1CAE"/>
    <w:rsid w:val="007C1F3E"/>
    <w:rsid w:val="007C201F"/>
    <w:rsid w:val="007C230D"/>
    <w:rsid w:val="007C2498"/>
    <w:rsid w:val="007C2754"/>
    <w:rsid w:val="007C2AB7"/>
    <w:rsid w:val="007C3485"/>
    <w:rsid w:val="007C46CC"/>
    <w:rsid w:val="007C56D4"/>
    <w:rsid w:val="007C60DF"/>
    <w:rsid w:val="007C7044"/>
    <w:rsid w:val="007C7530"/>
    <w:rsid w:val="007C75EB"/>
    <w:rsid w:val="007C7B41"/>
    <w:rsid w:val="007C7E98"/>
    <w:rsid w:val="007C7EA9"/>
    <w:rsid w:val="007D035D"/>
    <w:rsid w:val="007D03D8"/>
    <w:rsid w:val="007D058D"/>
    <w:rsid w:val="007D07CF"/>
    <w:rsid w:val="007D09C3"/>
    <w:rsid w:val="007D139E"/>
    <w:rsid w:val="007D1505"/>
    <w:rsid w:val="007D16D5"/>
    <w:rsid w:val="007D2B21"/>
    <w:rsid w:val="007D2BBD"/>
    <w:rsid w:val="007D2E7F"/>
    <w:rsid w:val="007D352E"/>
    <w:rsid w:val="007D35BA"/>
    <w:rsid w:val="007D37C5"/>
    <w:rsid w:val="007D3F2F"/>
    <w:rsid w:val="007D4053"/>
    <w:rsid w:val="007D43D5"/>
    <w:rsid w:val="007D49FA"/>
    <w:rsid w:val="007D4F42"/>
    <w:rsid w:val="007D511A"/>
    <w:rsid w:val="007D59CB"/>
    <w:rsid w:val="007D67FD"/>
    <w:rsid w:val="007D6804"/>
    <w:rsid w:val="007D6C79"/>
    <w:rsid w:val="007D6EAD"/>
    <w:rsid w:val="007D7DA1"/>
    <w:rsid w:val="007E0590"/>
    <w:rsid w:val="007E07D2"/>
    <w:rsid w:val="007E0C4C"/>
    <w:rsid w:val="007E0D0E"/>
    <w:rsid w:val="007E1549"/>
    <w:rsid w:val="007E1912"/>
    <w:rsid w:val="007E19F8"/>
    <w:rsid w:val="007E1F46"/>
    <w:rsid w:val="007E204C"/>
    <w:rsid w:val="007E26D1"/>
    <w:rsid w:val="007E28D0"/>
    <w:rsid w:val="007E29D8"/>
    <w:rsid w:val="007E3016"/>
    <w:rsid w:val="007E3284"/>
    <w:rsid w:val="007E33B2"/>
    <w:rsid w:val="007E33CE"/>
    <w:rsid w:val="007E39E1"/>
    <w:rsid w:val="007E3A8B"/>
    <w:rsid w:val="007E43D2"/>
    <w:rsid w:val="007E4EBC"/>
    <w:rsid w:val="007E5042"/>
    <w:rsid w:val="007E52C5"/>
    <w:rsid w:val="007E549F"/>
    <w:rsid w:val="007E54DA"/>
    <w:rsid w:val="007E5B1A"/>
    <w:rsid w:val="007E5CC5"/>
    <w:rsid w:val="007E5D4D"/>
    <w:rsid w:val="007E5F5E"/>
    <w:rsid w:val="007E64E8"/>
    <w:rsid w:val="007E674E"/>
    <w:rsid w:val="007E6829"/>
    <w:rsid w:val="007E68D0"/>
    <w:rsid w:val="007E73D6"/>
    <w:rsid w:val="007E7C6F"/>
    <w:rsid w:val="007F04C0"/>
    <w:rsid w:val="007F054F"/>
    <w:rsid w:val="007F0650"/>
    <w:rsid w:val="007F0797"/>
    <w:rsid w:val="007F08D8"/>
    <w:rsid w:val="007F0E74"/>
    <w:rsid w:val="007F10B4"/>
    <w:rsid w:val="007F1120"/>
    <w:rsid w:val="007F1408"/>
    <w:rsid w:val="007F2215"/>
    <w:rsid w:val="007F275E"/>
    <w:rsid w:val="007F35B4"/>
    <w:rsid w:val="007F398B"/>
    <w:rsid w:val="007F3A27"/>
    <w:rsid w:val="007F3C14"/>
    <w:rsid w:val="007F484A"/>
    <w:rsid w:val="007F5922"/>
    <w:rsid w:val="007F5A21"/>
    <w:rsid w:val="007F5AA8"/>
    <w:rsid w:val="007F5BC4"/>
    <w:rsid w:val="007F6AD9"/>
    <w:rsid w:val="007F6D49"/>
    <w:rsid w:val="007F713B"/>
    <w:rsid w:val="007F7508"/>
    <w:rsid w:val="007F75DF"/>
    <w:rsid w:val="007F77AF"/>
    <w:rsid w:val="007F7BF2"/>
    <w:rsid w:val="007F7D73"/>
    <w:rsid w:val="00800EC3"/>
    <w:rsid w:val="008015AC"/>
    <w:rsid w:val="00801697"/>
    <w:rsid w:val="008017AE"/>
    <w:rsid w:val="00801AF9"/>
    <w:rsid w:val="00801DB9"/>
    <w:rsid w:val="00802705"/>
    <w:rsid w:val="008027DB"/>
    <w:rsid w:val="008034FE"/>
    <w:rsid w:val="00803D11"/>
    <w:rsid w:val="00803EC5"/>
    <w:rsid w:val="00803FEC"/>
    <w:rsid w:val="0080422F"/>
    <w:rsid w:val="008042B6"/>
    <w:rsid w:val="008049DA"/>
    <w:rsid w:val="00804D01"/>
    <w:rsid w:val="00804D51"/>
    <w:rsid w:val="00804E8B"/>
    <w:rsid w:val="008056A4"/>
    <w:rsid w:val="00805F0E"/>
    <w:rsid w:val="00806603"/>
    <w:rsid w:val="00806913"/>
    <w:rsid w:val="008069B0"/>
    <w:rsid w:val="00806F2A"/>
    <w:rsid w:val="00807155"/>
    <w:rsid w:val="008074DA"/>
    <w:rsid w:val="008077AE"/>
    <w:rsid w:val="00810068"/>
    <w:rsid w:val="0081083F"/>
    <w:rsid w:val="008109C1"/>
    <w:rsid w:val="008109D1"/>
    <w:rsid w:val="00811382"/>
    <w:rsid w:val="008113A3"/>
    <w:rsid w:val="0081188B"/>
    <w:rsid w:val="00811C2A"/>
    <w:rsid w:val="00812115"/>
    <w:rsid w:val="0081289E"/>
    <w:rsid w:val="00813AAE"/>
    <w:rsid w:val="00813D61"/>
    <w:rsid w:val="00814145"/>
    <w:rsid w:val="008142CA"/>
    <w:rsid w:val="008144B4"/>
    <w:rsid w:val="00814774"/>
    <w:rsid w:val="0081511B"/>
    <w:rsid w:val="008152CE"/>
    <w:rsid w:val="008161C6"/>
    <w:rsid w:val="00816935"/>
    <w:rsid w:val="00816B62"/>
    <w:rsid w:val="00816EA9"/>
    <w:rsid w:val="00817382"/>
    <w:rsid w:val="008175D5"/>
    <w:rsid w:val="00817673"/>
    <w:rsid w:val="00817A4F"/>
    <w:rsid w:val="00820C68"/>
    <w:rsid w:val="008213BB"/>
    <w:rsid w:val="00821FCB"/>
    <w:rsid w:val="008220CD"/>
    <w:rsid w:val="00822123"/>
    <w:rsid w:val="00822698"/>
    <w:rsid w:val="008226E1"/>
    <w:rsid w:val="00822763"/>
    <w:rsid w:val="008233CD"/>
    <w:rsid w:val="00823AA5"/>
    <w:rsid w:val="00823B17"/>
    <w:rsid w:val="00824245"/>
    <w:rsid w:val="00824558"/>
    <w:rsid w:val="008247B7"/>
    <w:rsid w:val="008247C0"/>
    <w:rsid w:val="00824B0F"/>
    <w:rsid w:val="00824B48"/>
    <w:rsid w:val="008252E3"/>
    <w:rsid w:val="00825383"/>
    <w:rsid w:val="00825982"/>
    <w:rsid w:val="00825B44"/>
    <w:rsid w:val="00826246"/>
    <w:rsid w:val="0082647C"/>
    <w:rsid w:val="0082656D"/>
    <w:rsid w:val="008267F9"/>
    <w:rsid w:val="00826CCA"/>
    <w:rsid w:val="00826E2D"/>
    <w:rsid w:val="008276F9"/>
    <w:rsid w:val="00827A78"/>
    <w:rsid w:val="00827BFA"/>
    <w:rsid w:val="00827E00"/>
    <w:rsid w:val="008302ED"/>
    <w:rsid w:val="008302EF"/>
    <w:rsid w:val="00830508"/>
    <w:rsid w:val="00830615"/>
    <w:rsid w:val="008306CA"/>
    <w:rsid w:val="008309F6"/>
    <w:rsid w:val="00831400"/>
    <w:rsid w:val="008315F0"/>
    <w:rsid w:val="008317F9"/>
    <w:rsid w:val="00831D61"/>
    <w:rsid w:val="00831EA8"/>
    <w:rsid w:val="008321E9"/>
    <w:rsid w:val="0083302E"/>
    <w:rsid w:val="008331A9"/>
    <w:rsid w:val="0083329C"/>
    <w:rsid w:val="00833734"/>
    <w:rsid w:val="008341AB"/>
    <w:rsid w:val="008342F0"/>
    <w:rsid w:val="00834603"/>
    <w:rsid w:val="00834CA7"/>
    <w:rsid w:val="00834CD6"/>
    <w:rsid w:val="00835358"/>
    <w:rsid w:val="00835598"/>
    <w:rsid w:val="00835D96"/>
    <w:rsid w:val="00836346"/>
    <w:rsid w:val="008369A4"/>
    <w:rsid w:val="00836DE3"/>
    <w:rsid w:val="0083733D"/>
    <w:rsid w:val="0084140B"/>
    <w:rsid w:val="00841ACC"/>
    <w:rsid w:val="0084218F"/>
    <w:rsid w:val="008423CE"/>
    <w:rsid w:val="008425A7"/>
    <w:rsid w:val="00842B6E"/>
    <w:rsid w:val="00842BEB"/>
    <w:rsid w:val="00842CA6"/>
    <w:rsid w:val="00842D85"/>
    <w:rsid w:val="008433A9"/>
    <w:rsid w:val="00844295"/>
    <w:rsid w:val="00844530"/>
    <w:rsid w:val="0084529B"/>
    <w:rsid w:val="008456A9"/>
    <w:rsid w:val="008458DD"/>
    <w:rsid w:val="00845903"/>
    <w:rsid w:val="00845AF6"/>
    <w:rsid w:val="00846220"/>
    <w:rsid w:val="00846456"/>
    <w:rsid w:val="0084673C"/>
    <w:rsid w:val="008472FF"/>
    <w:rsid w:val="00847398"/>
    <w:rsid w:val="008476BC"/>
    <w:rsid w:val="00847DA0"/>
    <w:rsid w:val="00847F1E"/>
    <w:rsid w:val="00850270"/>
    <w:rsid w:val="0085043C"/>
    <w:rsid w:val="00850555"/>
    <w:rsid w:val="0085095C"/>
    <w:rsid w:val="00850CE8"/>
    <w:rsid w:val="008516D3"/>
    <w:rsid w:val="00851FF1"/>
    <w:rsid w:val="008520D3"/>
    <w:rsid w:val="00852DE1"/>
    <w:rsid w:val="0085312D"/>
    <w:rsid w:val="00853928"/>
    <w:rsid w:val="00853C4E"/>
    <w:rsid w:val="00853C9F"/>
    <w:rsid w:val="00854121"/>
    <w:rsid w:val="00854497"/>
    <w:rsid w:val="0085477A"/>
    <w:rsid w:val="0085480F"/>
    <w:rsid w:val="00854993"/>
    <w:rsid w:val="0085524E"/>
    <w:rsid w:val="008552E8"/>
    <w:rsid w:val="008553FC"/>
    <w:rsid w:val="00855818"/>
    <w:rsid w:val="00855CC1"/>
    <w:rsid w:val="00855D84"/>
    <w:rsid w:val="00855F3E"/>
    <w:rsid w:val="008560F8"/>
    <w:rsid w:val="008561F2"/>
    <w:rsid w:val="00856537"/>
    <w:rsid w:val="0085656D"/>
    <w:rsid w:val="00856AF8"/>
    <w:rsid w:val="00857347"/>
    <w:rsid w:val="008578A1"/>
    <w:rsid w:val="008578A5"/>
    <w:rsid w:val="008578B8"/>
    <w:rsid w:val="008579BE"/>
    <w:rsid w:val="00857C4A"/>
    <w:rsid w:val="00857C92"/>
    <w:rsid w:val="0086047B"/>
    <w:rsid w:val="00860A94"/>
    <w:rsid w:val="00860B8F"/>
    <w:rsid w:val="00860EAB"/>
    <w:rsid w:val="00861912"/>
    <w:rsid w:val="00861A4F"/>
    <w:rsid w:val="00861B18"/>
    <w:rsid w:val="00861D4C"/>
    <w:rsid w:val="008628AA"/>
    <w:rsid w:val="00862900"/>
    <w:rsid w:val="00862FE3"/>
    <w:rsid w:val="0086309C"/>
    <w:rsid w:val="00863700"/>
    <w:rsid w:val="00863969"/>
    <w:rsid w:val="00863AFE"/>
    <w:rsid w:val="00863E6B"/>
    <w:rsid w:val="00864031"/>
    <w:rsid w:val="008642E9"/>
    <w:rsid w:val="00864901"/>
    <w:rsid w:val="0086493B"/>
    <w:rsid w:val="00864B87"/>
    <w:rsid w:val="0086552D"/>
    <w:rsid w:val="0086660A"/>
    <w:rsid w:val="0086667A"/>
    <w:rsid w:val="00866A8D"/>
    <w:rsid w:val="00866B7C"/>
    <w:rsid w:val="0086747F"/>
    <w:rsid w:val="008677B6"/>
    <w:rsid w:val="008705E1"/>
    <w:rsid w:val="00870E34"/>
    <w:rsid w:val="008711C1"/>
    <w:rsid w:val="008714F1"/>
    <w:rsid w:val="0087170A"/>
    <w:rsid w:val="0087199A"/>
    <w:rsid w:val="00871CB1"/>
    <w:rsid w:val="00871F8C"/>
    <w:rsid w:val="00872881"/>
    <w:rsid w:val="00872B72"/>
    <w:rsid w:val="00872FD1"/>
    <w:rsid w:val="0087307D"/>
    <w:rsid w:val="008731E9"/>
    <w:rsid w:val="00873421"/>
    <w:rsid w:val="0087342C"/>
    <w:rsid w:val="00873686"/>
    <w:rsid w:val="008736D0"/>
    <w:rsid w:val="00873915"/>
    <w:rsid w:val="00873F1A"/>
    <w:rsid w:val="008743CE"/>
    <w:rsid w:val="00874566"/>
    <w:rsid w:val="00874A4B"/>
    <w:rsid w:val="00875579"/>
    <w:rsid w:val="0087577C"/>
    <w:rsid w:val="00875A81"/>
    <w:rsid w:val="00875B32"/>
    <w:rsid w:val="00875CBC"/>
    <w:rsid w:val="008765DD"/>
    <w:rsid w:val="00876677"/>
    <w:rsid w:val="00876916"/>
    <w:rsid w:val="00877B4A"/>
    <w:rsid w:val="008808CF"/>
    <w:rsid w:val="0088091E"/>
    <w:rsid w:val="008809D6"/>
    <w:rsid w:val="008818D4"/>
    <w:rsid w:val="0088213D"/>
    <w:rsid w:val="008821B4"/>
    <w:rsid w:val="00882EAD"/>
    <w:rsid w:val="0088376A"/>
    <w:rsid w:val="00883E4E"/>
    <w:rsid w:val="008842BB"/>
    <w:rsid w:val="00884AEF"/>
    <w:rsid w:val="00884D1B"/>
    <w:rsid w:val="00884F05"/>
    <w:rsid w:val="00884F82"/>
    <w:rsid w:val="008850CE"/>
    <w:rsid w:val="00885563"/>
    <w:rsid w:val="0088584B"/>
    <w:rsid w:val="00885EFC"/>
    <w:rsid w:val="00885F49"/>
    <w:rsid w:val="008860DB"/>
    <w:rsid w:val="00886563"/>
    <w:rsid w:val="0088666E"/>
    <w:rsid w:val="008867BE"/>
    <w:rsid w:val="00886B3A"/>
    <w:rsid w:val="00886CEE"/>
    <w:rsid w:val="00887188"/>
    <w:rsid w:val="0088742E"/>
    <w:rsid w:val="00887967"/>
    <w:rsid w:val="00887D12"/>
    <w:rsid w:val="0089037B"/>
    <w:rsid w:val="00891028"/>
    <w:rsid w:val="00891550"/>
    <w:rsid w:val="00891F35"/>
    <w:rsid w:val="008933F1"/>
    <w:rsid w:val="00893555"/>
    <w:rsid w:val="00893755"/>
    <w:rsid w:val="00893AC3"/>
    <w:rsid w:val="00893B51"/>
    <w:rsid w:val="00893C7E"/>
    <w:rsid w:val="00893CB5"/>
    <w:rsid w:val="00893E1B"/>
    <w:rsid w:val="00893F84"/>
    <w:rsid w:val="008952D0"/>
    <w:rsid w:val="00895389"/>
    <w:rsid w:val="0089545C"/>
    <w:rsid w:val="00895A07"/>
    <w:rsid w:val="00896B94"/>
    <w:rsid w:val="00896C78"/>
    <w:rsid w:val="00897249"/>
    <w:rsid w:val="00897A67"/>
    <w:rsid w:val="00897ACD"/>
    <w:rsid w:val="00897B92"/>
    <w:rsid w:val="00897F64"/>
    <w:rsid w:val="008A06A6"/>
    <w:rsid w:val="008A0797"/>
    <w:rsid w:val="008A0D42"/>
    <w:rsid w:val="008A12ED"/>
    <w:rsid w:val="008A144D"/>
    <w:rsid w:val="008A1A9E"/>
    <w:rsid w:val="008A2361"/>
    <w:rsid w:val="008A25F9"/>
    <w:rsid w:val="008A2D28"/>
    <w:rsid w:val="008A2F7B"/>
    <w:rsid w:val="008A3334"/>
    <w:rsid w:val="008A3E23"/>
    <w:rsid w:val="008A3F8D"/>
    <w:rsid w:val="008A41D4"/>
    <w:rsid w:val="008A42DA"/>
    <w:rsid w:val="008A4529"/>
    <w:rsid w:val="008A4537"/>
    <w:rsid w:val="008A4D20"/>
    <w:rsid w:val="008A4F71"/>
    <w:rsid w:val="008A5915"/>
    <w:rsid w:val="008A5D37"/>
    <w:rsid w:val="008A6186"/>
    <w:rsid w:val="008A6350"/>
    <w:rsid w:val="008A6387"/>
    <w:rsid w:val="008A70F0"/>
    <w:rsid w:val="008AE591"/>
    <w:rsid w:val="008B00C2"/>
    <w:rsid w:val="008B0432"/>
    <w:rsid w:val="008B0AF7"/>
    <w:rsid w:val="008B0D12"/>
    <w:rsid w:val="008B1AC0"/>
    <w:rsid w:val="008B25F3"/>
    <w:rsid w:val="008B293C"/>
    <w:rsid w:val="008B2ED2"/>
    <w:rsid w:val="008B4EE6"/>
    <w:rsid w:val="008B50D3"/>
    <w:rsid w:val="008B559D"/>
    <w:rsid w:val="008B5600"/>
    <w:rsid w:val="008B59F2"/>
    <w:rsid w:val="008B5EA7"/>
    <w:rsid w:val="008B5F0A"/>
    <w:rsid w:val="008B6100"/>
    <w:rsid w:val="008B635B"/>
    <w:rsid w:val="008B6392"/>
    <w:rsid w:val="008B6702"/>
    <w:rsid w:val="008B717A"/>
    <w:rsid w:val="008B7740"/>
    <w:rsid w:val="008B7D16"/>
    <w:rsid w:val="008C004B"/>
    <w:rsid w:val="008C04F2"/>
    <w:rsid w:val="008C0795"/>
    <w:rsid w:val="008C08BE"/>
    <w:rsid w:val="008C08DC"/>
    <w:rsid w:val="008C18BD"/>
    <w:rsid w:val="008C1AE0"/>
    <w:rsid w:val="008C204B"/>
    <w:rsid w:val="008C204D"/>
    <w:rsid w:val="008C206A"/>
    <w:rsid w:val="008C21F1"/>
    <w:rsid w:val="008C2488"/>
    <w:rsid w:val="008C28DB"/>
    <w:rsid w:val="008C2B44"/>
    <w:rsid w:val="008C2E18"/>
    <w:rsid w:val="008C2FF6"/>
    <w:rsid w:val="008C3167"/>
    <w:rsid w:val="008C388B"/>
    <w:rsid w:val="008C41D6"/>
    <w:rsid w:val="008C4876"/>
    <w:rsid w:val="008C4C6D"/>
    <w:rsid w:val="008C5517"/>
    <w:rsid w:val="008C6A3D"/>
    <w:rsid w:val="008C6E9E"/>
    <w:rsid w:val="008C7C72"/>
    <w:rsid w:val="008C7CC2"/>
    <w:rsid w:val="008C7DDE"/>
    <w:rsid w:val="008C7E06"/>
    <w:rsid w:val="008D0DD3"/>
    <w:rsid w:val="008D0FEF"/>
    <w:rsid w:val="008D1621"/>
    <w:rsid w:val="008D164E"/>
    <w:rsid w:val="008D16EC"/>
    <w:rsid w:val="008D1700"/>
    <w:rsid w:val="008D1779"/>
    <w:rsid w:val="008D1985"/>
    <w:rsid w:val="008D1E21"/>
    <w:rsid w:val="008D2003"/>
    <w:rsid w:val="008D2B77"/>
    <w:rsid w:val="008D2B90"/>
    <w:rsid w:val="008D32A1"/>
    <w:rsid w:val="008D34EB"/>
    <w:rsid w:val="008D351C"/>
    <w:rsid w:val="008D3837"/>
    <w:rsid w:val="008D3F2F"/>
    <w:rsid w:val="008D48D5"/>
    <w:rsid w:val="008D4ABC"/>
    <w:rsid w:val="008D4F33"/>
    <w:rsid w:val="008D5015"/>
    <w:rsid w:val="008D527F"/>
    <w:rsid w:val="008D5744"/>
    <w:rsid w:val="008D58AA"/>
    <w:rsid w:val="008D5DC5"/>
    <w:rsid w:val="008D5F2A"/>
    <w:rsid w:val="008D625F"/>
    <w:rsid w:val="008D6828"/>
    <w:rsid w:val="008D6833"/>
    <w:rsid w:val="008D68AE"/>
    <w:rsid w:val="008D6D91"/>
    <w:rsid w:val="008D6E1C"/>
    <w:rsid w:val="008D6E39"/>
    <w:rsid w:val="008D7247"/>
    <w:rsid w:val="008D73BC"/>
    <w:rsid w:val="008D7769"/>
    <w:rsid w:val="008D7F93"/>
    <w:rsid w:val="008E07A7"/>
    <w:rsid w:val="008E0A24"/>
    <w:rsid w:val="008E14CD"/>
    <w:rsid w:val="008E17EC"/>
    <w:rsid w:val="008E182F"/>
    <w:rsid w:val="008E21B7"/>
    <w:rsid w:val="008E23EE"/>
    <w:rsid w:val="008E2587"/>
    <w:rsid w:val="008E30BB"/>
    <w:rsid w:val="008E3396"/>
    <w:rsid w:val="008E3895"/>
    <w:rsid w:val="008E3D70"/>
    <w:rsid w:val="008E4335"/>
    <w:rsid w:val="008E43F7"/>
    <w:rsid w:val="008E45E7"/>
    <w:rsid w:val="008E48EB"/>
    <w:rsid w:val="008E5197"/>
    <w:rsid w:val="008E5E56"/>
    <w:rsid w:val="008E6357"/>
    <w:rsid w:val="008E64DD"/>
    <w:rsid w:val="008E660E"/>
    <w:rsid w:val="008E6A85"/>
    <w:rsid w:val="008E6DC8"/>
    <w:rsid w:val="008E7AA4"/>
    <w:rsid w:val="008E7AD6"/>
    <w:rsid w:val="008E7CC0"/>
    <w:rsid w:val="008F0290"/>
    <w:rsid w:val="008F0564"/>
    <w:rsid w:val="008F06E9"/>
    <w:rsid w:val="008F07EA"/>
    <w:rsid w:val="008F0C79"/>
    <w:rsid w:val="008F0DBE"/>
    <w:rsid w:val="008F102B"/>
    <w:rsid w:val="008F178E"/>
    <w:rsid w:val="008F17E0"/>
    <w:rsid w:val="008F1B3A"/>
    <w:rsid w:val="008F1C32"/>
    <w:rsid w:val="008F22F5"/>
    <w:rsid w:val="008F26B3"/>
    <w:rsid w:val="008F2888"/>
    <w:rsid w:val="008F2A0D"/>
    <w:rsid w:val="008F3296"/>
    <w:rsid w:val="008F359A"/>
    <w:rsid w:val="008F35A8"/>
    <w:rsid w:val="008F3632"/>
    <w:rsid w:val="008F36CB"/>
    <w:rsid w:val="008F3E4C"/>
    <w:rsid w:val="008F3EEA"/>
    <w:rsid w:val="008F4158"/>
    <w:rsid w:val="008F485A"/>
    <w:rsid w:val="008F4E36"/>
    <w:rsid w:val="008F51D4"/>
    <w:rsid w:val="008F58B5"/>
    <w:rsid w:val="008F5EE9"/>
    <w:rsid w:val="008F61E0"/>
    <w:rsid w:val="008F62EC"/>
    <w:rsid w:val="008F6404"/>
    <w:rsid w:val="008F6656"/>
    <w:rsid w:val="008F75C5"/>
    <w:rsid w:val="008F7B47"/>
    <w:rsid w:val="00900420"/>
    <w:rsid w:val="0090046C"/>
    <w:rsid w:val="0090089B"/>
    <w:rsid w:val="009014BD"/>
    <w:rsid w:val="00901674"/>
    <w:rsid w:val="00901704"/>
    <w:rsid w:val="009018A5"/>
    <w:rsid w:val="00901D72"/>
    <w:rsid w:val="0090220D"/>
    <w:rsid w:val="00902433"/>
    <w:rsid w:val="00902B07"/>
    <w:rsid w:val="00902F6A"/>
    <w:rsid w:val="00903003"/>
    <w:rsid w:val="0090332D"/>
    <w:rsid w:val="00903A93"/>
    <w:rsid w:val="00903C99"/>
    <w:rsid w:val="00903CA5"/>
    <w:rsid w:val="00903CF7"/>
    <w:rsid w:val="00903E82"/>
    <w:rsid w:val="00904417"/>
    <w:rsid w:val="00904481"/>
    <w:rsid w:val="00904AD3"/>
    <w:rsid w:val="00905446"/>
    <w:rsid w:val="00905670"/>
    <w:rsid w:val="009061C1"/>
    <w:rsid w:val="00906344"/>
    <w:rsid w:val="00906D83"/>
    <w:rsid w:val="00906EA2"/>
    <w:rsid w:val="0090740F"/>
    <w:rsid w:val="00907565"/>
    <w:rsid w:val="009075A7"/>
    <w:rsid w:val="00907EF5"/>
    <w:rsid w:val="0091001F"/>
    <w:rsid w:val="00910615"/>
    <w:rsid w:val="009109B5"/>
    <w:rsid w:val="00910A8F"/>
    <w:rsid w:val="00910B13"/>
    <w:rsid w:val="00910CBC"/>
    <w:rsid w:val="009110FB"/>
    <w:rsid w:val="00911111"/>
    <w:rsid w:val="00911272"/>
    <w:rsid w:val="00911384"/>
    <w:rsid w:val="009113C6"/>
    <w:rsid w:val="009114AF"/>
    <w:rsid w:val="009115BB"/>
    <w:rsid w:val="00911A8A"/>
    <w:rsid w:val="00911A96"/>
    <w:rsid w:val="00912761"/>
    <w:rsid w:val="00912AE9"/>
    <w:rsid w:val="00912BFA"/>
    <w:rsid w:val="00912C19"/>
    <w:rsid w:val="00912D97"/>
    <w:rsid w:val="00912FDF"/>
    <w:rsid w:val="00914394"/>
    <w:rsid w:val="00914719"/>
    <w:rsid w:val="0091490A"/>
    <w:rsid w:val="00914AB6"/>
    <w:rsid w:val="00915238"/>
    <w:rsid w:val="009154CF"/>
    <w:rsid w:val="009155F7"/>
    <w:rsid w:val="00915C8B"/>
    <w:rsid w:val="0091692E"/>
    <w:rsid w:val="00916ACA"/>
    <w:rsid w:val="00916D4C"/>
    <w:rsid w:val="0091704D"/>
    <w:rsid w:val="00917920"/>
    <w:rsid w:val="009203EA"/>
    <w:rsid w:val="0092067B"/>
    <w:rsid w:val="00920682"/>
    <w:rsid w:val="00920A06"/>
    <w:rsid w:val="00921C25"/>
    <w:rsid w:val="00921E37"/>
    <w:rsid w:val="009221E6"/>
    <w:rsid w:val="00922393"/>
    <w:rsid w:val="00922487"/>
    <w:rsid w:val="00922A57"/>
    <w:rsid w:val="00922C7D"/>
    <w:rsid w:val="00922CFF"/>
    <w:rsid w:val="00922E71"/>
    <w:rsid w:val="0092318A"/>
    <w:rsid w:val="0092324D"/>
    <w:rsid w:val="00923423"/>
    <w:rsid w:val="00923444"/>
    <w:rsid w:val="0092355A"/>
    <w:rsid w:val="00923C49"/>
    <w:rsid w:val="00923C8C"/>
    <w:rsid w:val="00923EC5"/>
    <w:rsid w:val="00924170"/>
    <w:rsid w:val="00924463"/>
    <w:rsid w:val="0092484E"/>
    <w:rsid w:val="00924FA5"/>
    <w:rsid w:val="00925AC5"/>
    <w:rsid w:val="009262F9"/>
    <w:rsid w:val="00926322"/>
    <w:rsid w:val="0092637F"/>
    <w:rsid w:val="009264B6"/>
    <w:rsid w:val="0092679B"/>
    <w:rsid w:val="0092687C"/>
    <w:rsid w:val="00926CF1"/>
    <w:rsid w:val="00926DD2"/>
    <w:rsid w:val="00926EDA"/>
    <w:rsid w:val="00927AAB"/>
    <w:rsid w:val="00930335"/>
    <w:rsid w:val="009305C4"/>
    <w:rsid w:val="009305C8"/>
    <w:rsid w:val="00930655"/>
    <w:rsid w:val="00930695"/>
    <w:rsid w:val="00930C87"/>
    <w:rsid w:val="0093168F"/>
    <w:rsid w:val="009320CA"/>
    <w:rsid w:val="009321E6"/>
    <w:rsid w:val="009324BC"/>
    <w:rsid w:val="0093268B"/>
    <w:rsid w:val="009326F7"/>
    <w:rsid w:val="00932A59"/>
    <w:rsid w:val="00932C51"/>
    <w:rsid w:val="00932F18"/>
    <w:rsid w:val="0093309E"/>
    <w:rsid w:val="00933125"/>
    <w:rsid w:val="0093321F"/>
    <w:rsid w:val="009333A4"/>
    <w:rsid w:val="00933630"/>
    <w:rsid w:val="00933999"/>
    <w:rsid w:val="00933BAC"/>
    <w:rsid w:val="00933F2D"/>
    <w:rsid w:val="00934036"/>
    <w:rsid w:val="009340F6"/>
    <w:rsid w:val="009342A6"/>
    <w:rsid w:val="0093444C"/>
    <w:rsid w:val="00934B70"/>
    <w:rsid w:val="009352A7"/>
    <w:rsid w:val="009354CA"/>
    <w:rsid w:val="0093585E"/>
    <w:rsid w:val="00935AD5"/>
    <w:rsid w:val="00935F15"/>
    <w:rsid w:val="00935F38"/>
    <w:rsid w:val="00936317"/>
    <w:rsid w:val="00936E56"/>
    <w:rsid w:val="00936FEC"/>
    <w:rsid w:val="00937448"/>
    <w:rsid w:val="00937B4E"/>
    <w:rsid w:val="009403D6"/>
    <w:rsid w:val="009404E5"/>
    <w:rsid w:val="0094115E"/>
    <w:rsid w:val="009413D6"/>
    <w:rsid w:val="009414EC"/>
    <w:rsid w:val="009416BE"/>
    <w:rsid w:val="009416E0"/>
    <w:rsid w:val="009420BE"/>
    <w:rsid w:val="009420C1"/>
    <w:rsid w:val="009426DC"/>
    <w:rsid w:val="00943A2A"/>
    <w:rsid w:val="00943A51"/>
    <w:rsid w:val="00943B80"/>
    <w:rsid w:val="00943BB2"/>
    <w:rsid w:val="00943E88"/>
    <w:rsid w:val="0094402C"/>
    <w:rsid w:val="009440E7"/>
    <w:rsid w:val="0094423B"/>
    <w:rsid w:val="0094446A"/>
    <w:rsid w:val="00944921"/>
    <w:rsid w:val="00944FAA"/>
    <w:rsid w:val="009454A0"/>
    <w:rsid w:val="009459D3"/>
    <w:rsid w:val="00945B7D"/>
    <w:rsid w:val="00945C24"/>
    <w:rsid w:val="00945D7B"/>
    <w:rsid w:val="00945DA3"/>
    <w:rsid w:val="00946296"/>
    <w:rsid w:val="00946E1B"/>
    <w:rsid w:val="00946F83"/>
    <w:rsid w:val="00946FDC"/>
    <w:rsid w:val="00947063"/>
    <w:rsid w:val="00947079"/>
    <w:rsid w:val="009479A7"/>
    <w:rsid w:val="00947A90"/>
    <w:rsid w:val="00947B43"/>
    <w:rsid w:val="00947C8D"/>
    <w:rsid w:val="00947FDF"/>
    <w:rsid w:val="00950426"/>
    <w:rsid w:val="00950B51"/>
    <w:rsid w:val="00950DE0"/>
    <w:rsid w:val="00950F6B"/>
    <w:rsid w:val="0095138D"/>
    <w:rsid w:val="00951C45"/>
    <w:rsid w:val="00951CF4"/>
    <w:rsid w:val="00951E05"/>
    <w:rsid w:val="009528B4"/>
    <w:rsid w:val="00952906"/>
    <w:rsid w:val="00952A52"/>
    <w:rsid w:val="0095363B"/>
    <w:rsid w:val="009536F1"/>
    <w:rsid w:val="009537D7"/>
    <w:rsid w:val="009538BB"/>
    <w:rsid w:val="009541D2"/>
    <w:rsid w:val="00954785"/>
    <w:rsid w:val="0095496E"/>
    <w:rsid w:val="00954AE1"/>
    <w:rsid w:val="00955967"/>
    <w:rsid w:val="00956633"/>
    <w:rsid w:val="00956F76"/>
    <w:rsid w:val="0095701B"/>
    <w:rsid w:val="0095708B"/>
    <w:rsid w:val="009570E5"/>
    <w:rsid w:val="00957523"/>
    <w:rsid w:val="009576D1"/>
    <w:rsid w:val="00957AFA"/>
    <w:rsid w:val="00960167"/>
    <w:rsid w:val="0096075A"/>
    <w:rsid w:val="00960899"/>
    <w:rsid w:val="009612E2"/>
    <w:rsid w:val="00961FDB"/>
    <w:rsid w:val="009625C9"/>
    <w:rsid w:val="009629BC"/>
    <w:rsid w:val="00962C6B"/>
    <w:rsid w:val="00963096"/>
    <w:rsid w:val="009637C7"/>
    <w:rsid w:val="00963838"/>
    <w:rsid w:val="00964562"/>
    <w:rsid w:val="00964DB2"/>
    <w:rsid w:val="009651D4"/>
    <w:rsid w:val="00965A27"/>
    <w:rsid w:val="00965AF0"/>
    <w:rsid w:val="00965BA5"/>
    <w:rsid w:val="00966A78"/>
    <w:rsid w:val="00967323"/>
    <w:rsid w:val="00967B0E"/>
    <w:rsid w:val="00967DF6"/>
    <w:rsid w:val="009702AB"/>
    <w:rsid w:val="0097032D"/>
    <w:rsid w:val="00970711"/>
    <w:rsid w:val="0097082F"/>
    <w:rsid w:val="00970971"/>
    <w:rsid w:val="00971607"/>
    <w:rsid w:val="00971C56"/>
    <w:rsid w:val="00972624"/>
    <w:rsid w:val="009734AC"/>
    <w:rsid w:val="009738BC"/>
    <w:rsid w:val="009742F9"/>
    <w:rsid w:val="0097444A"/>
    <w:rsid w:val="00974BE2"/>
    <w:rsid w:val="00974D4D"/>
    <w:rsid w:val="00975282"/>
    <w:rsid w:val="00975459"/>
    <w:rsid w:val="00975AB0"/>
    <w:rsid w:val="00975ADC"/>
    <w:rsid w:val="009761F8"/>
    <w:rsid w:val="0097624A"/>
    <w:rsid w:val="009764D5"/>
    <w:rsid w:val="009778E6"/>
    <w:rsid w:val="0098058D"/>
    <w:rsid w:val="00980905"/>
    <w:rsid w:val="00980BF9"/>
    <w:rsid w:val="00981141"/>
    <w:rsid w:val="009813CC"/>
    <w:rsid w:val="0098198A"/>
    <w:rsid w:val="00981B20"/>
    <w:rsid w:val="00981CF4"/>
    <w:rsid w:val="0098259E"/>
    <w:rsid w:val="00982BB0"/>
    <w:rsid w:val="00982EC8"/>
    <w:rsid w:val="00982F6C"/>
    <w:rsid w:val="00983A5E"/>
    <w:rsid w:val="00983F74"/>
    <w:rsid w:val="00984871"/>
    <w:rsid w:val="00984BB9"/>
    <w:rsid w:val="00984D85"/>
    <w:rsid w:val="00984E26"/>
    <w:rsid w:val="009853E7"/>
    <w:rsid w:val="0098547A"/>
    <w:rsid w:val="009855E2"/>
    <w:rsid w:val="00985665"/>
    <w:rsid w:val="009859EF"/>
    <w:rsid w:val="00985BE6"/>
    <w:rsid w:val="009868F6"/>
    <w:rsid w:val="00990583"/>
    <w:rsid w:val="00991FDA"/>
    <w:rsid w:val="00992061"/>
    <w:rsid w:val="00992249"/>
    <w:rsid w:val="009922E4"/>
    <w:rsid w:val="00992326"/>
    <w:rsid w:val="00992695"/>
    <w:rsid w:val="009929CC"/>
    <w:rsid w:val="0099307F"/>
    <w:rsid w:val="009937DA"/>
    <w:rsid w:val="0099388B"/>
    <w:rsid w:val="0099406C"/>
    <w:rsid w:val="00994242"/>
    <w:rsid w:val="00994779"/>
    <w:rsid w:val="00994826"/>
    <w:rsid w:val="0099489B"/>
    <w:rsid w:val="00994C81"/>
    <w:rsid w:val="0099534D"/>
    <w:rsid w:val="0099562D"/>
    <w:rsid w:val="009959C3"/>
    <w:rsid w:val="0099606B"/>
    <w:rsid w:val="0099615B"/>
    <w:rsid w:val="009962C5"/>
    <w:rsid w:val="00996319"/>
    <w:rsid w:val="00996393"/>
    <w:rsid w:val="009963A8"/>
    <w:rsid w:val="009964E2"/>
    <w:rsid w:val="0099668F"/>
    <w:rsid w:val="0099735E"/>
    <w:rsid w:val="00997743"/>
    <w:rsid w:val="00997A61"/>
    <w:rsid w:val="009A049D"/>
    <w:rsid w:val="009A067D"/>
    <w:rsid w:val="009A0F0B"/>
    <w:rsid w:val="009A15D2"/>
    <w:rsid w:val="009A15E6"/>
    <w:rsid w:val="009A1C6B"/>
    <w:rsid w:val="009A1C9C"/>
    <w:rsid w:val="009A2302"/>
    <w:rsid w:val="009A249C"/>
    <w:rsid w:val="009A25F2"/>
    <w:rsid w:val="009A2655"/>
    <w:rsid w:val="009A2B60"/>
    <w:rsid w:val="009A2E98"/>
    <w:rsid w:val="009A2F92"/>
    <w:rsid w:val="009A305A"/>
    <w:rsid w:val="009A318D"/>
    <w:rsid w:val="009A3A84"/>
    <w:rsid w:val="009A3F38"/>
    <w:rsid w:val="009A4574"/>
    <w:rsid w:val="009A534C"/>
    <w:rsid w:val="009A5B4E"/>
    <w:rsid w:val="009A5C4C"/>
    <w:rsid w:val="009A60B6"/>
    <w:rsid w:val="009A6121"/>
    <w:rsid w:val="009A664A"/>
    <w:rsid w:val="009A6CF5"/>
    <w:rsid w:val="009A6E0A"/>
    <w:rsid w:val="009A7A61"/>
    <w:rsid w:val="009A7A92"/>
    <w:rsid w:val="009B0053"/>
    <w:rsid w:val="009B0566"/>
    <w:rsid w:val="009B0C21"/>
    <w:rsid w:val="009B12AC"/>
    <w:rsid w:val="009B1328"/>
    <w:rsid w:val="009B1CAA"/>
    <w:rsid w:val="009B2357"/>
    <w:rsid w:val="009B2D5C"/>
    <w:rsid w:val="009B30A6"/>
    <w:rsid w:val="009B3482"/>
    <w:rsid w:val="009B3515"/>
    <w:rsid w:val="009B3915"/>
    <w:rsid w:val="009B3945"/>
    <w:rsid w:val="009B4124"/>
    <w:rsid w:val="009B4571"/>
    <w:rsid w:val="009B5340"/>
    <w:rsid w:val="009B5C9B"/>
    <w:rsid w:val="009B6335"/>
    <w:rsid w:val="009B7FBD"/>
    <w:rsid w:val="009C03FF"/>
    <w:rsid w:val="009C089E"/>
    <w:rsid w:val="009C0C9E"/>
    <w:rsid w:val="009C0F24"/>
    <w:rsid w:val="009C228C"/>
    <w:rsid w:val="009C25C3"/>
    <w:rsid w:val="009C268F"/>
    <w:rsid w:val="009C2805"/>
    <w:rsid w:val="009C2DD0"/>
    <w:rsid w:val="009C3B9F"/>
    <w:rsid w:val="009C3D43"/>
    <w:rsid w:val="009C41B0"/>
    <w:rsid w:val="009C44BB"/>
    <w:rsid w:val="009C4870"/>
    <w:rsid w:val="009C4C96"/>
    <w:rsid w:val="009C5296"/>
    <w:rsid w:val="009C5516"/>
    <w:rsid w:val="009C597E"/>
    <w:rsid w:val="009C598B"/>
    <w:rsid w:val="009C5A9D"/>
    <w:rsid w:val="009C600E"/>
    <w:rsid w:val="009C67E9"/>
    <w:rsid w:val="009C707A"/>
    <w:rsid w:val="009D0F8B"/>
    <w:rsid w:val="009D1FF5"/>
    <w:rsid w:val="009D2141"/>
    <w:rsid w:val="009D27C1"/>
    <w:rsid w:val="009D2844"/>
    <w:rsid w:val="009D2BC3"/>
    <w:rsid w:val="009D39BC"/>
    <w:rsid w:val="009D47C8"/>
    <w:rsid w:val="009D5AA9"/>
    <w:rsid w:val="009D5C07"/>
    <w:rsid w:val="009D5F09"/>
    <w:rsid w:val="009D5F42"/>
    <w:rsid w:val="009D62D7"/>
    <w:rsid w:val="009D6565"/>
    <w:rsid w:val="009D73BB"/>
    <w:rsid w:val="009D73E7"/>
    <w:rsid w:val="009D759F"/>
    <w:rsid w:val="009D780B"/>
    <w:rsid w:val="009E0241"/>
    <w:rsid w:val="009E03C4"/>
    <w:rsid w:val="009E0B15"/>
    <w:rsid w:val="009E0C6E"/>
    <w:rsid w:val="009E0DC4"/>
    <w:rsid w:val="009E0EF8"/>
    <w:rsid w:val="009E1052"/>
    <w:rsid w:val="009E15A8"/>
    <w:rsid w:val="009E19EE"/>
    <w:rsid w:val="009E1A9C"/>
    <w:rsid w:val="009E2026"/>
    <w:rsid w:val="009E20C6"/>
    <w:rsid w:val="009E29C9"/>
    <w:rsid w:val="009E2A79"/>
    <w:rsid w:val="009E2F0B"/>
    <w:rsid w:val="009E3270"/>
    <w:rsid w:val="009E3556"/>
    <w:rsid w:val="009E3610"/>
    <w:rsid w:val="009E361E"/>
    <w:rsid w:val="009E3685"/>
    <w:rsid w:val="009E3B48"/>
    <w:rsid w:val="009E3F8D"/>
    <w:rsid w:val="009E4383"/>
    <w:rsid w:val="009E49EA"/>
    <w:rsid w:val="009E4C05"/>
    <w:rsid w:val="009E4ED1"/>
    <w:rsid w:val="009E5085"/>
    <w:rsid w:val="009E513C"/>
    <w:rsid w:val="009E5783"/>
    <w:rsid w:val="009E58A2"/>
    <w:rsid w:val="009E5969"/>
    <w:rsid w:val="009E59D5"/>
    <w:rsid w:val="009E5D21"/>
    <w:rsid w:val="009E63C9"/>
    <w:rsid w:val="009E6E84"/>
    <w:rsid w:val="009E6EED"/>
    <w:rsid w:val="009E6F75"/>
    <w:rsid w:val="009E71DA"/>
    <w:rsid w:val="009E7A62"/>
    <w:rsid w:val="009F0489"/>
    <w:rsid w:val="009F06B8"/>
    <w:rsid w:val="009F0A1E"/>
    <w:rsid w:val="009F0DE0"/>
    <w:rsid w:val="009F1357"/>
    <w:rsid w:val="009F13D6"/>
    <w:rsid w:val="009F1716"/>
    <w:rsid w:val="009F1DDC"/>
    <w:rsid w:val="009F217C"/>
    <w:rsid w:val="009F2911"/>
    <w:rsid w:val="009F389B"/>
    <w:rsid w:val="009F3921"/>
    <w:rsid w:val="009F3EEF"/>
    <w:rsid w:val="009F410C"/>
    <w:rsid w:val="009F41A1"/>
    <w:rsid w:val="009F437C"/>
    <w:rsid w:val="009F4382"/>
    <w:rsid w:val="009F4A18"/>
    <w:rsid w:val="009F4A2F"/>
    <w:rsid w:val="009F4BBC"/>
    <w:rsid w:val="009F51C9"/>
    <w:rsid w:val="009F6542"/>
    <w:rsid w:val="009F6869"/>
    <w:rsid w:val="009F6B6A"/>
    <w:rsid w:val="009F6CFD"/>
    <w:rsid w:val="009F6D32"/>
    <w:rsid w:val="009F7171"/>
    <w:rsid w:val="009F75BB"/>
    <w:rsid w:val="009F76B6"/>
    <w:rsid w:val="009F7A2B"/>
    <w:rsid w:val="009F7E88"/>
    <w:rsid w:val="009F7FBA"/>
    <w:rsid w:val="00A0019A"/>
    <w:rsid w:val="00A00C4F"/>
    <w:rsid w:val="00A012A8"/>
    <w:rsid w:val="00A013FD"/>
    <w:rsid w:val="00A01A52"/>
    <w:rsid w:val="00A01E91"/>
    <w:rsid w:val="00A02572"/>
    <w:rsid w:val="00A02E41"/>
    <w:rsid w:val="00A02E69"/>
    <w:rsid w:val="00A02EA7"/>
    <w:rsid w:val="00A03114"/>
    <w:rsid w:val="00A03938"/>
    <w:rsid w:val="00A03B75"/>
    <w:rsid w:val="00A03D34"/>
    <w:rsid w:val="00A041F3"/>
    <w:rsid w:val="00A04812"/>
    <w:rsid w:val="00A05F0A"/>
    <w:rsid w:val="00A063B9"/>
    <w:rsid w:val="00A06F4D"/>
    <w:rsid w:val="00A07C15"/>
    <w:rsid w:val="00A07DB6"/>
    <w:rsid w:val="00A107BE"/>
    <w:rsid w:val="00A10ACF"/>
    <w:rsid w:val="00A10CAB"/>
    <w:rsid w:val="00A10F92"/>
    <w:rsid w:val="00A112A3"/>
    <w:rsid w:val="00A11362"/>
    <w:rsid w:val="00A11835"/>
    <w:rsid w:val="00A118AC"/>
    <w:rsid w:val="00A11D1A"/>
    <w:rsid w:val="00A12178"/>
    <w:rsid w:val="00A12ABE"/>
    <w:rsid w:val="00A12EC2"/>
    <w:rsid w:val="00A13027"/>
    <w:rsid w:val="00A131E0"/>
    <w:rsid w:val="00A1351E"/>
    <w:rsid w:val="00A140C4"/>
    <w:rsid w:val="00A1417B"/>
    <w:rsid w:val="00A14222"/>
    <w:rsid w:val="00A14817"/>
    <w:rsid w:val="00A14840"/>
    <w:rsid w:val="00A150B7"/>
    <w:rsid w:val="00A15579"/>
    <w:rsid w:val="00A15C45"/>
    <w:rsid w:val="00A15C7C"/>
    <w:rsid w:val="00A164DB"/>
    <w:rsid w:val="00A16D33"/>
    <w:rsid w:val="00A17333"/>
    <w:rsid w:val="00A1753E"/>
    <w:rsid w:val="00A1789D"/>
    <w:rsid w:val="00A17DC7"/>
    <w:rsid w:val="00A2014F"/>
    <w:rsid w:val="00A204C2"/>
    <w:rsid w:val="00A205B0"/>
    <w:rsid w:val="00A20B2F"/>
    <w:rsid w:val="00A20C88"/>
    <w:rsid w:val="00A20D3D"/>
    <w:rsid w:val="00A20E4F"/>
    <w:rsid w:val="00A20EC8"/>
    <w:rsid w:val="00A2115D"/>
    <w:rsid w:val="00A217C3"/>
    <w:rsid w:val="00A21DB4"/>
    <w:rsid w:val="00A23056"/>
    <w:rsid w:val="00A246C4"/>
    <w:rsid w:val="00A24A06"/>
    <w:rsid w:val="00A25044"/>
    <w:rsid w:val="00A251D1"/>
    <w:rsid w:val="00A25552"/>
    <w:rsid w:val="00A256D8"/>
    <w:rsid w:val="00A2583A"/>
    <w:rsid w:val="00A260F4"/>
    <w:rsid w:val="00A2696D"/>
    <w:rsid w:val="00A26ED6"/>
    <w:rsid w:val="00A270C5"/>
    <w:rsid w:val="00A276C3"/>
    <w:rsid w:val="00A27AF0"/>
    <w:rsid w:val="00A27FFC"/>
    <w:rsid w:val="00A3054F"/>
    <w:rsid w:val="00A3064E"/>
    <w:rsid w:val="00A307F5"/>
    <w:rsid w:val="00A3093D"/>
    <w:rsid w:val="00A30F65"/>
    <w:rsid w:val="00A326D0"/>
    <w:rsid w:val="00A32797"/>
    <w:rsid w:val="00A32B2E"/>
    <w:rsid w:val="00A32CD8"/>
    <w:rsid w:val="00A332FC"/>
    <w:rsid w:val="00A33359"/>
    <w:rsid w:val="00A33E0E"/>
    <w:rsid w:val="00A33E8C"/>
    <w:rsid w:val="00A34555"/>
    <w:rsid w:val="00A346B5"/>
    <w:rsid w:val="00A34D10"/>
    <w:rsid w:val="00A34D53"/>
    <w:rsid w:val="00A35184"/>
    <w:rsid w:val="00A356E3"/>
    <w:rsid w:val="00A35ADB"/>
    <w:rsid w:val="00A3611B"/>
    <w:rsid w:val="00A362D5"/>
    <w:rsid w:val="00A363AC"/>
    <w:rsid w:val="00A370B5"/>
    <w:rsid w:val="00A375B6"/>
    <w:rsid w:val="00A37D2F"/>
    <w:rsid w:val="00A40011"/>
    <w:rsid w:val="00A402BC"/>
    <w:rsid w:val="00A406FF"/>
    <w:rsid w:val="00A41015"/>
    <w:rsid w:val="00A412BB"/>
    <w:rsid w:val="00A41547"/>
    <w:rsid w:val="00A4161B"/>
    <w:rsid w:val="00A41A45"/>
    <w:rsid w:val="00A41FC5"/>
    <w:rsid w:val="00A429A5"/>
    <w:rsid w:val="00A42D47"/>
    <w:rsid w:val="00A430DF"/>
    <w:rsid w:val="00A437F3"/>
    <w:rsid w:val="00A4395A"/>
    <w:rsid w:val="00A43D29"/>
    <w:rsid w:val="00A44483"/>
    <w:rsid w:val="00A44DD4"/>
    <w:rsid w:val="00A44F96"/>
    <w:rsid w:val="00A4526C"/>
    <w:rsid w:val="00A452EC"/>
    <w:rsid w:val="00A459C3"/>
    <w:rsid w:val="00A46617"/>
    <w:rsid w:val="00A47BB9"/>
    <w:rsid w:val="00A47C07"/>
    <w:rsid w:val="00A47FBC"/>
    <w:rsid w:val="00A508CD"/>
    <w:rsid w:val="00A50D11"/>
    <w:rsid w:val="00A50D18"/>
    <w:rsid w:val="00A50EB6"/>
    <w:rsid w:val="00A5174E"/>
    <w:rsid w:val="00A51B5D"/>
    <w:rsid w:val="00A51D66"/>
    <w:rsid w:val="00A52215"/>
    <w:rsid w:val="00A527C8"/>
    <w:rsid w:val="00A5326F"/>
    <w:rsid w:val="00A54670"/>
    <w:rsid w:val="00A54ABF"/>
    <w:rsid w:val="00A54B95"/>
    <w:rsid w:val="00A54FD9"/>
    <w:rsid w:val="00A55020"/>
    <w:rsid w:val="00A550EC"/>
    <w:rsid w:val="00A55277"/>
    <w:rsid w:val="00A556EA"/>
    <w:rsid w:val="00A55980"/>
    <w:rsid w:val="00A562E9"/>
    <w:rsid w:val="00A56D7A"/>
    <w:rsid w:val="00A56FE2"/>
    <w:rsid w:val="00A573C8"/>
    <w:rsid w:val="00A574A1"/>
    <w:rsid w:val="00A57636"/>
    <w:rsid w:val="00A5766E"/>
    <w:rsid w:val="00A57C8C"/>
    <w:rsid w:val="00A600BF"/>
    <w:rsid w:val="00A604A7"/>
    <w:rsid w:val="00A60555"/>
    <w:rsid w:val="00A60CCB"/>
    <w:rsid w:val="00A613BA"/>
    <w:rsid w:val="00A6161E"/>
    <w:rsid w:val="00A61717"/>
    <w:rsid w:val="00A61DD0"/>
    <w:rsid w:val="00A61E43"/>
    <w:rsid w:val="00A61FB5"/>
    <w:rsid w:val="00A62340"/>
    <w:rsid w:val="00A62A79"/>
    <w:rsid w:val="00A62A85"/>
    <w:rsid w:val="00A62C45"/>
    <w:rsid w:val="00A633CF"/>
    <w:rsid w:val="00A635E2"/>
    <w:rsid w:val="00A6368B"/>
    <w:rsid w:val="00A636F6"/>
    <w:rsid w:val="00A63D9A"/>
    <w:rsid w:val="00A63E39"/>
    <w:rsid w:val="00A64162"/>
    <w:rsid w:val="00A64237"/>
    <w:rsid w:val="00A6493B"/>
    <w:rsid w:val="00A64FC3"/>
    <w:rsid w:val="00A651C0"/>
    <w:rsid w:val="00A6552E"/>
    <w:rsid w:val="00A655C5"/>
    <w:rsid w:val="00A657C6"/>
    <w:rsid w:val="00A6580B"/>
    <w:rsid w:val="00A65CA3"/>
    <w:rsid w:val="00A65D76"/>
    <w:rsid w:val="00A65F14"/>
    <w:rsid w:val="00A66D78"/>
    <w:rsid w:val="00A675AD"/>
    <w:rsid w:val="00A675B6"/>
    <w:rsid w:val="00A67780"/>
    <w:rsid w:val="00A67FDC"/>
    <w:rsid w:val="00A70FB3"/>
    <w:rsid w:val="00A7125D"/>
    <w:rsid w:val="00A71512"/>
    <w:rsid w:val="00A718E9"/>
    <w:rsid w:val="00A71A3E"/>
    <w:rsid w:val="00A71CDD"/>
    <w:rsid w:val="00A71EF9"/>
    <w:rsid w:val="00A71FC0"/>
    <w:rsid w:val="00A72865"/>
    <w:rsid w:val="00A72EA4"/>
    <w:rsid w:val="00A737CC"/>
    <w:rsid w:val="00A73C34"/>
    <w:rsid w:val="00A74209"/>
    <w:rsid w:val="00A743EE"/>
    <w:rsid w:val="00A746F0"/>
    <w:rsid w:val="00A74E34"/>
    <w:rsid w:val="00A74E55"/>
    <w:rsid w:val="00A75035"/>
    <w:rsid w:val="00A75A15"/>
    <w:rsid w:val="00A75D69"/>
    <w:rsid w:val="00A75FE6"/>
    <w:rsid w:val="00A76086"/>
    <w:rsid w:val="00A762C2"/>
    <w:rsid w:val="00A76A14"/>
    <w:rsid w:val="00A76C95"/>
    <w:rsid w:val="00A76D6E"/>
    <w:rsid w:val="00A76F4A"/>
    <w:rsid w:val="00A771C9"/>
    <w:rsid w:val="00A774B8"/>
    <w:rsid w:val="00A80339"/>
    <w:rsid w:val="00A803E5"/>
    <w:rsid w:val="00A80FF1"/>
    <w:rsid w:val="00A813F9"/>
    <w:rsid w:val="00A818C5"/>
    <w:rsid w:val="00A81CBF"/>
    <w:rsid w:val="00A826B5"/>
    <w:rsid w:val="00A82ADA"/>
    <w:rsid w:val="00A82C7D"/>
    <w:rsid w:val="00A82F5E"/>
    <w:rsid w:val="00A83124"/>
    <w:rsid w:val="00A832AA"/>
    <w:rsid w:val="00A8358B"/>
    <w:rsid w:val="00A83841"/>
    <w:rsid w:val="00A8392E"/>
    <w:rsid w:val="00A84194"/>
    <w:rsid w:val="00A8495B"/>
    <w:rsid w:val="00A854A3"/>
    <w:rsid w:val="00A859F0"/>
    <w:rsid w:val="00A85B51"/>
    <w:rsid w:val="00A86510"/>
    <w:rsid w:val="00A866D2"/>
    <w:rsid w:val="00A86797"/>
    <w:rsid w:val="00A8701F"/>
    <w:rsid w:val="00A875E9"/>
    <w:rsid w:val="00A87927"/>
    <w:rsid w:val="00A87FA6"/>
    <w:rsid w:val="00A9025A"/>
    <w:rsid w:val="00A9038B"/>
    <w:rsid w:val="00A90A4F"/>
    <w:rsid w:val="00A90D01"/>
    <w:rsid w:val="00A91543"/>
    <w:rsid w:val="00A91807"/>
    <w:rsid w:val="00A91E20"/>
    <w:rsid w:val="00A91F7A"/>
    <w:rsid w:val="00A9226E"/>
    <w:rsid w:val="00A92460"/>
    <w:rsid w:val="00A928E6"/>
    <w:rsid w:val="00A939AE"/>
    <w:rsid w:val="00A93E84"/>
    <w:rsid w:val="00A94462"/>
    <w:rsid w:val="00A946F3"/>
    <w:rsid w:val="00A94BDD"/>
    <w:rsid w:val="00A94E6C"/>
    <w:rsid w:val="00A95266"/>
    <w:rsid w:val="00A95428"/>
    <w:rsid w:val="00A95BEB"/>
    <w:rsid w:val="00A95FD3"/>
    <w:rsid w:val="00A96157"/>
    <w:rsid w:val="00A9742F"/>
    <w:rsid w:val="00A976BA"/>
    <w:rsid w:val="00AA05BB"/>
    <w:rsid w:val="00AA0681"/>
    <w:rsid w:val="00AA0A7A"/>
    <w:rsid w:val="00AA0A92"/>
    <w:rsid w:val="00AA0ACC"/>
    <w:rsid w:val="00AA0B74"/>
    <w:rsid w:val="00AA0F3D"/>
    <w:rsid w:val="00AA12B1"/>
    <w:rsid w:val="00AA1E55"/>
    <w:rsid w:val="00AA23A4"/>
    <w:rsid w:val="00AA27AD"/>
    <w:rsid w:val="00AA2A0C"/>
    <w:rsid w:val="00AA3600"/>
    <w:rsid w:val="00AA3749"/>
    <w:rsid w:val="00AA4026"/>
    <w:rsid w:val="00AA421E"/>
    <w:rsid w:val="00AA483A"/>
    <w:rsid w:val="00AA5556"/>
    <w:rsid w:val="00AA57E4"/>
    <w:rsid w:val="00AA5FAC"/>
    <w:rsid w:val="00AA5FE1"/>
    <w:rsid w:val="00AA6348"/>
    <w:rsid w:val="00AA68C4"/>
    <w:rsid w:val="00AA6C0F"/>
    <w:rsid w:val="00AA6EB8"/>
    <w:rsid w:val="00AA7392"/>
    <w:rsid w:val="00AA785E"/>
    <w:rsid w:val="00AB0E17"/>
    <w:rsid w:val="00AB1720"/>
    <w:rsid w:val="00AB1779"/>
    <w:rsid w:val="00AB1D46"/>
    <w:rsid w:val="00AB23BB"/>
    <w:rsid w:val="00AB2825"/>
    <w:rsid w:val="00AB2B0F"/>
    <w:rsid w:val="00AB2C13"/>
    <w:rsid w:val="00AB4251"/>
    <w:rsid w:val="00AB458B"/>
    <w:rsid w:val="00AB5875"/>
    <w:rsid w:val="00AB5983"/>
    <w:rsid w:val="00AB5EC5"/>
    <w:rsid w:val="00AB61BE"/>
    <w:rsid w:val="00AB67FF"/>
    <w:rsid w:val="00AB75A5"/>
    <w:rsid w:val="00AB77D1"/>
    <w:rsid w:val="00AB7859"/>
    <w:rsid w:val="00AB7C06"/>
    <w:rsid w:val="00AC0168"/>
    <w:rsid w:val="00AC07B1"/>
    <w:rsid w:val="00AC0828"/>
    <w:rsid w:val="00AC0869"/>
    <w:rsid w:val="00AC0C34"/>
    <w:rsid w:val="00AC16A1"/>
    <w:rsid w:val="00AC1C92"/>
    <w:rsid w:val="00AC1F8D"/>
    <w:rsid w:val="00AC2054"/>
    <w:rsid w:val="00AC2146"/>
    <w:rsid w:val="00AC26C7"/>
    <w:rsid w:val="00AC2E87"/>
    <w:rsid w:val="00AC40FF"/>
    <w:rsid w:val="00AC4367"/>
    <w:rsid w:val="00AC4724"/>
    <w:rsid w:val="00AC496E"/>
    <w:rsid w:val="00AC49C2"/>
    <w:rsid w:val="00AC4DE2"/>
    <w:rsid w:val="00AC53BB"/>
    <w:rsid w:val="00AC5C4E"/>
    <w:rsid w:val="00AC661B"/>
    <w:rsid w:val="00AC696A"/>
    <w:rsid w:val="00AC6DAC"/>
    <w:rsid w:val="00AC7682"/>
    <w:rsid w:val="00AC7DB7"/>
    <w:rsid w:val="00AC7F64"/>
    <w:rsid w:val="00AD01C4"/>
    <w:rsid w:val="00AD069B"/>
    <w:rsid w:val="00AD06F1"/>
    <w:rsid w:val="00AD0748"/>
    <w:rsid w:val="00AD0B5E"/>
    <w:rsid w:val="00AD1621"/>
    <w:rsid w:val="00AD220A"/>
    <w:rsid w:val="00AD2557"/>
    <w:rsid w:val="00AD322C"/>
    <w:rsid w:val="00AD3460"/>
    <w:rsid w:val="00AD3571"/>
    <w:rsid w:val="00AD39D8"/>
    <w:rsid w:val="00AD3C8F"/>
    <w:rsid w:val="00AD3F99"/>
    <w:rsid w:val="00AD5B96"/>
    <w:rsid w:val="00AD5EEE"/>
    <w:rsid w:val="00AD6148"/>
    <w:rsid w:val="00AD62B6"/>
    <w:rsid w:val="00AD6997"/>
    <w:rsid w:val="00AE0249"/>
    <w:rsid w:val="00AE030C"/>
    <w:rsid w:val="00AE07AC"/>
    <w:rsid w:val="00AE0C80"/>
    <w:rsid w:val="00AE149A"/>
    <w:rsid w:val="00AE14C1"/>
    <w:rsid w:val="00AE1B6D"/>
    <w:rsid w:val="00AE1DBC"/>
    <w:rsid w:val="00AE2FF9"/>
    <w:rsid w:val="00AE3101"/>
    <w:rsid w:val="00AE335F"/>
    <w:rsid w:val="00AE363A"/>
    <w:rsid w:val="00AE366C"/>
    <w:rsid w:val="00AE3A0E"/>
    <w:rsid w:val="00AE3EFC"/>
    <w:rsid w:val="00AE4717"/>
    <w:rsid w:val="00AE50D6"/>
    <w:rsid w:val="00AE52FD"/>
    <w:rsid w:val="00AE5575"/>
    <w:rsid w:val="00AE59AC"/>
    <w:rsid w:val="00AE6AAC"/>
    <w:rsid w:val="00AE6F49"/>
    <w:rsid w:val="00AE6F6B"/>
    <w:rsid w:val="00AE6FCB"/>
    <w:rsid w:val="00AE7203"/>
    <w:rsid w:val="00AE732C"/>
    <w:rsid w:val="00AE73DF"/>
    <w:rsid w:val="00AE7D03"/>
    <w:rsid w:val="00AF04B2"/>
    <w:rsid w:val="00AF16F8"/>
    <w:rsid w:val="00AF1B07"/>
    <w:rsid w:val="00AF2594"/>
    <w:rsid w:val="00AF302B"/>
    <w:rsid w:val="00AF38A5"/>
    <w:rsid w:val="00AF3912"/>
    <w:rsid w:val="00AF3BBB"/>
    <w:rsid w:val="00AF4433"/>
    <w:rsid w:val="00AF4515"/>
    <w:rsid w:val="00AF4CA0"/>
    <w:rsid w:val="00AF5E97"/>
    <w:rsid w:val="00AF6918"/>
    <w:rsid w:val="00AF6974"/>
    <w:rsid w:val="00AF7041"/>
    <w:rsid w:val="00AF7635"/>
    <w:rsid w:val="00B00AEA"/>
    <w:rsid w:val="00B00C85"/>
    <w:rsid w:val="00B00CF6"/>
    <w:rsid w:val="00B00D49"/>
    <w:rsid w:val="00B00EAB"/>
    <w:rsid w:val="00B01524"/>
    <w:rsid w:val="00B01862"/>
    <w:rsid w:val="00B018BA"/>
    <w:rsid w:val="00B019AC"/>
    <w:rsid w:val="00B020CC"/>
    <w:rsid w:val="00B02141"/>
    <w:rsid w:val="00B0224F"/>
    <w:rsid w:val="00B0239F"/>
    <w:rsid w:val="00B0269D"/>
    <w:rsid w:val="00B029B2"/>
    <w:rsid w:val="00B031AB"/>
    <w:rsid w:val="00B03324"/>
    <w:rsid w:val="00B03803"/>
    <w:rsid w:val="00B03938"/>
    <w:rsid w:val="00B03E41"/>
    <w:rsid w:val="00B049B2"/>
    <w:rsid w:val="00B04C5E"/>
    <w:rsid w:val="00B04CAA"/>
    <w:rsid w:val="00B04F3B"/>
    <w:rsid w:val="00B05190"/>
    <w:rsid w:val="00B05F95"/>
    <w:rsid w:val="00B062CB"/>
    <w:rsid w:val="00B06546"/>
    <w:rsid w:val="00B07081"/>
    <w:rsid w:val="00B07A15"/>
    <w:rsid w:val="00B07AE2"/>
    <w:rsid w:val="00B07CA5"/>
    <w:rsid w:val="00B10149"/>
    <w:rsid w:val="00B1014D"/>
    <w:rsid w:val="00B1024E"/>
    <w:rsid w:val="00B10C51"/>
    <w:rsid w:val="00B113B9"/>
    <w:rsid w:val="00B119A6"/>
    <w:rsid w:val="00B122BB"/>
    <w:rsid w:val="00B1250E"/>
    <w:rsid w:val="00B129F0"/>
    <w:rsid w:val="00B12DCF"/>
    <w:rsid w:val="00B13102"/>
    <w:rsid w:val="00B138E2"/>
    <w:rsid w:val="00B13B6A"/>
    <w:rsid w:val="00B142D3"/>
    <w:rsid w:val="00B1444A"/>
    <w:rsid w:val="00B14482"/>
    <w:rsid w:val="00B14A7A"/>
    <w:rsid w:val="00B14C3F"/>
    <w:rsid w:val="00B1566D"/>
    <w:rsid w:val="00B1581D"/>
    <w:rsid w:val="00B15898"/>
    <w:rsid w:val="00B16820"/>
    <w:rsid w:val="00B16839"/>
    <w:rsid w:val="00B16ECC"/>
    <w:rsid w:val="00B17028"/>
    <w:rsid w:val="00B1758A"/>
    <w:rsid w:val="00B17670"/>
    <w:rsid w:val="00B176A0"/>
    <w:rsid w:val="00B177FA"/>
    <w:rsid w:val="00B17E1B"/>
    <w:rsid w:val="00B20223"/>
    <w:rsid w:val="00B20618"/>
    <w:rsid w:val="00B2064A"/>
    <w:rsid w:val="00B209B6"/>
    <w:rsid w:val="00B218D0"/>
    <w:rsid w:val="00B21AEE"/>
    <w:rsid w:val="00B21D1C"/>
    <w:rsid w:val="00B226BE"/>
    <w:rsid w:val="00B22995"/>
    <w:rsid w:val="00B23305"/>
    <w:rsid w:val="00B234FE"/>
    <w:rsid w:val="00B23AFF"/>
    <w:rsid w:val="00B24004"/>
    <w:rsid w:val="00B24202"/>
    <w:rsid w:val="00B24415"/>
    <w:rsid w:val="00B24688"/>
    <w:rsid w:val="00B25055"/>
    <w:rsid w:val="00B25371"/>
    <w:rsid w:val="00B25B30"/>
    <w:rsid w:val="00B2635D"/>
    <w:rsid w:val="00B2675D"/>
    <w:rsid w:val="00B26BE2"/>
    <w:rsid w:val="00B26C38"/>
    <w:rsid w:val="00B26F06"/>
    <w:rsid w:val="00B26FC0"/>
    <w:rsid w:val="00B272AD"/>
    <w:rsid w:val="00B275C5"/>
    <w:rsid w:val="00B27A84"/>
    <w:rsid w:val="00B27EA1"/>
    <w:rsid w:val="00B30867"/>
    <w:rsid w:val="00B30965"/>
    <w:rsid w:val="00B309CA"/>
    <w:rsid w:val="00B31162"/>
    <w:rsid w:val="00B314A9"/>
    <w:rsid w:val="00B31652"/>
    <w:rsid w:val="00B31955"/>
    <w:rsid w:val="00B31A2E"/>
    <w:rsid w:val="00B31DAF"/>
    <w:rsid w:val="00B31F58"/>
    <w:rsid w:val="00B323EB"/>
    <w:rsid w:val="00B326A3"/>
    <w:rsid w:val="00B327CA"/>
    <w:rsid w:val="00B3286F"/>
    <w:rsid w:val="00B32D81"/>
    <w:rsid w:val="00B331CA"/>
    <w:rsid w:val="00B33A25"/>
    <w:rsid w:val="00B33E27"/>
    <w:rsid w:val="00B34B76"/>
    <w:rsid w:val="00B34CF0"/>
    <w:rsid w:val="00B354D9"/>
    <w:rsid w:val="00B3573B"/>
    <w:rsid w:val="00B363A1"/>
    <w:rsid w:val="00B371AE"/>
    <w:rsid w:val="00B37223"/>
    <w:rsid w:val="00B37866"/>
    <w:rsid w:val="00B378E7"/>
    <w:rsid w:val="00B37EA3"/>
    <w:rsid w:val="00B40094"/>
    <w:rsid w:val="00B400F9"/>
    <w:rsid w:val="00B40B04"/>
    <w:rsid w:val="00B40FB2"/>
    <w:rsid w:val="00B41021"/>
    <w:rsid w:val="00B410D7"/>
    <w:rsid w:val="00B4126D"/>
    <w:rsid w:val="00B41E6A"/>
    <w:rsid w:val="00B428AF"/>
    <w:rsid w:val="00B42E6E"/>
    <w:rsid w:val="00B43313"/>
    <w:rsid w:val="00B43364"/>
    <w:rsid w:val="00B4360A"/>
    <w:rsid w:val="00B43819"/>
    <w:rsid w:val="00B43849"/>
    <w:rsid w:val="00B4407D"/>
    <w:rsid w:val="00B44FA9"/>
    <w:rsid w:val="00B45346"/>
    <w:rsid w:val="00B45569"/>
    <w:rsid w:val="00B45A58"/>
    <w:rsid w:val="00B46386"/>
    <w:rsid w:val="00B4686E"/>
    <w:rsid w:val="00B46D34"/>
    <w:rsid w:val="00B4708D"/>
    <w:rsid w:val="00B479FB"/>
    <w:rsid w:val="00B47A68"/>
    <w:rsid w:val="00B50141"/>
    <w:rsid w:val="00B506BE"/>
    <w:rsid w:val="00B506F3"/>
    <w:rsid w:val="00B50D55"/>
    <w:rsid w:val="00B5107E"/>
    <w:rsid w:val="00B51593"/>
    <w:rsid w:val="00B51C3F"/>
    <w:rsid w:val="00B51E86"/>
    <w:rsid w:val="00B51EBB"/>
    <w:rsid w:val="00B52257"/>
    <w:rsid w:val="00B52372"/>
    <w:rsid w:val="00B524CF"/>
    <w:rsid w:val="00B525A6"/>
    <w:rsid w:val="00B529A1"/>
    <w:rsid w:val="00B53095"/>
    <w:rsid w:val="00B530D8"/>
    <w:rsid w:val="00B531DB"/>
    <w:rsid w:val="00B53315"/>
    <w:rsid w:val="00B535F2"/>
    <w:rsid w:val="00B53602"/>
    <w:rsid w:val="00B539B7"/>
    <w:rsid w:val="00B5447B"/>
    <w:rsid w:val="00B54583"/>
    <w:rsid w:val="00B54B73"/>
    <w:rsid w:val="00B55041"/>
    <w:rsid w:val="00B554A4"/>
    <w:rsid w:val="00B55EF0"/>
    <w:rsid w:val="00B561A5"/>
    <w:rsid w:val="00B565E5"/>
    <w:rsid w:val="00B56658"/>
    <w:rsid w:val="00B566EC"/>
    <w:rsid w:val="00B570B4"/>
    <w:rsid w:val="00B570EC"/>
    <w:rsid w:val="00B570F8"/>
    <w:rsid w:val="00B57D86"/>
    <w:rsid w:val="00B6065B"/>
    <w:rsid w:val="00B607A9"/>
    <w:rsid w:val="00B60813"/>
    <w:rsid w:val="00B60AA6"/>
    <w:rsid w:val="00B612B7"/>
    <w:rsid w:val="00B61D03"/>
    <w:rsid w:val="00B61E14"/>
    <w:rsid w:val="00B61F20"/>
    <w:rsid w:val="00B622A3"/>
    <w:rsid w:val="00B623D5"/>
    <w:rsid w:val="00B62592"/>
    <w:rsid w:val="00B6288C"/>
    <w:rsid w:val="00B62BBA"/>
    <w:rsid w:val="00B62F93"/>
    <w:rsid w:val="00B63186"/>
    <w:rsid w:val="00B63886"/>
    <w:rsid w:val="00B64537"/>
    <w:rsid w:val="00B64727"/>
    <w:rsid w:val="00B6478A"/>
    <w:rsid w:val="00B647BF"/>
    <w:rsid w:val="00B64882"/>
    <w:rsid w:val="00B64C5A"/>
    <w:rsid w:val="00B654A6"/>
    <w:rsid w:val="00B654C9"/>
    <w:rsid w:val="00B666DD"/>
    <w:rsid w:val="00B66EE9"/>
    <w:rsid w:val="00B67762"/>
    <w:rsid w:val="00B67A1E"/>
    <w:rsid w:val="00B70075"/>
    <w:rsid w:val="00B70D01"/>
    <w:rsid w:val="00B712D2"/>
    <w:rsid w:val="00B7166C"/>
    <w:rsid w:val="00B717AC"/>
    <w:rsid w:val="00B71F48"/>
    <w:rsid w:val="00B721F9"/>
    <w:rsid w:val="00B72343"/>
    <w:rsid w:val="00B73599"/>
    <w:rsid w:val="00B73659"/>
    <w:rsid w:val="00B7365B"/>
    <w:rsid w:val="00B73BF2"/>
    <w:rsid w:val="00B747CA"/>
    <w:rsid w:val="00B7494B"/>
    <w:rsid w:val="00B74A17"/>
    <w:rsid w:val="00B75FF5"/>
    <w:rsid w:val="00B76652"/>
    <w:rsid w:val="00B7687F"/>
    <w:rsid w:val="00B76E3E"/>
    <w:rsid w:val="00B77026"/>
    <w:rsid w:val="00B7709D"/>
    <w:rsid w:val="00B77317"/>
    <w:rsid w:val="00B773DB"/>
    <w:rsid w:val="00B7748D"/>
    <w:rsid w:val="00B77881"/>
    <w:rsid w:val="00B778FD"/>
    <w:rsid w:val="00B77989"/>
    <w:rsid w:val="00B77A60"/>
    <w:rsid w:val="00B800A1"/>
    <w:rsid w:val="00B8030B"/>
    <w:rsid w:val="00B80842"/>
    <w:rsid w:val="00B80D31"/>
    <w:rsid w:val="00B80DF1"/>
    <w:rsid w:val="00B81776"/>
    <w:rsid w:val="00B81C8A"/>
    <w:rsid w:val="00B81DFE"/>
    <w:rsid w:val="00B8217A"/>
    <w:rsid w:val="00B82419"/>
    <w:rsid w:val="00B82875"/>
    <w:rsid w:val="00B83E8D"/>
    <w:rsid w:val="00B8423B"/>
    <w:rsid w:val="00B847E0"/>
    <w:rsid w:val="00B84962"/>
    <w:rsid w:val="00B849B1"/>
    <w:rsid w:val="00B84AC4"/>
    <w:rsid w:val="00B84C3E"/>
    <w:rsid w:val="00B852C6"/>
    <w:rsid w:val="00B853B4"/>
    <w:rsid w:val="00B853FD"/>
    <w:rsid w:val="00B8629C"/>
    <w:rsid w:val="00B86420"/>
    <w:rsid w:val="00B8646E"/>
    <w:rsid w:val="00B868AB"/>
    <w:rsid w:val="00B86BC5"/>
    <w:rsid w:val="00B87D5D"/>
    <w:rsid w:val="00B9026D"/>
    <w:rsid w:val="00B90560"/>
    <w:rsid w:val="00B90984"/>
    <w:rsid w:val="00B90E9F"/>
    <w:rsid w:val="00B90FAD"/>
    <w:rsid w:val="00B91B4A"/>
    <w:rsid w:val="00B91FD0"/>
    <w:rsid w:val="00B9252C"/>
    <w:rsid w:val="00B92CEF"/>
    <w:rsid w:val="00B93499"/>
    <w:rsid w:val="00B9351D"/>
    <w:rsid w:val="00B93A07"/>
    <w:rsid w:val="00B93BD7"/>
    <w:rsid w:val="00B9412D"/>
    <w:rsid w:val="00B94336"/>
    <w:rsid w:val="00B943CB"/>
    <w:rsid w:val="00B944DA"/>
    <w:rsid w:val="00B94FAB"/>
    <w:rsid w:val="00B950D2"/>
    <w:rsid w:val="00B959BD"/>
    <w:rsid w:val="00B95D6C"/>
    <w:rsid w:val="00B96509"/>
    <w:rsid w:val="00B96D3F"/>
    <w:rsid w:val="00B97246"/>
    <w:rsid w:val="00B97518"/>
    <w:rsid w:val="00B97D07"/>
    <w:rsid w:val="00B97F1A"/>
    <w:rsid w:val="00BA04DA"/>
    <w:rsid w:val="00BA1218"/>
    <w:rsid w:val="00BA13AB"/>
    <w:rsid w:val="00BA1ABA"/>
    <w:rsid w:val="00BA1C87"/>
    <w:rsid w:val="00BA2452"/>
    <w:rsid w:val="00BA26D4"/>
    <w:rsid w:val="00BA2894"/>
    <w:rsid w:val="00BA2A6E"/>
    <w:rsid w:val="00BA328A"/>
    <w:rsid w:val="00BA3304"/>
    <w:rsid w:val="00BA3F87"/>
    <w:rsid w:val="00BA400A"/>
    <w:rsid w:val="00BA42B1"/>
    <w:rsid w:val="00BA4710"/>
    <w:rsid w:val="00BA49A7"/>
    <w:rsid w:val="00BA4C27"/>
    <w:rsid w:val="00BA4E90"/>
    <w:rsid w:val="00BA5B87"/>
    <w:rsid w:val="00BA5D52"/>
    <w:rsid w:val="00BA5E7A"/>
    <w:rsid w:val="00BA611A"/>
    <w:rsid w:val="00BA63E6"/>
    <w:rsid w:val="00BA64C5"/>
    <w:rsid w:val="00BA6D3B"/>
    <w:rsid w:val="00BA703E"/>
    <w:rsid w:val="00BA7252"/>
    <w:rsid w:val="00BA73BE"/>
    <w:rsid w:val="00BA79EC"/>
    <w:rsid w:val="00BA7AF9"/>
    <w:rsid w:val="00BA7D47"/>
    <w:rsid w:val="00BB1214"/>
    <w:rsid w:val="00BB135F"/>
    <w:rsid w:val="00BB1706"/>
    <w:rsid w:val="00BB19DD"/>
    <w:rsid w:val="00BB1DE9"/>
    <w:rsid w:val="00BB1F54"/>
    <w:rsid w:val="00BB224B"/>
    <w:rsid w:val="00BB2496"/>
    <w:rsid w:val="00BB28E1"/>
    <w:rsid w:val="00BB2CAB"/>
    <w:rsid w:val="00BB43A7"/>
    <w:rsid w:val="00BB460C"/>
    <w:rsid w:val="00BB4AB8"/>
    <w:rsid w:val="00BB538E"/>
    <w:rsid w:val="00BB568E"/>
    <w:rsid w:val="00BB56E0"/>
    <w:rsid w:val="00BB5958"/>
    <w:rsid w:val="00BB5C57"/>
    <w:rsid w:val="00BB620D"/>
    <w:rsid w:val="00BB62FC"/>
    <w:rsid w:val="00BB651C"/>
    <w:rsid w:val="00BB6F81"/>
    <w:rsid w:val="00BB7BA2"/>
    <w:rsid w:val="00BC0166"/>
    <w:rsid w:val="00BC0301"/>
    <w:rsid w:val="00BC0570"/>
    <w:rsid w:val="00BC05D5"/>
    <w:rsid w:val="00BC0BE5"/>
    <w:rsid w:val="00BC0C79"/>
    <w:rsid w:val="00BC18CF"/>
    <w:rsid w:val="00BC234F"/>
    <w:rsid w:val="00BC2C56"/>
    <w:rsid w:val="00BC2E35"/>
    <w:rsid w:val="00BC33AD"/>
    <w:rsid w:val="00BC3B5B"/>
    <w:rsid w:val="00BC4B57"/>
    <w:rsid w:val="00BC4BFC"/>
    <w:rsid w:val="00BC5178"/>
    <w:rsid w:val="00BC5930"/>
    <w:rsid w:val="00BC61F5"/>
    <w:rsid w:val="00BC6207"/>
    <w:rsid w:val="00BC62E3"/>
    <w:rsid w:val="00BC6353"/>
    <w:rsid w:val="00BC65D0"/>
    <w:rsid w:val="00BC7358"/>
    <w:rsid w:val="00BD006B"/>
    <w:rsid w:val="00BD027E"/>
    <w:rsid w:val="00BD090E"/>
    <w:rsid w:val="00BD0BEB"/>
    <w:rsid w:val="00BD0CB9"/>
    <w:rsid w:val="00BD0E8C"/>
    <w:rsid w:val="00BD129B"/>
    <w:rsid w:val="00BD1A45"/>
    <w:rsid w:val="00BD1D84"/>
    <w:rsid w:val="00BD2475"/>
    <w:rsid w:val="00BD27DA"/>
    <w:rsid w:val="00BD27E9"/>
    <w:rsid w:val="00BD345E"/>
    <w:rsid w:val="00BD3733"/>
    <w:rsid w:val="00BD3829"/>
    <w:rsid w:val="00BD3CEA"/>
    <w:rsid w:val="00BD4012"/>
    <w:rsid w:val="00BD4557"/>
    <w:rsid w:val="00BD483C"/>
    <w:rsid w:val="00BD49E1"/>
    <w:rsid w:val="00BD4F80"/>
    <w:rsid w:val="00BD5230"/>
    <w:rsid w:val="00BD5238"/>
    <w:rsid w:val="00BD59EC"/>
    <w:rsid w:val="00BD59FB"/>
    <w:rsid w:val="00BD5FC3"/>
    <w:rsid w:val="00BD640F"/>
    <w:rsid w:val="00BD6827"/>
    <w:rsid w:val="00BD68DA"/>
    <w:rsid w:val="00BD6A37"/>
    <w:rsid w:val="00BD6B89"/>
    <w:rsid w:val="00BD6CC3"/>
    <w:rsid w:val="00BD7764"/>
    <w:rsid w:val="00BD789B"/>
    <w:rsid w:val="00BD78B3"/>
    <w:rsid w:val="00BE004A"/>
    <w:rsid w:val="00BE1148"/>
    <w:rsid w:val="00BE1850"/>
    <w:rsid w:val="00BE193C"/>
    <w:rsid w:val="00BE19C6"/>
    <w:rsid w:val="00BE19D6"/>
    <w:rsid w:val="00BE1A17"/>
    <w:rsid w:val="00BE2487"/>
    <w:rsid w:val="00BE26EE"/>
    <w:rsid w:val="00BE270D"/>
    <w:rsid w:val="00BE2C76"/>
    <w:rsid w:val="00BE326B"/>
    <w:rsid w:val="00BE32AA"/>
    <w:rsid w:val="00BE3599"/>
    <w:rsid w:val="00BE3738"/>
    <w:rsid w:val="00BE37B2"/>
    <w:rsid w:val="00BE3A98"/>
    <w:rsid w:val="00BE3D82"/>
    <w:rsid w:val="00BE3E59"/>
    <w:rsid w:val="00BE4340"/>
    <w:rsid w:val="00BE43C7"/>
    <w:rsid w:val="00BE477B"/>
    <w:rsid w:val="00BE4A06"/>
    <w:rsid w:val="00BE58A7"/>
    <w:rsid w:val="00BE59FC"/>
    <w:rsid w:val="00BE6143"/>
    <w:rsid w:val="00BE6197"/>
    <w:rsid w:val="00BE6210"/>
    <w:rsid w:val="00BE6676"/>
    <w:rsid w:val="00BE6B74"/>
    <w:rsid w:val="00BE7029"/>
    <w:rsid w:val="00BE710A"/>
    <w:rsid w:val="00BE710F"/>
    <w:rsid w:val="00BE71AD"/>
    <w:rsid w:val="00BE72CD"/>
    <w:rsid w:val="00BE7C1F"/>
    <w:rsid w:val="00BF01BE"/>
    <w:rsid w:val="00BF01CE"/>
    <w:rsid w:val="00BF04F9"/>
    <w:rsid w:val="00BF0572"/>
    <w:rsid w:val="00BF0648"/>
    <w:rsid w:val="00BF0C62"/>
    <w:rsid w:val="00BF0E75"/>
    <w:rsid w:val="00BF10A2"/>
    <w:rsid w:val="00BF1882"/>
    <w:rsid w:val="00BF18D0"/>
    <w:rsid w:val="00BF1B41"/>
    <w:rsid w:val="00BF1D4E"/>
    <w:rsid w:val="00BF1F87"/>
    <w:rsid w:val="00BF27FE"/>
    <w:rsid w:val="00BF33ED"/>
    <w:rsid w:val="00BF3C63"/>
    <w:rsid w:val="00BF3F85"/>
    <w:rsid w:val="00BF4473"/>
    <w:rsid w:val="00BF47D5"/>
    <w:rsid w:val="00BF490F"/>
    <w:rsid w:val="00BF52D1"/>
    <w:rsid w:val="00BF5310"/>
    <w:rsid w:val="00BF58DF"/>
    <w:rsid w:val="00BF5E93"/>
    <w:rsid w:val="00BF6704"/>
    <w:rsid w:val="00BF6ADB"/>
    <w:rsid w:val="00BF6B3D"/>
    <w:rsid w:val="00BF7A5D"/>
    <w:rsid w:val="00BF7B5F"/>
    <w:rsid w:val="00BF7F83"/>
    <w:rsid w:val="00BFACD2"/>
    <w:rsid w:val="00C0041B"/>
    <w:rsid w:val="00C006A4"/>
    <w:rsid w:val="00C00B3A"/>
    <w:rsid w:val="00C0139E"/>
    <w:rsid w:val="00C014BF"/>
    <w:rsid w:val="00C01EFA"/>
    <w:rsid w:val="00C02182"/>
    <w:rsid w:val="00C02319"/>
    <w:rsid w:val="00C024A2"/>
    <w:rsid w:val="00C02695"/>
    <w:rsid w:val="00C02956"/>
    <w:rsid w:val="00C02ABB"/>
    <w:rsid w:val="00C0345C"/>
    <w:rsid w:val="00C03567"/>
    <w:rsid w:val="00C03CCC"/>
    <w:rsid w:val="00C0416E"/>
    <w:rsid w:val="00C0426C"/>
    <w:rsid w:val="00C04325"/>
    <w:rsid w:val="00C045E4"/>
    <w:rsid w:val="00C051DB"/>
    <w:rsid w:val="00C0526B"/>
    <w:rsid w:val="00C0683D"/>
    <w:rsid w:val="00C06E89"/>
    <w:rsid w:val="00C0797D"/>
    <w:rsid w:val="00C07B2D"/>
    <w:rsid w:val="00C103D2"/>
    <w:rsid w:val="00C10824"/>
    <w:rsid w:val="00C10929"/>
    <w:rsid w:val="00C10B1D"/>
    <w:rsid w:val="00C10D6B"/>
    <w:rsid w:val="00C11365"/>
    <w:rsid w:val="00C11401"/>
    <w:rsid w:val="00C1163A"/>
    <w:rsid w:val="00C11BC6"/>
    <w:rsid w:val="00C129B8"/>
    <w:rsid w:val="00C1301E"/>
    <w:rsid w:val="00C13EE4"/>
    <w:rsid w:val="00C1401B"/>
    <w:rsid w:val="00C15529"/>
    <w:rsid w:val="00C1560E"/>
    <w:rsid w:val="00C16387"/>
    <w:rsid w:val="00C16C5F"/>
    <w:rsid w:val="00C16D97"/>
    <w:rsid w:val="00C17798"/>
    <w:rsid w:val="00C17A02"/>
    <w:rsid w:val="00C2107C"/>
    <w:rsid w:val="00C213CB"/>
    <w:rsid w:val="00C217F3"/>
    <w:rsid w:val="00C222FF"/>
    <w:rsid w:val="00C2234B"/>
    <w:rsid w:val="00C225EA"/>
    <w:rsid w:val="00C22A54"/>
    <w:rsid w:val="00C231A5"/>
    <w:rsid w:val="00C2326B"/>
    <w:rsid w:val="00C2340C"/>
    <w:rsid w:val="00C234BF"/>
    <w:rsid w:val="00C247AB"/>
    <w:rsid w:val="00C24A3C"/>
    <w:rsid w:val="00C24C98"/>
    <w:rsid w:val="00C2516F"/>
    <w:rsid w:val="00C251AC"/>
    <w:rsid w:val="00C2521A"/>
    <w:rsid w:val="00C25BB2"/>
    <w:rsid w:val="00C26362"/>
    <w:rsid w:val="00C264D1"/>
    <w:rsid w:val="00C2688C"/>
    <w:rsid w:val="00C26A0B"/>
    <w:rsid w:val="00C26A33"/>
    <w:rsid w:val="00C26C4F"/>
    <w:rsid w:val="00C26E97"/>
    <w:rsid w:val="00C270A4"/>
    <w:rsid w:val="00C27667"/>
    <w:rsid w:val="00C278A2"/>
    <w:rsid w:val="00C27B97"/>
    <w:rsid w:val="00C3049D"/>
    <w:rsid w:val="00C30597"/>
    <w:rsid w:val="00C30A3C"/>
    <w:rsid w:val="00C30FFC"/>
    <w:rsid w:val="00C3107B"/>
    <w:rsid w:val="00C3120E"/>
    <w:rsid w:val="00C31229"/>
    <w:rsid w:val="00C314AE"/>
    <w:rsid w:val="00C31C56"/>
    <w:rsid w:val="00C3247C"/>
    <w:rsid w:val="00C32785"/>
    <w:rsid w:val="00C327FA"/>
    <w:rsid w:val="00C32BA3"/>
    <w:rsid w:val="00C32F77"/>
    <w:rsid w:val="00C33482"/>
    <w:rsid w:val="00C33533"/>
    <w:rsid w:val="00C338C5"/>
    <w:rsid w:val="00C339AB"/>
    <w:rsid w:val="00C33B15"/>
    <w:rsid w:val="00C33F35"/>
    <w:rsid w:val="00C33F4F"/>
    <w:rsid w:val="00C344DB"/>
    <w:rsid w:val="00C347A0"/>
    <w:rsid w:val="00C3497F"/>
    <w:rsid w:val="00C35B08"/>
    <w:rsid w:val="00C36410"/>
    <w:rsid w:val="00C3669F"/>
    <w:rsid w:val="00C36949"/>
    <w:rsid w:val="00C369B5"/>
    <w:rsid w:val="00C36A34"/>
    <w:rsid w:val="00C36CD1"/>
    <w:rsid w:val="00C36D6A"/>
    <w:rsid w:val="00C36DD0"/>
    <w:rsid w:val="00C36E43"/>
    <w:rsid w:val="00C377DB"/>
    <w:rsid w:val="00C37B22"/>
    <w:rsid w:val="00C409C8"/>
    <w:rsid w:val="00C40A69"/>
    <w:rsid w:val="00C41145"/>
    <w:rsid w:val="00C41234"/>
    <w:rsid w:val="00C41433"/>
    <w:rsid w:val="00C41692"/>
    <w:rsid w:val="00C41C6F"/>
    <w:rsid w:val="00C41DA0"/>
    <w:rsid w:val="00C42225"/>
    <w:rsid w:val="00C423FA"/>
    <w:rsid w:val="00C428EF"/>
    <w:rsid w:val="00C433B7"/>
    <w:rsid w:val="00C43B42"/>
    <w:rsid w:val="00C43B5C"/>
    <w:rsid w:val="00C4406D"/>
    <w:rsid w:val="00C448D1"/>
    <w:rsid w:val="00C44A12"/>
    <w:rsid w:val="00C45070"/>
    <w:rsid w:val="00C45221"/>
    <w:rsid w:val="00C4548D"/>
    <w:rsid w:val="00C45749"/>
    <w:rsid w:val="00C45BAF"/>
    <w:rsid w:val="00C46622"/>
    <w:rsid w:val="00C46D06"/>
    <w:rsid w:val="00C47076"/>
    <w:rsid w:val="00C4749B"/>
    <w:rsid w:val="00C47682"/>
    <w:rsid w:val="00C47C61"/>
    <w:rsid w:val="00C47FA0"/>
    <w:rsid w:val="00C50529"/>
    <w:rsid w:val="00C505DE"/>
    <w:rsid w:val="00C50864"/>
    <w:rsid w:val="00C51172"/>
    <w:rsid w:val="00C513DB"/>
    <w:rsid w:val="00C51B56"/>
    <w:rsid w:val="00C51BB0"/>
    <w:rsid w:val="00C521E8"/>
    <w:rsid w:val="00C52270"/>
    <w:rsid w:val="00C52298"/>
    <w:rsid w:val="00C523FB"/>
    <w:rsid w:val="00C52773"/>
    <w:rsid w:val="00C52848"/>
    <w:rsid w:val="00C529FD"/>
    <w:rsid w:val="00C52A19"/>
    <w:rsid w:val="00C52BEC"/>
    <w:rsid w:val="00C5309E"/>
    <w:rsid w:val="00C53753"/>
    <w:rsid w:val="00C53C45"/>
    <w:rsid w:val="00C5463A"/>
    <w:rsid w:val="00C548B1"/>
    <w:rsid w:val="00C54949"/>
    <w:rsid w:val="00C54C6E"/>
    <w:rsid w:val="00C5518E"/>
    <w:rsid w:val="00C5584E"/>
    <w:rsid w:val="00C5679B"/>
    <w:rsid w:val="00C56AD4"/>
    <w:rsid w:val="00C56B28"/>
    <w:rsid w:val="00C56E4F"/>
    <w:rsid w:val="00C56FB9"/>
    <w:rsid w:val="00C57D39"/>
    <w:rsid w:val="00C600A1"/>
    <w:rsid w:val="00C6028E"/>
    <w:rsid w:val="00C603D0"/>
    <w:rsid w:val="00C60E29"/>
    <w:rsid w:val="00C60F6A"/>
    <w:rsid w:val="00C615D0"/>
    <w:rsid w:val="00C61792"/>
    <w:rsid w:val="00C6249E"/>
    <w:rsid w:val="00C62BDB"/>
    <w:rsid w:val="00C63050"/>
    <w:rsid w:val="00C63346"/>
    <w:rsid w:val="00C6395C"/>
    <w:rsid w:val="00C64277"/>
    <w:rsid w:val="00C64841"/>
    <w:rsid w:val="00C64A47"/>
    <w:rsid w:val="00C6508C"/>
    <w:rsid w:val="00C6510C"/>
    <w:rsid w:val="00C653E0"/>
    <w:rsid w:val="00C658AB"/>
    <w:rsid w:val="00C658B6"/>
    <w:rsid w:val="00C658F8"/>
    <w:rsid w:val="00C65A6D"/>
    <w:rsid w:val="00C65C79"/>
    <w:rsid w:val="00C65F20"/>
    <w:rsid w:val="00C663F7"/>
    <w:rsid w:val="00C66C4A"/>
    <w:rsid w:val="00C675BE"/>
    <w:rsid w:val="00C714F8"/>
    <w:rsid w:val="00C7172D"/>
    <w:rsid w:val="00C71C20"/>
    <w:rsid w:val="00C72551"/>
    <w:rsid w:val="00C727AE"/>
    <w:rsid w:val="00C727DB"/>
    <w:rsid w:val="00C72BD0"/>
    <w:rsid w:val="00C73411"/>
    <w:rsid w:val="00C7386B"/>
    <w:rsid w:val="00C73C06"/>
    <w:rsid w:val="00C73D4D"/>
    <w:rsid w:val="00C73D6B"/>
    <w:rsid w:val="00C74005"/>
    <w:rsid w:val="00C74C66"/>
    <w:rsid w:val="00C74CAD"/>
    <w:rsid w:val="00C750D7"/>
    <w:rsid w:val="00C75542"/>
    <w:rsid w:val="00C761A4"/>
    <w:rsid w:val="00C7642E"/>
    <w:rsid w:val="00C76A48"/>
    <w:rsid w:val="00C76AD1"/>
    <w:rsid w:val="00C76C7C"/>
    <w:rsid w:val="00C772FC"/>
    <w:rsid w:val="00C778DC"/>
    <w:rsid w:val="00C77A5C"/>
    <w:rsid w:val="00C8064C"/>
    <w:rsid w:val="00C80B10"/>
    <w:rsid w:val="00C80E60"/>
    <w:rsid w:val="00C814A2"/>
    <w:rsid w:val="00C81575"/>
    <w:rsid w:val="00C8157B"/>
    <w:rsid w:val="00C81BFF"/>
    <w:rsid w:val="00C821A0"/>
    <w:rsid w:val="00C822F1"/>
    <w:rsid w:val="00C8254F"/>
    <w:rsid w:val="00C8296B"/>
    <w:rsid w:val="00C82A10"/>
    <w:rsid w:val="00C82B7E"/>
    <w:rsid w:val="00C82F6A"/>
    <w:rsid w:val="00C83D4A"/>
    <w:rsid w:val="00C83F95"/>
    <w:rsid w:val="00C8416B"/>
    <w:rsid w:val="00C85FD3"/>
    <w:rsid w:val="00C86839"/>
    <w:rsid w:val="00C86E76"/>
    <w:rsid w:val="00C86E7D"/>
    <w:rsid w:val="00C87674"/>
    <w:rsid w:val="00C876A0"/>
    <w:rsid w:val="00C87B8D"/>
    <w:rsid w:val="00C900FE"/>
    <w:rsid w:val="00C901E3"/>
    <w:rsid w:val="00C903AE"/>
    <w:rsid w:val="00C90B28"/>
    <w:rsid w:val="00C90BB7"/>
    <w:rsid w:val="00C91C14"/>
    <w:rsid w:val="00C91D32"/>
    <w:rsid w:val="00C9246B"/>
    <w:rsid w:val="00C927E3"/>
    <w:rsid w:val="00C929C9"/>
    <w:rsid w:val="00C92CE3"/>
    <w:rsid w:val="00C93285"/>
    <w:rsid w:val="00C936A2"/>
    <w:rsid w:val="00C93CF4"/>
    <w:rsid w:val="00C9453C"/>
    <w:rsid w:val="00C94CEB"/>
    <w:rsid w:val="00C94F0B"/>
    <w:rsid w:val="00C9512D"/>
    <w:rsid w:val="00C952CD"/>
    <w:rsid w:val="00C9534C"/>
    <w:rsid w:val="00C954C7"/>
    <w:rsid w:val="00C95604"/>
    <w:rsid w:val="00C9573B"/>
    <w:rsid w:val="00C961B2"/>
    <w:rsid w:val="00C9677A"/>
    <w:rsid w:val="00C96B37"/>
    <w:rsid w:val="00C96EE2"/>
    <w:rsid w:val="00C96F1E"/>
    <w:rsid w:val="00C97734"/>
    <w:rsid w:val="00C97AF3"/>
    <w:rsid w:val="00CA052D"/>
    <w:rsid w:val="00CA0A7E"/>
    <w:rsid w:val="00CA10D1"/>
    <w:rsid w:val="00CA184E"/>
    <w:rsid w:val="00CA1ADC"/>
    <w:rsid w:val="00CA1C54"/>
    <w:rsid w:val="00CA1D93"/>
    <w:rsid w:val="00CA1EBE"/>
    <w:rsid w:val="00CA1F14"/>
    <w:rsid w:val="00CA2128"/>
    <w:rsid w:val="00CA223A"/>
    <w:rsid w:val="00CA35C4"/>
    <w:rsid w:val="00CA3D13"/>
    <w:rsid w:val="00CA3D21"/>
    <w:rsid w:val="00CA3E4F"/>
    <w:rsid w:val="00CA3EC8"/>
    <w:rsid w:val="00CA45B9"/>
    <w:rsid w:val="00CA5244"/>
    <w:rsid w:val="00CA5538"/>
    <w:rsid w:val="00CA5699"/>
    <w:rsid w:val="00CA5740"/>
    <w:rsid w:val="00CA575F"/>
    <w:rsid w:val="00CA57A9"/>
    <w:rsid w:val="00CA59F0"/>
    <w:rsid w:val="00CA5DA9"/>
    <w:rsid w:val="00CA5E4B"/>
    <w:rsid w:val="00CA6746"/>
    <w:rsid w:val="00CA6852"/>
    <w:rsid w:val="00CA6B2D"/>
    <w:rsid w:val="00CA6C22"/>
    <w:rsid w:val="00CA763A"/>
    <w:rsid w:val="00CA7A7F"/>
    <w:rsid w:val="00CA7E45"/>
    <w:rsid w:val="00CB0CBB"/>
    <w:rsid w:val="00CB1307"/>
    <w:rsid w:val="00CB1D19"/>
    <w:rsid w:val="00CB1D6F"/>
    <w:rsid w:val="00CB1F90"/>
    <w:rsid w:val="00CB22F1"/>
    <w:rsid w:val="00CB263F"/>
    <w:rsid w:val="00CB286B"/>
    <w:rsid w:val="00CB2DFB"/>
    <w:rsid w:val="00CB2EEC"/>
    <w:rsid w:val="00CB3022"/>
    <w:rsid w:val="00CB30E5"/>
    <w:rsid w:val="00CB394E"/>
    <w:rsid w:val="00CB3996"/>
    <w:rsid w:val="00CB3BED"/>
    <w:rsid w:val="00CB3DB0"/>
    <w:rsid w:val="00CB40A9"/>
    <w:rsid w:val="00CB415A"/>
    <w:rsid w:val="00CB41B6"/>
    <w:rsid w:val="00CB4378"/>
    <w:rsid w:val="00CB45FC"/>
    <w:rsid w:val="00CB4C66"/>
    <w:rsid w:val="00CB5467"/>
    <w:rsid w:val="00CB5BC4"/>
    <w:rsid w:val="00CB5EAB"/>
    <w:rsid w:val="00CB6428"/>
    <w:rsid w:val="00CB69B0"/>
    <w:rsid w:val="00CB6B53"/>
    <w:rsid w:val="00CB73AC"/>
    <w:rsid w:val="00CB7ECB"/>
    <w:rsid w:val="00CC031A"/>
    <w:rsid w:val="00CC0913"/>
    <w:rsid w:val="00CC098A"/>
    <w:rsid w:val="00CC1D13"/>
    <w:rsid w:val="00CC20E6"/>
    <w:rsid w:val="00CC2132"/>
    <w:rsid w:val="00CC2206"/>
    <w:rsid w:val="00CC2299"/>
    <w:rsid w:val="00CC2793"/>
    <w:rsid w:val="00CC2A05"/>
    <w:rsid w:val="00CC2CD9"/>
    <w:rsid w:val="00CC2D0F"/>
    <w:rsid w:val="00CC2E16"/>
    <w:rsid w:val="00CC31F8"/>
    <w:rsid w:val="00CC32F0"/>
    <w:rsid w:val="00CC3360"/>
    <w:rsid w:val="00CC3933"/>
    <w:rsid w:val="00CC3C42"/>
    <w:rsid w:val="00CC3E81"/>
    <w:rsid w:val="00CC4179"/>
    <w:rsid w:val="00CC4304"/>
    <w:rsid w:val="00CC4E0D"/>
    <w:rsid w:val="00CC5304"/>
    <w:rsid w:val="00CC55A2"/>
    <w:rsid w:val="00CC55DA"/>
    <w:rsid w:val="00CC583D"/>
    <w:rsid w:val="00CC592E"/>
    <w:rsid w:val="00CC5DFB"/>
    <w:rsid w:val="00CC613D"/>
    <w:rsid w:val="00CC6151"/>
    <w:rsid w:val="00CC61DB"/>
    <w:rsid w:val="00CC679C"/>
    <w:rsid w:val="00CC6E41"/>
    <w:rsid w:val="00CC6E86"/>
    <w:rsid w:val="00CC7797"/>
    <w:rsid w:val="00CC7C25"/>
    <w:rsid w:val="00CC7E75"/>
    <w:rsid w:val="00CC7F5A"/>
    <w:rsid w:val="00CC7FD4"/>
    <w:rsid w:val="00CD08C2"/>
    <w:rsid w:val="00CD0B47"/>
    <w:rsid w:val="00CD0F86"/>
    <w:rsid w:val="00CD1659"/>
    <w:rsid w:val="00CD18F5"/>
    <w:rsid w:val="00CD2288"/>
    <w:rsid w:val="00CD26F6"/>
    <w:rsid w:val="00CD282D"/>
    <w:rsid w:val="00CD28C4"/>
    <w:rsid w:val="00CD2996"/>
    <w:rsid w:val="00CD29E8"/>
    <w:rsid w:val="00CD2B2C"/>
    <w:rsid w:val="00CD2D64"/>
    <w:rsid w:val="00CD31EA"/>
    <w:rsid w:val="00CD33DA"/>
    <w:rsid w:val="00CD38A9"/>
    <w:rsid w:val="00CD38BC"/>
    <w:rsid w:val="00CD50C4"/>
    <w:rsid w:val="00CD56B2"/>
    <w:rsid w:val="00CD59A5"/>
    <w:rsid w:val="00CD5B90"/>
    <w:rsid w:val="00CD5CDB"/>
    <w:rsid w:val="00CD615C"/>
    <w:rsid w:val="00CD61C3"/>
    <w:rsid w:val="00CD6229"/>
    <w:rsid w:val="00CD663D"/>
    <w:rsid w:val="00CD6C49"/>
    <w:rsid w:val="00CD6E54"/>
    <w:rsid w:val="00CD72B5"/>
    <w:rsid w:val="00CD78A0"/>
    <w:rsid w:val="00CD79BF"/>
    <w:rsid w:val="00CD7BF5"/>
    <w:rsid w:val="00CE00A0"/>
    <w:rsid w:val="00CE0115"/>
    <w:rsid w:val="00CE052B"/>
    <w:rsid w:val="00CE05D4"/>
    <w:rsid w:val="00CE069D"/>
    <w:rsid w:val="00CE0D0E"/>
    <w:rsid w:val="00CE0E3C"/>
    <w:rsid w:val="00CE101A"/>
    <w:rsid w:val="00CE11CF"/>
    <w:rsid w:val="00CE16FE"/>
    <w:rsid w:val="00CE19ED"/>
    <w:rsid w:val="00CE1FB7"/>
    <w:rsid w:val="00CE210A"/>
    <w:rsid w:val="00CE2414"/>
    <w:rsid w:val="00CE2669"/>
    <w:rsid w:val="00CE3050"/>
    <w:rsid w:val="00CE35A2"/>
    <w:rsid w:val="00CE35F5"/>
    <w:rsid w:val="00CE3795"/>
    <w:rsid w:val="00CE3AB4"/>
    <w:rsid w:val="00CE3DD5"/>
    <w:rsid w:val="00CE3DFD"/>
    <w:rsid w:val="00CE40F2"/>
    <w:rsid w:val="00CE434D"/>
    <w:rsid w:val="00CE43B0"/>
    <w:rsid w:val="00CE46B1"/>
    <w:rsid w:val="00CE4F8A"/>
    <w:rsid w:val="00CE52F3"/>
    <w:rsid w:val="00CE5E8B"/>
    <w:rsid w:val="00CE6696"/>
    <w:rsid w:val="00CE671A"/>
    <w:rsid w:val="00CE67F7"/>
    <w:rsid w:val="00CE6B0E"/>
    <w:rsid w:val="00CE7160"/>
    <w:rsid w:val="00CE7569"/>
    <w:rsid w:val="00CE78EF"/>
    <w:rsid w:val="00CE7E3A"/>
    <w:rsid w:val="00CF0853"/>
    <w:rsid w:val="00CF0A0C"/>
    <w:rsid w:val="00CF1303"/>
    <w:rsid w:val="00CF1508"/>
    <w:rsid w:val="00CF15CE"/>
    <w:rsid w:val="00CF1835"/>
    <w:rsid w:val="00CF1F8F"/>
    <w:rsid w:val="00CF2985"/>
    <w:rsid w:val="00CF3A02"/>
    <w:rsid w:val="00CF3BA5"/>
    <w:rsid w:val="00CF3BCA"/>
    <w:rsid w:val="00CF40F3"/>
    <w:rsid w:val="00CF5107"/>
    <w:rsid w:val="00CF51F7"/>
    <w:rsid w:val="00CF5546"/>
    <w:rsid w:val="00CF5C94"/>
    <w:rsid w:val="00CF5F8D"/>
    <w:rsid w:val="00CF607F"/>
    <w:rsid w:val="00CF69EC"/>
    <w:rsid w:val="00CF6F96"/>
    <w:rsid w:val="00CF6FB5"/>
    <w:rsid w:val="00CF7120"/>
    <w:rsid w:val="00CF765E"/>
    <w:rsid w:val="00CF7ED1"/>
    <w:rsid w:val="00D0056D"/>
    <w:rsid w:val="00D008E4"/>
    <w:rsid w:val="00D00D8D"/>
    <w:rsid w:val="00D00EE5"/>
    <w:rsid w:val="00D01B53"/>
    <w:rsid w:val="00D01D0D"/>
    <w:rsid w:val="00D0203E"/>
    <w:rsid w:val="00D022ED"/>
    <w:rsid w:val="00D023B8"/>
    <w:rsid w:val="00D02979"/>
    <w:rsid w:val="00D02AF9"/>
    <w:rsid w:val="00D02F52"/>
    <w:rsid w:val="00D0312A"/>
    <w:rsid w:val="00D0372A"/>
    <w:rsid w:val="00D03766"/>
    <w:rsid w:val="00D03BD7"/>
    <w:rsid w:val="00D0472E"/>
    <w:rsid w:val="00D048F1"/>
    <w:rsid w:val="00D04F15"/>
    <w:rsid w:val="00D053D2"/>
    <w:rsid w:val="00D05CC6"/>
    <w:rsid w:val="00D05F67"/>
    <w:rsid w:val="00D05F8B"/>
    <w:rsid w:val="00D068ED"/>
    <w:rsid w:val="00D06B83"/>
    <w:rsid w:val="00D06D9F"/>
    <w:rsid w:val="00D06DBE"/>
    <w:rsid w:val="00D0710F"/>
    <w:rsid w:val="00D07659"/>
    <w:rsid w:val="00D1002F"/>
    <w:rsid w:val="00D10A0C"/>
    <w:rsid w:val="00D113D5"/>
    <w:rsid w:val="00D11DB7"/>
    <w:rsid w:val="00D12078"/>
    <w:rsid w:val="00D12B27"/>
    <w:rsid w:val="00D12EA1"/>
    <w:rsid w:val="00D1311A"/>
    <w:rsid w:val="00D13644"/>
    <w:rsid w:val="00D13D98"/>
    <w:rsid w:val="00D14308"/>
    <w:rsid w:val="00D14C8F"/>
    <w:rsid w:val="00D14CE2"/>
    <w:rsid w:val="00D14CE6"/>
    <w:rsid w:val="00D14FDD"/>
    <w:rsid w:val="00D1514A"/>
    <w:rsid w:val="00D15281"/>
    <w:rsid w:val="00D15307"/>
    <w:rsid w:val="00D158F4"/>
    <w:rsid w:val="00D15920"/>
    <w:rsid w:val="00D15E20"/>
    <w:rsid w:val="00D1685B"/>
    <w:rsid w:val="00D16FBB"/>
    <w:rsid w:val="00D171F8"/>
    <w:rsid w:val="00D1732C"/>
    <w:rsid w:val="00D17C61"/>
    <w:rsid w:val="00D17CE1"/>
    <w:rsid w:val="00D20209"/>
    <w:rsid w:val="00D20595"/>
    <w:rsid w:val="00D208BC"/>
    <w:rsid w:val="00D20B1A"/>
    <w:rsid w:val="00D20D79"/>
    <w:rsid w:val="00D20FE7"/>
    <w:rsid w:val="00D2121A"/>
    <w:rsid w:val="00D2141E"/>
    <w:rsid w:val="00D218B4"/>
    <w:rsid w:val="00D21A74"/>
    <w:rsid w:val="00D21E96"/>
    <w:rsid w:val="00D21F54"/>
    <w:rsid w:val="00D222AC"/>
    <w:rsid w:val="00D22333"/>
    <w:rsid w:val="00D22C9C"/>
    <w:rsid w:val="00D23D89"/>
    <w:rsid w:val="00D240DE"/>
    <w:rsid w:val="00D255B7"/>
    <w:rsid w:val="00D261A0"/>
    <w:rsid w:val="00D261DC"/>
    <w:rsid w:val="00D26469"/>
    <w:rsid w:val="00D265AB"/>
    <w:rsid w:val="00D276D6"/>
    <w:rsid w:val="00D276EB"/>
    <w:rsid w:val="00D277C0"/>
    <w:rsid w:val="00D27EDC"/>
    <w:rsid w:val="00D27F46"/>
    <w:rsid w:val="00D30391"/>
    <w:rsid w:val="00D303D7"/>
    <w:rsid w:val="00D30904"/>
    <w:rsid w:val="00D30A78"/>
    <w:rsid w:val="00D30DD0"/>
    <w:rsid w:val="00D30DDE"/>
    <w:rsid w:val="00D31059"/>
    <w:rsid w:val="00D3109B"/>
    <w:rsid w:val="00D3110F"/>
    <w:rsid w:val="00D3112C"/>
    <w:rsid w:val="00D311F4"/>
    <w:rsid w:val="00D31374"/>
    <w:rsid w:val="00D31606"/>
    <w:rsid w:val="00D31D50"/>
    <w:rsid w:val="00D31FE8"/>
    <w:rsid w:val="00D32231"/>
    <w:rsid w:val="00D32944"/>
    <w:rsid w:val="00D32C5C"/>
    <w:rsid w:val="00D33172"/>
    <w:rsid w:val="00D334C3"/>
    <w:rsid w:val="00D3367D"/>
    <w:rsid w:val="00D33881"/>
    <w:rsid w:val="00D33F03"/>
    <w:rsid w:val="00D343A1"/>
    <w:rsid w:val="00D346A8"/>
    <w:rsid w:val="00D34791"/>
    <w:rsid w:val="00D349A7"/>
    <w:rsid w:val="00D349F4"/>
    <w:rsid w:val="00D34AB2"/>
    <w:rsid w:val="00D34C7C"/>
    <w:rsid w:val="00D35599"/>
    <w:rsid w:val="00D356AE"/>
    <w:rsid w:val="00D374E3"/>
    <w:rsid w:val="00D37915"/>
    <w:rsid w:val="00D37D25"/>
    <w:rsid w:val="00D4087A"/>
    <w:rsid w:val="00D4090E"/>
    <w:rsid w:val="00D40976"/>
    <w:rsid w:val="00D40DBB"/>
    <w:rsid w:val="00D411AD"/>
    <w:rsid w:val="00D41D7E"/>
    <w:rsid w:val="00D42483"/>
    <w:rsid w:val="00D42D1F"/>
    <w:rsid w:val="00D42E97"/>
    <w:rsid w:val="00D432AE"/>
    <w:rsid w:val="00D432D3"/>
    <w:rsid w:val="00D43417"/>
    <w:rsid w:val="00D43F71"/>
    <w:rsid w:val="00D440E9"/>
    <w:rsid w:val="00D45571"/>
    <w:rsid w:val="00D4630B"/>
    <w:rsid w:val="00D464A8"/>
    <w:rsid w:val="00D4692C"/>
    <w:rsid w:val="00D47177"/>
    <w:rsid w:val="00D4780B"/>
    <w:rsid w:val="00D47997"/>
    <w:rsid w:val="00D47A51"/>
    <w:rsid w:val="00D50F75"/>
    <w:rsid w:val="00D519F7"/>
    <w:rsid w:val="00D51AC8"/>
    <w:rsid w:val="00D51C5A"/>
    <w:rsid w:val="00D51E7D"/>
    <w:rsid w:val="00D52627"/>
    <w:rsid w:val="00D52C8D"/>
    <w:rsid w:val="00D52E0B"/>
    <w:rsid w:val="00D52F2C"/>
    <w:rsid w:val="00D52FFF"/>
    <w:rsid w:val="00D53319"/>
    <w:rsid w:val="00D5342C"/>
    <w:rsid w:val="00D53633"/>
    <w:rsid w:val="00D537EC"/>
    <w:rsid w:val="00D53852"/>
    <w:rsid w:val="00D538BF"/>
    <w:rsid w:val="00D53AA6"/>
    <w:rsid w:val="00D53D9E"/>
    <w:rsid w:val="00D5431D"/>
    <w:rsid w:val="00D5468D"/>
    <w:rsid w:val="00D54773"/>
    <w:rsid w:val="00D55128"/>
    <w:rsid w:val="00D5515B"/>
    <w:rsid w:val="00D556AC"/>
    <w:rsid w:val="00D56189"/>
    <w:rsid w:val="00D56349"/>
    <w:rsid w:val="00D563E1"/>
    <w:rsid w:val="00D5670E"/>
    <w:rsid w:val="00D5720B"/>
    <w:rsid w:val="00D572D8"/>
    <w:rsid w:val="00D57635"/>
    <w:rsid w:val="00D5ADDC"/>
    <w:rsid w:val="00D60A03"/>
    <w:rsid w:val="00D610AB"/>
    <w:rsid w:val="00D6144E"/>
    <w:rsid w:val="00D61872"/>
    <w:rsid w:val="00D61B48"/>
    <w:rsid w:val="00D61B6C"/>
    <w:rsid w:val="00D62114"/>
    <w:rsid w:val="00D63255"/>
    <w:rsid w:val="00D63373"/>
    <w:rsid w:val="00D63859"/>
    <w:rsid w:val="00D63EC7"/>
    <w:rsid w:val="00D64039"/>
    <w:rsid w:val="00D642D9"/>
    <w:rsid w:val="00D64640"/>
    <w:rsid w:val="00D6492B"/>
    <w:rsid w:val="00D654B8"/>
    <w:rsid w:val="00D65896"/>
    <w:rsid w:val="00D65907"/>
    <w:rsid w:val="00D65924"/>
    <w:rsid w:val="00D66904"/>
    <w:rsid w:val="00D66989"/>
    <w:rsid w:val="00D66A61"/>
    <w:rsid w:val="00D67000"/>
    <w:rsid w:val="00D67496"/>
    <w:rsid w:val="00D67C87"/>
    <w:rsid w:val="00D704CE"/>
    <w:rsid w:val="00D7063B"/>
    <w:rsid w:val="00D70686"/>
    <w:rsid w:val="00D716BE"/>
    <w:rsid w:val="00D716CA"/>
    <w:rsid w:val="00D71EB5"/>
    <w:rsid w:val="00D7214E"/>
    <w:rsid w:val="00D72216"/>
    <w:rsid w:val="00D72312"/>
    <w:rsid w:val="00D72420"/>
    <w:rsid w:val="00D724DB"/>
    <w:rsid w:val="00D72FA0"/>
    <w:rsid w:val="00D737EB"/>
    <w:rsid w:val="00D73EC6"/>
    <w:rsid w:val="00D73F2D"/>
    <w:rsid w:val="00D73F5A"/>
    <w:rsid w:val="00D74185"/>
    <w:rsid w:val="00D74244"/>
    <w:rsid w:val="00D74491"/>
    <w:rsid w:val="00D74BA4"/>
    <w:rsid w:val="00D7581D"/>
    <w:rsid w:val="00D75932"/>
    <w:rsid w:val="00D760EE"/>
    <w:rsid w:val="00D762ED"/>
    <w:rsid w:val="00D765DA"/>
    <w:rsid w:val="00D76612"/>
    <w:rsid w:val="00D76DB7"/>
    <w:rsid w:val="00D76EDC"/>
    <w:rsid w:val="00D76F25"/>
    <w:rsid w:val="00D77FD2"/>
    <w:rsid w:val="00D8006F"/>
    <w:rsid w:val="00D8019B"/>
    <w:rsid w:val="00D80471"/>
    <w:rsid w:val="00D80AB1"/>
    <w:rsid w:val="00D80EE7"/>
    <w:rsid w:val="00D81191"/>
    <w:rsid w:val="00D81217"/>
    <w:rsid w:val="00D816F8"/>
    <w:rsid w:val="00D81917"/>
    <w:rsid w:val="00D81E36"/>
    <w:rsid w:val="00D82992"/>
    <w:rsid w:val="00D82AFC"/>
    <w:rsid w:val="00D8320F"/>
    <w:rsid w:val="00D83912"/>
    <w:rsid w:val="00D83C05"/>
    <w:rsid w:val="00D84675"/>
    <w:rsid w:val="00D858E3"/>
    <w:rsid w:val="00D85AAC"/>
    <w:rsid w:val="00D85D4A"/>
    <w:rsid w:val="00D85DF1"/>
    <w:rsid w:val="00D86764"/>
    <w:rsid w:val="00D868BC"/>
    <w:rsid w:val="00D86A53"/>
    <w:rsid w:val="00D86AC6"/>
    <w:rsid w:val="00D871FB"/>
    <w:rsid w:val="00D87310"/>
    <w:rsid w:val="00D879E5"/>
    <w:rsid w:val="00D87AB8"/>
    <w:rsid w:val="00D90090"/>
    <w:rsid w:val="00D900A1"/>
    <w:rsid w:val="00D90429"/>
    <w:rsid w:val="00D90440"/>
    <w:rsid w:val="00D90534"/>
    <w:rsid w:val="00D90768"/>
    <w:rsid w:val="00D90776"/>
    <w:rsid w:val="00D90A08"/>
    <w:rsid w:val="00D90D08"/>
    <w:rsid w:val="00D91281"/>
    <w:rsid w:val="00D912ED"/>
    <w:rsid w:val="00D91822"/>
    <w:rsid w:val="00D91ADD"/>
    <w:rsid w:val="00D91B62"/>
    <w:rsid w:val="00D92041"/>
    <w:rsid w:val="00D92050"/>
    <w:rsid w:val="00D922EB"/>
    <w:rsid w:val="00D9230F"/>
    <w:rsid w:val="00D93084"/>
    <w:rsid w:val="00D931A8"/>
    <w:rsid w:val="00D93500"/>
    <w:rsid w:val="00D9411D"/>
    <w:rsid w:val="00D94528"/>
    <w:rsid w:val="00D95177"/>
    <w:rsid w:val="00D95590"/>
    <w:rsid w:val="00D95F1F"/>
    <w:rsid w:val="00D96608"/>
    <w:rsid w:val="00D967F7"/>
    <w:rsid w:val="00D9693E"/>
    <w:rsid w:val="00D970FD"/>
    <w:rsid w:val="00D97515"/>
    <w:rsid w:val="00D977FE"/>
    <w:rsid w:val="00DA03A3"/>
    <w:rsid w:val="00DA06B0"/>
    <w:rsid w:val="00DA0999"/>
    <w:rsid w:val="00DA1151"/>
    <w:rsid w:val="00DA207B"/>
    <w:rsid w:val="00DA219D"/>
    <w:rsid w:val="00DA279E"/>
    <w:rsid w:val="00DA2A87"/>
    <w:rsid w:val="00DA2E8F"/>
    <w:rsid w:val="00DA3682"/>
    <w:rsid w:val="00DA3842"/>
    <w:rsid w:val="00DA3981"/>
    <w:rsid w:val="00DA39A2"/>
    <w:rsid w:val="00DA39DB"/>
    <w:rsid w:val="00DA3DFE"/>
    <w:rsid w:val="00DA4162"/>
    <w:rsid w:val="00DA423A"/>
    <w:rsid w:val="00DA4270"/>
    <w:rsid w:val="00DA42DF"/>
    <w:rsid w:val="00DA478B"/>
    <w:rsid w:val="00DA4D36"/>
    <w:rsid w:val="00DA514C"/>
    <w:rsid w:val="00DA53CC"/>
    <w:rsid w:val="00DA546B"/>
    <w:rsid w:val="00DA5CD1"/>
    <w:rsid w:val="00DA5D18"/>
    <w:rsid w:val="00DA630E"/>
    <w:rsid w:val="00DA650B"/>
    <w:rsid w:val="00DA66AF"/>
    <w:rsid w:val="00DA6FA3"/>
    <w:rsid w:val="00DB09D9"/>
    <w:rsid w:val="00DB0A00"/>
    <w:rsid w:val="00DB0CC8"/>
    <w:rsid w:val="00DB0D88"/>
    <w:rsid w:val="00DB0FB5"/>
    <w:rsid w:val="00DB120C"/>
    <w:rsid w:val="00DB170D"/>
    <w:rsid w:val="00DB172A"/>
    <w:rsid w:val="00DB1A28"/>
    <w:rsid w:val="00DB1C00"/>
    <w:rsid w:val="00DB2322"/>
    <w:rsid w:val="00DB2892"/>
    <w:rsid w:val="00DB28F2"/>
    <w:rsid w:val="00DB2F01"/>
    <w:rsid w:val="00DB36CF"/>
    <w:rsid w:val="00DB370A"/>
    <w:rsid w:val="00DB3C23"/>
    <w:rsid w:val="00DB43F1"/>
    <w:rsid w:val="00DB46A6"/>
    <w:rsid w:val="00DB49A2"/>
    <w:rsid w:val="00DB59A9"/>
    <w:rsid w:val="00DB68A7"/>
    <w:rsid w:val="00DB6A49"/>
    <w:rsid w:val="00DB6D38"/>
    <w:rsid w:val="00DB7C78"/>
    <w:rsid w:val="00DB7C7B"/>
    <w:rsid w:val="00DB7DE9"/>
    <w:rsid w:val="00DC02F4"/>
    <w:rsid w:val="00DC0A56"/>
    <w:rsid w:val="00DC0B0F"/>
    <w:rsid w:val="00DC0D7B"/>
    <w:rsid w:val="00DC0E0F"/>
    <w:rsid w:val="00DC0E23"/>
    <w:rsid w:val="00DC18D3"/>
    <w:rsid w:val="00DC1A76"/>
    <w:rsid w:val="00DC1C5B"/>
    <w:rsid w:val="00DC1DF6"/>
    <w:rsid w:val="00DC2001"/>
    <w:rsid w:val="00DC2105"/>
    <w:rsid w:val="00DC213B"/>
    <w:rsid w:val="00DC2509"/>
    <w:rsid w:val="00DC38B1"/>
    <w:rsid w:val="00DC3B1F"/>
    <w:rsid w:val="00DC4123"/>
    <w:rsid w:val="00DC4C63"/>
    <w:rsid w:val="00DC52E0"/>
    <w:rsid w:val="00DC5A0C"/>
    <w:rsid w:val="00DC6440"/>
    <w:rsid w:val="00DC6D1E"/>
    <w:rsid w:val="00DC702F"/>
    <w:rsid w:val="00DC7C04"/>
    <w:rsid w:val="00DC7CDB"/>
    <w:rsid w:val="00DD1085"/>
    <w:rsid w:val="00DD1F5A"/>
    <w:rsid w:val="00DD20D8"/>
    <w:rsid w:val="00DD2C68"/>
    <w:rsid w:val="00DD2EB7"/>
    <w:rsid w:val="00DD2F3A"/>
    <w:rsid w:val="00DD2FBD"/>
    <w:rsid w:val="00DD3517"/>
    <w:rsid w:val="00DD4532"/>
    <w:rsid w:val="00DD5375"/>
    <w:rsid w:val="00DD5572"/>
    <w:rsid w:val="00DD5DCF"/>
    <w:rsid w:val="00DD63C7"/>
    <w:rsid w:val="00DD6560"/>
    <w:rsid w:val="00DD670F"/>
    <w:rsid w:val="00DD7835"/>
    <w:rsid w:val="00DD7CAD"/>
    <w:rsid w:val="00DE06BC"/>
    <w:rsid w:val="00DE0A4A"/>
    <w:rsid w:val="00DE1BDB"/>
    <w:rsid w:val="00DE1C4F"/>
    <w:rsid w:val="00DE216E"/>
    <w:rsid w:val="00DE2807"/>
    <w:rsid w:val="00DE2C4B"/>
    <w:rsid w:val="00DE42D8"/>
    <w:rsid w:val="00DE5009"/>
    <w:rsid w:val="00DE52A3"/>
    <w:rsid w:val="00DE5A24"/>
    <w:rsid w:val="00DE6490"/>
    <w:rsid w:val="00DE66EB"/>
    <w:rsid w:val="00DE68D2"/>
    <w:rsid w:val="00DE6C95"/>
    <w:rsid w:val="00DE73A4"/>
    <w:rsid w:val="00DE7422"/>
    <w:rsid w:val="00DE75F0"/>
    <w:rsid w:val="00DE7BD3"/>
    <w:rsid w:val="00DF0128"/>
    <w:rsid w:val="00DF0315"/>
    <w:rsid w:val="00DF0E64"/>
    <w:rsid w:val="00DF1754"/>
    <w:rsid w:val="00DF299A"/>
    <w:rsid w:val="00DF35B5"/>
    <w:rsid w:val="00DF36BE"/>
    <w:rsid w:val="00DF38B0"/>
    <w:rsid w:val="00DF3B0F"/>
    <w:rsid w:val="00DF4209"/>
    <w:rsid w:val="00DF425E"/>
    <w:rsid w:val="00DF4D6F"/>
    <w:rsid w:val="00DF515F"/>
    <w:rsid w:val="00DF5767"/>
    <w:rsid w:val="00DF5A21"/>
    <w:rsid w:val="00DF637D"/>
    <w:rsid w:val="00DF6666"/>
    <w:rsid w:val="00DF6F9B"/>
    <w:rsid w:val="00DF7541"/>
    <w:rsid w:val="00DF7A9B"/>
    <w:rsid w:val="00DF7AA8"/>
    <w:rsid w:val="00DF7E39"/>
    <w:rsid w:val="00E003B6"/>
    <w:rsid w:val="00E00DF3"/>
    <w:rsid w:val="00E01468"/>
    <w:rsid w:val="00E0150F"/>
    <w:rsid w:val="00E017A8"/>
    <w:rsid w:val="00E02036"/>
    <w:rsid w:val="00E0243E"/>
    <w:rsid w:val="00E028C3"/>
    <w:rsid w:val="00E028EE"/>
    <w:rsid w:val="00E029EB"/>
    <w:rsid w:val="00E02F5D"/>
    <w:rsid w:val="00E03376"/>
    <w:rsid w:val="00E04242"/>
    <w:rsid w:val="00E0437F"/>
    <w:rsid w:val="00E0439B"/>
    <w:rsid w:val="00E043AD"/>
    <w:rsid w:val="00E05C3A"/>
    <w:rsid w:val="00E06064"/>
    <w:rsid w:val="00E065A1"/>
    <w:rsid w:val="00E067BC"/>
    <w:rsid w:val="00E06BDC"/>
    <w:rsid w:val="00E07145"/>
    <w:rsid w:val="00E07D9A"/>
    <w:rsid w:val="00E10690"/>
    <w:rsid w:val="00E107F5"/>
    <w:rsid w:val="00E108E2"/>
    <w:rsid w:val="00E1115B"/>
    <w:rsid w:val="00E11323"/>
    <w:rsid w:val="00E11498"/>
    <w:rsid w:val="00E121DA"/>
    <w:rsid w:val="00E132B5"/>
    <w:rsid w:val="00E13465"/>
    <w:rsid w:val="00E139DB"/>
    <w:rsid w:val="00E13A13"/>
    <w:rsid w:val="00E13CF3"/>
    <w:rsid w:val="00E14563"/>
    <w:rsid w:val="00E1456A"/>
    <w:rsid w:val="00E1457E"/>
    <w:rsid w:val="00E148AA"/>
    <w:rsid w:val="00E14E3E"/>
    <w:rsid w:val="00E15046"/>
    <w:rsid w:val="00E15265"/>
    <w:rsid w:val="00E152EF"/>
    <w:rsid w:val="00E1536A"/>
    <w:rsid w:val="00E15C90"/>
    <w:rsid w:val="00E15EA6"/>
    <w:rsid w:val="00E16521"/>
    <w:rsid w:val="00E16747"/>
    <w:rsid w:val="00E1688C"/>
    <w:rsid w:val="00E17208"/>
    <w:rsid w:val="00E17210"/>
    <w:rsid w:val="00E1750E"/>
    <w:rsid w:val="00E17689"/>
    <w:rsid w:val="00E176BA"/>
    <w:rsid w:val="00E2105B"/>
    <w:rsid w:val="00E211E9"/>
    <w:rsid w:val="00E2131B"/>
    <w:rsid w:val="00E2211E"/>
    <w:rsid w:val="00E225D8"/>
    <w:rsid w:val="00E225F3"/>
    <w:rsid w:val="00E22B78"/>
    <w:rsid w:val="00E23127"/>
    <w:rsid w:val="00E23A50"/>
    <w:rsid w:val="00E23A7E"/>
    <w:rsid w:val="00E23D00"/>
    <w:rsid w:val="00E23D71"/>
    <w:rsid w:val="00E244E2"/>
    <w:rsid w:val="00E245BD"/>
    <w:rsid w:val="00E24C4A"/>
    <w:rsid w:val="00E25076"/>
    <w:rsid w:val="00E25350"/>
    <w:rsid w:val="00E2582A"/>
    <w:rsid w:val="00E25B9C"/>
    <w:rsid w:val="00E26022"/>
    <w:rsid w:val="00E26626"/>
    <w:rsid w:val="00E27225"/>
    <w:rsid w:val="00E2722B"/>
    <w:rsid w:val="00E27506"/>
    <w:rsid w:val="00E275F5"/>
    <w:rsid w:val="00E27900"/>
    <w:rsid w:val="00E307ED"/>
    <w:rsid w:val="00E30B61"/>
    <w:rsid w:val="00E30DF1"/>
    <w:rsid w:val="00E3105C"/>
    <w:rsid w:val="00E3123F"/>
    <w:rsid w:val="00E312D9"/>
    <w:rsid w:val="00E313F6"/>
    <w:rsid w:val="00E315CC"/>
    <w:rsid w:val="00E316D6"/>
    <w:rsid w:val="00E317DC"/>
    <w:rsid w:val="00E318AC"/>
    <w:rsid w:val="00E318C4"/>
    <w:rsid w:val="00E31FD8"/>
    <w:rsid w:val="00E32E8D"/>
    <w:rsid w:val="00E3303C"/>
    <w:rsid w:val="00E33499"/>
    <w:rsid w:val="00E345E3"/>
    <w:rsid w:val="00E34BBE"/>
    <w:rsid w:val="00E34C72"/>
    <w:rsid w:val="00E3504C"/>
    <w:rsid w:val="00E352B7"/>
    <w:rsid w:val="00E35F96"/>
    <w:rsid w:val="00E35FC8"/>
    <w:rsid w:val="00E36B6C"/>
    <w:rsid w:val="00E371A8"/>
    <w:rsid w:val="00E37605"/>
    <w:rsid w:val="00E4007F"/>
    <w:rsid w:val="00E4033A"/>
    <w:rsid w:val="00E40F98"/>
    <w:rsid w:val="00E418D8"/>
    <w:rsid w:val="00E41AAD"/>
    <w:rsid w:val="00E42014"/>
    <w:rsid w:val="00E42771"/>
    <w:rsid w:val="00E435B8"/>
    <w:rsid w:val="00E4378A"/>
    <w:rsid w:val="00E43C07"/>
    <w:rsid w:val="00E43C4B"/>
    <w:rsid w:val="00E43CDA"/>
    <w:rsid w:val="00E43DDB"/>
    <w:rsid w:val="00E43F1E"/>
    <w:rsid w:val="00E4438A"/>
    <w:rsid w:val="00E44396"/>
    <w:rsid w:val="00E443C2"/>
    <w:rsid w:val="00E44459"/>
    <w:rsid w:val="00E448A2"/>
    <w:rsid w:val="00E44B0D"/>
    <w:rsid w:val="00E44DF3"/>
    <w:rsid w:val="00E44E8B"/>
    <w:rsid w:val="00E4573D"/>
    <w:rsid w:val="00E45BB1"/>
    <w:rsid w:val="00E4662B"/>
    <w:rsid w:val="00E46E97"/>
    <w:rsid w:val="00E47114"/>
    <w:rsid w:val="00E4762E"/>
    <w:rsid w:val="00E47666"/>
    <w:rsid w:val="00E47796"/>
    <w:rsid w:val="00E4796C"/>
    <w:rsid w:val="00E503A8"/>
    <w:rsid w:val="00E505AE"/>
    <w:rsid w:val="00E5073F"/>
    <w:rsid w:val="00E50A76"/>
    <w:rsid w:val="00E50B25"/>
    <w:rsid w:val="00E51389"/>
    <w:rsid w:val="00E51DCF"/>
    <w:rsid w:val="00E51DEB"/>
    <w:rsid w:val="00E52A84"/>
    <w:rsid w:val="00E52FA6"/>
    <w:rsid w:val="00E53063"/>
    <w:rsid w:val="00E5313B"/>
    <w:rsid w:val="00E53474"/>
    <w:rsid w:val="00E53854"/>
    <w:rsid w:val="00E539B6"/>
    <w:rsid w:val="00E53CE6"/>
    <w:rsid w:val="00E53F9E"/>
    <w:rsid w:val="00E548E9"/>
    <w:rsid w:val="00E549F5"/>
    <w:rsid w:val="00E54AD0"/>
    <w:rsid w:val="00E55AA2"/>
    <w:rsid w:val="00E56258"/>
    <w:rsid w:val="00E57249"/>
    <w:rsid w:val="00E57386"/>
    <w:rsid w:val="00E57524"/>
    <w:rsid w:val="00E5783B"/>
    <w:rsid w:val="00E57D33"/>
    <w:rsid w:val="00E57E18"/>
    <w:rsid w:val="00E6016D"/>
    <w:rsid w:val="00E6018A"/>
    <w:rsid w:val="00E60195"/>
    <w:rsid w:val="00E6118C"/>
    <w:rsid w:val="00E61285"/>
    <w:rsid w:val="00E61E2B"/>
    <w:rsid w:val="00E62067"/>
    <w:rsid w:val="00E628CB"/>
    <w:rsid w:val="00E62993"/>
    <w:rsid w:val="00E62AF3"/>
    <w:rsid w:val="00E63138"/>
    <w:rsid w:val="00E63C8F"/>
    <w:rsid w:val="00E63DDC"/>
    <w:rsid w:val="00E643E6"/>
    <w:rsid w:val="00E64AA3"/>
    <w:rsid w:val="00E6544E"/>
    <w:rsid w:val="00E657D9"/>
    <w:rsid w:val="00E65A19"/>
    <w:rsid w:val="00E65A86"/>
    <w:rsid w:val="00E65D30"/>
    <w:rsid w:val="00E65E01"/>
    <w:rsid w:val="00E66707"/>
    <w:rsid w:val="00E66C0A"/>
    <w:rsid w:val="00E67066"/>
    <w:rsid w:val="00E672A1"/>
    <w:rsid w:val="00E67398"/>
    <w:rsid w:val="00E676BC"/>
    <w:rsid w:val="00E679D1"/>
    <w:rsid w:val="00E67FFB"/>
    <w:rsid w:val="00E70523"/>
    <w:rsid w:val="00E7080E"/>
    <w:rsid w:val="00E70E75"/>
    <w:rsid w:val="00E70F56"/>
    <w:rsid w:val="00E71009"/>
    <w:rsid w:val="00E71508"/>
    <w:rsid w:val="00E71606"/>
    <w:rsid w:val="00E716A9"/>
    <w:rsid w:val="00E71718"/>
    <w:rsid w:val="00E717B6"/>
    <w:rsid w:val="00E71B5B"/>
    <w:rsid w:val="00E71BA8"/>
    <w:rsid w:val="00E72636"/>
    <w:rsid w:val="00E73332"/>
    <w:rsid w:val="00E73E31"/>
    <w:rsid w:val="00E73FE1"/>
    <w:rsid w:val="00E7450C"/>
    <w:rsid w:val="00E74601"/>
    <w:rsid w:val="00E748FD"/>
    <w:rsid w:val="00E74913"/>
    <w:rsid w:val="00E74A0C"/>
    <w:rsid w:val="00E74FB0"/>
    <w:rsid w:val="00E75373"/>
    <w:rsid w:val="00E75529"/>
    <w:rsid w:val="00E755E7"/>
    <w:rsid w:val="00E756A8"/>
    <w:rsid w:val="00E75781"/>
    <w:rsid w:val="00E75C9A"/>
    <w:rsid w:val="00E76A52"/>
    <w:rsid w:val="00E76B68"/>
    <w:rsid w:val="00E76F1C"/>
    <w:rsid w:val="00E772E1"/>
    <w:rsid w:val="00E77CDC"/>
    <w:rsid w:val="00E77D60"/>
    <w:rsid w:val="00E77EE8"/>
    <w:rsid w:val="00E80E1A"/>
    <w:rsid w:val="00E81444"/>
    <w:rsid w:val="00E81980"/>
    <w:rsid w:val="00E81B4F"/>
    <w:rsid w:val="00E81EF7"/>
    <w:rsid w:val="00E81F8B"/>
    <w:rsid w:val="00E827A7"/>
    <w:rsid w:val="00E828FF"/>
    <w:rsid w:val="00E82983"/>
    <w:rsid w:val="00E82DED"/>
    <w:rsid w:val="00E830C5"/>
    <w:rsid w:val="00E835B4"/>
    <w:rsid w:val="00E83E96"/>
    <w:rsid w:val="00E83FD8"/>
    <w:rsid w:val="00E84384"/>
    <w:rsid w:val="00E844A9"/>
    <w:rsid w:val="00E84751"/>
    <w:rsid w:val="00E84B20"/>
    <w:rsid w:val="00E84BA1"/>
    <w:rsid w:val="00E84BBF"/>
    <w:rsid w:val="00E851DF"/>
    <w:rsid w:val="00E85949"/>
    <w:rsid w:val="00E85EAA"/>
    <w:rsid w:val="00E86106"/>
    <w:rsid w:val="00E866ED"/>
    <w:rsid w:val="00E869F0"/>
    <w:rsid w:val="00E874C1"/>
    <w:rsid w:val="00E90A84"/>
    <w:rsid w:val="00E90F2E"/>
    <w:rsid w:val="00E9100E"/>
    <w:rsid w:val="00E912A7"/>
    <w:rsid w:val="00E912C4"/>
    <w:rsid w:val="00E91300"/>
    <w:rsid w:val="00E914C0"/>
    <w:rsid w:val="00E918B2"/>
    <w:rsid w:val="00E91D27"/>
    <w:rsid w:val="00E92325"/>
    <w:rsid w:val="00E9252E"/>
    <w:rsid w:val="00E92E84"/>
    <w:rsid w:val="00E931BD"/>
    <w:rsid w:val="00E93859"/>
    <w:rsid w:val="00E93C0F"/>
    <w:rsid w:val="00E93C83"/>
    <w:rsid w:val="00E93F71"/>
    <w:rsid w:val="00E946CF"/>
    <w:rsid w:val="00E94875"/>
    <w:rsid w:val="00E949B3"/>
    <w:rsid w:val="00E94BDD"/>
    <w:rsid w:val="00E94D2F"/>
    <w:rsid w:val="00E951A1"/>
    <w:rsid w:val="00E954A1"/>
    <w:rsid w:val="00E95A3B"/>
    <w:rsid w:val="00E96194"/>
    <w:rsid w:val="00E967AE"/>
    <w:rsid w:val="00E96E7A"/>
    <w:rsid w:val="00E970CA"/>
    <w:rsid w:val="00E97155"/>
    <w:rsid w:val="00E97578"/>
    <w:rsid w:val="00E9797E"/>
    <w:rsid w:val="00E97BAB"/>
    <w:rsid w:val="00EA014C"/>
    <w:rsid w:val="00EA01E2"/>
    <w:rsid w:val="00EA079B"/>
    <w:rsid w:val="00EA0B23"/>
    <w:rsid w:val="00EA131E"/>
    <w:rsid w:val="00EA15CB"/>
    <w:rsid w:val="00EA1E3E"/>
    <w:rsid w:val="00EA22EF"/>
    <w:rsid w:val="00EA26AB"/>
    <w:rsid w:val="00EA2BFD"/>
    <w:rsid w:val="00EA3867"/>
    <w:rsid w:val="00EA3B33"/>
    <w:rsid w:val="00EA45D5"/>
    <w:rsid w:val="00EA4D13"/>
    <w:rsid w:val="00EA51A7"/>
    <w:rsid w:val="00EA51F6"/>
    <w:rsid w:val="00EA5DD1"/>
    <w:rsid w:val="00EA5F46"/>
    <w:rsid w:val="00EA624C"/>
    <w:rsid w:val="00EA640C"/>
    <w:rsid w:val="00EA648A"/>
    <w:rsid w:val="00EA6712"/>
    <w:rsid w:val="00EA6DB5"/>
    <w:rsid w:val="00EA6F31"/>
    <w:rsid w:val="00EA7062"/>
    <w:rsid w:val="00EA7194"/>
    <w:rsid w:val="00EA76A7"/>
    <w:rsid w:val="00EA770F"/>
    <w:rsid w:val="00EA7892"/>
    <w:rsid w:val="00EA799F"/>
    <w:rsid w:val="00EA7DD0"/>
    <w:rsid w:val="00EA7E0F"/>
    <w:rsid w:val="00EB02A7"/>
    <w:rsid w:val="00EB070A"/>
    <w:rsid w:val="00EB104A"/>
    <w:rsid w:val="00EB12FB"/>
    <w:rsid w:val="00EB150A"/>
    <w:rsid w:val="00EB1B5B"/>
    <w:rsid w:val="00EB2012"/>
    <w:rsid w:val="00EB23C9"/>
    <w:rsid w:val="00EB2450"/>
    <w:rsid w:val="00EB2D3E"/>
    <w:rsid w:val="00EB2DBE"/>
    <w:rsid w:val="00EB3632"/>
    <w:rsid w:val="00EB369D"/>
    <w:rsid w:val="00EB4155"/>
    <w:rsid w:val="00EB43C7"/>
    <w:rsid w:val="00EB479A"/>
    <w:rsid w:val="00EB5215"/>
    <w:rsid w:val="00EB5D53"/>
    <w:rsid w:val="00EB5FF5"/>
    <w:rsid w:val="00EB607A"/>
    <w:rsid w:val="00EB68C7"/>
    <w:rsid w:val="00EB6FB1"/>
    <w:rsid w:val="00EB72CA"/>
    <w:rsid w:val="00EB73B1"/>
    <w:rsid w:val="00EB77B0"/>
    <w:rsid w:val="00EB77F7"/>
    <w:rsid w:val="00EC04A1"/>
    <w:rsid w:val="00EC07A9"/>
    <w:rsid w:val="00EC0A87"/>
    <w:rsid w:val="00EC0D4A"/>
    <w:rsid w:val="00EC1753"/>
    <w:rsid w:val="00EC20AC"/>
    <w:rsid w:val="00EC2536"/>
    <w:rsid w:val="00EC273B"/>
    <w:rsid w:val="00EC2C92"/>
    <w:rsid w:val="00EC321E"/>
    <w:rsid w:val="00EC37E0"/>
    <w:rsid w:val="00EC3E0B"/>
    <w:rsid w:val="00EC45FE"/>
    <w:rsid w:val="00EC5823"/>
    <w:rsid w:val="00EC591A"/>
    <w:rsid w:val="00EC5D88"/>
    <w:rsid w:val="00EC6037"/>
    <w:rsid w:val="00EC64BB"/>
    <w:rsid w:val="00EC664B"/>
    <w:rsid w:val="00EC7184"/>
    <w:rsid w:val="00EC71D8"/>
    <w:rsid w:val="00EC76DE"/>
    <w:rsid w:val="00EC7A74"/>
    <w:rsid w:val="00ED03A2"/>
    <w:rsid w:val="00ED05CB"/>
    <w:rsid w:val="00ED1355"/>
    <w:rsid w:val="00ED13A8"/>
    <w:rsid w:val="00ED1517"/>
    <w:rsid w:val="00ED172C"/>
    <w:rsid w:val="00ED180B"/>
    <w:rsid w:val="00ED216A"/>
    <w:rsid w:val="00ED2556"/>
    <w:rsid w:val="00ED2572"/>
    <w:rsid w:val="00ED269D"/>
    <w:rsid w:val="00ED2A12"/>
    <w:rsid w:val="00ED2B3C"/>
    <w:rsid w:val="00ED37E4"/>
    <w:rsid w:val="00ED3837"/>
    <w:rsid w:val="00ED520C"/>
    <w:rsid w:val="00ED52A2"/>
    <w:rsid w:val="00ED5AF3"/>
    <w:rsid w:val="00ED5B8F"/>
    <w:rsid w:val="00ED618A"/>
    <w:rsid w:val="00ED6953"/>
    <w:rsid w:val="00ED7E31"/>
    <w:rsid w:val="00ED7FC1"/>
    <w:rsid w:val="00EE0190"/>
    <w:rsid w:val="00EE01F7"/>
    <w:rsid w:val="00EE052B"/>
    <w:rsid w:val="00EE096E"/>
    <w:rsid w:val="00EE0B29"/>
    <w:rsid w:val="00EE0FAB"/>
    <w:rsid w:val="00EE1204"/>
    <w:rsid w:val="00EE1230"/>
    <w:rsid w:val="00EE143C"/>
    <w:rsid w:val="00EE149B"/>
    <w:rsid w:val="00EE1820"/>
    <w:rsid w:val="00EE1896"/>
    <w:rsid w:val="00EE1BD0"/>
    <w:rsid w:val="00EE1D5B"/>
    <w:rsid w:val="00EE2446"/>
    <w:rsid w:val="00EE2759"/>
    <w:rsid w:val="00EE278D"/>
    <w:rsid w:val="00EE29A5"/>
    <w:rsid w:val="00EE2BD8"/>
    <w:rsid w:val="00EE2F43"/>
    <w:rsid w:val="00EE2FA0"/>
    <w:rsid w:val="00EE3242"/>
    <w:rsid w:val="00EE32B6"/>
    <w:rsid w:val="00EE3C0E"/>
    <w:rsid w:val="00EE426C"/>
    <w:rsid w:val="00EE42FC"/>
    <w:rsid w:val="00EE48CE"/>
    <w:rsid w:val="00EE4AE6"/>
    <w:rsid w:val="00EE62B2"/>
    <w:rsid w:val="00EE6436"/>
    <w:rsid w:val="00EE6686"/>
    <w:rsid w:val="00EE69B3"/>
    <w:rsid w:val="00EE7491"/>
    <w:rsid w:val="00EE76AD"/>
    <w:rsid w:val="00EE7AAD"/>
    <w:rsid w:val="00EE7DCA"/>
    <w:rsid w:val="00EF0175"/>
    <w:rsid w:val="00EF0552"/>
    <w:rsid w:val="00EF0DFB"/>
    <w:rsid w:val="00EF1103"/>
    <w:rsid w:val="00EF17A8"/>
    <w:rsid w:val="00EF1B30"/>
    <w:rsid w:val="00EF1DB8"/>
    <w:rsid w:val="00EF21F9"/>
    <w:rsid w:val="00EF22E5"/>
    <w:rsid w:val="00EF24C0"/>
    <w:rsid w:val="00EF27BF"/>
    <w:rsid w:val="00EF305C"/>
    <w:rsid w:val="00EF3DAA"/>
    <w:rsid w:val="00EF40CE"/>
    <w:rsid w:val="00EF4458"/>
    <w:rsid w:val="00EF4F7D"/>
    <w:rsid w:val="00EF5CC4"/>
    <w:rsid w:val="00EF6041"/>
    <w:rsid w:val="00EF6489"/>
    <w:rsid w:val="00EF650C"/>
    <w:rsid w:val="00EF6B2A"/>
    <w:rsid w:val="00EF7408"/>
    <w:rsid w:val="00EF7484"/>
    <w:rsid w:val="00EF79E4"/>
    <w:rsid w:val="00F001E6"/>
    <w:rsid w:val="00F00222"/>
    <w:rsid w:val="00F00275"/>
    <w:rsid w:val="00F0031B"/>
    <w:rsid w:val="00F0037D"/>
    <w:rsid w:val="00F003B0"/>
    <w:rsid w:val="00F00442"/>
    <w:rsid w:val="00F0079C"/>
    <w:rsid w:val="00F00A74"/>
    <w:rsid w:val="00F00E5B"/>
    <w:rsid w:val="00F010AD"/>
    <w:rsid w:val="00F01267"/>
    <w:rsid w:val="00F01B03"/>
    <w:rsid w:val="00F02016"/>
    <w:rsid w:val="00F021B2"/>
    <w:rsid w:val="00F026B0"/>
    <w:rsid w:val="00F027B6"/>
    <w:rsid w:val="00F0420D"/>
    <w:rsid w:val="00F04290"/>
    <w:rsid w:val="00F0480A"/>
    <w:rsid w:val="00F0491D"/>
    <w:rsid w:val="00F04C07"/>
    <w:rsid w:val="00F04E58"/>
    <w:rsid w:val="00F05AC3"/>
    <w:rsid w:val="00F064D8"/>
    <w:rsid w:val="00F06AC7"/>
    <w:rsid w:val="00F070C6"/>
    <w:rsid w:val="00F07201"/>
    <w:rsid w:val="00F073F0"/>
    <w:rsid w:val="00F100B8"/>
    <w:rsid w:val="00F1083C"/>
    <w:rsid w:val="00F10D31"/>
    <w:rsid w:val="00F10FAA"/>
    <w:rsid w:val="00F1108D"/>
    <w:rsid w:val="00F11200"/>
    <w:rsid w:val="00F113A2"/>
    <w:rsid w:val="00F1177F"/>
    <w:rsid w:val="00F11DEF"/>
    <w:rsid w:val="00F120E6"/>
    <w:rsid w:val="00F12374"/>
    <w:rsid w:val="00F126F4"/>
    <w:rsid w:val="00F12888"/>
    <w:rsid w:val="00F12B93"/>
    <w:rsid w:val="00F12D40"/>
    <w:rsid w:val="00F12E8C"/>
    <w:rsid w:val="00F13221"/>
    <w:rsid w:val="00F145FB"/>
    <w:rsid w:val="00F1461C"/>
    <w:rsid w:val="00F148D5"/>
    <w:rsid w:val="00F15170"/>
    <w:rsid w:val="00F15178"/>
    <w:rsid w:val="00F15252"/>
    <w:rsid w:val="00F155A0"/>
    <w:rsid w:val="00F159B2"/>
    <w:rsid w:val="00F16440"/>
    <w:rsid w:val="00F16A78"/>
    <w:rsid w:val="00F16B2D"/>
    <w:rsid w:val="00F16BE5"/>
    <w:rsid w:val="00F17856"/>
    <w:rsid w:val="00F17948"/>
    <w:rsid w:val="00F17DD9"/>
    <w:rsid w:val="00F20313"/>
    <w:rsid w:val="00F20CC5"/>
    <w:rsid w:val="00F214D3"/>
    <w:rsid w:val="00F226E8"/>
    <w:rsid w:val="00F22B9C"/>
    <w:rsid w:val="00F2322C"/>
    <w:rsid w:val="00F23481"/>
    <w:rsid w:val="00F23644"/>
    <w:rsid w:val="00F24AF4"/>
    <w:rsid w:val="00F24D7D"/>
    <w:rsid w:val="00F253E0"/>
    <w:rsid w:val="00F25574"/>
    <w:rsid w:val="00F25B27"/>
    <w:rsid w:val="00F25CF5"/>
    <w:rsid w:val="00F26051"/>
    <w:rsid w:val="00F266F6"/>
    <w:rsid w:val="00F269C1"/>
    <w:rsid w:val="00F26A15"/>
    <w:rsid w:val="00F273BA"/>
    <w:rsid w:val="00F27461"/>
    <w:rsid w:val="00F27559"/>
    <w:rsid w:val="00F30A5E"/>
    <w:rsid w:val="00F31330"/>
    <w:rsid w:val="00F313A9"/>
    <w:rsid w:val="00F313E7"/>
    <w:rsid w:val="00F31A6B"/>
    <w:rsid w:val="00F32039"/>
    <w:rsid w:val="00F32249"/>
    <w:rsid w:val="00F32AB7"/>
    <w:rsid w:val="00F32EDA"/>
    <w:rsid w:val="00F33568"/>
    <w:rsid w:val="00F34002"/>
    <w:rsid w:val="00F34178"/>
    <w:rsid w:val="00F34299"/>
    <w:rsid w:val="00F35551"/>
    <w:rsid w:val="00F356D6"/>
    <w:rsid w:val="00F35FAE"/>
    <w:rsid w:val="00F36B54"/>
    <w:rsid w:val="00F36B8C"/>
    <w:rsid w:val="00F36CE6"/>
    <w:rsid w:val="00F374C9"/>
    <w:rsid w:val="00F376B1"/>
    <w:rsid w:val="00F3770B"/>
    <w:rsid w:val="00F3781A"/>
    <w:rsid w:val="00F378C8"/>
    <w:rsid w:val="00F379B8"/>
    <w:rsid w:val="00F37E88"/>
    <w:rsid w:val="00F406DA"/>
    <w:rsid w:val="00F40B5D"/>
    <w:rsid w:val="00F40C88"/>
    <w:rsid w:val="00F40E21"/>
    <w:rsid w:val="00F40F11"/>
    <w:rsid w:val="00F41E19"/>
    <w:rsid w:val="00F42226"/>
    <w:rsid w:val="00F425F4"/>
    <w:rsid w:val="00F428F0"/>
    <w:rsid w:val="00F42B84"/>
    <w:rsid w:val="00F4318F"/>
    <w:rsid w:val="00F4441D"/>
    <w:rsid w:val="00F44B50"/>
    <w:rsid w:val="00F451AB"/>
    <w:rsid w:val="00F45E18"/>
    <w:rsid w:val="00F45E22"/>
    <w:rsid w:val="00F45F27"/>
    <w:rsid w:val="00F46084"/>
    <w:rsid w:val="00F4609B"/>
    <w:rsid w:val="00F46978"/>
    <w:rsid w:val="00F46DBD"/>
    <w:rsid w:val="00F474A9"/>
    <w:rsid w:val="00F47591"/>
    <w:rsid w:val="00F47B52"/>
    <w:rsid w:val="00F47C90"/>
    <w:rsid w:val="00F50FF0"/>
    <w:rsid w:val="00F51112"/>
    <w:rsid w:val="00F511B2"/>
    <w:rsid w:val="00F51EC6"/>
    <w:rsid w:val="00F51F55"/>
    <w:rsid w:val="00F52333"/>
    <w:rsid w:val="00F5244D"/>
    <w:rsid w:val="00F52E1A"/>
    <w:rsid w:val="00F53269"/>
    <w:rsid w:val="00F53392"/>
    <w:rsid w:val="00F539DA"/>
    <w:rsid w:val="00F53AF3"/>
    <w:rsid w:val="00F53E19"/>
    <w:rsid w:val="00F544A2"/>
    <w:rsid w:val="00F5482B"/>
    <w:rsid w:val="00F54996"/>
    <w:rsid w:val="00F54D4B"/>
    <w:rsid w:val="00F55199"/>
    <w:rsid w:val="00F55D91"/>
    <w:rsid w:val="00F55D94"/>
    <w:rsid w:val="00F56302"/>
    <w:rsid w:val="00F56610"/>
    <w:rsid w:val="00F5685A"/>
    <w:rsid w:val="00F569A5"/>
    <w:rsid w:val="00F57061"/>
    <w:rsid w:val="00F572F4"/>
    <w:rsid w:val="00F5757A"/>
    <w:rsid w:val="00F57C6D"/>
    <w:rsid w:val="00F57FD0"/>
    <w:rsid w:val="00F60E2E"/>
    <w:rsid w:val="00F60FB2"/>
    <w:rsid w:val="00F617FE"/>
    <w:rsid w:val="00F61D60"/>
    <w:rsid w:val="00F61E3B"/>
    <w:rsid w:val="00F62474"/>
    <w:rsid w:val="00F62C9F"/>
    <w:rsid w:val="00F62D9A"/>
    <w:rsid w:val="00F63483"/>
    <w:rsid w:val="00F6381D"/>
    <w:rsid w:val="00F63924"/>
    <w:rsid w:val="00F643A8"/>
    <w:rsid w:val="00F64D3E"/>
    <w:rsid w:val="00F6558C"/>
    <w:rsid w:val="00F655DA"/>
    <w:rsid w:val="00F657F6"/>
    <w:rsid w:val="00F65881"/>
    <w:rsid w:val="00F65CC3"/>
    <w:rsid w:val="00F6673F"/>
    <w:rsid w:val="00F66E02"/>
    <w:rsid w:val="00F670D3"/>
    <w:rsid w:val="00F67843"/>
    <w:rsid w:val="00F67853"/>
    <w:rsid w:val="00F679E7"/>
    <w:rsid w:val="00F700FD"/>
    <w:rsid w:val="00F70262"/>
    <w:rsid w:val="00F702AB"/>
    <w:rsid w:val="00F7115C"/>
    <w:rsid w:val="00F71212"/>
    <w:rsid w:val="00F71BEC"/>
    <w:rsid w:val="00F7239F"/>
    <w:rsid w:val="00F727C0"/>
    <w:rsid w:val="00F72B0E"/>
    <w:rsid w:val="00F72B97"/>
    <w:rsid w:val="00F72E2D"/>
    <w:rsid w:val="00F73169"/>
    <w:rsid w:val="00F7339E"/>
    <w:rsid w:val="00F7348E"/>
    <w:rsid w:val="00F73CC1"/>
    <w:rsid w:val="00F73EC3"/>
    <w:rsid w:val="00F73FC2"/>
    <w:rsid w:val="00F74233"/>
    <w:rsid w:val="00F742A0"/>
    <w:rsid w:val="00F7468F"/>
    <w:rsid w:val="00F74857"/>
    <w:rsid w:val="00F74EEE"/>
    <w:rsid w:val="00F751AE"/>
    <w:rsid w:val="00F75453"/>
    <w:rsid w:val="00F75B66"/>
    <w:rsid w:val="00F76424"/>
    <w:rsid w:val="00F7689D"/>
    <w:rsid w:val="00F77712"/>
    <w:rsid w:val="00F77E8C"/>
    <w:rsid w:val="00F800CB"/>
    <w:rsid w:val="00F80204"/>
    <w:rsid w:val="00F80906"/>
    <w:rsid w:val="00F81521"/>
    <w:rsid w:val="00F81DBC"/>
    <w:rsid w:val="00F81DFA"/>
    <w:rsid w:val="00F8219F"/>
    <w:rsid w:val="00F821EF"/>
    <w:rsid w:val="00F82536"/>
    <w:rsid w:val="00F82594"/>
    <w:rsid w:val="00F83301"/>
    <w:rsid w:val="00F83ED5"/>
    <w:rsid w:val="00F845A4"/>
    <w:rsid w:val="00F84EF3"/>
    <w:rsid w:val="00F8503C"/>
    <w:rsid w:val="00F85248"/>
    <w:rsid w:val="00F8650A"/>
    <w:rsid w:val="00F86701"/>
    <w:rsid w:val="00F86912"/>
    <w:rsid w:val="00F87311"/>
    <w:rsid w:val="00F8738C"/>
    <w:rsid w:val="00F876E3"/>
    <w:rsid w:val="00F902E7"/>
    <w:rsid w:val="00F909AA"/>
    <w:rsid w:val="00F91578"/>
    <w:rsid w:val="00F91582"/>
    <w:rsid w:val="00F9180F"/>
    <w:rsid w:val="00F91A73"/>
    <w:rsid w:val="00F91AC4"/>
    <w:rsid w:val="00F91B53"/>
    <w:rsid w:val="00F91FA6"/>
    <w:rsid w:val="00F91FEF"/>
    <w:rsid w:val="00F922F7"/>
    <w:rsid w:val="00F9287C"/>
    <w:rsid w:val="00F92EDE"/>
    <w:rsid w:val="00F93656"/>
    <w:rsid w:val="00F936C3"/>
    <w:rsid w:val="00F938D5"/>
    <w:rsid w:val="00F93A39"/>
    <w:rsid w:val="00F94B10"/>
    <w:rsid w:val="00F94DDA"/>
    <w:rsid w:val="00F94F61"/>
    <w:rsid w:val="00F952E4"/>
    <w:rsid w:val="00F957F4"/>
    <w:rsid w:val="00F9592A"/>
    <w:rsid w:val="00F95FA1"/>
    <w:rsid w:val="00F95FD6"/>
    <w:rsid w:val="00F96080"/>
    <w:rsid w:val="00F96737"/>
    <w:rsid w:val="00F96AB1"/>
    <w:rsid w:val="00F96D11"/>
    <w:rsid w:val="00F96D80"/>
    <w:rsid w:val="00F97146"/>
    <w:rsid w:val="00F97196"/>
    <w:rsid w:val="00F97353"/>
    <w:rsid w:val="00F973AF"/>
    <w:rsid w:val="00FA0188"/>
    <w:rsid w:val="00FA06F7"/>
    <w:rsid w:val="00FA08B7"/>
    <w:rsid w:val="00FA0A7C"/>
    <w:rsid w:val="00FA1068"/>
    <w:rsid w:val="00FA10EA"/>
    <w:rsid w:val="00FA1539"/>
    <w:rsid w:val="00FA20CF"/>
    <w:rsid w:val="00FA20F2"/>
    <w:rsid w:val="00FA2369"/>
    <w:rsid w:val="00FA2BBC"/>
    <w:rsid w:val="00FA2C0C"/>
    <w:rsid w:val="00FA34EE"/>
    <w:rsid w:val="00FA4315"/>
    <w:rsid w:val="00FA4D71"/>
    <w:rsid w:val="00FA4DF7"/>
    <w:rsid w:val="00FA4E4E"/>
    <w:rsid w:val="00FA503D"/>
    <w:rsid w:val="00FA51E6"/>
    <w:rsid w:val="00FA529A"/>
    <w:rsid w:val="00FA5924"/>
    <w:rsid w:val="00FA5C2A"/>
    <w:rsid w:val="00FA5CA6"/>
    <w:rsid w:val="00FA5ECE"/>
    <w:rsid w:val="00FA68DF"/>
    <w:rsid w:val="00FA72F5"/>
    <w:rsid w:val="00FA7A47"/>
    <w:rsid w:val="00FB0166"/>
    <w:rsid w:val="00FB070D"/>
    <w:rsid w:val="00FB0791"/>
    <w:rsid w:val="00FB0912"/>
    <w:rsid w:val="00FB0A5F"/>
    <w:rsid w:val="00FB0AC1"/>
    <w:rsid w:val="00FB0D4D"/>
    <w:rsid w:val="00FB1736"/>
    <w:rsid w:val="00FB2BB1"/>
    <w:rsid w:val="00FB2BD7"/>
    <w:rsid w:val="00FB2C15"/>
    <w:rsid w:val="00FB3326"/>
    <w:rsid w:val="00FB387A"/>
    <w:rsid w:val="00FB3B43"/>
    <w:rsid w:val="00FB3B46"/>
    <w:rsid w:val="00FB4981"/>
    <w:rsid w:val="00FB49BC"/>
    <w:rsid w:val="00FB4CE8"/>
    <w:rsid w:val="00FB4DD1"/>
    <w:rsid w:val="00FB533A"/>
    <w:rsid w:val="00FB536A"/>
    <w:rsid w:val="00FB54D8"/>
    <w:rsid w:val="00FB59D6"/>
    <w:rsid w:val="00FB5B03"/>
    <w:rsid w:val="00FB5C45"/>
    <w:rsid w:val="00FB5E1E"/>
    <w:rsid w:val="00FB6039"/>
    <w:rsid w:val="00FB6575"/>
    <w:rsid w:val="00FB672E"/>
    <w:rsid w:val="00FB6FB9"/>
    <w:rsid w:val="00FB738C"/>
    <w:rsid w:val="00FB7762"/>
    <w:rsid w:val="00FB7C7C"/>
    <w:rsid w:val="00FB7FA8"/>
    <w:rsid w:val="00FC08A9"/>
    <w:rsid w:val="00FC0D5E"/>
    <w:rsid w:val="00FC0DB6"/>
    <w:rsid w:val="00FC1F0B"/>
    <w:rsid w:val="00FC29FB"/>
    <w:rsid w:val="00FC2CDE"/>
    <w:rsid w:val="00FC2DF9"/>
    <w:rsid w:val="00FC2F14"/>
    <w:rsid w:val="00FC2F3C"/>
    <w:rsid w:val="00FC3D01"/>
    <w:rsid w:val="00FC401C"/>
    <w:rsid w:val="00FC436A"/>
    <w:rsid w:val="00FC45F9"/>
    <w:rsid w:val="00FC4B0B"/>
    <w:rsid w:val="00FC4B67"/>
    <w:rsid w:val="00FC50EE"/>
    <w:rsid w:val="00FC544F"/>
    <w:rsid w:val="00FC5C76"/>
    <w:rsid w:val="00FC5CC9"/>
    <w:rsid w:val="00FC6435"/>
    <w:rsid w:val="00FC64B3"/>
    <w:rsid w:val="00FC6BD4"/>
    <w:rsid w:val="00FC7123"/>
    <w:rsid w:val="00FC784E"/>
    <w:rsid w:val="00FC7E0D"/>
    <w:rsid w:val="00FD08FD"/>
    <w:rsid w:val="00FD0D7B"/>
    <w:rsid w:val="00FD0DCA"/>
    <w:rsid w:val="00FD0EA3"/>
    <w:rsid w:val="00FD0FF2"/>
    <w:rsid w:val="00FD10FD"/>
    <w:rsid w:val="00FD15CB"/>
    <w:rsid w:val="00FD1FC7"/>
    <w:rsid w:val="00FD2000"/>
    <w:rsid w:val="00FD2128"/>
    <w:rsid w:val="00FD21B3"/>
    <w:rsid w:val="00FD24DA"/>
    <w:rsid w:val="00FD2BA4"/>
    <w:rsid w:val="00FD2CF4"/>
    <w:rsid w:val="00FD2F86"/>
    <w:rsid w:val="00FD38FF"/>
    <w:rsid w:val="00FD5278"/>
    <w:rsid w:val="00FD5799"/>
    <w:rsid w:val="00FD58C1"/>
    <w:rsid w:val="00FD5E54"/>
    <w:rsid w:val="00FD6095"/>
    <w:rsid w:val="00FD62E5"/>
    <w:rsid w:val="00FD6551"/>
    <w:rsid w:val="00FD67AA"/>
    <w:rsid w:val="00FD6E1A"/>
    <w:rsid w:val="00FD7516"/>
    <w:rsid w:val="00FE0C8B"/>
    <w:rsid w:val="00FE120A"/>
    <w:rsid w:val="00FE2500"/>
    <w:rsid w:val="00FE25BB"/>
    <w:rsid w:val="00FE2ACD"/>
    <w:rsid w:val="00FE31F9"/>
    <w:rsid w:val="00FE37BD"/>
    <w:rsid w:val="00FE3B39"/>
    <w:rsid w:val="00FE3CEE"/>
    <w:rsid w:val="00FE4408"/>
    <w:rsid w:val="00FE48BB"/>
    <w:rsid w:val="00FE492F"/>
    <w:rsid w:val="00FE4CBC"/>
    <w:rsid w:val="00FE5730"/>
    <w:rsid w:val="00FE5CB8"/>
    <w:rsid w:val="00FE5D5D"/>
    <w:rsid w:val="00FE5D60"/>
    <w:rsid w:val="00FE5EC6"/>
    <w:rsid w:val="00FE6367"/>
    <w:rsid w:val="00FE6754"/>
    <w:rsid w:val="00FE6B48"/>
    <w:rsid w:val="00FE6CB0"/>
    <w:rsid w:val="00FE7355"/>
    <w:rsid w:val="00FE784E"/>
    <w:rsid w:val="00FE7ABD"/>
    <w:rsid w:val="00FE7BC9"/>
    <w:rsid w:val="00FE7C88"/>
    <w:rsid w:val="00FE7DCD"/>
    <w:rsid w:val="00FE7E8A"/>
    <w:rsid w:val="00FE7F6E"/>
    <w:rsid w:val="00FF035D"/>
    <w:rsid w:val="00FF08F2"/>
    <w:rsid w:val="00FF0F0E"/>
    <w:rsid w:val="00FF147A"/>
    <w:rsid w:val="00FF1575"/>
    <w:rsid w:val="00FF1C1A"/>
    <w:rsid w:val="00FF1EA6"/>
    <w:rsid w:val="00FF2CA0"/>
    <w:rsid w:val="00FF2E36"/>
    <w:rsid w:val="00FF3313"/>
    <w:rsid w:val="00FF33D7"/>
    <w:rsid w:val="00FF38A2"/>
    <w:rsid w:val="00FF3A32"/>
    <w:rsid w:val="00FF43C9"/>
    <w:rsid w:val="00FF4456"/>
    <w:rsid w:val="00FF4911"/>
    <w:rsid w:val="00FF49EF"/>
    <w:rsid w:val="00FF4B98"/>
    <w:rsid w:val="00FF5227"/>
    <w:rsid w:val="00FF61A2"/>
    <w:rsid w:val="00FF621E"/>
    <w:rsid w:val="00FF6A93"/>
    <w:rsid w:val="00FF6EFD"/>
    <w:rsid w:val="00FF6F4E"/>
    <w:rsid w:val="00FF71FF"/>
    <w:rsid w:val="00FF749D"/>
    <w:rsid w:val="00FF7E23"/>
    <w:rsid w:val="014DE460"/>
    <w:rsid w:val="015ADB9B"/>
    <w:rsid w:val="015BAA6A"/>
    <w:rsid w:val="0187F342"/>
    <w:rsid w:val="018EFD62"/>
    <w:rsid w:val="0196C98A"/>
    <w:rsid w:val="01A12D38"/>
    <w:rsid w:val="01B326E6"/>
    <w:rsid w:val="01BCCB45"/>
    <w:rsid w:val="01BD901C"/>
    <w:rsid w:val="01C60563"/>
    <w:rsid w:val="01CFA40C"/>
    <w:rsid w:val="01E4B02F"/>
    <w:rsid w:val="01F936BB"/>
    <w:rsid w:val="02054341"/>
    <w:rsid w:val="0216B598"/>
    <w:rsid w:val="02365249"/>
    <w:rsid w:val="0244CE8C"/>
    <w:rsid w:val="02468590"/>
    <w:rsid w:val="0261A479"/>
    <w:rsid w:val="026CAC99"/>
    <w:rsid w:val="026FA713"/>
    <w:rsid w:val="02999544"/>
    <w:rsid w:val="02A27712"/>
    <w:rsid w:val="02A2EC5D"/>
    <w:rsid w:val="02B98993"/>
    <w:rsid w:val="02BA0F36"/>
    <w:rsid w:val="02E55603"/>
    <w:rsid w:val="02EDD396"/>
    <w:rsid w:val="02F36056"/>
    <w:rsid w:val="02F832A8"/>
    <w:rsid w:val="02FBBB24"/>
    <w:rsid w:val="0300C3D1"/>
    <w:rsid w:val="0308205F"/>
    <w:rsid w:val="03367DBC"/>
    <w:rsid w:val="0346B455"/>
    <w:rsid w:val="03540870"/>
    <w:rsid w:val="035D1A68"/>
    <w:rsid w:val="0362320C"/>
    <w:rsid w:val="036417E1"/>
    <w:rsid w:val="036BB3FB"/>
    <w:rsid w:val="036C954B"/>
    <w:rsid w:val="0397EC71"/>
    <w:rsid w:val="03A05914"/>
    <w:rsid w:val="03A1EF40"/>
    <w:rsid w:val="03CE2C66"/>
    <w:rsid w:val="040D2CCC"/>
    <w:rsid w:val="04203FEE"/>
    <w:rsid w:val="042B290A"/>
    <w:rsid w:val="04558FEE"/>
    <w:rsid w:val="0475CF68"/>
    <w:rsid w:val="0476B79D"/>
    <w:rsid w:val="04862358"/>
    <w:rsid w:val="0488D712"/>
    <w:rsid w:val="04A04A11"/>
    <w:rsid w:val="04AC16FE"/>
    <w:rsid w:val="04B708F9"/>
    <w:rsid w:val="04B99B25"/>
    <w:rsid w:val="04C161C6"/>
    <w:rsid w:val="0507DCAF"/>
    <w:rsid w:val="050BA7D5"/>
    <w:rsid w:val="052939CB"/>
    <w:rsid w:val="0540761D"/>
    <w:rsid w:val="0543F010"/>
    <w:rsid w:val="054BAF50"/>
    <w:rsid w:val="0584D081"/>
    <w:rsid w:val="05BE8DF8"/>
    <w:rsid w:val="05C3DB7D"/>
    <w:rsid w:val="05C79138"/>
    <w:rsid w:val="0605F0FB"/>
    <w:rsid w:val="06243121"/>
    <w:rsid w:val="06279938"/>
    <w:rsid w:val="06388102"/>
    <w:rsid w:val="065B7C8C"/>
    <w:rsid w:val="06666906"/>
    <w:rsid w:val="066B24AC"/>
    <w:rsid w:val="069BC46F"/>
    <w:rsid w:val="06B67787"/>
    <w:rsid w:val="06CA1D59"/>
    <w:rsid w:val="06DEF82B"/>
    <w:rsid w:val="06EACCC0"/>
    <w:rsid w:val="06FB4F8A"/>
    <w:rsid w:val="0700026C"/>
    <w:rsid w:val="0704AC15"/>
    <w:rsid w:val="07110860"/>
    <w:rsid w:val="07171B0D"/>
    <w:rsid w:val="07287B4A"/>
    <w:rsid w:val="07629165"/>
    <w:rsid w:val="07697395"/>
    <w:rsid w:val="0774DEC5"/>
    <w:rsid w:val="0778AC12"/>
    <w:rsid w:val="078FC7FB"/>
    <w:rsid w:val="07ABDB53"/>
    <w:rsid w:val="07C69F5F"/>
    <w:rsid w:val="07D96952"/>
    <w:rsid w:val="07D99532"/>
    <w:rsid w:val="07DAEB59"/>
    <w:rsid w:val="07E64121"/>
    <w:rsid w:val="0802B2F7"/>
    <w:rsid w:val="08052A58"/>
    <w:rsid w:val="0811769F"/>
    <w:rsid w:val="081F47D6"/>
    <w:rsid w:val="083BF9EE"/>
    <w:rsid w:val="08645023"/>
    <w:rsid w:val="086C2420"/>
    <w:rsid w:val="0878FB71"/>
    <w:rsid w:val="088B0BF1"/>
    <w:rsid w:val="08CA48E2"/>
    <w:rsid w:val="0930BB16"/>
    <w:rsid w:val="094FDE2C"/>
    <w:rsid w:val="0971B3EA"/>
    <w:rsid w:val="09761D64"/>
    <w:rsid w:val="0980C0B8"/>
    <w:rsid w:val="0996E6B3"/>
    <w:rsid w:val="0998C059"/>
    <w:rsid w:val="09A7AF88"/>
    <w:rsid w:val="09AB7393"/>
    <w:rsid w:val="09B6DB10"/>
    <w:rsid w:val="09B8E51D"/>
    <w:rsid w:val="09D9C396"/>
    <w:rsid w:val="09E2765D"/>
    <w:rsid w:val="09E6F346"/>
    <w:rsid w:val="0A1DF1E4"/>
    <w:rsid w:val="0A40C34D"/>
    <w:rsid w:val="0A5E6301"/>
    <w:rsid w:val="0A6D1DB8"/>
    <w:rsid w:val="0A6F0B80"/>
    <w:rsid w:val="0A8EF4A7"/>
    <w:rsid w:val="0A9760A5"/>
    <w:rsid w:val="0A976872"/>
    <w:rsid w:val="0AA04472"/>
    <w:rsid w:val="0AA20E49"/>
    <w:rsid w:val="0AAFB591"/>
    <w:rsid w:val="0AB4369F"/>
    <w:rsid w:val="0ADC5993"/>
    <w:rsid w:val="0AE6BA74"/>
    <w:rsid w:val="0B07243E"/>
    <w:rsid w:val="0B07C988"/>
    <w:rsid w:val="0B0ABDA9"/>
    <w:rsid w:val="0B0FA038"/>
    <w:rsid w:val="0B4C8EFB"/>
    <w:rsid w:val="0B6A44FD"/>
    <w:rsid w:val="0B7D1447"/>
    <w:rsid w:val="0B9B6909"/>
    <w:rsid w:val="0BAD5BC7"/>
    <w:rsid w:val="0BBA95E8"/>
    <w:rsid w:val="0BBBCA01"/>
    <w:rsid w:val="0BE43BB6"/>
    <w:rsid w:val="0BE474D2"/>
    <w:rsid w:val="0C00C1A8"/>
    <w:rsid w:val="0C140BA0"/>
    <w:rsid w:val="0C22CF57"/>
    <w:rsid w:val="0C3CDCEE"/>
    <w:rsid w:val="0C48245C"/>
    <w:rsid w:val="0C49AC3B"/>
    <w:rsid w:val="0C625FFA"/>
    <w:rsid w:val="0C6AF5F6"/>
    <w:rsid w:val="0C6B61EA"/>
    <w:rsid w:val="0C82798E"/>
    <w:rsid w:val="0C9F424B"/>
    <w:rsid w:val="0CBAC9BC"/>
    <w:rsid w:val="0CCE789A"/>
    <w:rsid w:val="0CD83EAF"/>
    <w:rsid w:val="0CE1D30E"/>
    <w:rsid w:val="0D04C110"/>
    <w:rsid w:val="0D094CAB"/>
    <w:rsid w:val="0D5A7AA9"/>
    <w:rsid w:val="0D64538B"/>
    <w:rsid w:val="0D661282"/>
    <w:rsid w:val="0D72A55A"/>
    <w:rsid w:val="0D8F4995"/>
    <w:rsid w:val="0DA34758"/>
    <w:rsid w:val="0DBA7ABD"/>
    <w:rsid w:val="0DC4A823"/>
    <w:rsid w:val="0DDB0A4E"/>
    <w:rsid w:val="0DDEF2A2"/>
    <w:rsid w:val="0DF584EF"/>
    <w:rsid w:val="0E06F378"/>
    <w:rsid w:val="0E88227C"/>
    <w:rsid w:val="0EAEB24C"/>
    <w:rsid w:val="0EC7C5F3"/>
    <w:rsid w:val="0EDABF45"/>
    <w:rsid w:val="0F01F7C7"/>
    <w:rsid w:val="0F390122"/>
    <w:rsid w:val="0F7CB818"/>
    <w:rsid w:val="0F90CAFA"/>
    <w:rsid w:val="0F94E744"/>
    <w:rsid w:val="0FA57F4F"/>
    <w:rsid w:val="0FAB3672"/>
    <w:rsid w:val="0FB86D98"/>
    <w:rsid w:val="0FCA5F0A"/>
    <w:rsid w:val="0FE56190"/>
    <w:rsid w:val="10000B62"/>
    <w:rsid w:val="102A213E"/>
    <w:rsid w:val="1050745A"/>
    <w:rsid w:val="10570BDC"/>
    <w:rsid w:val="108948CA"/>
    <w:rsid w:val="10988010"/>
    <w:rsid w:val="109CD2B7"/>
    <w:rsid w:val="10B6EABE"/>
    <w:rsid w:val="10D64CC8"/>
    <w:rsid w:val="10D748C6"/>
    <w:rsid w:val="10F5D118"/>
    <w:rsid w:val="11101A17"/>
    <w:rsid w:val="11158B9C"/>
    <w:rsid w:val="111A704B"/>
    <w:rsid w:val="11272E90"/>
    <w:rsid w:val="112B6DD1"/>
    <w:rsid w:val="11493F0F"/>
    <w:rsid w:val="11B96E52"/>
    <w:rsid w:val="11BF41E5"/>
    <w:rsid w:val="11E749C9"/>
    <w:rsid w:val="1203FEE3"/>
    <w:rsid w:val="1219E146"/>
    <w:rsid w:val="12290090"/>
    <w:rsid w:val="1236DF27"/>
    <w:rsid w:val="124BF19C"/>
    <w:rsid w:val="124F1986"/>
    <w:rsid w:val="12652BFB"/>
    <w:rsid w:val="12B9B5CB"/>
    <w:rsid w:val="12DD3FFF"/>
    <w:rsid w:val="12FFD8DC"/>
    <w:rsid w:val="13146389"/>
    <w:rsid w:val="132CB6B3"/>
    <w:rsid w:val="132EA40F"/>
    <w:rsid w:val="1334B8F7"/>
    <w:rsid w:val="133D6E29"/>
    <w:rsid w:val="13725FA7"/>
    <w:rsid w:val="137E3078"/>
    <w:rsid w:val="138089D0"/>
    <w:rsid w:val="138ADE77"/>
    <w:rsid w:val="13CD2D01"/>
    <w:rsid w:val="13D7819D"/>
    <w:rsid w:val="13EF414A"/>
    <w:rsid w:val="14092AB2"/>
    <w:rsid w:val="140D60B4"/>
    <w:rsid w:val="142B4C41"/>
    <w:rsid w:val="14464508"/>
    <w:rsid w:val="1470F0DB"/>
    <w:rsid w:val="149208C3"/>
    <w:rsid w:val="14932F3D"/>
    <w:rsid w:val="14980F57"/>
    <w:rsid w:val="14BA711B"/>
    <w:rsid w:val="14BDA71B"/>
    <w:rsid w:val="14C3EC39"/>
    <w:rsid w:val="14DAECA0"/>
    <w:rsid w:val="150A8AFF"/>
    <w:rsid w:val="15345240"/>
    <w:rsid w:val="15430152"/>
    <w:rsid w:val="154C3291"/>
    <w:rsid w:val="15525B91"/>
    <w:rsid w:val="1589F27D"/>
    <w:rsid w:val="158C0C0A"/>
    <w:rsid w:val="159F2F04"/>
    <w:rsid w:val="15A062AC"/>
    <w:rsid w:val="15B0D13C"/>
    <w:rsid w:val="15B32906"/>
    <w:rsid w:val="15B6365B"/>
    <w:rsid w:val="15B76744"/>
    <w:rsid w:val="15C14A16"/>
    <w:rsid w:val="15C828C9"/>
    <w:rsid w:val="16049BD6"/>
    <w:rsid w:val="167BA002"/>
    <w:rsid w:val="16825BF8"/>
    <w:rsid w:val="16FF4D99"/>
    <w:rsid w:val="171156CB"/>
    <w:rsid w:val="175F2EE1"/>
    <w:rsid w:val="1798014F"/>
    <w:rsid w:val="17BE3CA1"/>
    <w:rsid w:val="181B9533"/>
    <w:rsid w:val="182055DA"/>
    <w:rsid w:val="1823D639"/>
    <w:rsid w:val="182E97D8"/>
    <w:rsid w:val="185D3BC3"/>
    <w:rsid w:val="1899E27D"/>
    <w:rsid w:val="189BCB74"/>
    <w:rsid w:val="18B1D121"/>
    <w:rsid w:val="18ED4C84"/>
    <w:rsid w:val="18FB7B14"/>
    <w:rsid w:val="194A8F59"/>
    <w:rsid w:val="1953FEF5"/>
    <w:rsid w:val="195D5BC3"/>
    <w:rsid w:val="19A587A6"/>
    <w:rsid w:val="19BC786B"/>
    <w:rsid w:val="19C7B70B"/>
    <w:rsid w:val="19DF844C"/>
    <w:rsid w:val="19E57291"/>
    <w:rsid w:val="19EAEEA0"/>
    <w:rsid w:val="19F9D876"/>
    <w:rsid w:val="1A4516A8"/>
    <w:rsid w:val="1A468E0B"/>
    <w:rsid w:val="1A47ADDC"/>
    <w:rsid w:val="1A4DA700"/>
    <w:rsid w:val="1A83D2B9"/>
    <w:rsid w:val="1AD0B3C1"/>
    <w:rsid w:val="1AEDCE63"/>
    <w:rsid w:val="1AFE53B5"/>
    <w:rsid w:val="1B078391"/>
    <w:rsid w:val="1B1B4BDD"/>
    <w:rsid w:val="1B39689A"/>
    <w:rsid w:val="1B3C3AC8"/>
    <w:rsid w:val="1B4D1991"/>
    <w:rsid w:val="1B53901A"/>
    <w:rsid w:val="1B631ED3"/>
    <w:rsid w:val="1B64B4EB"/>
    <w:rsid w:val="1B7E489A"/>
    <w:rsid w:val="1B9933EB"/>
    <w:rsid w:val="1BD05E76"/>
    <w:rsid w:val="1BE3006C"/>
    <w:rsid w:val="1BE3026E"/>
    <w:rsid w:val="1BED3FF5"/>
    <w:rsid w:val="1C3DBE63"/>
    <w:rsid w:val="1C5B0091"/>
    <w:rsid w:val="1C5D7AD5"/>
    <w:rsid w:val="1C74FFDE"/>
    <w:rsid w:val="1C97802E"/>
    <w:rsid w:val="1C9ADD09"/>
    <w:rsid w:val="1CD2B9D7"/>
    <w:rsid w:val="1CE7BE0B"/>
    <w:rsid w:val="1CEB90B4"/>
    <w:rsid w:val="1D10657D"/>
    <w:rsid w:val="1D2C430B"/>
    <w:rsid w:val="1D3CD7CD"/>
    <w:rsid w:val="1D9B3DDE"/>
    <w:rsid w:val="1DB40E09"/>
    <w:rsid w:val="1DC3D83F"/>
    <w:rsid w:val="1DC66A8B"/>
    <w:rsid w:val="1DD4BE50"/>
    <w:rsid w:val="1E15FF5F"/>
    <w:rsid w:val="1E2B7A2E"/>
    <w:rsid w:val="1E3A9967"/>
    <w:rsid w:val="1E422598"/>
    <w:rsid w:val="1E69D73F"/>
    <w:rsid w:val="1E7101BC"/>
    <w:rsid w:val="1E767314"/>
    <w:rsid w:val="1EA551A2"/>
    <w:rsid w:val="1EC98EBA"/>
    <w:rsid w:val="1ED9C0CF"/>
    <w:rsid w:val="1F039CD1"/>
    <w:rsid w:val="1F1DAE02"/>
    <w:rsid w:val="1F38CEC2"/>
    <w:rsid w:val="1F640B8C"/>
    <w:rsid w:val="1F7FFA25"/>
    <w:rsid w:val="1F8386D2"/>
    <w:rsid w:val="1F88E3B8"/>
    <w:rsid w:val="1FA47979"/>
    <w:rsid w:val="1FB81731"/>
    <w:rsid w:val="1FB96702"/>
    <w:rsid w:val="1FD89863"/>
    <w:rsid w:val="1FE98FB0"/>
    <w:rsid w:val="2005ADB1"/>
    <w:rsid w:val="20077AE7"/>
    <w:rsid w:val="20108543"/>
    <w:rsid w:val="201F6F3E"/>
    <w:rsid w:val="2022FCD4"/>
    <w:rsid w:val="202896A1"/>
    <w:rsid w:val="203B98BD"/>
    <w:rsid w:val="20555E73"/>
    <w:rsid w:val="2070A22B"/>
    <w:rsid w:val="20747230"/>
    <w:rsid w:val="2079EEA1"/>
    <w:rsid w:val="20A06D55"/>
    <w:rsid w:val="20B7F113"/>
    <w:rsid w:val="20C74BE9"/>
    <w:rsid w:val="20DF66E4"/>
    <w:rsid w:val="2103E88A"/>
    <w:rsid w:val="211CFCB5"/>
    <w:rsid w:val="211D1BA9"/>
    <w:rsid w:val="21555B9A"/>
    <w:rsid w:val="2166D43D"/>
    <w:rsid w:val="217CD4A1"/>
    <w:rsid w:val="218E769F"/>
    <w:rsid w:val="21A4A693"/>
    <w:rsid w:val="21C92ABE"/>
    <w:rsid w:val="2201CB03"/>
    <w:rsid w:val="22055E4C"/>
    <w:rsid w:val="224258B5"/>
    <w:rsid w:val="2269835F"/>
    <w:rsid w:val="226A26E4"/>
    <w:rsid w:val="22A50854"/>
    <w:rsid w:val="22DEDA47"/>
    <w:rsid w:val="22DFCFBA"/>
    <w:rsid w:val="22E2230E"/>
    <w:rsid w:val="233E7E58"/>
    <w:rsid w:val="23406267"/>
    <w:rsid w:val="23408679"/>
    <w:rsid w:val="23555351"/>
    <w:rsid w:val="2372EA9B"/>
    <w:rsid w:val="2373DE6B"/>
    <w:rsid w:val="237BB84C"/>
    <w:rsid w:val="238AFBA6"/>
    <w:rsid w:val="23B955C1"/>
    <w:rsid w:val="23C95595"/>
    <w:rsid w:val="2461564A"/>
    <w:rsid w:val="24781059"/>
    <w:rsid w:val="2479269F"/>
    <w:rsid w:val="24C428D4"/>
    <w:rsid w:val="24E45F82"/>
    <w:rsid w:val="250D9430"/>
    <w:rsid w:val="251370F6"/>
    <w:rsid w:val="251CBE88"/>
    <w:rsid w:val="253BC68E"/>
    <w:rsid w:val="255C3A64"/>
    <w:rsid w:val="25A70416"/>
    <w:rsid w:val="25E99F64"/>
    <w:rsid w:val="25FC37A9"/>
    <w:rsid w:val="26072D06"/>
    <w:rsid w:val="2635A725"/>
    <w:rsid w:val="263D830C"/>
    <w:rsid w:val="2645F935"/>
    <w:rsid w:val="264DC14D"/>
    <w:rsid w:val="266E102C"/>
    <w:rsid w:val="26B959AB"/>
    <w:rsid w:val="26C0CAC6"/>
    <w:rsid w:val="26C2833D"/>
    <w:rsid w:val="26D4981F"/>
    <w:rsid w:val="26EC3649"/>
    <w:rsid w:val="271FC549"/>
    <w:rsid w:val="273E0470"/>
    <w:rsid w:val="2754F0A2"/>
    <w:rsid w:val="275C74AD"/>
    <w:rsid w:val="27602A46"/>
    <w:rsid w:val="277C6C15"/>
    <w:rsid w:val="2787B977"/>
    <w:rsid w:val="279288C0"/>
    <w:rsid w:val="2798917E"/>
    <w:rsid w:val="279FFEF4"/>
    <w:rsid w:val="27C71DDA"/>
    <w:rsid w:val="27D5A9F2"/>
    <w:rsid w:val="282380CE"/>
    <w:rsid w:val="286E87E4"/>
    <w:rsid w:val="2877CA95"/>
    <w:rsid w:val="288B12F0"/>
    <w:rsid w:val="289C5EF4"/>
    <w:rsid w:val="28B04B0E"/>
    <w:rsid w:val="28C72B82"/>
    <w:rsid w:val="28F22B8D"/>
    <w:rsid w:val="2907CA34"/>
    <w:rsid w:val="29092773"/>
    <w:rsid w:val="2916B6C3"/>
    <w:rsid w:val="2928B3B9"/>
    <w:rsid w:val="29412F4E"/>
    <w:rsid w:val="29634DF9"/>
    <w:rsid w:val="2972F4A7"/>
    <w:rsid w:val="298C737E"/>
    <w:rsid w:val="2992D80D"/>
    <w:rsid w:val="299AF483"/>
    <w:rsid w:val="29B82ABA"/>
    <w:rsid w:val="29CFA456"/>
    <w:rsid w:val="29D05FC5"/>
    <w:rsid w:val="29D2BB20"/>
    <w:rsid w:val="2A3B0ED3"/>
    <w:rsid w:val="2A76C733"/>
    <w:rsid w:val="2A8CCC41"/>
    <w:rsid w:val="2A9C0282"/>
    <w:rsid w:val="2AA31F44"/>
    <w:rsid w:val="2AAE75B3"/>
    <w:rsid w:val="2AD45D6E"/>
    <w:rsid w:val="2ADE02E9"/>
    <w:rsid w:val="2AE66FBF"/>
    <w:rsid w:val="2AFCD961"/>
    <w:rsid w:val="2B20E0AA"/>
    <w:rsid w:val="2B224ADC"/>
    <w:rsid w:val="2B457DFD"/>
    <w:rsid w:val="2B5AB70E"/>
    <w:rsid w:val="2B5E72C9"/>
    <w:rsid w:val="2B603849"/>
    <w:rsid w:val="2B72F0EB"/>
    <w:rsid w:val="2B76E0BF"/>
    <w:rsid w:val="2B7826D7"/>
    <w:rsid w:val="2B8EA51F"/>
    <w:rsid w:val="2BA5B73D"/>
    <w:rsid w:val="2BE14E63"/>
    <w:rsid w:val="2BEF9B20"/>
    <w:rsid w:val="2C110793"/>
    <w:rsid w:val="2C30C225"/>
    <w:rsid w:val="2C52F2CC"/>
    <w:rsid w:val="2C55D3F8"/>
    <w:rsid w:val="2C5D7C88"/>
    <w:rsid w:val="2C9FB48E"/>
    <w:rsid w:val="2CA3FC7C"/>
    <w:rsid w:val="2CD5DCAE"/>
    <w:rsid w:val="2CFA9370"/>
    <w:rsid w:val="2D4E9F04"/>
    <w:rsid w:val="2D6A1004"/>
    <w:rsid w:val="2D6C0345"/>
    <w:rsid w:val="2D6E6108"/>
    <w:rsid w:val="2D8062D4"/>
    <w:rsid w:val="2D8548EF"/>
    <w:rsid w:val="2D8BFB68"/>
    <w:rsid w:val="2D92BFBA"/>
    <w:rsid w:val="2D9A189F"/>
    <w:rsid w:val="2D9A22BF"/>
    <w:rsid w:val="2DA62450"/>
    <w:rsid w:val="2DAB4DD4"/>
    <w:rsid w:val="2DB4A321"/>
    <w:rsid w:val="2DC339C4"/>
    <w:rsid w:val="2DC599CA"/>
    <w:rsid w:val="2DD06082"/>
    <w:rsid w:val="2DD6263D"/>
    <w:rsid w:val="2DF3C9A4"/>
    <w:rsid w:val="2E2A903D"/>
    <w:rsid w:val="2E4E97FC"/>
    <w:rsid w:val="2E5011E4"/>
    <w:rsid w:val="2E8E57E3"/>
    <w:rsid w:val="2EC63290"/>
    <w:rsid w:val="2ECD38D9"/>
    <w:rsid w:val="2EF22003"/>
    <w:rsid w:val="2F24EA6F"/>
    <w:rsid w:val="2F54A884"/>
    <w:rsid w:val="2F6B9896"/>
    <w:rsid w:val="2FAA3B7E"/>
    <w:rsid w:val="2FDAB3C0"/>
    <w:rsid w:val="2FDC7D11"/>
    <w:rsid w:val="3017C4D6"/>
    <w:rsid w:val="3032DB59"/>
    <w:rsid w:val="3048CF78"/>
    <w:rsid w:val="306172F9"/>
    <w:rsid w:val="307077E1"/>
    <w:rsid w:val="3070E264"/>
    <w:rsid w:val="308FAD76"/>
    <w:rsid w:val="3090D8C9"/>
    <w:rsid w:val="309B86A9"/>
    <w:rsid w:val="30A21286"/>
    <w:rsid w:val="30A2F3A1"/>
    <w:rsid w:val="30A6C72B"/>
    <w:rsid w:val="30DBC175"/>
    <w:rsid w:val="30F6051A"/>
    <w:rsid w:val="312CF767"/>
    <w:rsid w:val="31360FF9"/>
    <w:rsid w:val="317AB900"/>
    <w:rsid w:val="31807825"/>
    <w:rsid w:val="31CC4E58"/>
    <w:rsid w:val="3204D63D"/>
    <w:rsid w:val="320A9264"/>
    <w:rsid w:val="320EE65E"/>
    <w:rsid w:val="324BE7B6"/>
    <w:rsid w:val="326B3B1F"/>
    <w:rsid w:val="326D8A0D"/>
    <w:rsid w:val="326EC100"/>
    <w:rsid w:val="328102DE"/>
    <w:rsid w:val="328E99BB"/>
    <w:rsid w:val="329123BF"/>
    <w:rsid w:val="32A33B04"/>
    <w:rsid w:val="32BD3C78"/>
    <w:rsid w:val="32C7D3CD"/>
    <w:rsid w:val="32C80ABF"/>
    <w:rsid w:val="32D61792"/>
    <w:rsid w:val="32FA3AB2"/>
    <w:rsid w:val="3310BCAC"/>
    <w:rsid w:val="335874BD"/>
    <w:rsid w:val="33926DBB"/>
    <w:rsid w:val="339C7944"/>
    <w:rsid w:val="339C9C9E"/>
    <w:rsid w:val="33A71A93"/>
    <w:rsid w:val="33C12AEA"/>
    <w:rsid w:val="33D199B5"/>
    <w:rsid w:val="33D1C75B"/>
    <w:rsid w:val="33D394C0"/>
    <w:rsid w:val="3433DECA"/>
    <w:rsid w:val="345584EF"/>
    <w:rsid w:val="347F135D"/>
    <w:rsid w:val="34B314A1"/>
    <w:rsid w:val="34D6D688"/>
    <w:rsid w:val="34F00ABB"/>
    <w:rsid w:val="35291F17"/>
    <w:rsid w:val="3538A5F5"/>
    <w:rsid w:val="3588FD95"/>
    <w:rsid w:val="35E00A7D"/>
    <w:rsid w:val="35E3E1AC"/>
    <w:rsid w:val="35F70F2C"/>
    <w:rsid w:val="35FB38B2"/>
    <w:rsid w:val="360818BC"/>
    <w:rsid w:val="3612A024"/>
    <w:rsid w:val="3643F165"/>
    <w:rsid w:val="3670830F"/>
    <w:rsid w:val="36899300"/>
    <w:rsid w:val="36BF33DF"/>
    <w:rsid w:val="36D4E61E"/>
    <w:rsid w:val="36E8CE0B"/>
    <w:rsid w:val="36EBB46F"/>
    <w:rsid w:val="3717D6BE"/>
    <w:rsid w:val="37252C38"/>
    <w:rsid w:val="372B88A8"/>
    <w:rsid w:val="37409D48"/>
    <w:rsid w:val="3755C51C"/>
    <w:rsid w:val="3786E232"/>
    <w:rsid w:val="378F33F9"/>
    <w:rsid w:val="37B721E4"/>
    <w:rsid w:val="37DED502"/>
    <w:rsid w:val="37DF3576"/>
    <w:rsid w:val="37E79740"/>
    <w:rsid w:val="37E9AD77"/>
    <w:rsid w:val="38371F08"/>
    <w:rsid w:val="385480A2"/>
    <w:rsid w:val="386B3E12"/>
    <w:rsid w:val="387DB9BA"/>
    <w:rsid w:val="3884FEB2"/>
    <w:rsid w:val="3885F4AE"/>
    <w:rsid w:val="38E168F2"/>
    <w:rsid w:val="390E246E"/>
    <w:rsid w:val="39119573"/>
    <w:rsid w:val="39212272"/>
    <w:rsid w:val="39372261"/>
    <w:rsid w:val="394E70E5"/>
    <w:rsid w:val="398D051C"/>
    <w:rsid w:val="39A27D61"/>
    <w:rsid w:val="39A28AE3"/>
    <w:rsid w:val="39CA4770"/>
    <w:rsid w:val="3A012F4C"/>
    <w:rsid w:val="3ABE43D6"/>
    <w:rsid w:val="3ACD236F"/>
    <w:rsid w:val="3AD6F154"/>
    <w:rsid w:val="3B2229A3"/>
    <w:rsid w:val="3B31DD0C"/>
    <w:rsid w:val="3B474728"/>
    <w:rsid w:val="3B4F98D0"/>
    <w:rsid w:val="3B661D34"/>
    <w:rsid w:val="3B8EDF6E"/>
    <w:rsid w:val="3B926455"/>
    <w:rsid w:val="3BA828EF"/>
    <w:rsid w:val="3BBE6CF8"/>
    <w:rsid w:val="3BE19A8F"/>
    <w:rsid w:val="3BEA8551"/>
    <w:rsid w:val="3C4C5164"/>
    <w:rsid w:val="3C6A538E"/>
    <w:rsid w:val="3C6AC411"/>
    <w:rsid w:val="3C6C2947"/>
    <w:rsid w:val="3C814FF2"/>
    <w:rsid w:val="3CE790E9"/>
    <w:rsid w:val="3D085943"/>
    <w:rsid w:val="3D0B4A00"/>
    <w:rsid w:val="3D263C8D"/>
    <w:rsid w:val="3D2CA856"/>
    <w:rsid w:val="3D35A801"/>
    <w:rsid w:val="3D4E502C"/>
    <w:rsid w:val="3D91B34B"/>
    <w:rsid w:val="3D9D5527"/>
    <w:rsid w:val="3DB47DDB"/>
    <w:rsid w:val="3E02D314"/>
    <w:rsid w:val="3E0B16A2"/>
    <w:rsid w:val="3E0BE40C"/>
    <w:rsid w:val="3E11FDAD"/>
    <w:rsid w:val="3E4CEC4A"/>
    <w:rsid w:val="3E8A5ACA"/>
    <w:rsid w:val="3E9E493B"/>
    <w:rsid w:val="3EA747CB"/>
    <w:rsid w:val="3EBEDAF7"/>
    <w:rsid w:val="3EE3D517"/>
    <w:rsid w:val="3EE4CDD4"/>
    <w:rsid w:val="3EEF8E3F"/>
    <w:rsid w:val="3EFB3EB3"/>
    <w:rsid w:val="3F11FDDB"/>
    <w:rsid w:val="3F17DC85"/>
    <w:rsid w:val="3F21F09C"/>
    <w:rsid w:val="3F30FFE8"/>
    <w:rsid w:val="3F5AA411"/>
    <w:rsid w:val="3F7165EA"/>
    <w:rsid w:val="3FD1D2F9"/>
    <w:rsid w:val="3FDA1864"/>
    <w:rsid w:val="3FDCD9C4"/>
    <w:rsid w:val="401A282D"/>
    <w:rsid w:val="4058225C"/>
    <w:rsid w:val="406157F7"/>
    <w:rsid w:val="406621F9"/>
    <w:rsid w:val="407339B2"/>
    <w:rsid w:val="40BC783C"/>
    <w:rsid w:val="40CBEB22"/>
    <w:rsid w:val="40ECFE59"/>
    <w:rsid w:val="410EAAA5"/>
    <w:rsid w:val="4119E6ED"/>
    <w:rsid w:val="412A5178"/>
    <w:rsid w:val="4134E217"/>
    <w:rsid w:val="4145D00C"/>
    <w:rsid w:val="414CB821"/>
    <w:rsid w:val="41722867"/>
    <w:rsid w:val="419B602B"/>
    <w:rsid w:val="41C1662F"/>
    <w:rsid w:val="41F0A75E"/>
    <w:rsid w:val="42112B82"/>
    <w:rsid w:val="422505ED"/>
    <w:rsid w:val="42253825"/>
    <w:rsid w:val="424EC33D"/>
    <w:rsid w:val="426F0EB1"/>
    <w:rsid w:val="4291BE23"/>
    <w:rsid w:val="42B63F63"/>
    <w:rsid w:val="42B92DF2"/>
    <w:rsid w:val="42B99B7F"/>
    <w:rsid w:val="42BC2F8B"/>
    <w:rsid w:val="42E56D5A"/>
    <w:rsid w:val="4306730D"/>
    <w:rsid w:val="43153EA7"/>
    <w:rsid w:val="431C5585"/>
    <w:rsid w:val="432346BF"/>
    <w:rsid w:val="432BB700"/>
    <w:rsid w:val="4330BD94"/>
    <w:rsid w:val="433C1DE8"/>
    <w:rsid w:val="434222B2"/>
    <w:rsid w:val="43498970"/>
    <w:rsid w:val="4367CFE1"/>
    <w:rsid w:val="436D6D15"/>
    <w:rsid w:val="4391A56F"/>
    <w:rsid w:val="43A72542"/>
    <w:rsid w:val="43ABC073"/>
    <w:rsid w:val="43C3F529"/>
    <w:rsid w:val="43D317E9"/>
    <w:rsid w:val="43E8FA45"/>
    <w:rsid w:val="441CC78A"/>
    <w:rsid w:val="443D0FB4"/>
    <w:rsid w:val="4452CB82"/>
    <w:rsid w:val="4477073D"/>
    <w:rsid w:val="44793CE6"/>
    <w:rsid w:val="448376EF"/>
    <w:rsid w:val="448AAC78"/>
    <w:rsid w:val="448F4158"/>
    <w:rsid w:val="44B3C4C6"/>
    <w:rsid w:val="44BC3297"/>
    <w:rsid w:val="44BFC1FF"/>
    <w:rsid w:val="44C84353"/>
    <w:rsid w:val="44E8823A"/>
    <w:rsid w:val="44F66B6C"/>
    <w:rsid w:val="4505F55B"/>
    <w:rsid w:val="4524949E"/>
    <w:rsid w:val="452FD079"/>
    <w:rsid w:val="456116D9"/>
    <w:rsid w:val="45925A0C"/>
    <w:rsid w:val="45A7B50F"/>
    <w:rsid w:val="45AD3D66"/>
    <w:rsid w:val="45BC8B9F"/>
    <w:rsid w:val="45D40D32"/>
    <w:rsid w:val="45E53478"/>
    <w:rsid w:val="4612544C"/>
    <w:rsid w:val="4630ED32"/>
    <w:rsid w:val="463EB083"/>
    <w:rsid w:val="46594838"/>
    <w:rsid w:val="46598CFB"/>
    <w:rsid w:val="4685CC28"/>
    <w:rsid w:val="468ACB1A"/>
    <w:rsid w:val="46A76E81"/>
    <w:rsid w:val="46ACF6DC"/>
    <w:rsid w:val="46BD7770"/>
    <w:rsid w:val="46D6CBD1"/>
    <w:rsid w:val="46D9E520"/>
    <w:rsid w:val="46E1A4DD"/>
    <w:rsid w:val="46F8095C"/>
    <w:rsid w:val="46F89C03"/>
    <w:rsid w:val="4707B102"/>
    <w:rsid w:val="4708E492"/>
    <w:rsid w:val="471A3326"/>
    <w:rsid w:val="47228529"/>
    <w:rsid w:val="473E8EBF"/>
    <w:rsid w:val="474A6B7A"/>
    <w:rsid w:val="47560631"/>
    <w:rsid w:val="479F82E5"/>
    <w:rsid w:val="47A34667"/>
    <w:rsid w:val="47AE29B8"/>
    <w:rsid w:val="47B00D09"/>
    <w:rsid w:val="47CB662B"/>
    <w:rsid w:val="47D62C8C"/>
    <w:rsid w:val="47E2E937"/>
    <w:rsid w:val="47EFC6E4"/>
    <w:rsid w:val="480C6878"/>
    <w:rsid w:val="4820FB7C"/>
    <w:rsid w:val="4825731E"/>
    <w:rsid w:val="4835A1E7"/>
    <w:rsid w:val="486ADD64"/>
    <w:rsid w:val="490AF853"/>
    <w:rsid w:val="49249A57"/>
    <w:rsid w:val="49316887"/>
    <w:rsid w:val="494649FC"/>
    <w:rsid w:val="49587C24"/>
    <w:rsid w:val="499AE7DC"/>
    <w:rsid w:val="49A00050"/>
    <w:rsid w:val="49C4589F"/>
    <w:rsid w:val="49CA2AF5"/>
    <w:rsid w:val="49CB7300"/>
    <w:rsid w:val="49DA24C4"/>
    <w:rsid w:val="49FED618"/>
    <w:rsid w:val="4A267539"/>
    <w:rsid w:val="4A2E9BD6"/>
    <w:rsid w:val="4A3BDD87"/>
    <w:rsid w:val="4A538E29"/>
    <w:rsid w:val="4A63500D"/>
    <w:rsid w:val="4A83DEA9"/>
    <w:rsid w:val="4A850F13"/>
    <w:rsid w:val="4AB65561"/>
    <w:rsid w:val="4AC0AADA"/>
    <w:rsid w:val="4AC6EA86"/>
    <w:rsid w:val="4ACCA97D"/>
    <w:rsid w:val="4AD4F5DC"/>
    <w:rsid w:val="4ADECB41"/>
    <w:rsid w:val="4B0CF363"/>
    <w:rsid w:val="4B33549B"/>
    <w:rsid w:val="4B407E78"/>
    <w:rsid w:val="4B4A11F7"/>
    <w:rsid w:val="4B5D54E3"/>
    <w:rsid w:val="4B74D434"/>
    <w:rsid w:val="4B8EF7B2"/>
    <w:rsid w:val="4BB96422"/>
    <w:rsid w:val="4BCB36A0"/>
    <w:rsid w:val="4BD17BF9"/>
    <w:rsid w:val="4C0D43AF"/>
    <w:rsid w:val="4C3A8DFB"/>
    <w:rsid w:val="4C4C65D8"/>
    <w:rsid w:val="4C643A61"/>
    <w:rsid w:val="4C81BFCB"/>
    <w:rsid w:val="4C8255A5"/>
    <w:rsid w:val="4C9213A5"/>
    <w:rsid w:val="4CB50C42"/>
    <w:rsid w:val="4CBA37E3"/>
    <w:rsid w:val="4CF03065"/>
    <w:rsid w:val="4D238BBF"/>
    <w:rsid w:val="4D6D75FE"/>
    <w:rsid w:val="4D71AC10"/>
    <w:rsid w:val="4DD365D5"/>
    <w:rsid w:val="4DE89A0E"/>
    <w:rsid w:val="4DF1CB56"/>
    <w:rsid w:val="4DF420D8"/>
    <w:rsid w:val="4DF762CF"/>
    <w:rsid w:val="4E1182B0"/>
    <w:rsid w:val="4E2771A1"/>
    <w:rsid w:val="4E2F0B0E"/>
    <w:rsid w:val="4E482803"/>
    <w:rsid w:val="4E48ED2D"/>
    <w:rsid w:val="4E49201B"/>
    <w:rsid w:val="4E4B20FD"/>
    <w:rsid w:val="4E59C8F7"/>
    <w:rsid w:val="4E6E9A3D"/>
    <w:rsid w:val="4E871576"/>
    <w:rsid w:val="4ED143F0"/>
    <w:rsid w:val="4ED2F3A9"/>
    <w:rsid w:val="4ED35BBB"/>
    <w:rsid w:val="4F2D335F"/>
    <w:rsid w:val="4F309625"/>
    <w:rsid w:val="4F3189D0"/>
    <w:rsid w:val="4F35EAD1"/>
    <w:rsid w:val="4F538138"/>
    <w:rsid w:val="4F624933"/>
    <w:rsid w:val="4F87B194"/>
    <w:rsid w:val="4F89BBB6"/>
    <w:rsid w:val="4FAEA6FA"/>
    <w:rsid w:val="4FBB4315"/>
    <w:rsid w:val="4FC82568"/>
    <w:rsid w:val="4FCA7737"/>
    <w:rsid w:val="4FE49003"/>
    <w:rsid w:val="4FF65284"/>
    <w:rsid w:val="4FFC1CEE"/>
    <w:rsid w:val="50018321"/>
    <w:rsid w:val="50151B9D"/>
    <w:rsid w:val="501A49D2"/>
    <w:rsid w:val="5040BA65"/>
    <w:rsid w:val="5042C2D7"/>
    <w:rsid w:val="50651C28"/>
    <w:rsid w:val="50A9A5CB"/>
    <w:rsid w:val="510032B0"/>
    <w:rsid w:val="51725107"/>
    <w:rsid w:val="5178D01B"/>
    <w:rsid w:val="519CB53B"/>
    <w:rsid w:val="51AF9DDC"/>
    <w:rsid w:val="51BDBEEA"/>
    <w:rsid w:val="51DB1BDD"/>
    <w:rsid w:val="51E3BD62"/>
    <w:rsid w:val="51EAD981"/>
    <w:rsid w:val="51FFE916"/>
    <w:rsid w:val="5215BB93"/>
    <w:rsid w:val="522478CE"/>
    <w:rsid w:val="5242468F"/>
    <w:rsid w:val="52518688"/>
    <w:rsid w:val="52632404"/>
    <w:rsid w:val="528A8F95"/>
    <w:rsid w:val="52C4BC00"/>
    <w:rsid w:val="52DC0A30"/>
    <w:rsid w:val="52E1DD54"/>
    <w:rsid w:val="53079D4E"/>
    <w:rsid w:val="53295D47"/>
    <w:rsid w:val="532A924F"/>
    <w:rsid w:val="5335E5B9"/>
    <w:rsid w:val="5349DFD2"/>
    <w:rsid w:val="537D608F"/>
    <w:rsid w:val="53877D1F"/>
    <w:rsid w:val="5389606F"/>
    <w:rsid w:val="53A662E1"/>
    <w:rsid w:val="53BDD611"/>
    <w:rsid w:val="53C785E1"/>
    <w:rsid w:val="53C928B7"/>
    <w:rsid w:val="53D787E0"/>
    <w:rsid w:val="53E007ED"/>
    <w:rsid w:val="53E34B83"/>
    <w:rsid w:val="53EC42CD"/>
    <w:rsid w:val="54046C41"/>
    <w:rsid w:val="540E0589"/>
    <w:rsid w:val="542AC687"/>
    <w:rsid w:val="5452C137"/>
    <w:rsid w:val="54538A48"/>
    <w:rsid w:val="5481F5F4"/>
    <w:rsid w:val="54897EA1"/>
    <w:rsid w:val="549F216C"/>
    <w:rsid w:val="54BCED8E"/>
    <w:rsid w:val="54BE32A5"/>
    <w:rsid w:val="54C4E483"/>
    <w:rsid w:val="551728AB"/>
    <w:rsid w:val="5523B7EC"/>
    <w:rsid w:val="55437689"/>
    <w:rsid w:val="554DADF0"/>
    <w:rsid w:val="558A862C"/>
    <w:rsid w:val="55930311"/>
    <w:rsid w:val="559A1D47"/>
    <w:rsid w:val="55E25BB7"/>
    <w:rsid w:val="55EC8F44"/>
    <w:rsid w:val="55EE64C6"/>
    <w:rsid w:val="55F4A143"/>
    <w:rsid w:val="561EC5AF"/>
    <w:rsid w:val="56207F46"/>
    <w:rsid w:val="562867E1"/>
    <w:rsid w:val="56598F44"/>
    <w:rsid w:val="567A6A9E"/>
    <w:rsid w:val="56B6CDB0"/>
    <w:rsid w:val="56BB21ED"/>
    <w:rsid w:val="56DF6A51"/>
    <w:rsid w:val="5701E8FB"/>
    <w:rsid w:val="5735394F"/>
    <w:rsid w:val="57621778"/>
    <w:rsid w:val="57944844"/>
    <w:rsid w:val="579878B6"/>
    <w:rsid w:val="579A2040"/>
    <w:rsid w:val="57A1FC4C"/>
    <w:rsid w:val="57A9A76C"/>
    <w:rsid w:val="57ED2843"/>
    <w:rsid w:val="57F03B3D"/>
    <w:rsid w:val="57F8FD9E"/>
    <w:rsid w:val="5814A52A"/>
    <w:rsid w:val="586028D2"/>
    <w:rsid w:val="586E32CE"/>
    <w:rsid w:val="587007A2"/>
    <w:rsid w:val="58787034"/>
    <w:rsid w:val="587992E6"/>
    <w:rsid w:val="588AB511"/>
    <w:rsid w:val="588DC173"/>
    <w:rsid w:val="58B04241"/>
    <w:rsid w:val="58BE90D9"/>
    <w:rsid w:val="58E1A03F"/>
    <w:rsid w:val="58E34F73"/>
    <w:rsid w:val="58FAB69B"/>
    <w:rsid w:val="590B6BD1"/>
    <w:rsid w:val="59142A63"/>
    <w:rsid w:val="5926B7F9"/>
    <w:rsid w:val="5939CDA0"/>
    <w:rsid w:val="5951388E"/>
    <w:rsid w:val="595398B4"/>
    <w:rsid w:val="5964A8B6"/>
    <w:rsid w:val="59883567"/>
    <w:rsid w:val="59989730"/>
    <w:rsid w:val="599FA74A"/>
    <w:rsid w:val="59B14AF4"/>
    <w:rsid w:val="59C3FD28"/>
    <w:rsid w:val="59D72BB9"/>
    <w:rsid w:val="59DD2622"/>
    <w:rsid w:val="59E90701"/>
    <w:rsid w:val="59EA633C"/>
    <w:rsid w:val="5A0419AC"/>
    <w:rsid w:val="5A2BED00"/>
    <w:rsid w:val="5A3682FC"/>
    <w:rsid w:val="5A46BB92"/>
    <w:rsid w:val="5A4F0E8E"/>
    <w:rsid w:val="5A7D3B63"/>
    <w:rsid w:val="5A91214C"/>
    <w:rsid w:val="5AB9780F"/>
    <w:rsid w:val="5B3CD2F6"/>
    <w:rsid w:val="5B559476"/>
    <w:rsid w:val="5B777AF4"/>
    <w:rsid w:val="5B909EC0"/>
    <w:rsid w:val="5BA39687"/>
    <w:rsid w:val="5BA521EC"/>
    <w:rsid w:val="5BB84E48"/>
    <w:rsid w:val="5BE273DB"/>
    <w:rsid w:val="5BFCB551"/>
    <w:rsid w:val="5BFDDB39"/>
    <w:rsid w:val="5C36270F"/>
    <w:rsid w:val="5C36F80C"/>
    <w:rsid w:val="5C769E1E"/>
    <w:rsid w:val="5C8B159C"/>
    <w:rsid w:val="5CA62E44"/>
    <w:rsid w:val="5CAA9142"/>
    <w:rsid w:val="5CB0FAD6"/>
    <w:rsid w:val="5CB8B91C"/>
    <w:rsid w:val="5CEC3010"/>
    <w:rsid w:val="5D13DF13"/>
    <w:rsid w:val="5D16A088"/>
    <w:rsid w:val="5D4223DE"/>
    <w:rsid w:val="5D57E10B"/>
    <w:rsid w:val="5D596D55"/>
    <w:rsid w:val="5D6FB716"/>
    <w:rsid w:val="5D92DDE9"/>
    <w:rsid w:val="5D96A791"/>
    <w:rsid w:val="5D9EF797"/>
    <w:rsid w:val="5E1016FD"/>
    <w:rsid w:val="5E20D2D8"/>
    <w:rsid w:val="5E2215B2"/>
    <w:rsid w:val="5E25937E"/>
    <w:rsid w:val="5E29AEF2"/>
    <w:rsid w:val="5E574DDD"/>
    <w:rsid w:val="5EAFB92B"/>
    <w:rsid w:val="5EB2F07D"/>
    <w:rsid w:val="5F1C93ED"/>
    <w:rsid w:val="5F22451C"/>
    <w:rsid w:val="5F371D25"/>
    <w:rsid w:val="5F8436F3"/>
    <w:rsid w:val="5F9788C8"/>
    <w:rsid w:val="5F9D47C1"/>
    <w:rsid w:val="5F9E3C8E"/>
    <w:rsid w:val="5FA0FD0A"/>
    <w:rsid w:val="5FB9B0AE"/>
    <w:rsid w:val="5FC93159"/>
    <w:rsid w:val="5FD3AFE4"/>
    <w:rsid w:val="5FD42434"/>
    <w:rsid w:val="6023744D"/>
    <w:rsid w:val="6027EABC"/>
    <w:rsid w:val="602F346E"/>
    <w:rsid w:val="60303B1A"/>
    <w:rsid w:val="603EB632"/>
    <w:rsid w:val="603EC97A"/>
    <w:rsid w:val="603F069C"/>
    <w:rsid w:val="60461D65"/>
    <w:rsid w:val="6050FB9F"/>
    <w:rsid w:val="605B70E0"/>
    <w:rsid w:val="6071B564"/>
    <w:rsid w:val="6086A601"/>
    <w:rsid w:val="609D0D96"/>
    <w:rsid w:val="60E2D5AC"/>
    <w:rsid w:val="60ED17B6"/>
    <w:rsid w:val="6116554F"/>
    <w:rsid w:val="6146D232"/>
    <w:rsid w:val="616D3EEA"/>
    <w:rsid w:val="6173C856"/>
    <w:rsid w:val="617BB712"/>
    <w:rsid w:val="617DB8D2"/>
    <w:rsid w:val="618CA9C4"/>
    <w:rsid w:val="6193B03F"/>
    <w:rsid w:val="61A7AF93"/>
    <w:rsid w:val="61BDB4A9"/>
    <w:rsid w:val="61E45F09"/>
    <w:rsid w:val="61E8753B"/>
    <w:rsid w:val="620E0174"/>
    <w:rsid w:val="621A321F"/>
    <w:rsid w:val="6223D460"/>
    <w:rsid w:val="622A4D6C"/>
    <w:rsid w:val="6290484B"/>
    <w:rsid w:val="62BE1E94"/>
    <w:rsid w:val="62E2541B"/>
    <w:rsid w:val="62FC0B71"/>
    <w:rsid w:val="63050B4E"/>
    <w:rsid w:val="6323A6E1"/>
    <w:rsid w:val="632B6893"/>
    <w:rsid w:val="637893C0"/>
    <w:rsid w:val="63863655"/>
    <w:rsid w:val="63B5AEE6"/>
    <w:rsid w:val="63D2B709"/>
    <w:rsid w:val="63EA45EF"/>
    <w:rsid w:val="63F5F69F"/>
    <w:rsid w:val="6423B398"/>
    <w:rsid w:val="642A7607"/>
    <w:rsid w:val="645AAEA5"/>
    <w:rsid w:val="648294AD"/>
    <w:rsid w:val="648423CD"/>
    <w:rsid w:val="6484FAE8"/>
    <w:rsid w:val="64895FA8"/>
    <w:rsid w:val="64955748"/>
    <w:rsid w:val="64B714C1"/>
    <w:rsid w:val="64C795F1"/>
    <w:rsid w:val="64E54DFA"/>
    <w:rsid w:val="64EAF836"/>
    <w:rsid w:val="64F8AA43"/>
    <w:rsid w:val="65023371"/>
    <w:rsid w:val="6511B8CB"/>
    <w:rsid w:val="6528E512"/>
    <w:rsid w:val="6529269B"/>
    <w:rsid w:val="656C692B"/>
    <w:rsid w:val="65BC30F9"/>
    <w:rsid w:val="65EEAAF2"/>
    <w:rsid w:val="66055213"/>
    <w:rsid w:val="6607433E"/>
    <w:rsid w:val="66139629"/>
    <w:rsid w:val="6634482A"/>
    <w:rsid w:val="6644C371"/>
    <w:rsid w:val="664D10C3"/>
    <w:rsid w:val="664DE79D"/>
    <w:rsid w:val="66596593"/>
    <w:rsid w:val="66951D02"/>
    <w:rsid w:val="66B016A2"/>
    <w:rsid w:val="66C920FC"/>
    <w:rsid w:val="66F5954C"/>
    <w:rsid w:val="6721D6A0"/>
    <w:rsid w:val="6760D64B"/>
    <w:rsid w:val="6761D300"/>
    <w:rsid w:val="677C274C"/>
    <w:rsid w:val="679AAF8B"/>
    <w:rsid w:val="67E03FD7"/>
    <w:rsid w:val="67FDE79E"/>
    <w:rsid w:val="67FFC4AD"/>
    <w:rsid w:val="68030D0B"/>
    <w:rsid w:val="680D246D"/>
    <w:rsid w:val="6816779F"/>
    <w:rsid w:val="681738CF"/>
    <w:rsid w:val="6827B00E"/>
    <w:rsid w:val="682BE23A"/>
    <w:rsid w:val="6847206D"/>
    <w:rsid w:val="685A1D23"/>
    <w:rsid w:val="68737418"/>
    <w:rsid w:val="687B8821"/>
    <w:rsid w:val="68A4E573"/>
    <w:rsid w:val="68C2952F"/>
    <w:rsid w:val="68F15F37"/>
    <w:rsid w:val="68FAC882"/>
    <w:rsid w:val="691C33D1"/>
    <w:rsid w:val="69660924"/>
    <w:rsid w:val="69A4EF07"/>
    <w:rsid w:val="69C89E87"/>
    <w:rsid w:val="69C95277"/>
    <w:rsid w:val="69E0C334"/>
    <w:rsid w:val="69E0DF15"/>
    <w:rsid w:val="6A016614"/>
    <w:rsid w:val="6A19FFF7"/>
    <w:rsid w:val="6A27D6F2"/>
    <w:rsid w:val="6A280D32"/>
    <w:rsid w:val="6A2CC47F"/>
    <w:rsid w:val="6A352CEF"/>
    <w:rsid w:val="6A55FAF2"/>
    <w:rsid w:val="6A773536"/>
    <w:rsid w:val="6A856163"/>
    <w:rsid w:val="6AB3CE18"/>
    <w:rsid w:val="6AB8386F"/>
    <w:rsid w:val="6AC90CC6"/>
    <w:rsid w:val="6AECAF03"/>
    <w:rsid w:val="6AFA5EA3"/>
    <w:rsid w:val="6B1BEF79"/>
    <w:rsid w:val="6B253F0E"/>
    <w:rsid w:val="6B390398"/>
    <w:rsid w:val="6B413ECC"/>
    <w:rsid w:val="6B456983"/>
    <w:rsid w:val="6B63389A"/>
    <w:rsid w:val="6B697603"/>
    <w:rsid w:val="6B85FD3A"/>
    <w:rsid w:val="6BE03DA8"/>
    <w:rsid w:val="6C0ADE60"/>
    <w:rsid w:val="6C0FCB96"/>
    <w:rsid w:val="6C1CE81A"/>
    <w:rsid w:val="6C29C3D1"/>
    <w:rsid w:val="6C454AE1"/>
    <w:rsid w:val="6C45F52E"/>
    <w:rsid w:val="6C5597C2"/>
    <w:rsid w:val="6CA90F0E"/>
    <w:rsid w:val="6CC6D21F"/>
    <w:rsid w:val="6CE4E3E9"/>
    <w:rsid w:val="6CE4F372"/>
    <w:rsid w:val="6CEA1454"/>
    <w:rsid w:val="6CF4D849"/>
    <w:rsid w:val="6CF946A2"/>
    <w:rsid w:val="6D072E2C"/>
    <w:rsid w:val="6D192A94"/>
    <w:rsid w:val="6D30792B"/>
    <w:rsid w:val="6D3B0569"/>
    <w:rsid w:val="6D6A9DF3"/>
    <w:rsid w:val="6D6DC51A"/>
    <w:rsid w:val="6D752191"/>
    <w:rsid w:val="6D8DDE31"/>
    <w:rsid w:val="6D91FBEE"/>
    <w:rsid w:val="6DA30322"/>
    <w:rsid w:val="6DAEBF89"/>
    <w:rsid w:val="6DB694B2"/>
    <w:rsid w:val="6DBB6CD3"/>
    <w:rsid w:val="6DD0AA1D"/>
    <w:rsid w:val="6DD45A8F"/>
    <w:rsid w:val="6DDF2038"/>
    <w:rsid w:val="6DF2BCF7"/>
    <w:rsid w:val="6E1BC020"/>
    <w:rsid w:val="6E2D6BC4"/>
    <w:rsid w:val="6E33703C"/>
    <w:rsid w:val="6E3BC6D2"/>
    <w:rsid w:val="6E66F4D7"/>
    <w:rsid w:val="6E7E75BD"/>
    <w:rsid w:val="6EA1A048"/>
    <w:rsid w:val="6EDB8A8B"/>
    <w:rsid w:val="6EEAE38E"/>
    <w:rsid w:val="6EEC0F4F"/>
    <w:rsid w:val="6F1598F7"/>
    <w:rsid w:val="6F1CD41C"/>
    <w:rsid w:val="6F8F3EB5"/>
    <w:rsid w:val="6FA2DCB4"/>
    <w:rsid w:val="6FA39165"/>
    <w:rsid w:val="6FADF157"/>
    <w:rsid w:val="6FDFC84A"/>
    <w:rsid w:val="6FF743A5"/>
    <w:rsid w:val="7036A1EF"/>
    <w:rsid w:val="7044085D"/>
    <w:rsid w:val="705BFFAF"/>
    <w:rsid w:val="7068055F"/>
    <w:rsid w:val="706B26B9"/>
    <w:rsid w:val="70C2EE39"/>
    <w:rsid w:val="70CD0BAC"/>
    <w:rsid w:val="70E90A43"/>
    <w:rsid w:val="70EF1F89"/>
    <w:rsid w:val="70F1352B"/>
    <w:rsid w:val="70F68BEB"/>
    <w:rsid w:val="70FB0DFD"/>
    <w:rsid w:val="7122BD91"/>
    <w:rsid w:val="71638F60"/>
    <w:rsid w:val="7168CDD4"/>
    <w:rsid w:val="716E2F39"/>
    <w:rsid w:val="7181CCA2"/>
    <w:rsid w:val="7189D008"/>
    <w:rsid w:val="7191DD76"/>
    <w:rsid w:val="71A4FE88"/>
    <w:rsid w:val="71B348F0"/>
    <w:rsid w:val="71C2B302"/>
    <w:rsid w:val="71CCD87E"/>
    <w:rsid w:val="71CF40C8"/>
    <w:rsid w:val="71E3D731"/>
    <w:rsid w:val="71FD45CC"/>
    <w:rsid w:val="7212AA8F"/>
    <w:rsid w:val="721F18AA"/>
    <w:rsid w:val="72382FC9"/>
    <w:rsid w:val="725001F4"/>
    <w:rsid w:val="725B43B1"/>
    <w:rsid w:val="7274E9D5"/>
    <w:rsid w:val="72BEE89C"/>
    <w:rsid w:val="72C78CC1"/>
    <w:rsid w:val="730F1B60"/>
    <w:rsid w:val="7337CC40"/>
    <w:rsid w:val="735A9043"/>
    <w:rsid w:val="739D9CA9"/>
    <w:rsid w:val="73C12710"/>
    <w:rsid w:val="73EC18EE"/>
    <w:rsid w:val="73F584F5"/>
    <w:rsid w:val="74030B7E"/>
    <w:rsid w:val="7412F382"/>
    <w:rsid w:val="74149DB7"/>
    <w:rsid w:val="742B4D96"/>
    <w:rsid w:val="743514ED"/>
    <w:rsid w:val="7437EC63"/>
    <w:rsid w:val="743E72C7"/>
    <w:rsid w:val="74F258F1"/>
    <w:rsid w:val="7501A7EF"/>
    <w:rsid w:val="7518AA74"/>
    <w:rsid w:val="7524B878"/>
    <w:rsid w:val="754D50AC"/>
    <w:rsid w:val="757C685C"/>
    <w:rsid w:val="75846D6F"/>
    <w:rsid w:val="758D55B8"/>
    <w:rsid w:val="75A0955C"/>
    <w:rsid w:val="75E52436"/>
    <w:rsid w:val="75EB9BBA"/>
    <w:rsid w:val="76300542"/>
    <w:rsid w:val="76419A3A"/>
    <w:rsid w:val="76580A2F"/>
    <w:rsid w:val="765A3875"/>
    <w:rsid w:val="766CCF50"/>
    <w:rsid w:val="7677CCA0"/>
    <w:rsid w:val="767A2447"/>
    <w:rsid w:val="769647CF"/>
    <w:rsid w:val="76A68DED"/>
    <w:rsid w:val="76F744EE"/>
    <w:rsid w:val="771938FC"/>
    <w:rsid w:val="77287FC5"/>
    <w:rsid w:val="774E736F"/>
    <w:rsid w:val="77501DFC"/>
    <w:rsid w:val="775CF10E"/>
    <w:rsid w:val="777D4293"/>
    <w:rsid w:val="77885B5F"/>
    <w:rsid w:val="77949818"/>
    <w:rsid w:val="77B1EDA7"/>
    <w:rsid w:val="77C4C48A"/>
    <w:rsid w:val="77EE2E99"/>
    <w:rsid w:val="77F5AB68"/>
    <w:rsid w:val="781FFEF0"/>
    <w:rsid w:val="782A1069"/>
    <w:rsid w:val="7839E240"/>
    <w:rsid w:val="784A50C1"/>
    <w:rsid w:val="785F237F"/>
    <w:rsid w:val="786412E5"/>
    <w:rsid w:val="78686FF7"/>
    <w:rsid w:val="786A033F"/>
    <w:rsid w:val="78A96847"/>
    <w:rsid w:val="78C77E51"/>
    <w:rsid w:val="78CF8983"/>
    <w:rsid w:val="78DF36C6"/>
    <w:rsid w:val="79020E61"/>
    <w:rsid w:val="7926E4FD"/>
    <w:rsid w:val="792BE8F7"/>
    <w:rsid w:val="793098F8"/>
    <w:rsid w:val="793388E9"/>
    <w:rsid w:val="793D458E"/>
    <w:rsid w:val="794EB07E"/>
    <w:rsid w:val="7954C159"/>
    <w:rsid w:val="7966CD85"/>
    <w:rsid w:val="799C62F4"/>
    <w:rsid w:val="79B829EB"/>
    <w:rsid w:val="79CE913E"/>
    <w:rsid w:val="79D65CB0"/>
    <w:rsid w:val="79E7C8BB"/>
    <w:rsid w:val="79EDEEDB"/>
    <w:rsid w:val="7A0D7812"/>
    <w:rsid w:val="7A2CCDE6"/>
    <w:rsid w:val="7A5E1CB0"/>
    <w:rsid w:val="7A74FC22"/>
    <w:rsid w:val="7A93D616"/>
    <w:rsid w:val="7A97C960"/>
    <w:rsid w:val="7AE2A160"/>
    <w:rsid w:val="7AE8657A"/>
    <w:rsid w:val="7AEECFCB"/>
    <w:rsid w:val="7AF43C89"/>
    <w:rsid w:val="7AF7D7C6"/>
    <w:rsid w:val="7B108680"/>
    <w:rsid w:val="7B4F0C3D"/>
    <w:rsid w:val="7B70472C"/>
    <w:rsid w:val="7B738636"/>
    <w:rsid w:val="7BA0EC1F"/>
    <w:rsid w:val="7BB404E0"/>
    <w:rsid w:val="7BBB055E"/>
    <w:rsid w:val="7BC45D3A"/>
    <w:rsid w:val="7BC6FA39"/>
    <w:rsid w:val="7BE106F2"/>
    <w:rsid w:val="7BE40E93"/>
    <w:rsid w:val="7BF03915"/>
    <w:rsid w:val="7BF1227E"/>
    <w:rsid w:val="7C0B1132"/>
    <w:rsid w:val="7C4EF957"/>
    <w:rsid w:val="7C66A1F1"/>
    <w:rsid w:val="7C6D2213"/>
    <w:rsid w:val="7C7944A6"/>
    <w:rsid w:val="7CC88D83"/>
    <w:rsid w:val="7CD8F2CB"/>
    <w:rsid w:val="7CEABD4B"/>
    <w:rsid w:val="7CFCB286"/>
    <w:rsid w:val="7D20AB86"/>
    <w:rsid w:val="7D4B592A"/>
    <w:rsid w:val="7D61DE07"/>
    <w:rsid w:val="7D9090B1"/>
    <w:rsid w:val="7DA2B4D3"/>
    <w:rsid w:val="7DB16490"/>
    <w:rsid w:val="7DCD7CA0"/>
    <w:rsid w:val="7DFA7CD1"/>
    <w:rsid w:val="7E13A517"/>
    <w:rsid w:val="7E19F487"/>
    <w:rsid w:val="7E60DD6E"/>
    <w:rsid w:val="7E6C6DEB"/>
    <w:rsid w:val="7EA0BCFB"/>
    <w:rsid w:val="7EA463DB"/>
    <w:rsid w:val="7EB2DD88"/>
    <w:rsid w:val="7EC47B6A"/>
    <w:rsid w:val="7ECF088D"/>
    <w:rsid w:val="7F430FA8"/>
    <w:rsid w:val="7F5266BD"/>
    <w:rsid w:val="7F61D888"/>
    <w:rsid w:val="7F825BEE"/>
    <w:rsid w:val="7F86BD07"/>
    <w:rsid w:val="7F887FD9"/>
    <w:rsid w:val="7F8EA03F"/>
    <w:rsid w:val="7FA92F86"/>
    <w:rsid w:val="7FC23D49"/>
    <w:rsid w:val="7FF4EA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359"/>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4"/>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customStyle="1" w:styleId="paragraph">
    <w:name w:val="paragraph"/>
    <w:basedOn w:val="Normal"/>
    <w:rsid w:val="00442F2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88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F7E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629AB"/>
    <w:pPr>
      <w:spacing w:after="0" w:line="240" w:lineRule="auto"/>
    </w:pPr>
  </w:style>
  <w:style w:type="paragraph" w:styleId="FootnoteText">
    <w:name w:val="footnote text"/>
    <w:basedOn w:val="Normal"/>
    <w:link w:val="FootnoteTextChar"/>
    <w:uiPriority w:val="99"/>
    <w:unhideWhenUsed/>
    <w:rsid w:val="000D6098"/>
    <w:pPr>
      <w:spacing w:after="0" w:line="240" w:lineRule="auto"/>
    </w:pPr>
    <w:rPr>
      <w:sz w:val="20"/>
      <w:szCs w:val="20"/>
    </w:rPr>
  </w:style>
  <w:style w:type="character" w:customStyle="1" w:styleId="FootnoteTextChar">
    <w:name w:val="Footnote Text Char"/>
    <w:basedOn w:val="DefaultParagraphFont"/>
    <w:link w:val="FootnoteText"/>
    <w:uiPriority w:val="99"/>
    <w:rsid w:val="000D6098"/>
    <w:rPr>
      <w:sz w:val="20"/>
      <w:szCs w:val="20"/>
    </w:rPr>
  </w:style>
  <w:style w:type="character" w:styleId="FootnoteReference">
    <w:name w:val="footnote reference"/>
    <w:basedOn w:val="DefaultParagraphFont"/>
    <w:uiPriority w:val="99"/>
    <w:semiHidden/>
    <w:unhideWhenUsed/>
    <w:rsid w:val="000D6098"/>
    <w:rPr>
      <w:vertAlign w:val="superscript"/>
    </w:rPr>
  </w:style>
  <w:style w:type="character" w:styleId="Mention">
    <w:name w:val="Mention"/>
    <w:basedOn w:val="DefaultParagraphFont"/>
    <w:uiPriority w:val="99"/>
    <w:unhideWhenUsed/>
    <w:rsid w:val="00000EF2"/>
    <w:rPr>
      <w:color w:val="2B579A"/>
      <w:shd w:val="clear" w:color="auto" w:fill="E1DFDD"/>
    </w:rPr>
  </w:style>
  <w:style w:type="character" w:styleId="UnresolvedMention">
    <w:name w:val="Unresolved Mention"/>
    <w:basedOn w:val="DefaultParagraphFont"/>
    <w:uiPriority w:val="99"/>
    <w:semiHidden/>
    <w:unhideWhenUsed/>
    <w:rsid w:val="001F2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 w:id="772168465">
      <w:bodyDiv w:val="1"/>
      <w:marLeft w:val="0"/>
      <w:marRight w:val="0"/>
      <w:marTop w:val="0"/>
      <w:marBottom w:val="0"/>
      <w:divBdr>
        <w:top w:val="none" w:sz="0" w:space="0" w:color="auto"/>
        <w:left w:val="none" w:sz="0" w:space="0" w:color="auto"/>
        <w:bottom w:val="none" w:sz="0" w:space="0" w:color="auto"/>
        <w:right w:val="none" w:sz="0" w:space="0" w:color="auto"/>
      </w:divBdr>
    </w:div>
    <w:div w:id="831481844">
      <w:bodyDiv w:val="1"/>
      <w:marLeft w:val="0"/>
      <w:marRight w:val="0"/>
      <w:marTop w:val="0"/>
      <w:marBottom w:val="0"/>
      <w:divBdr>
        <w:top w:val="none" w:sz="0" w:space="0" w:color="auto"/>
        <w:left w:val="none" w:sz="0" w:space="0" w:color="auto"/>
        <w:bottom w:val="none" w:sz="0" w:space="0" w:color="auto"/>
        <w:right w:val="none" w:sz="0" w:space="0" w:color="auto"/>
      </w:divBdr>
    </w:div>
    <w:div w:id="1030692397">
      <w:bodyDiv w:val="1"/>
      <w:marLeft w:val="0"/>
      <w:marRight w:val="0"/>
      <w:marTop w:val="0"/>
      <w:marBottom w:val="0"/>
      <w:divBdr>
        <w:top w:val="none" w:sz="0" w:space="0" w:color="auto"/>
        <w:left w:val="none" w:sz="0" w:space="0" w:color="auto"/>
        <w:bottom w:val="none" w:sz="0" w:space="0" w:color="auto"/>
        <w:right w:val="none" w:sz="0" w:space="0" w:color="auto"/>
      </w:divBdr>
    </w:div>
    <w:div w:id="1507595652">
      <w:bodyDiv w:val="1"/>
      <w:marLeft w:val="0"/>
      <w:marRight w:val="0"/>
      <w:marTop w:val="0"/>
      <w:marBottom w:val="0"/>
      <w:divBdr>
        <w:top w:val="none" w:sz="0" w:space="0" w:color="auto"/>
        <w:left w:val="none" w:sz="0" w:space="0" w:color="auto"/>
        <w:bottom w:val="none" w:sz="0" w:space="0" w:color="auto"/>
        <w:right w:val="none" w:sz="0" w:space="0" w:color="auto"/>
      </w:divBdr>
    </w:div>
    <w:div w:id="1567103208">
      <w:bodyDiv w:val="1"/>
      <w:marLeft w:val="0"/>
      <w:marRight w:val="0"/>
      <w:marTop w:val="0"/>
      <w:marBottom w:val="0"/>
      <w:divBdr>
        <w:top w:val="none" w:sz="0" w:space="0" w:color="auto"/>
        <w:left w:val="none" w:sz="0" w:space="0" w:color="auto"/>
        <w:bottom w:val="none" w:sz="0" w:space="0" w:color="auto"/>
        <w:right w:val="none" w:sz="0" w:space="0" w:color="auto"/>
      </w:divBdr>
    </w:div>
    <w:div w:id="1669864064">
      <w:bodyDiv w:val="1"/>
      <w:marLeft w:val="0"/>
      <w:marRight w:val="0"/>
      <w:marTop w:val="0"/>
      <w:marBottom w:val="0"/>
      <w:divBdr>
        <w:top w:val="none" w:sz="0" w:space="0" w:color="auto"/>
        <w:left w:val="none" w:sz="0" w:space="0" w:color="auto"/>
        <w:bottom w:val="none" w:sz="0" w:space="0" w:color="auto"/>
        <w:right w:val="none" w:sz="0" w:space="0" w:color="auto"/>
      </w:divBdr>
    </w:div>
    <w:div w:id="1957447088">
      <w:bodyDiv w:val="1"/>
      <w:marLeft w:val="0"/>
      <w:marRight w:val="0"/>
      <w:marTop w:val="0"/>
      <w:marBottom w:val="0"/>
      <w:divBdr>
        <w:top w:val="none" w:sz="0" w:space="0" w:color="auto"/>
        <w:left w:val="none" w:sz="0" w:space="0" w:color="auto"/>
        <w:bottom w:val="none" w:sz="0" w:space="0" w:color="auto"/>
        <w:right w:val="none" w:sz="0" w:space="0" w:color="auto"/>
      </w:divBdr>
    </w:div>
    <w:div w:id="204501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cs.cpuc.ca.gov/PublishedDocs/Efile/G000/M560/K976/5609765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6554e9ba04b4bf3920897b2a9e995857">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d7bebeb5607a97ba42b0849359baf8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68732E3E-8834-4252-862F-90C656F940B2}">
  <ds:schemaRefs>
    <ds:schemaRef ds:uri="http://schemas.openxmlformats.org/officeDocument/2006/bibliography"/>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4.xml><?xml version="1.0" encoding="utf-8"?>
<ds:datastoreItem xmlns:ds="http://schemas.openxmlformats.org/officeDocument/2006/customXml" ds:itemID="{7075F486-4F92-4197-AF32-79B7114EA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47</ap:Pages>
  <ap:Words>15233</ap:Words>
  <ap:Characters>86830</ap:Characters>
  <ap:Application>Microsoft Office Word</ap:Application>
  <ap:DocSecurity>0</ap:DocSecurity>
  <ap:Lines>723</ap:Lines>
  <ap:Paragraphs>203</ap:Paragraphs>
  <ap:ScaleCrop>false</ap:ScaleCrop>
  <ap:Company/>
  <ap:LinksUpToDate>false</ap:LinksUpToDate>
  <ap:CharactersWithSpaces>101860</ap:CharactersWithSpaces>
  <ap:SharedDoc>false</ap:SharedDoc>
  <ap:HLinks>
    <vt:vector baseType="variant" size="6">
      <vt:variant>
        <vt:i4>655437</vt:i4>
      </vt:variant>
      <vt:variant>
        <vt:i4>0</vt:i4>
      </vt:variant>
      <vt:variant>
        <vt:i4>0</vt:i4>
      </vt:variant>
      <vt:variant>
        <vt:i4>5</vt:i4>
      </vt:variant>
      <vt:variant>
        <vt:lpwstr>https://docs.cpuc.ca.gov/PublishedDocs/Efile/G000/M560/K976/560976504.PDF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2025-12-24T10:46:50Z</dcterms:created>
  <dcterms:modified xsi:type="dcterms:W3CDTF">2025-12-24T10:46:50Z</dcterms:modified>
</cp:coreProperties>
</file>