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D17" w:rsidP="00B72D17" w:rsidRDefault="00B72D17" w14:paraId="50D5FE57" w14:textId="77777777">
      <w:pPr>
        <w:pStyle w:val="Title"/>
      </w:pPr>
      <w:r>
        <w:t>PUBLIC UTILITIES COMMISSION OF THE STATE OF CALIFORNIA</w:t>
      </w:r>
    </w:p>
    <w:p w:rsidRPr="00810798" w:rsidR="00B72D17" w:rsidP="00B72D17" w:rsidRDefault="00B72D17" w14:paraId="3C8B2985" w14:textId="77777777">
      <w:pPr>
        <w:rPr>
          <w:rFonts w:ascii="Book Antiqua" w:hAnsi="Book Antiqua"/>
          <w:sz w:val="26"/>
          <w:szCs w:val="26"/>
        </w:rPr>
      </w:pPr>
    </w:p>
    <w:p w:rsidRPr="00B013D8" w:rsidR="00B72D17" w:rsidP="00B72D17" w:rsidRDefault="00B72D17" w14:paraId="41C4ABF5" w14:textId="3826F097">
      <w:pPr>
        <w:rPr>
          <w:rFonts w:ascii="Book Antiqua" w:hAnsi="Book Antiqua"/>
          <w:szCs w:val="24"/>
        </w:rPr>
      </w:pPr>
      <w:r w:rsidRPr="00810798">
        <w:rPr>
          <w:rFonts w:ascii="Book Antiqua" w:hAnsi="Book Antiqua"/>
          <w:sz w:val="26"/>
          <w:szCs w:val="26"/>
        </w:rPr>
        <w:tab/>
      </w:r>
      <w:r w:rsidRPr="00810798">
        <w:rPr>
          <w:rFonts w:ascii="Book Antiqua" w:hAnsi="Book Antiqua"/>
          <w:sz w:val="26"/>
          <w:szCs w:val="26"/>
        </w:rPr>
        <w:tab/>
      </w:r>
      <w:r w:rsidRPr="00810798">
        <w:rPr>
          <w:rFonts w:ascii="Book Antiqua" w:hAnsi="Book Antiqua"/>
          <w:sz w:val="26"/>
          <w:szCs w:val="26"/>
        </w:rPr>
        <w:tab/>
      </w:r>
      <w:r w:rsidRPr="00810798">
        <w:rPr>
          <w:rFonts w:ascii="Book Antiqua" w:hAnsi="Book Antiqua"/>
          <w:sz w:val="26"/>
          <w:szCs w:val="26"/>
        </w:rPr>
        <w:tab/>
      </w:r>
      <w:r w:rsidRPr="00B013D8">
        <w:rPr>
          <w:rFonts w:ascii="Book Antiqua" w:hAnsi="Book Antiqua"/>
          <w:szCs w:val="24"/>
        </w:rPr>
        <w:t>Resolution ALJ-</w:t>
      </w:r>
      <w:r w:rsidR="002D36A7">
        <w:rPr>
          <w:rFonts w:ascii="Book Antiqua" w:hAnsi="Book Antiqua"/>
          <w:szCs w:val="24"/>
        </w:rPr>
        <w:t>4</w:t>
      </w:r>
      <w:r w:rsidR="0054015D">
        <w:rPr>
          <w:rFonts w:ascii="Book Antiqua" w:hAnsi="Book Antiqua"/>
          <w:szCs w:val="24"/>
        </w:rPr>
        <w:t>86</w:t>
      </w:r>
    </w:p>
    <w:p w:rsidRPr="00B013D8" w:rsidR="00B72D17" w:rsidP="00B72D17" w:rsidRDefault="00B72D17" w14:paraId="3105AB46" w14:textId="468CB62A">
      <w:pPr>
        <w:rPr>
          <w:rFonts w:ascii="Book Antiqua" w:hAnsi="Book Antiqua"/>
          <w:szCs w:val="24"/>
        </w:rPr>
      </w:pPr>
      <w:r w:rsidRPr="00B013D8">
        <w:rPr>
          <w:rFonts w:ascii="Book Antiqua" w:hAnsi="Book Antiqua"/>
          <w:szCs w:val="24"/>
        </w:rPr>
        <w:tab/>
      </w:r>
      <w:r w:rsidRPr="00B013D8">
        <w:rPr>
          <w:rFonts w:ascii="Book Antiqua" w:hAnsi="Book Antiqua"/>
          <w:szCs w:val="24"/>
        </w:rPr>
        <w:tab/>
      </w:r>
      <w:r w:rsidRPr="00B013D8">
        <w:rPr>
          <w:rFonts w:ascii="Book Antiqua" w:hAnsi="Book Antiqua"/>
          <w:szCs w:val="24"/>
        </w:rPr>
        <w:tab/>
      </w:r>
      <w:r w:rsidRPr="00B013D8">
        <w:rPr>
          <w:rFonts w:ascii="Book Antiqua" w:hAnsi="Book Antiqua"/>
          <w:szCs w:val="24"/>
        </w:rPr>
        <w:tab/>
        <w:t>Administrative Law Judge Division</w:t>
      </w:r>
    </w:p>
    <w:p w:rsidRPr="00B013D8" w:rsidR="00B72D17" w:rsidP="00B72D17" w:rsidRDefault="00B72D17" w14:paraId="41886B08" w14:textId="67AAF3FC">
      <w:pPr>
        <w:rPr>
          <w:rFonts w:ascii="Book Antiqua" w:hAnsi="Book Antiqua"/>
          <w:szCs w:val="24"/>
          <w:lang w:val="es-ES"/>
        </w:rPr>
      </w:pPr>
      <w:r w:rsidRPr="00B013D8">
        <w:rPr>
          <w:rFonts w:ascii="Book Antiqua" w:hAnsi="Book Antiqua"/>
          <w:szCs w:val="24"/>
        </w:rPr>
        <w:tab/>
      </w:r>
      <w:r w:rsidRPr="00B013D8">
        <w:rPr>
          <w:rFonts w:ascii="Book Antiqua" w:hAnsi="Book Antiqua"/>
          <w:szCs w:val="24"/>
        </w:rPr>
        <w:tab/>
      </w:r>
      <w:r w:rsidRPr="00B013D8">
        <w:rPr>
          <w:rFonts w:ascii="Book Antiqua" w:hAnsi="Book Antiqua"/>
          <w:szCs w:val="24"/>
        </w:rPr>
        <w:tab/>
      </w:r>
      <w:r w:rsidRPr="00B013D8">
        <w:rPr>
          <w:rFonts w:ascii="Book Antiqua" w:hAnsi="Book Antiqua"/>
          <w:szCs w:val="24"/>
        </w:rPr>
        <w:tab/>
      </w:r>
      <w:r w:rsidR="006825A8">
        <w:rPr>
          <w:rFonts w:ascii="Book Antiqua" w:hAnsi="Book Antiqua"/>
          <w:szCs w:val="24"/>
          <w:lang w:val="es-ES"/>
        </w:rPr>
        <w:t>December 18, 2025</w:t>
      </w:r>
    </w:p>
    <w:p w:rsidRPr="00810798" w:rsidR="00B72D17" w:rsidP="00B72D17" w:rsidRDefault="00B72D17" w14:paraId="02834E74" w14:textId="77777777">
      <w:pPr>
        <w:rPr>
          <w:rFonts w:ascii="Book Antiqua" w:hAnsi="Book Antiqua"/>
          <w:sz w:val="26"/>
          <w:szCs w:val="26"/>
          <w:lang w:val="es-ES"/>
        </w:rPr>
      </w:pPr>
    </w:p>
    <w:p w:rsidRPr="00810798" w:rsidR="00B72D17" w:rsidP="00B72D17" w:rsidRDefault="00B72D17" w14:paraId="02657489" w14:textId="77777777">
      <w:pPr>
        <w:jc w:val="center"/>
        <w:rPr>
          <w:rFonts w:ascii="Book Antiqua" w:hAnsi="Book Antiqua"/>
          <w:b/>
          <w:bCs/>
          <w:sz w:val="26"/>
          <w:szCs w:val="26"/>
          <w:u w:val="single"/>
          <w:lang w:val="es-ES"/>
        </w:rPr>
      </w:pPr>
      <w:r w:rsidRPr="00810798">
        <w:rPr>
          <w:rFonts w:ascii="Book Antiqua" w:hAnsi="Book Antiqua"/>
          <w:b/>
          <w:bCs/>
          <w:sz w:val="26"/>
          <w:szCs w:val="26"/>
          <w:u w:val="single"/>
          <w:lang w:val="es-ES"/>
        </w:rPr>
        <w:t>R</w:t>
      </w:r>
      <w:r w:rsidRPr="00810798">
        <w:rPr>
          <w:rFonts w:ascii="Book Antiqua" w:hAnsi="Book Antiqua"/>
          <w:b/>
          <w:bCs/>
          <w:sz w:val="26"/>
          <w:szCs w:val="26"/>
          <w:lang w:val="es-ES"/>
        </w:rPr>
        <w:t xml:space="preserve"> </w:t>
      </w:r>
      <w:r w:rsidRPr="00810798">
        <w:rPr>
          <w:rFonts w:ascii="Book Antiqua" w:hAnsi="Book Antiqua"/>
          <w:b/>
          <w:bCs/>
          <w:sz w:val="26"/>
          <w:szCs w:val="26"/>
          <w:u w:val="single"/>
          <w:lang w:val="es-ES"/>
        </w:rPr>
        <w:t>E</w:t>
      </w:r>
      <w:r w:rsidRPr="00810798">
        <w:rPr>
          <w:rFonts w:ascii="Book Antiqua" w:hAnsi="Book Antiqua"/>
          <w:b/>
          <w:bCs/>
          <w:sz w:val="26"/>
          <w:szCs w:val="26"/>
          <w:lang w:val="es-ES"/>
        </w:rPr>
        <w:t xml:space="preserve"> </w:t>
      </w:r>
      <w:r w:rsidRPr="00810798">
        <w:rPr>
          <w:rFonts w:ascii="Book Antiqua" w:hAnsi="Book Antiqua"/>
          <w:b/>
          <w:bCs/>
          <w:sz w:val="26"/>
          <w:szCs w:val="26"/>
          <w:u w:val="single"/>
          <w:lang w:val="es-ES"/>
        </w:rPr>
        <w:t>S</w:t>
      </w:r>
      <w:r w:rsidRPr="00810798">
        <w:rPr>
          <w:rFonts w:ascii="Book Antiqua" w:hAnsi="Book Antiqua"/>
          <w:b/>
          <w:bCs/>
          <w:sz w:val="26"/>
          <w:szCs w:val="26"/>
          <w:lang w:val="es-ES"/>
        </w:rPr>
        <w:t xml:space="preserve"> </w:t>
      </w:r>
      <w:r w:rsidRPr="00810798">
        <w:rPr>
          <w:rFonts w:ascii="Book Antiqua" w:hAnsi="Book Antiqua"/>
          <w:b/>
          <w:bCs/>
          <w:sz w:val="26"/>
          <w:szCs w:val="26"/>
          <w:u w:val="single"/>
          <w:lang w:val="es-ES"/>
        </w:rPr>
        <w:t>O</w:t>
      </w:r>
      <w:r w:rsidRPr="00810798">
        <w:rPr>
          <w:rFonts w:ascii="Book Antiqua" w:hAnsi="Book Antiqua"/>
          <w:b/>
          <w:bCs/>
          <w:sz w:val="26"/>
          <w:szCs w:val="26"/>
          <w:lang w:val="es-ES"/>
        </w:rPr>
        <w:t xml:space="preserve"> </w:t>
      </w:r>
      <w:r w:rsidRPr="00810798">
        <w:rPr>
          <w:rFonts w:ascii="Book Antiqua" w:hAnsi="Book Antiqua"/>
          <w:b/>
          <w:bCs/>
          <w:sz w:val="26"/>
          <w:szCs w:val="26"/>
          <w:u w:val="single"/>
          <w:lang w:val="es-ES"/>
        </w:rPr>
        <w:t>L</w:t>
      </w:r>
      <w:r w:rsidRPr="00810798">
        <w:rPr>
          <w:rFonts w:ascii="Book Antiqua" w:hAnsi="Book Antiqua"/>
          <w:b/>
          <w:bCs/>
          <w:sz w:val="26"/>
          <w:szCs w:val="26"/>
          <w:lang w:val="es-ES"/>
        </w:rPr>
        <w:t xml:space="preserve"> </w:t>
      </w:r>
      <w:r w:rsidRPr="00810798">
        <w:rPr>
          <w:rFonts w:ascii="Book Antiqua" w:hAnsi="Book Antiqua"/>
          <w:b/>
          <w:bCs/>
          <w:sz w:val="26"/>
          <w:szCs w:val="26"/>
          <w:u w:val="single"/>
          <w:lang w:val="es-ES"/>
        </w:rPr>
        <w:t>U</w:t>
      </w:r>
      <w:r w:rsidRPr="00810798">
        <w:rPr>
          <w:rFonts w:ascii="Book Antiqua" w:hAnsi="Book Antiqua"/>
          <w:b/>
          <w:bCs/>
          <w:sz w:val="26"/>
          <w:szCs w:val="26"/>
          <w:lang w:val="es-ES"/>
        </w:rPr>
        <w:t xml:space="preserve"> </w:t>
      </w:r>
      <w:r w:rsidRPr="00810798">
        <w:rPr>
          <w:rFonts w:ascii="Book Antiqua" w:hAnsi="Book Antiqua"/>
          <w:b/>
          <w:bCs/>
          <w:sz w:val="26"/>
          <w:szCs w:val="26"/>
          <w:u w:val="single"/>
          <w:lang w:val="es-ES"/>
        </w:rPr>
        <w:t>T</w:t>
      </w:r>
      <w:r w:rsidRPr="00810798">
        <w:rPr>
          <w:rFonts w:ascii="Book Antiqua" w:hAnsi="Book Antiqua"/>
          <w:b/>
          <w:bCs/>
          <w:sz w:val="26"/>
          <w:szCs w:val="26"/>
          <w:lang w:val="es-ES"/>
        </w:rPr>
        <w:t xml:space="preserve"> </w:t>
      </w:r>
      <w:r w:rsidRPr="00810798">
        <w:rPr>
          <w:rFonts w:ascii="Book Antiqua" w:hAnsi="Book Antiqua"/>
          <w:b/>
          <w:bCs/>
          <w:sz w:val="26"/>
          <w:szCs w:val="26"/>
          <w:u w:val="single"/>
          <w:lang w:val="es-ES"/>
        </w:rPr>
        <w:t>I</w:t>
      </w:r>
      <w:r w:rsidRPr="00810798">
        <w:rPr>
          <w:rFonts w:ascii="Book Antiqua" w:hAnsi="Book Antiqua"/>
          <w:b/>
          <w:bCs/>
          <w:sz w:val="26"/>
          <w:szCs w:val="26"/>
          <w:lang w:val="es-ES"/>
        </w:rPr>
        <w:t xml:space="preserve"> </w:t>
      </w:r>
      <w:r w:rsidRPr="00810798">
        <w:rPr>
          <w:rFonts w:ascii="Book Antiqua" w:hAnsi="Book Antiqua"/>
          <w:b/>
          <w:bCs/>
          <w:sz w:val="26"/>
          <w:szCs w:val="26"/>
          <w:u w:val="single"/>
          <w:lang w:val="es-ES"/>
        </w:rPr>
        <w:t>O</w:t>
      </w:r>
      <w:r w:rsidRPr="00810798">
        <w:rPr>
          <w:rFonts w:ascii="Book Antiqua" w:hAnsi="Book Antiqua"/>
          <w:b/>
          <w:bCs/>
          <w:sz w:val="26"/>
          <w:szCs w:val="26"/>
          <w:lang w:val="es-ES"/>
        </w:rPr>
        <w:t xml:space="preserve"> </w:t>
      </w:r>
      <w:r w:rsidRPr="00810798">
        <w:rPr>
          <w:rFonts w:ascii="Book Antiqua" w:hAnsi="Book Antiqua"/>
          <w:b/>
          <w:bCs/>
          <w:sz w:val="26"/>
          <w:szCs w:val="26"/>
          <w:u w:val="single"/>
          <w:lang w:val="es-ES"/>
        </w:rPr>
        <w:t>N</w:t>
      </w:r>
    </w:p>
    <w:p w:rsidRPr="00810798" w:rsidR="00B72D17" w:rsidP="00B72D17" w:rsidRDefault="00B72D17" w14:paraId="09346EB0" w14:textId="77777777">
      <w:pPr>
        <w:rPr>
          <w:rFonts w:ascii="Book Antiqua" w:hAnsi="Book Antiqua"/>
          <w:sz w:val="26"/>
          <w:szCs w:val="26"/>
          <w:lang w:val="es-ES"/>
        </w:rPr>
      </w:pPr>
    </w:p>
    <w:p w:rsidRPr="00293BB7" w:rsidR="0054015D" w:rsidP="0054015D" w:rsidRDefault="0054015D" w14:paraId="16ED423E" w14:textId="77777777">
      <w:pPr>
        <w:pStyle w:val="BlockText"/>
        <w:rPr>
          <w:rFonts w:ascii="Book Antiqua" w:hAnsi="Book Antiqua"/>
          <w:sz w:val="26"/>
          <w:szCs w:val="26"/>
        </w:rPr>
      </w:pPr>
      <w:bookmarkStart w:name="_Hlk148080756" w:id="0"/>
      <w:r w:rsidRPr="00293BB7">
        <w:rPr>
          <w:rFonts w:ascii="Book Antiqua" w:hAnsi="Book Antiqua"/>
          <w:sz w:val="26"/>
          <w:szCs w:val="26"/>
        </w:rPr>
        <w:t xml:space="preserve">RESOLUTION ALJ-486 Resolving the Appeal K.25-06-013 of Citation Number CD-2025-05-014 of BARR Tell USA, LLC, </w:t>
      </w:r>
      <w:r>
        <w:rPr>
          <w:rFonts w:ascii="Book Antiqua" w:hAnsi="Book Antiqua"/>
          <w:sz w:val="26"/>
          <w:szCs w:val="26"/>
        </w:rPr>
        <w:br/>
      </w:r>
      <w:r w:rsidRPr="00293BB7">
        <w:rPr>
          <w:rFonts w:ascii="Book Antiqua" w:hAnsi="Book Antiqua"/>
          <w:sz w:val="26"/>
          <w:szCs w:val="26"/>
        </w:rPr>
        <w:t xml:space="preserve">(U-7393-C). </w:t>
      </w:r>
      <w:bookmarkEnd w:id="0"/>
    </w:p>
    <w:p w:rsidRPr="00E813B2" w:rsidR="00B72D17" w:rsidP="00C12E53" w:rsidRDefault="00B72D17" w14:paraId="45615820" w14:textId="53BDE4E9">
      <w:pPr>
        <w:pStyle w:val="BlockText"/>
        <w:tabs>
          <w:tab w:val="left" w:pos="810"/>
        </w:tabs>
        <w:rPr>
          <w:rFonts w:ascii="Book Antiqua" w:hAnsi="Book Antiqua"/>
          <w:szCs w:val="24"/>
          <w:u w:val="single"/>
        </w:rPr>
      </w:pPr>
    </w:p>
    <w:p w:rsidRPr="00E813B2" w:rsidR="00B72D17" w:rsidP="00B72D17" w:rsidRDefault="008053E5" w14:paraId="427E9D64" w14:textId="778CEC14">
      <w:pPr>
        <w:rPr>
          <w:rFonts w:ascii="Book Antiqua" w:hAnsi="Book Antiqua"/>
          <w:szCs w:val="24"/>
        </w:rPr>
      </w:pPr>
      <w:r w:rsidRPr="00E813B2">
        <w:rPr>
          <w:rFonts w:ascii="Book Antiqua" w:hAnsi="Book Antiqua"/>
          <w:szCs w:val="24"/>
        </w:rPr>
        <w:t>______________________________________________________________________</w:t>
      </w:r>
    </w:p>
    <w:p w:rsidR="0054015D" w:rsidP="0054015D" w:rsidRDefault="0054015D" w14:paraId="50BB06A9" w14:textId="77777777">
      <w:pPr>
        <w:rPr>
          <w:rFonts w:ascii="Book Antiqua" w:hAnsi="Book Antiqua"/>
          <w:b/>
          <w:bCs/>
          <w:sz w:val="26"/>
          <w:szCs w:val="26"/>
          <w:u w:val="single"/>
        </w:rPr>
      </w:pPr>
      <w:r w:rsidRPr="00CD4CBB">
        <w:rPr>
          <w:rFonts w:ascii="Book Antiqua" w:hAnsi="Book Antiqua"/>
          <w:b/>
          <w:bCs/>
          <w:sz w:val="26"/>
          <w:szCs w:val="26"/>
          <w:u w:val="single"/>
        </w:rPr>
        <w:t>SUMMARY</w:t>
      </w:r>
    </w:p>
    <w:p w:rsidRPr="00CD4CBB" w:rsidR="0054015D" w:rsidP="0054015D" w:rsidRDefault="0054015D" w14:paraId="21593535" w14:textId="77777777">
      <w:pPr>
        <w:rPr>
          <w:rFonts w:ascii="Book Antiqua" w:hAnsi="Book Antiqua"/>
          <w:b/>
          <w:bCs/>
          <w:sz w:val="26"/>
          <w:szCs w:val="26"/>
          <w:u w:val="single"/>
        </w:rPr>
      </w:pPr>
    </w:p>
    <w:p w:rsidR="0054015D" w:rsidP="0054015D" w:rsidRDefault="0054015D" w14:paraId="31FB71CA" w14:textId="77777777">
      <w:pPr>
        <w:rPr>
          <w:rFonts w:ascii="Book Antiqua" w:hAnsi="Book Antiqua"/>
          <w:sz w:val="26"/>
          <w:szCs w:val="26"/>
        </w:rPr>
      </w:pPr>
      <w:r w:rsidRPr="00C536D0">
        <w:rPr>
          <w:rFonts w:ascii="Book Antiqua" w:hAnsi="Book Antiqua"/>
          <w:sz w:val="26"/>
          <w:szCs w:val="26"/>
        </w:rPr>
        <w:t xml:space="preserve">This resolution resolves </w:t>
      </w:r>
      <w:r>
        <w:rPr>
          <w:rFonts w:ascii="Book Antiqua" w:hAnsi="Book Antiqua"/>
          <w:sz w:val="26"/>
          <w:szCs w:val="26"/>
        </w:rPr>
        <w:t xml:space="preserve">the appeal by BARR Tell USA, LLC, K.25-06-013, from </w:t>
      </w:r>
      <w:r w:rsidRPr="00C536D0">
        <w:rPr>
          <w:rFonts w:ascii="Book Antiqua" w:hAnsi="Book Antiqua"/>
          <w:sz w:val="26"/>
          <w:szCs w:val="26"/>
        </w:rPr>
        <w:t xml:space="preserve">Citation No. </w:t>
      </w:r>
      <w:r>
        <w:rPr>
          <w:rFonts w:ascii="Book Antiqua" w:hAnsi="Book Antiqua"/>
          <w:sz w:val="26"/>
          <w:szCs w:val="26"/>
        </w:rPr>
        <w:t xml:space="preserve">CD-2025-05-014 issued on May 20, 2025, by the </w:t>
      </w:r>
      <w:r w:rsidRPr="00C536D0">
        <w:rPr>
          <w:rFonts w:ascii="Book Antiqua" w:hAnsi="Book Antiqua"/>
          <w:sz w:val="26"/>
          <w:szCs w:val="26"/>
        </w:rPr>
        <w:t>Co</w:t>
      </w:r>
      <w:r>
        <w:rPr>
          <w:rFonts w:ascii="Book Antiqua" w:hAnsi="Book Antiqua"/>
          <w:sz w:val="26"/>
          <w:szCs w:val="26"/>
        </w:rPr>
        <w:t xml:space="preserve">mmunications Division of the California Public Utilities Commission.  The citation imposes a $1,000 fine for failing to timely report the active number of access lines it served in California and failing to </w:t>
      </w:r>
      <w:proofErr w:type="gramStart"/>
      <w:r>
        <w:rPr>
          <w:rFonts w:ascii="Book Antiqua" w:hAnsi="Book Antiqua"/>
          <w:sz w:val="26"/>
          <w:szCs w:val="26"/>
        </w:rPr>
        <w:t>timely pay</w:t>
      </w:r>
      <w:proofErr w:type="gramEnd"/>
      <w:r>
        <w:rPr>
          <w:rFonts w:ascii="Book Antiqua" w:hAnsi="Book Antiqua"/>
          <w:sz w:val="26"/>
          <w:szCs w:val="26"/>
        </w:rPr>
        <w:t xml:space="preserve"> Public Purpose Program surcharges in violation of Public Utilities Code </w:t>
      </w:r>
      <w:r w:rsidRPr="00890B3B">
        <w:rPr>
          <w:rFonts w:ascii="Book Antiqua" w:hAnsi="Book Antiqua"/>
          <w:sz w:val="26"/>
          <w:szCs w:val="26"/>
        </w:rPr>
        <w:t>§§ 247.1, 285, 702, 2101, 2107, 2108; Decision 22-10-021</w:t>
      </w:r>
      <w:r>
        <w:rPr>
          <w:rFonts w:ascii="Book Antiqua" w:hAnsi="Book Antiqua"/>
          <w:sz w:val="26"/>
          <w:szCs w:val="26"/>
        </w:rPr>
        <w:t>;</w:t>
      </w:r>
      <w:r w:rsidRPr="00890B3B">
        <w:rPr>
          <w:rFonts w:ascii="Book Antiqua" w:hAnsi="Book Antiqua"/>
          <w:sz w:val="26"/>
          <w:szCs w:val="26"/>
        </w:rPr>
        <w:t xml:space="preserve"> </w:t>
      </w:r>
      <w:r>
        <w:rPr>
          <w:rFonts w:ascii="Book Antiqua" w:hAnsi="Book Antiqua"/>
          <w:sz w:val="26"/>
          <w:szCs w:val="26"/>
        </w:rPr>
        <w:t>and</w:t>
      </w:r>
      <w:r w:rsidRPr="00890B3B">
        <w:rPr>
          <w:rFonts w:ascii="Book Antiqua" w:hAnsi="Book Antiqua"/>
          <w:sz w:val="26"/>
          <w:szCs w:val="26"/>
        </w:rPr>
        <w:t xml:space="preserve"> Resolution T-17601</w:t>
      </w:r>
      <w:r>
        <w:rPr>
          <w:rFonts w:ascii="Book Antiqua" w:hAnsi="Book Antiqua"/>
          <w:sz w:val="26"/>
          <w:szCs w:val="26"/>
        </w:rPr>
        <w:t>.  The citation is sustained. The appeal is denied.</w:t>
      </w:r>
    </w:p>
    <w:p w:rsidR="0054015D" w:rsidP="0054015D" w:rsidRDefault="0054015D" w14:paraId="1649178B" w14:textId="77777777">
      <w:pPr>
        <w:rPr>
          <w:rFonts w:ascii="Book Antiqua" w:hAnsi="Book Antiqua"/>
          <w:sz w:val="26"/>
          <w:szCs w:val="26"/>
        </w:rPr>
      </w:pPr>
    </w:p>
    <w:p w:rsidR="0054015D" w:rsidP="0054015D" w:rsidRDefault="0054015D" w14:paraId="0D18FC14" w14:textId="77777777">
      <w:pPr>
        <w:rPr>
          <w:rFonts w:ascii="Book Antiqua" w:hAnsi="Book Antiqua"/>
          <w:sz w:val="26"/>
          <w:szCs w:val="26"/>
        </w:rPr>
      </w:pPr>
      <w:r>
        <w:rPr>
          <w:rFonts w:ascii="Book Antiqua" w:hAnsi="Book Antiqua"/>
          <w:sz w:val="26"/>
          <w:szCs w:val="26"/>
        </w:rPr>
        <w:t>K.25-06-013 is closed.</w:t>
      </w:r>
    </w:p>
    <w:p w:rsidR="0054015D" w:rsidP="0054015D" w:rsidRDefault="0054015D" w14:paraId="128B30CF" w14:textId="77777777">
      <w:pPr>
        <w:rPr>
          <w:rFonts w:ascii="Book Antiqua" w:hAnsi="Book Antiqua"/>
          <w:sz w:val="26"/>
          <w:szCs w:val="26"/>
        </w:rPr>
      </w:pPr>
    </w:p>
    <w:p w:rsidR="0054015D" w:rsidP="0054015D" w:rsidRDefault="0054015D" w14:paraId="00DC28C1" w14:textId="77777777">
      <w:pPr>
        <w:rPr>
          <w:rFonts w:ascii="Book Antiqua" w:hAnsi="Book Antiqua"/>
          <w:b/>
          <w:sz w:val="26"/>
          <w:szCs w:val="26"/>
          <w:u w:val="single"/>
        </w:rPr>
      </w:pPr>
      <w:r>
        <w:rPr>
          <w:rFonts w:ascii="Book Antiqua" w:hAnsi="Book Antiqua"/>
          <w:b/>
          <w:sz w:val="26"/>
          <w:szCs w:val="26"/>
          <w:u w:val="single"/>
        </w:rPr>
        <w:t xml:space="preserve">PROCEDURAL </w:t>
      </w:r>
      <w:r w:rsidRPr="00041C0A">
        <w:rPr>
          <w:rFonts w:ascii="Book Antiqua" w:hAnsi="Book Antiqua"/>
          <w:b/>
          <w:sz w:val="26"/>
          <w:szCs w:val="26"/>
          <w:u w:val="single"/>
        </w:rPr>
        <w:t>BACKGROUND</w:t>
      </w:r>
    </w:p>
    <w:p w:rsidRPr="00041C0A" w:rsidR="0054015D" w:rsidP="0054015D" w:rsidRDefault="0054015D" w14:paraId="197699BC" w14:textId="77777777">
      <w:pPr>
        <w:rPr>
          <w:rFonts w:ascii="Book Antiqua" w:hAnsi="Book Antiqua"/>
          <w:b/>
          <w:sz w:val="26"/>
          <w:szCs w:val="26"/>
          <w:u w:val="single"/>
        </w:rPr>
      </w:pPr>
    </w:p>
    <w:p w:rsidRPr="003132CA" w:rsidR="0054015D" w:rsidP="0054015D" w:rsidRDefault="0054015D" w14:paraId="19142665" w14:textId="77777777">
      <w:pPr>
        <w:rPr>
          <w:rFonts w:ascii="Book Antiqua" w:hAnsi="Book Antiqua"/>
          <w:sz w:val="26"/>
          <w:szCs w:val="26"/>
        </w:rPr>
      </w:pPr>
      <w:r>
        <w:rPr>
          <w:rFonts w:ascii="Book Antiqua" w:hAnsi="Book Antiqua"/>
          <w:sz w:val="26"/>
          <w:szCs w:val="26"/>
        </w:rPr>
        <w:t>T</w:t>
      </w:r>
      <w:r w:rsidRPr="003132CA">
        <w:rPr>
          <w:rFonts w:ascii="Book Antiqua" w:hAnsi="Book Antiqua"/>
          <w:sz w:val="26"/>
          <w:szCs w:val="26"/>
        </w:rPr>
        <w:t xml:space="preserve">he California Public Utilities Commission’s (Commission) Communications </w:t>
      </w:r>
    </w:p>
    <w:p w:rsidRPr="003132CA" w:rsidR="0054015D" w:rsidP="0054015D" w:rsidRDefault="0054015D" w14:paraId="35119F99" w14:textId="77777777">
      <w:pPr>
        <w:rPr>
          <w:rFonts w:ascii="Book Antiqua" w:hAnsi="Book Antiqua"/>
          <w:sz w:val="26"/>
          <w:szCs w:val="26"/>
        </w:rPr>
      </w:pPr>
      <w:r w:rsidRPr="003132CA">
        <w:rPr>
          <w:rFonts w:ascii="Book Antiqua" w:hAnsi="Book Antiqua"/>
          <w:sz w:val="26"/>
          <w:szCs w:val="26"/>
        </w:rPr>
        <w:t xml:space="preserve">Division (CD) oversees compliance of telecommunications carriers and has the </w:t>
      </w:r>
    </w:p>
    <w:p w:rsidRPr="003132CA" w:rsidR="0054015D" w:rsidP="0054015D" w:rsidRDefault="0054015D" w14:paraId="00248AB0" w14:textId="77777777">
      <w:pPr>
        <w:rPr>
          <w:rFonts w:ascii="Book Antiqua" w:hAnsi="Book Antiqua"/>
          <w:sz w:val="26"/>
          <w:szCs w:val="26"/>
        </w:rPr>
      </w:pPr>
      <w:r w:rsidRPr="003132CA">
        <w:rPr>
          <w:rFonts w:ascii="Book Antiqua" w:hAnsi="Book Antiqua"/>
          <w:sz w:val="26"/>
          <w:szCs w:val="26"/>
        </w:rPr>
        <w:t>authority to impose fines.</w:t>
      </w:r>
      <w:r>
        <w:rPr>
          <w:rStyle w:val="FootnoteReference"/>
          <w:rFonts w:ascii="Book Antiqua" w:hAnsi="Book Antiqua"/>
          <w:sz w:val="26"/>
          <w:szCs w:val="26"/>
        </w:rPr>
        <w:footnoteReference w:id="2"/>
      </w:r>
      <w:r w:rsidRPr="003132CA">
        <w:t xml:space="preserve"> </w:t>
      </w:r>
      <w:r w:rsidRPr="003132CA">
        <w:rPr>
          <w:rFonts w:ascii="Book Antiqua" w:hAnsi="Book Antiqua"/>
          <w:sz w:val="26"/>
          <w:szCs w:val="26"/>
        </w:rPr>
        <w:t xml:space="preserve">On </w:t>
      </w:r>
      <w:r>
        <w:rPr>
          <w:rFonts w:ascii="Book Antiqua" w:hAnsi="Book Antiqua"/>
          <w:sz w:val="26"/>
          <w:szCs w:val="26"/>
        </w:rPr>
        <w:t>May 20</w:t>
      </w:r>
      <w:r w:rsidRPr="003132CA">
        <w:rPr>
          <w:rFonts w:ascii="Book Antiqua" w:hAnsi="Book Antiqua"/>
          <w:sz w:val="26"/>
          <w:szCs w:val="26"/>
        </w:rPr>
        <w:t>, 20</w:t>
      </w:r>
      <w:r>
        <w:rPr>
          <w:rFonts w:ascii="Book Antiqua" w:hAnsi="Book Antiqua"/>
          <w:sz w:val="26"/>
          <w:szCs w:val="26"/>
        </w:rPr>
        <w:t>25</w:t>
      </w:r>
      <w:r w:rsidRPr="003132CA">
        <w:rPr>
          <w:rFonts w:ascii="Book Antiqua" w:hAnsi="Book Antiqua"/>
          <w:sz w:val="26"/>
          <w:szCs w:val="26"/>
        </w:rPr>
        <w:t xml:space="preserve">, CD issued citation number </w:t>
      </w:r>
    </w:p>
    <w:p w:rsidR="0054015D" w:rsidP="0054015D" w:rsidRDefault="0054015D" w14:paraId="14E93275" w14:textId="77777777">
      <w:pPr>
        <w:rPr>
          <w:rFonts w:ascii="Book Antiqua" w:hAnsi="Book Antiqua"/>
          <w:sz w:val="26"/>
          <w:szCs w:val="26"/>
        </w:rPr>
      </w:pPr>
      <w:r w:rsidRPr="003132CA">
        <w:rPr>
          <w:rFonts w:ascii="Book Antiqua" w:hAnsi="Book Antiqua"/>
          <w:sz w:val="26"/>
          <w:szCs w:val="26"/>
        </w:rPr>
        <w:t>CD-20</w:t>
      </w:r>
      <w:r>
        <w:rPr>
          <w:rFonts w:ascii="Book Antiqua" w:hAnsi="Book Antiqua"/>
          <w:sz w:val="26"/>
          <w:szCs w:val="26"/>
        </w:rPr>
        <w:t>25</w:t>
      </w:r>
      <w:r w:rsidRPr="003132CA">
        <w:rPr>
          <w:rFonts w:ascii="Book Antiqua" w:hAnsi="Book Antiqua"/>
          <w:sz w:val="26"/>
          <w:szCs w:val="26"/>
        </w:rPr>
        <w:t>-</w:t>
      </w:r>
      <w:r>
        <w:rPr>
          <w:rFonts w:ascii="Book Antiqua" w:hAnsi="Book Antiqua"/>
          <w:sz w:val="26"/>
          <w:szCs w:val="26"/>
        </w:rPr>
        <w:t>05-014, which</w:t>
      </w:r>
      <w:r w:rsidRPr="003132CA">
        <w:rPr>
          <w:rFonts w:ascii="Book Antiqua" w:hAnsi="Book Antiqua"/>
          <w:sz w:val="26"/>
          <w:szCs w:val="26"/>
        </w:rPr>
        <w:t xml:space="preserve"> imposed a $1,000 fine on </w:t>
      </w:r>
      <w:r>
        <w:rPr>
          <w:rFonts w:ascii="Book Antiqua" w:hAnsi="Book Antiqua"/>
          <w:sz w:val="26"/>
          <w:szCs w:val="26"/>
        </w:rPr>
        <w:t>Barr Tell USA, LLC</w:t>
      </w:r>
      <w:r w:rsidRPr="003132CA">
        <w:rPr>
          <w:rFonts w:ascii="Book Antiqua" w:hAnsi="Book Antiqua"/>
          <w:sz w:val="26"/>
          <w:szCs w:val="26"/>
        </w:rPr>
        <w:t xml:space="preserve"> </w:t>
      </w:r>
      <w:r>
        <w:rPr>
          <w:rFonts w:ascii="Book Antiqua" w:hAnsi="Book Antiqua"/>
          <w:sz w:val="26"/>
          <w:szCs w:val="26"/>
        </w:rPr>
        <w:t>(U-7393-C)</w:t>
      </w:r>
      <w:r w:rsidRPr="003132CA">
        <w:rPr>
          <w:rFonts w:ascii="Book Antiqua" w:hAnsi="Book Antiqua"/>
          <w:sz w:val="26"/>
          <w:szCs w:val="26"/>
        </w:rPr>
        <w:t>(</w:t>
      </w:r>
      <w:r>
        <w:rPr>
          <w:rFonts w:ascii="Book Antiqua" w:hAnsi="Book Antiqua"/>
          <w:sz w:val="26"/>
          <w:szCs w:val="26"/>
        </w:rPr>
        <w:t>Barr Tell</w:t>
      </w:r>
      <w:r w:rsidRPr="003132CA">
        <w:rPr>
          <w:rFonts w:ascii="Book Antiqua" w:hAnsi="Book Antiqua"/>
          <w:sz w:val="26"/>
          <w:szCs w:val="26"/>
        </w:rPr>
        <w:t xml:space="preserve">) for </w:t>
      </w:r>
      <w:r>
        <w:rPr>
          <w:rFonts w:ascii="Book Antiqua" w:hAnsi="Book Antiqua"/>
          <w:sz w:val="26"/>
          <w:szCs w:val="26"/>
        </w:rPr>
        <w:t>failing to timely report the number of access lines served in California and failing to timely pay Public Purpose Program surcharges.</w:t>
      </w:r>
      <w:r>
        <w:rPr>
          <w:rStyle w:val="FootnoteReference"/>
          <w:rFonts w:ascii="Book Antiqua" w:hAnsi="Book Antiqua"/>
          <w:sz w:val="26"/>
          <w:szCs w:val="26"/>
        </w:rPr>
        <w:footnoteReference w:id="3"/>
      </w:r>
      <w:r>
        <w:rPr>
          <w:rFonts w:ascii="Book Antiqua" w:hAnsi="Book Antiqua"/>
          <w:sz w:val="26"/>
          <w:szCs w:val="26"/>
        </w:rPr>
        <w:t xml:space="preserve"> On June 9, 2025, Barr Tell timely appealed citation number CD-2025-05-014. </w:t>
      </w:r>
    </w:p>
    <w:p w:rsidR="0054015D" w:rsidP="0054015D" w:rsidRDefault="0054015D" w14:paraId="51416A4A" w14:textId="77777777">
      <w:pPr>
        <w:rPr>
          <w:rFonts w:ascii="Book Antiqua" w:hAnsi="Book Antiqua"/>
          <w:sz w:val="26"/>
          <w:szCs w:val="26"/>
        </w:rPr>
      </w:pPr>
    </w:p>
    <w:p w:rsidR="0054015D" w:rsidP="0054015D" w:rsidRDefault="0054015D" w14:paraId="559776C9" w14:textId="77777777">
      <w:pPr>
        <w:rPr>
          <w:rFonts w:ascii="Book Antiqua" w:hAnsi="Book Antiqua"/>
          <w:sz w:val="26"/>
          <w:szCs w:val="26"/>
        </w:rPr>
      </w:pPr>
      <w:r>
        <w:rPr>
          <w:rFonts w:ascii="Book Antiqua" w:hAnsi="Book Antiqua"/>
          <w:sz w:val="26"/>
          <w:szCs w:val="26"/>
        </w:rPr>
        <w:t xml:space="preserve">Barr Tell appealed the citation for several reasons. First, Barr Tell claims that CD should have notified its President Mr. Harold Barr directly before issuing the </w:t>
      </w:r>
      <w:r>
        <w:rPr>
          <w:rFonts w:ascii="Book Antiqua" w:hAnsi="Book Antiqua"/>
          <w:sz w:val="26"/>
          <w:szCs w:val="26"/>
        </w:rPr>
        <w:lastRenderedPageBreak/>
        <w:t>citation so that the matter could have been remedied immediately. Second, Barr Tell argues it was unable to report and pay on time because it had ongoing problems logging into the Commission’s updated Telecommunications &amp; User Fees Filing system (TUFFS)</w:t>
      </w:r>
      <w:r>
        <w:rPr>
          <w:rStyle w:val="FootnoteReference"/>
          <w:rFonts w:ascii="Book Antiqua" w:hAnsi="Book Antiqua"/>
          <w:sz w:val="26"/>
          <w:szCs w:val="26"/>
        </w:rPr>
        <w:footnoteReference w:id="4"/>
      </w:r>
      <w:r>
        <w:rPr>
          <w:rFonts w:ascii="Book Antiqua" w:hAnsi="Book Antiqua"/>
          <w:sz w:val="26"/>
          <w:szCs w:val="26"/>
        </w:rPr>
        <w:t>, the system used by telecommunications carriers to report its active number of access lines and to remit its Public Purpose Program surcharges.</w:t>
      </w:r>
    </w:p>
    <w:p w:rsidR="0054015D" w:rsidP="0054015D" w:rsidRDefault="0054015D" w14:paraId="2EB4E5D8" w14:textId="77777777">
      <w:pPr>
        <w:rPr>
          <w:rFonts w:ascii="Book Antiqua" w:hAnsi="Book Antiqua"/>
          <w:sz w:val="26"/>
          <w:szCs w:val="26"/>
        </w:rPr>
      </w:pPr>
    </w:p>
    <w:p w:rsidR="0054015D" w:rsidP="0054015D" w:rsidRDefault="0054015D" w14:paraId="6CE26DBA" w14:textId="77777777">
      <w:pPr>
        <w:rPr>
          <w:rFonts w:ascii="Book Antiqua" w:hAnsi="Book Antiqua"/>
          <w:sz w:val="26"/>
          <w:szCs w:val="26"/>
        </w:rPr>
      </w:pPr>
      <w:r>
        <w:rPr>
          <w:rFonts w:ascii="Book Antiqua" w:hAnsi="Book Antiqua"/>
          <w:sz w:val="26"/>
          <w:szCs w:val="26"/>
        </w:rPr>
        <w:t xml:space="preserve">On July 3, 2025, CD tendered the mandatory compliance filing along with a </w:t>
      </w:r>
      <w:r w:rsidRPr="009C5DB5">
        <w:rPr>
          <w:rFonts w:ascii="Book Antiqua" w:hAnsi="Book Antiqua"/>
          <w:i/>
          <w:iCs/>
          <w:sz w:val="26"/>
          <w:szCs w:val="26"/>
        </w:rPr>
        <w:t>Communications Division Motion to Accept Late Compliance Filing</w:t>
      </w:r>
      <w:r>
        <w:rPr>
          <w:rFonts w:ascii="Book Antiqua" w:hAnsi="Book Antiqua"/>
          <w:sz w:val="26"/>
          <w:szCs w:val="26"/>
        </w:rPr>
        <w:t xml:space="preserve">. On July 15, 2025, the assigned Administrative Law Judge granted the motion.  </w:t>
      </w:r>
    </w:p>
    <w:p w:rsidR="0054015D" w:rsidP="0054015D" w:rsidRDefault="0054015D" w14:paraId="459865BE" w14:textId="77777777">
      <w:pPr>
        <w:rPr>
          <w:rFonts w:ascii="Book Antiqua" w:hAnsi="Book Antiqua"/>
          <w:sz w:val="26"/>
          <w:szCs w:val="26"/>
        </w:rPr>
      </w:pPr>
      <w:r>
        <w:rPr>
          <w:rFonts w:ascii="Book Antiqua" w:hAnsi="Book Antiqua"/>
          <w:sz w:val="26"/>
          <w:szCs w:val="26"/>
        </w:rPr>
        <w:t xml:space="preserve">On August 5, 2025, the Administrative Law Judge held the noticed hearing remotely over </w:t>
      </w:r>
      <w:proofErr w:type="spellStart"/>
      <w:r>
        <w:rPr>
          <w:rFonts w:ascii="Book Antiqua" w:hAnsi="Book Antiqua"/>
          <w:sz w:val="26"/>
          <w:szCs w:val="26"/>
        </w:rPr>
        <w:t>WebEx</w:t>
      </w:r>
      <w:proofErr w:type="spellEnd"/>
      <w:r>
        <w:rPr>
          <w:rFonts w:ascii="Book Antiqua" w:hAnsi="Book Antiqua"/>
          <w:sz w:val="26"/>
          <w:szCs w:val="26"/>
        </w:rPr>
        <w:t xml:space="preserve">. CD and Mr. Harold Barr, Barr Tell’s President, representing Barr Tell, appeared at the hearing. </w:t>
      </w:r>
    </w:p>
    <w:p w:rsidR="0054015D" w:rsidP="0054015D" w:rsidRDefault="0054015D" w14:paraId="0283F688" w14:textId="77777777">
      <w:pPr>
        <w:rPr>
          <w:rFonts w:ascii="Book Antiqua" w:hAnsi="Book Antiqua"/>
          <w:sz w:val="26"/>
          <w:szCs w:val="26"/>
        </w:rPr>
      </w:pPr>
      <w:r>
        <w:rPr>
          <w:rFonts w:ascii="Book Antiqua" w:hAnsi="Book Antiqua"/>
          <w:sz w:val="26"/>
          <w:szCs w:val="26"/>
        </w:rPr>
        <w:t xml:space="preserve">At hearing, CD moved to have all its exhibits received into evidence in the proceeding without objection from Barr Tell. The Administrative Law Judge granted the motion and moved all exhibits into the record. </w:t>
      </w:r>
    </w:p>
    <w:p w:rsidR="0054015D" w:rsidP="0054015D" w:rsidRDefault="0054015D" w14:paraId="1B955DFB" w14:textId="77777777">
      <w:pPr>
        <w:rPr>
          <w:rFonts w:ascii="Book Antiqua" w:hAnsi="Book Antiqua"/>
          <w:sz w:val="26"/>
          <w:szCs w:val="26"/>
        </w:rPr>
      </w:pPr>
    </w:p>
    <w:p w:rsidR="0054015D" w:rsidP="0054015D" w:rsidRDefault="0054015D" w14:paraId="4C431DDB" w14:textId="77777777">
      <w:pPr>
        <w:keepNext/>
        <w:rPr>
          <w:rFonts w:ascii="Book Antiqua" w:hAnsi="Book Antiqua"/>
          <w:b/>
          <w:sz w:val="26"/>
          <w:szCs w:val="26"/>
          <w:u w:val="single"/>
        </w:rPr>
      </w:pPr>
      <w:r>
        <w:rPr>
          <w:rFonts w:ascii="Book Antiqua" w:hAnsi="Book Antiqua"/>
          <w:b/>
          <w:sz w:val="26"/>
          <w:szCs w:val="26"/>
          <w:u w:val="single"/>
        </w:rPr>
        <w:t>RESOLUTION OF THE APPEAL</w:t>
      </w:r>
    </w:p>
    <w:p w:rsidRPr="00041C0A" w:rsidR="0054015D" w:rsidP="0054015D" w:rsidRDefault="0054015D" w14:paraId="75A4F1EF" w14:textId="77777777">
      <w:pPr>
        <w:keepNext/>
        <w:rPr>
          <w:rFonts w:ascii="Book Antiqua" w:hAnsi="Book Antiqua"/>
          <w:b/>
          <w:sz w:val="26"/>
          <w:szCs w:val="26"/>
          <w:u w:val="single"/>
        </w:rPr>
      </w:pPr>
    </w:p>
    <w:p w:rsidRPr="00314ABB" w:rsidR="0054015D" w:rsidP="0054015D" w:rsidRDefault="0054015D" w14:paraId="45DD49D4" w14:textId="77777777">
      <w:pPr>
        <w:rPr>
          <w:rFonts w:ascii="Book Antiqua" w:hAnsi="Book Antiqua"/>
          <w:sz w:val="26"/>
          <w:szCs w:val="26"/>
        </w:rPr>
      </w:pPr>
      <w:r w:rsidRPr="00D04764">
        <w:rPr>
          <w:rFonts w:ascii="Book Antiqua" w:hAnsi="Book Antiqua"/>
          <w:sz w:val="26"/>
          <w:szCs w:val="26"/>
        </w:rPr>
        <w:t>The Commission regulates telecommunications carriers primarily pursuant to the Pub. Util. Code Sections 701, 2101, and 2017</w:t>
      </w:r>
      <w:r>
        <w:rPr>
          <w:rFonts w:ascii="Book Antiqua" w:hAnsi="Book Antiqua"/>
          <w:sz w:val="26"/>
          <w:szCs w:val="26"/>
        </w:rPr>
        <w:t>,</w:t>
      </w:r>
      <w:r w:rsidRPr="00D04764">
        <w:rPr>
          <w:rFonts w:ascii="Book Antiqua" w:hAnsi="Book Antiqua"/>
          <w:sz w:val="26"/>
          <w:szCs w:val="26"/>
        </w:rPr>
        <w:t xml:space="preserve"> as well as Commission Orders, Resolutions, and Decisions</w:t>
      </w:r>
      <w:r>
        <w:rPr>
          <w:rStyle w:val="FootnoteReference"/>
          <w:rFonts w:ascii="Book Antiqua" w:hAnsi="Book Antiqua"/>
          <w:sz w:val="26"/>
          <w:szCs w:val="26"/>
        </w:rPr>
        <w:footnoteReference w:id="5"/>
      </w:r>
      <w:r w:rsidRPr="00D04764">
        <w:rPr>
          <w:rFonts w:ascii="Book Antiqua" w:hAnsi="Book Antiqua"/>
          <w:sz w:val="26"/>
          <w:szCs w:val="26"/>
        </w:rPr>
        <w:t xml:space="preserve">. </w:t>
      </w:r>
      <w:r>
        <w:rPr>
          <w:rFonts w:ascii="Book Antiqua" w:hAnsi="Book Antiqua"/>
          <w:sz w:val="26"/>
          <w:szCs w:val="26"/>
        </w:rPr>
        <w:t>General Order (GO) 153 requires, as relevant here, that telecommunications carriers report and remit their surcharges, reporting deadlines, and interest for late payment of surcharges.</w:t>
      </w:r>
      <w:r>
        <w:rPr>
          <w:rStyle w:val="FootnoteReference"/>
          <w:rFonts w:ascii="Book Antiqua" w:hAnsi="Book Antiqua"/>
          <w:sz w:val="26"/>
          <w:szCs w:val="26"/>
        </w:rPr>
        <w:footnoteReference w:id="6"/>
      </w:r>
      <w:r>
        <w:rPr>
          <w:rFonts w:ascii="Book Antiqua" w:hAnsi="Book Antiqua"/>
          <w:sz w:val="26"/>
          <w:szCs w:val="26"/>
        </w:rPr>
        <w:t xml:space="preserve"> D.22-10-021 requires all telephone carriers to report their access lines.</w:t>
      </w:r>
      <w:r>
        <w:rPr>
          <w:rStyle w:val="FootnoteReference"/>
          <w:rFonts w:ascii="Book Antiqua" w:hAnsi="Book Antiqua"/>
          <w:sz w:val="26"/>
          <w:szCs w:val="26"/>
        </w:rPr>
        <w:footnoteReference w:id="7"/>
      </w:r>
      <w:r w:rsidRPr="00C07768">
        <w:rPr>
          <w:rFonts w:ascii="Book Antiqua" w:hAnsi="Book Antiqua"/>
          <w:sz w:val="26"/>
          <w:szCs w:val="26"/>
          <w:vertAlign w:val="superscript"/>
        </w:rPr>
        <w:t>,</w:t>
      </w:r>
      <w:r>
        <w:rPr>
          <w:rStyle w:val="FootnoteReference"/>
          <w:rFonts w:ascii="Book Antiqua" w:hAnsi="Book Antiqua"/>
          <w:sz w:val="26"/>
          <w:szCs w:val="26"/>
        </w:rPr>
        <w:footnoteReference w:id="8"/>
      </w:r>
      <w:r>
        <w:rPr>
          <w:rFonts w:ascii="Book Antiqua" w:hAnsi="Book Antiqua"/>
          <w:sz w:val="26"/>
          <w:szCs w:val="26"/>
        </w:rPr>
        <w:t xml:space="preserve">   </w:t>
      </w:r>
    </w:p>
    <w:p w:rsidR="0054015D" w:rsidP="0054015D" w:rsidRDefault="0054015D" w14:paraId="556619BD" w14:textId="77777777">
      <w:pPr>
        <w:rPr>
          <w:rFonts w:ascii="Book Antiqua" w:hAnsi="Book Antiqua"/>
          <w:sz w:val="26"/>
          <w:szCs w:val="26"/>
        </w:rPr>
      </w:pPr>
      <w:r w:rsidRPr="00D04764">
        <w:rPr>
          <w:rFonts w:ascii="Book Antiqua" w:hAnsi="Book Antiqua"/>
          <w:sz w:val="26"/>
          <w:szCs w:val="26"/>
        </w:rPr>
        <w:t>Resolution T-17601, issued by the Commission on June 22, 2018,</w:t>
      </w:r>
      <w:r>
        <w:rPr>
          <w:rFonts w:ascii="Book Antiqua" w:hAnsi="Book Antiqua"/>
          <w:sz w:val="26"/>
          <w:szCs w:val="26"/>
        </w:rPr>
        <w:t xml:space="preserve"> authorizes CD</w:t>
      </w:r>
      <w:r w:rsidRPr="00D04764">
        <w:rPr>
          <w:rFonts w:ascii="Book Antiqua" w:hAnsi="Book Antiqua"/>
          <w:sz w:val="26"/>
          <w:szCs w:val="26"/>
        </w:rPr>
        <w:t xml:space="preserve"> to issue citations to telecommunications carriers for violation of the Public Utilities Code and/or Commission orders. </w:t>
      </w:r>
      <w:r>
        <w:rPr>
          <w:rFonts w:ascii="Book Antiqua" w:hAnsi="Book Antiqua"/>
          <w:sz w:val="26"/>
          <w:szCs w:val="26"/>
        </w:rPr>
        <w:t xml:space="preserve">Resolution T-17601 specifically authorizes CD to issue citations and levy scheduled penalties for a telecommunications carrier’s </w:t>
      </w:r>
      <w:r>
        <w:rPr>
          <w:rFonts w:ascii="Book Antiqua" w:hAnsi="Book Antiqua"/>
          <w:sz w:val="26"/>
          <w:szCs w:val="26"/>
        </w:rPr>
        <w:lastRenderedPageBreak/>
        <w:t>failure to report and remit surcharge payments for at least six months.</w:t>
      </w:r>
      <w:r>
        <w:rPr>
          <w:rStyle w:val="FootnoteReference"/>
          <w:rFonts w:ascii="Book Antiqua" w:hAnsi="Book Antiqua"/>
          <w:sz w:val="26"/>
          <w:szCs w:val="26"/>
        </w:rPr>
        <w:footnoteReference w:id="9"/>
      </w:r>
      <w:r>
        <w:rPr>
          <w:rFonts w:ascii="Book Antiqua" w:hAnsi="Book Antiqua"/>
          <w:sz w:val="26"/>
          <w:szCs w:val="26"/>
        </w:rPr>
        <w:t xml:space="preserve"> The failure of a company to report and remit surcharge payments for at least six months will result in a penalty of $1,000 per event up to a maximum of $3,000.</w:t>
      </w:r>
      <w:r>
        <w:rPr>
          <w:rStyle w:val="FootnoteReference"/>
          <w:rFonts w:ascii="Book Antiqua" w:hAnsi="Book Antiqua"/>
          <w:sz w:val="26"/>
          <w:szCs w:val="26"/>
        </w:rPr>
        <w:footnoteReference w:id="10"/>
      </w:r>
      <w:r>
        <w:rPr>
          <w:rFonts w:ascii="Book Antiqua" w:hAnsi="Book Antiqua"/>
          <w:sz w:val="26"/>
          <w:szCs w:val="26"/>
        </w:rPr>
        <w:t xml:space="preserve"> </w:t>
      </w:r>
      <w:r w:rsidRPr="00D04764">
        <w:rPr>
          <w:rFonts w:ascii="Book Antiqua" w:hAnsi="Book Antiqua"/>
          <w:sz w:val="26"/>
          <w:szCs w:val="26"/>
        </w:rPr>
        <w:t xml:space="preserve">In turn, a carrier issued such a citation may accept the fine imposed or contest it </w:t>
      </w:r>
      <w:r>
        <w:rPr>
          <w:rFonts w:ascii="Book Antiqua" w:hAnsi="Book Antiqua"/>
          <w:sz w:val="26"/>
          <w:szCs w:val="26"/>
        </w:rPr>
        <w:t xml:space="preserve">through a process of appeal under Resolution ALJ-377.  </w:t>
      </w:r>
    </w:p>
    <w:p w:rsidRPr="00C07768" w:rsidR="0054015D" w:rsidP="0054015D" w:rsidRDefault="0054015D" w14:paraId="48F64BB0" w14:textId="77777777">
      <w:pPr>
        <w:rPr>
          <w:rFonts w:ascii="Book Antiqua" w:hAnsi="Book Antiqua"/>
          <w:sz w:val="26"/>
          <w:szCs w:val="26"/>
        </w:rPr>
      </w:pPr>
      <w:r w:rsidRPr="00C07768">
        <w:rPr>
          <w:rFonts w:ascii="Book Antiqua" w:hAnsi="Book Antiqua"/>
          <w:sz w:val="26"/>
          <w:szCs w:val="26"/>
        </w:rPr>
        <w:t xml:space="preserve">In </w:t>
      </w:r>
      <w:r>
        <w:rPr>
          <w:rFonts w:ascii="Book Antiqua" w:hAnsi="Book Antiqua"/>
          <w:sz w:val="26"/>
          <w:szCs w:val="26"/>
        </w:rPr>
        <w:t xml:space="preserve">May </w:t>
      </w:r>
      <w:r w:rsidRPr="00C07768">
        <w:rPr>
          <w:rFonts w:ascii="Book Antiqua" w:hAnsi="Book Antiqua"/>
          <w:sz w:val="26"/>
          <w:szCs w:val="26"/>
        </w:rPr>
        <w:t>201</w:t>
      </w:r>
      <w:r>
        <w:rPr>
          <w:rFonts w:ascii="Book Antiqua" w:hAnsi="Book Antiqua"/>
          <w:sz w:val="26"/>
          <w:szCs w:val="26"/>
        </w:rPr>
        <w:t>0</w:t>
      </w:r>
      <w:r w:rsidRPr="00C07768">
        <w:rPr>
          <w:rFonts w:ascii="Book Antiqua" w:hAnsi="Book Antiqua"/>
          <w:sz w:val="26"/>
          <w:szCs w:val="26"/>
        </w:rPr>
        <w:t>, the Commission implemented the TUFFS reporting system for telecommunications carriers to report access lines and pay related surcharges. This system is now referred to as Legacy TUFFS. Telecommunication Carriers would report monthly revenue subject to surcharges in the legacy TUFFS. Legacy TUFFS then aggregated the revenue reported for each of the three months to calculate user fees due for the quarter. In 2022, the Commission updated the reporting requirements and surcharge payments for telecommunications carriers.</w:t>
      </w:r>
      <w:r w:rsidRPr="00C07768">
        <w:rPr>
          <w:rStyle w:val="FootnoteReference"/>
          <w:rFonts w:ascii="Book Antiqua" w:hAnsi="Book Antiqua"/>
          <w:sz w:val="26"/>
          <w:szCs w:val="26"/>
        </w:rPr>
        <w:footnoteReference w:id="11"/>
      </w:r>
      <w:r w:rsidRPr="00C07768">
        <w:rPr>
          <w:rFonts w:ascii="Book Antiqua" w:hAnsi="Book Antiqua"/>
          <w:sz w:val="26"/>
          <w:szCs w:val="26"/>
        </w:rPr>
        <w:t xml:space="preserve"> Following the update to the surcharge mechanism, the Commission also updated the TUFFS reporting system.  </w:t>
      </w:r>
    </w:p>
    <w:p w:rsidR="0054015D" w:rsidP="0054015D" w:rsidRDefault="0054015D" w14:paraId="2BC28B96" w14:textId="77777777">
      <w:pPr>
        <w:spacing w:after="120"/>
        <w:rPr>
          <w:rFonts w:ascii="Book Antiqua" w:hAnsi="Book Antiqua"/>
          <w:sz w:val="26"/>
          <w:szCs w:val="26"/>
        </w:rPr>
      </w:pPr>
      <w:r>
        <w:rPr>
          <w:rFonts w:ascii="Book Antiqua" w:hAnsi="Book Antiqua"/>
          <w:sz w:val="26"/>
          <w:szCs w:val="26"/>
        </w:rPr>
        <w:t xml:space="preserve">Before launching the updated TUFFS reporting system, the Commission notified all Telephone Corporations of the new system. On December 7, 2022, CD sent an email to all Telephone Corporations (including Barr Tell) notifying all Telephone Corporations that beginning May 1, 2023, carriers would be required to access newly created accounts to report their number of access lines using the newly launched Telecommunications &amp; User Fees Filing System (TUFFS). Telephone Corporations began reporting access lines and paying required surcharges using the updated TUFFS system on May 1, 2023.  </w:t>
      </w:r>
    </w:p>
    <w:p w:rsidR="0054015D" w:rsidP="0054015D" w:rsidRDefault="0054015D" w14:paraId="6171BB81" w14:textId="77777777">
      <w:pPr>
        <w:rPr>
          <w:rFonts w:ascii="Book Antiqua" w:hAnsi="Book Antiqua"/>
          <w:sz w:val="26"/>
          <w:szCs w:val="26"/>
        </w:rPr>
      </w:pPr>
      <w:r>
        <w:rPr>
          <w:rFonts w:ascii="Book Antiqua" w:hAnsi="Book Antiqua"/>
          <w:sz w:val="26"/>
          <w:szCs w:val="26"/>
        </w:rPr>
        <w:t>At the hearing, CD testified to and presented exhibits, without objection, that showed the following:</w:t>
      </w:r>
    </w:p>
    <w:p w:rsidR="0054015D" w:rsidP="0054015D" w:rsidRDefault="0054015D" w14:paraId="63331EAD" w14:textId="77777777">
      <w:pPr>
        <w:numPr>
          <w:ilvl w:val="0"/>
          <w:numId w:val="24"/>
        </w:numPr>
        <w:spacing w:after="120"/>
        <w:ind w:left="1080" w:right="1440"/>
        <w:rPr>
          <w:rFonts w:ascii="Book Antiqua" w:hAnsi="Book Antiqua"/>
          <w:sz w:val="26"/>
          <w:szCs w:val="26"/>
        </w:rPr>
      </w:pPr>
      <w:r>
        <w:rPr>
          <w:rFonts w:ascii="Book Antiqua" w:hAnsi="Book Antiqua"/>
          <w:sz w:val="26"/>
          <w:szCs w:val="26"/>
        </w:rPr>
        <w:t>CD notified telecommunication carriers, including Barr Tell, of the new TUFFS system, and of updated reporting requirements before implementing the new system.</w:t>
      </w:r>
    </w:p>
    <w:p w:rsidRPr="00CB7A6F" w:rsidR="0054015D" w:rsidP="0054015D" w:rsidRDefault="0054015D" w14:paraId="3B2CB262" w14:textId="77777777">
      <w:pPr>
        <w:numPr>
          <w:ilvl w:val="0"/>
          <w:numId w:val="24"/>
        </w:numPr>
        <w:spacing w:after="120"/>
        <w:ind w:left="1080" w:right="1440"/>
        <w:rPr>
          <w:rFonts w:ascii="Book Antiqua" w:hAnsi="Book Antiqua"/>
          <w:sz w:val="26"/>
          <w:szCs w:val="26"/>
        </w:rPr>
      </w:pPr>
      <w:r>
        <w:rPr>
          <w:rFonts w:ascii="Book Antiqua" w:hAnsi="Book Antiqua"/>
          <w:sz w:val="26"/>
          <w:szCs w:val="26"/>
        </w:rPr>
        <w:t xml:space="preserve">Between May 2 and May 4, 2023, Mr. Barr reported trouble accessing TUFFS. CD provided technical assistance to Mr. Barr. </w:t>
      </w:r>
    </w:p>
    <w:p w:rsidRPr="00CB7A6F" w:rsidR="0054015D" w:rsidP="0054015D" w:rsidRDefault="0054015D" w14:paraId="3CC423C8" w14:textId="77777777">
      <w:pPr>
        <w:numPr>
          <w:ilvl w:val="0"/>
          <w:numId w:val="24"/>
        </w:numPr>
        <w:spacing w:after="120"/>
        <w:ind w:left="1080" w:right="1440"/>
        <w:rPr>
          <w:rFonts w:ascii="Book Antiqua" w:hAnsi="Book Antiqua"/>
          <w:sz w:val="26"/>
          <w:szCs w:val="26"/>
        </w:rPr>
      </w:pPr>
      <w:r>
        <w:rPr>
          <w:rFonts w:ascii="Book Antiqua" w:hAnsi="Book Antiqua"/>
          <w:sz w:val="26"/>
          <w:szCs w:val="26"/>
        </w:rPr>
        <w:t xml:space="preserve">On May 18, 2023, Barr Tell successfully reported an access line in TUFFS. This report met a due date of August 9, 2023.  </w:t>
      </w:r>
    </w:p>
    <w:p w:rsidRPr="00CB7A6F" w:rsidR="0054015D" w:rsidP="0054015D" w:rsidRDefault="0054015D" w14:paraId="4B9D82C0" w14:textId="77777777">
      <w:pPr>
        <w:numPr>
          <w:ilvl w:val="0"/>
          <w:numId w:val="24"/>
        </w:numPr>
        <w:spacing w:after="120"/>
        <w:ind w:left="1080" w:right="1440"/>
        <w:rPr>
          <w:rFonts w:ascii="Book Antiqua" w:hAnsi="Book Antiqua"/>
          <w:sz w:val="26"/>
          <w:szCs w:val="26"/>
        </w:rPr>
      </w:pPr>
      <w:r>
        <w:rPr>
          <w:rFonts w:ascii="Book Antiqua" w:hAnsi="Book Antiqua"/>
          <w:sz w:val="26"/>
          <w:szCs w:val="26"/>
        </w:rPr>
        <w:lastRenderedPageBreak/>
        <w:t xml:space="preserve">On February 18, 2025, CD notified Barr </w:t>
      </w:r>
      <w:proofErr w:type="gramStart"/>
      <w:r>
        <w:rPr>
          <w:rFonts w:ascii="Book Antiqua" w:hAnsi="Book Antiqua"/>
          <w:sz w:val="26"/>
          <w:szCs w:val="26"/>
        </w:rPr>
        <w:t>Tell</w:t>
      </w:r>
      <w:proofErr w:type="gramEnd"/>
      <w:r>
        <w:rPr>
          <w:rFonts w:ascii="Book Antiqua" w:hAnsi="Book Antiqua"/>
          <w:sz w:val="26"/>
          <w:szCs w:val="26"/>
        </w:rPr>
        <w:t xml:space="preserve"> that it was required to report its number of access lines served in California and remit Public Purpose Program surcharges and user fees.</w:t>
      </w:r>
    </w:p>
    <w:p w:rsidRPr="00CB7A6F" w:rsidR="0054015D" w:rsidP="0054015D" w:rsidRDefault="0054015D" w14:paraId="74ADEA72" w14:textId="77777777">
      <w:pPr>
        <w:numPr>
          <w:ilvl w:val="0"/>
          <w:numId w:val="24"/>
        </w:numPr>
        <w:spacing w:after="120"/>
        <w:ind w:left="1080" w:right="1440"/>
        <w:rPr>
          <w:rFonts w:ascii="Book Antiqua" w:hAnsi="Book Antiqua"/>
          <w:sz w:val="26"/>
          <w:szCs w:val="26"/>
        </w:rPr>
      </w:pPr>
      <w:r>
        <w:rPr>
          <w:rFonts w:ascii="Book Antiqua" w:hAnsi="Book Antiqua"/>
          <w:sz w:val="26"/>
          <w:szCs w:val="26"/>
        </w:rPr>
        <w:t>On May 20, 2025, CD issued a citation to Barr Tell via United States Postal Service mail to Mr. Harold Barr.</w:t>
      </w:r>
    </w:p>
    <w:p w:rsidR="0054015D" w:rsidP="0054015D" w:rsidRDefault="0054015D" w14:paraId="4F080A6E" w14:textId="77777777">
      <w:pPr>
        <w:numPr>
          <w:ilvl w:val="0"/>
          <w:numId w:val="24"/>
        </w:numPr>
        <w:spacing w:after="120"/>
        <w:ind w:left="1080" w:right="1440"/>
        <w:rPr>
          <w:rFonts w:ascii="Book Antiqua" w:hAnsi="Book Antiqua"/>
          <w:sz w:val="26"/>
          <w:szCs w:val="26"/>
        </w:rPr>
      </w:pPr>
      <w:r>
        <w:rPr>
          <w:rFonts w:ascii="Book Antiqua" w:hAnsi="Book Antiqua"/>
          <w:sz w:val="26"/>
          <w:szCs w:val="26"/>
        </w:rPr>
        <w:t>On May 20, 2025, Barr Tell reported access lines in TUFFS. This reporting was 284 days late in violation of both Resolution T-17601 (six-month reporting requirement) and the 40-day surcharge payment requirement.</w:t>
      </w:r>
    </w:p>
    <w:p w:rsidR="0054015D" w:rsidP="0054015D" w:rsidRDefault="0054015D" w14:paraId="0284F0E9" w14:textId="77777777">
      <w:pPr>
        <w:spacing w:after="120"/>
        <w:rPr>
          <w:rFonts w:ascii="Times New Roman" w:hAnsi="Times New Roman"/>
        </w:rPr>
      </w:pPr>
      <w:r>
        <w:rPr>
          <w:rFonts w:ascii="Book Antiqua" w:hAnsi="Book Antiqua"/>
          <w:sz w:val="26"/>
          <w:szCs w:val="26"/>
        </w:rPr>
        <w:t>At the hearing, Mr. Barr testified that he had difficulty accessing TUFFS in May 2023. CD assisted Mr. Barr who was ultimately able to access TUFFS to report and pay, allowing Barr Tell to meet its August 2023 reporting requirements. Mr. Barr also testified that he did not recall CD’s February 2025 notice. Mr. Barr confirmed that Barr Tell reported and paid surcharges on May 20 and 21, 2025. Mr. Barr did not deny or challenge the facts in CD’s exhibits.</w:t>
      </w:r>
    </w:p>
    <w:p w:rsidR="0054015D" w:rsidP="0054015D" w:rsidRDefault="0054015D" w14:paraId="411AD10B" w14:textId="77777777">
      <w:pPr>
        <w:rPr>
          <w:rFonts w:ascii="Book Antiqua" w:hAnsi="Book Antiqua"/>
          <w:sz w:val="26"/>
          <w:szCs w:val="26"/>
        </w:rPr>
      </w:pPr>
      <w:r>
        <w:rPr>
          <w:rFonts w:ascii="Book Antiqua" w:hAnsi="Book Antiqua"/>
          <w:sz w:val="26"/>
          <w:szCs w:val="26"/>
        </w:rPr>
        <w:t xml:space="preserve">All CPCN holders are notified of their regulatory obligations at the time the Commission issues them a CPCN. Barr Tell failed to timely report several lines on May 20, 2025, and failed to timely remit Public Purpose Program surcharge payment for those lines as required. Although Mr. Barr did not recall receiving CD’s February 18, </w:t>
      </w:r>
      <w:proofErr w:type="gramStart"/>
      <w:r>
        <w:rPr>
          <w:rFonts w:ascii="Book Antiqua" w:hAnsi="Book Antiqua"/>
          <w:sz w:val="26"/>
          <w:szCs w:val="26"/>
        </w:rPr>
        <w:t>2025</w:t>
      </w:r>
      <w:proofErr w:type="gramEnd"/>
      <w:r>
        <w:rPr>
          <w:rFonts w:ascii="Book Antiqua" w:hAnsi="Book Antiqua"/>
          <w:sz w:val="26"/>
          <w:szCs w:val="26"/>
        </w:rPr>
        <w:t xml:space="preserve"> notice, Barr Tell is presumed to have read that correspondence. More importantly, Barr Tell, like all other telecommunications carriers, must meet its regulatory requirements. We note that Barr Tell, reported access lines and paid required surcharges immediately upon receiving the citation which brings them back into compliance with their regulatory obligations.  However, Barr Tell has not met their burden to show error in citation or penalty asserted.  </w:t>
      </w:r>
    </w:p>
    <w:p w:rsidR="0054015D" w:rsidP="0054015D" w:rsidRDefault="0054015D" w14:paraId="3CD267E5" w14:textId="77777777">
      <w:pPr>
        <w:rPr>
          <w:rFonts w:ascii="Book Antiqua" w:hAnsi="Book Antiqua"/>
          <w:sz w:val="26"/>
          <w:szCs w:val="26"/>
        </w:rPr>
      </w:pPr>
      <w:r>
        <w:rPr>
          <w:rFonts w:ascii="Book Antiqua" w:hAnsi="Book Antiqua"/>
          <w:sz w:val="26"/>
          <w:szCs w:val="26"/>
        </w:rPr>
        <w:t xml:space="preserve">Therefore, the penalty is sustained, and the appeal is denied. </w:t>
      </w:r>
    </w:p>
    <w:p w:rsidRPr="0066604A" w:rsidR="0054015D" w:rsidP="0054015D" w:rsidRDefault="0054015D" w14:paraId="6D05B0E2" w14:textId="77777777">
      <w:pPr>
        <w:rPr>
          <w:rFonts w:ascii="Book Antiqua" w:hAnsi="Book Antiqua"/>
          <w:sz w:val="26"/>
          <w:szCs w:val="26"/>
        </w:rPr>
      </w:pPr>
    </w:p>
    <w:p w:rsidR="0054015D" w:rsidP="0054015D" w:rsidRDefault="0054015D" w14:paraId="6EE87EF3" w14:textId="77777777">
      <w:pPr>
        <w:keepNext/>
        <w:rPr>
          <w:rFonts w:ascii="Book Antiqua" w:hAnsi="Book Antiqua"/>
          <w:b/>
          <w:sz w:val="26"/>
          <w:szCs w:val="26"/>
          <w:u w:val="single"/>
        </w:rPr>
      </w:pPr>
      <w:r w:rsidRPr="00053FCA">
        <w:rPr>
          <w:rFonts w:ascii="Book Antiqua" w:hAnsi="Book Antiqua"/>
          <w:b/>
          <w:sz w:val="26"/>
          <w:szCs w:val="26"/>
          <w:u w:val="single"/>
        </w:rPr>
        <w:t>SAFETY</w:t>
      </w:r>
    </w:p>
    <w:p w:rsidRPr="00053FCA" w:rsidR="0054015D" w:rsidP="0054015D" w:rsidRDefault="0054015D" w14:paraId="685B2A69" w14:textId="77777777">
      <w:pPr>
        <w:keepNext/>
        <w:rPr>
          <w:rFonts w:ascii="Book Antiqua" w:hAnsi="Book Antiqua"/>
          <w:b/>
          <w:sz w:val="26"/>
          <w:szCs w:val="26"/>
          <w:u w:val="single"/>
        </w:rPr>
      </w:pPr>
    </w:p>
    <w:p w:rsidRPr="00053FCA" w:rsidR="0054015D" w:rsidP="0054015D" w:rsidRDefault="0054015D" w14:paraId="0C76DAFC" w14:textId="77777777">
      <w:pPr>
        <w:rPr>
          <w:rFonts w:ascii="Book Antiqua" w:hAnsi="Book Antiqua"/>
          <w:sz w:val="26"/>
          <w:szCs w:val="26"/>
        </w:rPr>
      </w:pPr>
      <w:r w:rsidRPr="00053FCA">
        <w:rPr>
          <w:rFonts w:ascii="Book Antiqua" w:hAnsi="Book Antiqua"/>
          <w:sz w:val="26"/>
          <w:szCs w:val="26"/>
        </w:rPr>
        <w:t xml:space="preserve">The Commission has broad authority to regulate public utilities, particularly </w:t>
      </w:r>
    </w:p>
    <w:p w:rsidRPr="00053FCA" w:rsidR="0054015D" w:rsidP="0054015D" w:rsidRDefault="0054015D" w14:paraId="46BBAB0C" w14:textId="77777777">
      <w:pPr>
        <w:rPr>
          <w:rFonts w:ascii="Book Antiqua" w:hAnsi="Book Antiqua"/>
          <w:sz w:val="26"/>
          <w:szCs w:val="26"/>
        </w:rPr>
      </w:pPr>
      <w:r w:rsidRPr="00053FCA">
        <w:rPr>
          <w:rFonts w:ascii="Book Antiqua" w:hAnsi="Book Antiqua"/>
          <w:sz w:val="26"/>
          <w:szCs w:val="26"/>
        </w:rPr>
        <w:t xml:space="preserve">regarding safety concerns. Although </w:t>
      </w:r>
      <w:r>
        <w:rPr>
          <w:rFonts w:ascii="Book Antiqua" w:hAnsi="Book Antiqua"/>
          <w:sz w:val="26"/>
          <w:szCs w:val="26"/>
        </w:rPr>
        <w:t>Barr Tell’s</w:t>
      </w:r>
      <w:r w:rsidRPr="00053FCA">
        <w:rPr>
          <w:rFonts w:ascii="Book Antiqua" w:hAnsi="Book Antiqua"/>
          <w:sz w:val="26"/>
          <w:szCs w:val="26"/>
        </w:rPr>
        <w:t xml:space="preserve"> failure to</w:t>
      </w:r>
      <w:r>
        <w:rPr>
          <w:rFonts w:ascii="Book Antiqua" w:hAnsi="Book Antiqua"/>
          <w:sz w:val="26"/>
          <w:szCs w:val="26"/>
        </w:rPr>
        <w:t xml:space="preserve"> timely report and remit surcharge payments </w:t>
      </w:r>
      <w:r w:rsidRPr="00053FCA">
        <w:rPr>
          <w:rFonts w:ascii="Book Antiqua" w:hAnsi="Book Antiqua"/>
          <w:sz w:val="26"/>
          <w:szCs w:val="26"/>
        </w:rPr>
        <w:t xml:space="preserve">did not </w:t>
      </w:r>
      <w:r>
        <w:rPr>
          <w:rFonts w:ascii="Book Antiqua" w:hAnsi="Book Antiqua"/>
          <w:sz w:val="26"/>
          <w:szCs w:val="26"/>
        </w:rPr>
        <w:t>pose any direct safety concerns</w:t>
      </w:r>
      <w:r w:rsidRPr="00053FCA">
        <w:rPr>
          <w:rFonts w:ascii="Book Antiqua" w:hAnsi="Book Antiqua"/>
          <w:sz w:val="26"/>
          <w:szCs w:val="26"/>
        </w:rPr>
        <w:t>,</w:t>
      </w:r>
      <w:r>
        <w:rPr>
          <w:rFonts w:ascii="Book Antiqua" w:hAnsi="Book Antiqua"/>
          <w:sz w:val="26"/>
          <w:szCs w:val="26"/>
        </w:rPr>
        <w:t xml:space="preserve"> </w:t>
      </w:r>
      <w:r w:rsidRPr="00053FCA">
        <w:rPr>
          <w:rFonts w:ascii="Book Antiqua" w:hAnsi="Book Antiqua"/>
          <w:sz w:val="26"/>
          <w:szCs w:val="26"/>
        </w:rPr>
        <w:t>the integrity of the regulatory process</w:t>
      </w:r>
      <w:r>
        <w:rPr>
          <w:rFonts w:ascii="Book Antiqua" w:hAnsi="Book Antiqua"/>
          <w:sz w:val="26"/>
          <w:szCs w:val="26"/>
        </w:rPr>
        <w:t xml:space="preserve"> and remission of surcharges for public utilities furthers safety through regulatory compliance. </w:t>
      </w:r>
    </w:p>
    <w:p w:rsidR="0054015D" w:rsidP="0054015D" w:rsidRDefault="0054015D" w14:paraId="289DB95D" w14:textId="77777777">
      <w:pPr>
        <w:contextualSpacing/>
        <w:rPr>
          <w:rFonts w:ascii="Book Antiqua" w:hAnsi="Book Antiqua"/>
          <w:bCs/>
          <w:caps/>
          <w:sz w:val="26"/>
          <w:szCs w:val="26"/>
        </w:rPr>
      </w:pPr>
    </w:p>
    <w:p w:rsidR="0054015D" w:rsidP="0054015D" w:rsidRDefault="0054015D" w14:paraId="0A46F16F" w14:textId="77777777">
      <w:pPr>
        <w:contextualSpacing/>
        <w:rPr>
          <w:rFonts w:ascii="Book Antiqua" w:hAnsi="Book Antiqua"/>
          <w:bCs/>
          <w:caps/>
          <w:sz w:val="26"/>
          <w:szCs w:val="26"/>
        </w:rPr>
      </w:pPr>
    </w:p>
    <w:p w:rsidRPr="00041C0A" w:rsidR="0054015D" w:rsidP="0054015D" w:rsidRDefault="0054015D" w14:paraId="115C3546" w14:textId="77777777">
      <w:pPr>
        <w:contextualSpacing/>
        <w:rPr>
          <w:rFonts w:ascii="Book Antiqua" w:hAnsi="Book Antiqua"/>
          <w:bCs/>
          <w:caps/>
          <w:sz w:val="26"/>
          <w:szCs w:val="26"/>
        </w:rPr>
      </w:pPr>
    </w:p>
    <w:p w:rsidRPr="00041C0A" w:rsidR="0054015D" w:rsidP="0054015D" w:rsidRDefault="0054015D" w14:paraId="45DCDBA2" w14:textId="77777777">
      <w:pPr>
        <w:rPr>
          <w:rFonts w:ascii="Book Antiqua" w:hAnsi="Book Antiqua"/>
          <w:b/>
          <w:sz w:val="26"/>
          <w:szCs w:val="26"/>
          <w:u w:val="single"/>
        </w:rPr>
      </w:pPr>
      <w:r w:rsidRPr="00041C0A">
        <w:rPr>
          <w:rFonts w:ascii="Book Antiqua" w:hAnsi="Book Antiqua"/>
          <w:b/>
          <w:sz w:val="26"/>
          <w:szCs w:val="26"/>
          <w:u w:val="single"/>
        </w:rPr>
        <w:lastRenderedPageBreak/>
        <w:t>COMMENTS</w:t>
      </w:r>
    </w:p>
    <w:p w:rsidRPr="00041C0A" w:rsidR="0054015D" w:rsidP="0054015D" w:rsidRDefault="0054015D" w14:paraId="44E2AE31" w14:textId="77777777">
      <w:pPr>
        <w:rPr>
          <w:rFonts w:ascii="Book Antiqua" w:hAnsi="Book Antiqua"/>
          <w:sz w:val="26"/>
          <w:szCs w:val="26"/>
        </w:rPr>
      </w:pPr>
    </w:p>
    <w:p w:rsidR="0054015D" w:rsidP="0054015D" w:rsidRDefault="0054015D" w14:paraId="47416D8F" w14:textId="77777777">
      <w:pPr>
        <w:rPr>
          <w:rFonts w:ascii="Book Antiqua" w:hAnsi="Book Antiqua"/>
          <w:sz w:val="26"/>
          <w:szCs w:val="26"/>
        </w:rPr>
      </w:pPr>
      <w:r>
        <w:rPr>
          <w:rFonts w:ascii="Book Antiqua" w:hAnsi="Book Antiqua"/>
          <w:sz w:val="26"/>
          <w:szCs w:val="26"/>
        </w:rPr>
        <w:t xml:space="preserve">Comments are allowed on this Resolution as required by Pub. Util. </w:t>
      </w:r>
      <w:r w:rsidRPr="00CB5579">
        <w:rPr>
          <w:rFonts w:ascii="Book Antiqua" w:hAnsi="Book Antiqua"/>
          <w:sz w:val="26"/>
          <w:szCs w:val="26"/>
        </w:rPr>
        <w:t>Code §311(g)</w:t>
      </w:r>
      <w:r>
        <w:rPr>
          <w:rFonts w:ascii="Book Antiqua" w:hAnsi="Book Antiqua"/>
          <w:sz w:val="26"/>
          <w:szCs w:val="26"/>
        </w:rPr>
        <w:t xml:space="preserve"> and Rule 14.5 of the Commission’s Rules of Practice and Procedure. A </w:t>
      </w:r>
      <w:r w:rsidRPr="00CB5579">
        <w:rPr>
          <w:rFonts w:ascii="Book Antiqua" w:hAnsi="Book Antiqua"/>
          <w:sz w:val="26"/>
          <w:szCs w:val="26"/>
        </w:rPr>
        <w:t xml:space="preserve">draft </w:t>
      </w:r>
      <w:r>
        <w:rPr>
          <w:rFonts w:ascii="Book Antiqua" w:hAnsi="Book Antiqua"/>
          <w:sz w:val="26"/>
          <w:szCs w:val="26"/>
        </w:rPr>
        <w:t xml:space="preserve">of today’s </w:t>
      </w:r>
      <w:r w:rsidRPr="00CB5579">
        <w:rPr>
          <w:rFonts w:ascii="Book Antiqua" w:hAnsi="Book Antiqua"/>
          <w:sz w:val="26"/>
          <w:szCs w:val="26"/>
        </w:rPr>
        <w:t xml:space="preserve">Resolution was </w:t>
      </w:r>
      <w:r>
        <w:rPr>
          <w:rFonts w:ascii="Book Antiqua" w:hAnsi="Book Antiqua"/>
          <w:sz w:val="26"/>
          <w:szCs w:val="26"/>
        </w:rPr>
        <w:t>distributed</w:t>
      </w:r>
      <w:r w:rsidRPr="00CB5579">
        <w:rPr>
          <w:rFonts w:ascii="Book Antiqua" w:hAnsi="Book Antiqua"/>
          <w:sz w:val="26"/>
          <w:szCs w:val="26"/>
        </w:rPr>
        <w:t xml:space="preserve"> for comment</w:t>
      </w:r>
      <w:r>
        <w:rPr>
          <w:rFonts w:ascii="Book Antiqua" w:hAnsi="Book Antiqua"/>
          <w:sz w:val="26"/>
          <w:szCs w:val="26"/>
        </w:rPr>
        <w:t xml:space="preserve"> by the interested parties on November 14, </w:t>
      </w:r>
      <w:proofErr w:type="gramStart"/>
      <w:r>
        <w:rPr>
          <w:rFonts w:ascii="Book Antiqua" w:hAnsi="Book Antiqua"/>
          <w:sz w:val="26"/>
          <w:szCs w:val="26"/>
        </w:rPr>
        <w:t>2025.</w:t>
      </w:r>
      <w:r w:rsidRPr="00CB5579">
        <w:rPr>
          <w:rFonts w:ascii="Book Antiqua" w:hAnsi="Book Antiqua"/>
          <w:sz w:val="26"/>
          <w:szCs w:val="26"/>
        </w:rPr>
        <w:t>.</w:t>
      </w:r>
      <w:proofErr w:type="gramEnd"/>
      <w:r w:rsidRPr="00CB5579">
        <w:rPr>
          <w:rFonts w:ascii="Book Antiqua" w:hAnsi="Book Antiqua"/>
          <w:sz w:val="26"/>
          <w:szCs w:val="26"/>
        </w:rPr>
        <w:t xml:space="preserve"> </w:t>
      </w:r>
    </w:p>
    <w:p w:rsidR="0054015D" w:rsidP="0054015D" w:rsidRDefault="0054015D" w14:paraId="3414E609" w14:textId="77777777">
      <w:pPr>
        <w:rPr>
          <w:rFonts w:ascii="Book Antiqua" w:hAnsi="Book Antiqua"/>
          <w:sz w:val="26"/>
          <w:szCs w:val="26"/>
        </w:rPr>
      </w:pPr>
    </w:p>
    <w:p w:rsidRPr="00041C0A" w:rsidR="0054015D" w:rsidP="0054015D" w:rsidRDefault="0054015D" w14:paraId="20C9AE01" w14:textId="77777777">
      <w:pPr>
        <w:rPr>
          <w:rFonts w:ascii="Book Antiqua" w:hAnsi="Book Antiqua"/>
          <w:sz w:val="26"/>
          <w:szCs w:val="26"/>
        </w:rPr>
      </w:pPr>
      <w:r w:rsidRPr="009F5AB4">
        <w:rPr>
          <w:rFonts w:ascii="Book Antiqua" w:hAnsi="Book Antiqua"/>
          <w:sz w:val="26"/>
          <w:szCs w:val="26"/>
        </w:rPr>
        <w:t>Comment was received from Communication Division (CD) noting that whereas the appeal of the Citation was denied, an order should issue for Appellant to correct the violations in the Citation by reporting the number of access lines and remitting its Public Purpose Program surcharges and user fees</w:t>
      </w:r>
      <w:r>
        <w:rPr>
          <w:rFonts w:ascii="Book Antiqua" w:hAnsi="Book Antiqua"/>
          <w:sz w:val="26"/>
          <w:szCs w:val="26"/>
        </w:rPr>
        <w:t xml:space="preserve">, as noted in the Findings of Fact and Conclusions of Law. </w:t>
      </w:r>
      <w:r w:rsidRPr="009F5AB4">
        <w:rPr>
          <w:rFonts w:ascii="Book Antiqua" w:hAnsi="Book Antiqua"/>
          <w:sz w:val="26"/>
          <w:szCs w:val="26"/>
        </w:rPr>
        <w:t>An Ordering Paragraph is added to require Appellant to correct the violations from the Citation.</w:t>
      </w:r>
    </w:p>
    <w:p w:rsidR="0054015D" w:rsidP="0054015D" w:rsidRDefault="0054015D" w14:paraId="742521D2" w14:textId="77777777">
      <w:pPr>
        <w:keepNext/>
        <w:rPr>
          <w:rFonts w:ascii="Book Antiqua" w:hAnsi="Book Antiqua"/>
          <w:b/>
          <w:sz w:val="26"/>
          <w:szCs w:val="26"/>
          <w:u w:val="single"/>
        </w:rPr>
      </w:pPr>
    </w:p>
    <w:p w:rsidR="0054015D" w:rsidP="0054015D" w:rsidRDefault="0054015D" w14:paraId="4F8F5DBD" w14:textId="77777777">
      <w:pPr>
        <w:keepNext/>
        <w:rPr>
          <w:rFonts w:ascii="Book Antiqua" w:hAnsi="Book Antiqua"/>
          <w:b/>
          <w:sz w:val="26"/>
          <w:szCs w:val="26"/>
          <w:u w:val="single"/>
        </w:rPr>
      </w:pPr>
      <w:r w:rsidRPr="00CB5579">
        <w:rPr>
          <w:rFonts w:ascii="Book Antiqua" w:hAnsi="Book Antiqua"/>
          <w:b/>
          <w:sz w:val="26"/>
          <w:szCs w:val="26"/>
          <w:u w:val="single"/>
        </w:rPr>
        <w:t xml:space="preserve">ASSIGNMENT OF PROCEEDING </w:t>
      </w:r>
    </w:p>
    <w:p w:rsidRPr="00CB5579" w:rsidR="0054015D" w:rsidP="0054015D" w:rsidRDefault="0054015D" w14:paraId="4A0BFD97" w14:textId="77777777">
      <w:pPr>
        <w:keepNext/>
        <w:rPr>
          <w:rFonts w:ascii="Book Antiqua" w:hAnsi="Book Antiqua"/>
          <w:b/>
          <w:sz w:val="26"/>
          <w:szCs w:val="26"/>
          <w:u w:val="single"/>
        </w:rPr>
      </w:pPr>
    </w:p>
    <w:p w:rsidR="0054015D" w:rsidP="0054015D" w:rsidRDefault="0054015D" w14:paraId="490C7334" w14:textId="77777777">
      <w:pPr>
        <w:keepNext/>
        <w:rPr>
          <w:rFonts w:ascii="Book Antiqua" w:hAnsi="Book Antiqua"/>
          <w:bCs/>
          <w:sz w:val="26"/>
          <w:szCs w:val="26"/>
        </w:rPr>
      </w:pPr>
      <w:r>
        <w:rPr>
          <w:rFonts w:ascii="Book Antiqua" w:hAnsi="Book Antiqua"/>
          <w:bCs/>
          <w:sz w:val="26"/>
          <w:szCs w:val="26"/>
        </w:rPr>
        <w:t>Theresa Moore</w:t>
      </w:r>
      <w:r w:rsidRPr="00CB5579">
        <w:rPr>
          <w:rFonts w:ascii="Book Antiqua" w:hAnsi="Book Antiqua"/>
          <w:bCs/>
          <w:sz w:val="26"/>
          <w:szCs w:val="26"/>
        </w:rPr>
        <w:t xml:space="preserve"> is the assigned Administrative Law Judge for this citation appeal.</w:t>
      </w:r>
    </w:p>
    <w:p w:rsidR="0054015D" w:rsidP="0054015D" w:rsidRDefault="0054015D" w14:paraId="7DAC7A90" w14:textId="77777777">
      <w:pPr>
        <w:keepNext/>
        <w:contextualSpacing/>
        <w:rPr>
          <w:rFonts w:ascii="Book Antiqua" w:hAnsi="Book Antiqua"/>
          <w:bCs/>
          <w:sz w:val="26"/>
          <w:szCs w:val="26"/>
        </w:rPr>
      </w:pPr>
    </w:p>
    <w:p w:rsidRPr="007232A1" w:rsidR="0054015D" w:rsidP="0054015D" w:rsidRDefault="0054015D" w14:paraId="5CE6DCFF" w14:textId="77777777">
      <w:pPr>
        <w:keepNext/>
        <w:contextualSpacing/>
        <w:rPr>
          <w:rFonts w:ascii="Book Antiqua" w:hAnsi="Book Antiqua"/>
          <w:b/>
          <w:sz w:val="26"/>
          <w:szCs w:val="26"/>
          <w:u w:val="single"/>
        </w:rPr>
      </w:pPr>
      <w:r w:rsidRPr="007232A1">
        <w:rPr>
          <w:rFonts w:ascii="Book Antiqua" w:hAnsi="Book Antiqua"/>
          <w:b/>
          <w:sz w:val="26"/>
          <w:szCs w:val="26"/>
          <w:u w:val="single"/>
        </w:rPr>
        <w:t>FINDINGS OF FACT</w:t>
      </w:r>
    </w:p>
    <w:p w:rsidR="0054015D" w:rsidP="0054015D" w:rsidRDefault="0054015D" w14:paraId="1FB9180D" w14:textId="77777777">
      <w:pPr>
        <w:keepNext/>
        <w:contextualSpacing/>
        <w:rPr>
          <w:rFonts w:ascii="Book Antiqua" w:hAnsi="Book Antiqua"/>
          <w:b/>
          <w:sz w:val="26"/>
          <w:szCs w:val="26"/>
          <w:u w:val="single"/>
        </w:rPr>
      </w:pPr>
    </w:p>
    <w:p w:rsidR="0054015D" w:rsidP="0054015D" w:rsidRDefault="0054015D" w14:paraId="1ADC7667" w14:textId="77777777">
      <w:pPr>
        <w:numPr>
          <w:ilvl w:val="0"/>
          <w:numId w:val="22"/>
        </w:numPr>
        <w:spacing w:after="120"/>
        <w:ind w:left="1080" w:right="1440"/>
        <w:rPr>
          <w:rFonts w:ascii="Book Antiqua" w:hAnsi="Book Antiqua"/>
          <w:sz w:val="26"/>
          <w:szCs w:val="26"/>
        </w:rPr>
      </w:pPr>
      <w:r>
        <w:rPr>
          <w:rFonts w:ascii="Book Antiqua" w:hAnsi="Book Antiqua"/>
          <w:sz w:val="26"/>
          <w:szCs w:val="26"/>
        </w:rPr>
        <w:t xml:space="preserve">On May 20, 2025, CD issued Citation No. CD-2025-05-014 to Barr Tell for failure to meet its surcharge obligations, including failure to report number of access lines, and failure to remit Public Purpose Program surcharges and user fees. </w:t>
      </w:r>
    </w:p>
    <w:p w:rsidRPr="005F7371" w:rsidR="0054015D" w:rsidP="0054015D" w:rsidRDefault="0054015D" w14:paraId="16B7126E" w14:textId="77777777">
      <w:pPr>
        <w:numPr>
          <w:ilvl w:val="0"/>
          <w:numId w:val="22"/>
        </w:numPr>
        <w:spacing w:after="120"/>
        <w:ind w:left="1080" w:right="1440"/>
        <w:rPr>
          <w:rFonts w:ascii="Book Antiqua" w:hAnsi="Book Antiqua"/>
          <w:sz w:val="26"/>
          <w:szCs w:val="26"/>
        </w:rPr>
      </w:pPr>
      <w:r>
        <w:rPr>
          <w:rFonts w:ascii="Book Antiqua" w:hAnsi="Book Antiqua"/>
          <w:sz w:val="26"/>
          <w:szCs w:val="26"/>
        </w:rPr>
        <w:t xml:space="preserve">By May 20, 2025, Barr Tell had not reported several lines for 284 days, thereby failing to report them and failing to timely remit Public Purpose Program surcharge payment for them as required. </w:t>
      </w:r>
    </w:p>
    <w:p w:rsidR="0054015D" w:rsidP="0054015D" w:rsidRDefault="0054015D" w14:paraId="084AC49B" w14:textId="77777777">
      <w:pPr>
        <w:numPr>
          <w:ilvl w:val="0"/>
          <w:numId w:val="22"/>
        </w:numPr>
        <w:spacing w:after="120"/>
        <w:ind w:left="1080" w:right="1440"/>
        <w:rPr>
          <w:rFonts w:ascii="Book Antiqua" w:hAnsi="Book Antiqua"/>
          <w:sz w:val="26"/>
          <w:szCs w:val="26"/>
        </w:rPr>
      </w:pPr>
      <w:r>
        <w:rPr>
          <w:rFonts w:ascii="Book Antiqua" w:hAnsi="Book Antiqua"/>
          <w:sz w:val="26"/>
          <w:szCs w:val="26"/>
        </w:rPr>
        <w:t>No harm to people or property damage resulted from Barr Tell’s failure to timely report and pay the associated surcharges.</w:t>
      </w:r>
    </w:p>
    <w:p w:rsidRPr="00041C0A" w:rsidR="0054015D" w:rsidP="0054015D" w:rsidRDefault="0054015D" w14:paraId="37651C17" w14:textId="77777777">
      <w:pPr>
        <w:numPr>
          <w:ilvl w:val="0"/>
          <w:numId w:val="22"/>
        </w:numPr>
        <w:spacing w:after="120"/>
        <w:ind w:left="1080" w:right="1440"/>
        <w:rPr>
          <w:rFonts w:ascii="Book Antiqua" w:hAnsi="Book Antiqua"/>
          <w:sz w:val="26"/>
          <w:szCs w:val="26"/>
        </w:rPr>
      </w:pPr>
      <w:r>
        <w:rPr>
          <w:rFonts w:ascii="Book Antiqua" w:hAnsi="Book Antiqua"/>
          <w:sz w:val="26"/>
          <w:szCs w:val="26"/>
        </w:rPr>
        <w:t xml:space="preserve">Failure of a regulated utility to meet applicable regulatory requirements harms the Commission’s regulatory process. </w:t>
      </w:r>
    </w:p>
    <w:p w:rsidR="0054015D" w:rsidP="0054015D" w:rsidRDefault="0054015D" w14:paraId="3CF37785" w14:textId="77777777">
      <w:pPr>
        <w:keepNext/>
        <w:rPr>
          <w:rFonts w:ascii="Book Antiqua" w:hAnsi="Book Antiqua"/>
          <w:b/>
          <w:sz w:val="26"/>
          <w:szCs w:val="26"/>
        </w:rPr>
      </w:pPr>
    </w:p>
    <w:p w:rsidR="0054015D" w:rsidP="0054015D" w:rsidRDefault="0054015D" w14:paraId="633D08FF" w14:textId="77777777">
      <w:pPr>
        <w:keepNext/>
        <w:rPr>
          <w:rFonts w:ascii="Book Antiqua" w:hAnsi="Book Antiqua"/>
          <w:b/>
          <w:sz w:val="26"/>
          <w:szCs w:val="26"/>
          <w:u w:val="single"/>
        </w:rPr>
      </w:pPr>
      <w:r w:rsidRPr="00692F6A">
        <w:rPr>
          <w:rFonts w:ascii="Book Antiqua" w:hAnsi="Book Antiqua"/>
          <w:b/>
          <w:sz w:val="26"/>
          <w:szCs w:val="26"/>
          <w:u w:val="single"/>
        </w:rPr>
        <w:t xml:space="preserve">CONCLUSIONS OF LAW </w:t>
      </w:r>
      <w:r w:rsidRPr="00692F6A">
        <w:rPr>
          <w:rFonts w:ascii="Book Antiqua" w:hAnsi="Book Antiqua"/>
          <w:b/>
          <w:sz w:val="26"/>
          <w:szCs w:val="26"/>
          <w:u w:val="single"/>
        </w:rPr>
        <w:cr/>
      </w:r>
    </w:p>
    <w:p w:rsidR="0054015D" w:rsidP="0054015D" w:rsidRDefault="0054015D" w14:paraId="378F1D1E" w14:textId="77777777">
      <w:pPr>
        <w:numPr>
          <w:ilvl w:val="0"/>
          <w:numId w:val="23"/>
        </w:numPr>
        <w:rPr>
          <w:rFonts w:ascii="Book Antiqua" w:hAnsi="Book Antiqua"/>
          <w:bCs/>
          <w:sz w:val="26"/>
          <w:szCs w:val="26"/>
        </w:rPr>
      </w:pPr>
      <w:r>
        <w:rPr>
          <w:rFonts w:ascii="Book Antiqua" w:hAnsi="Book Antiqua"/>
          <w:bCs/>
          <w:sz w:val="26"/>
          <w:szCs w:val="26"/>
        </w:rPr>
        <w:t>GO 153, Section 11 requires telecommunications carriers to report</w:t>
      </w:r>
      <w:r>
        <w:rPr>
          <w:rFonts w:ascii="Book Antiqua" w:hAnsi="Book Antiqua"/>
          <w:sz w:val="26"/>
          <w:szCs w:val="26"/>
        </w:rPr>
        <w:t xml:space="preserve"> and remit their surcharges, reporting deadlines, and interest for late payment of surcharges. </w:t>
      </w:r>
    </w:p>
    <w:p w:rsidRPr="001C3E72" w:rsidR="0054015D" w:rsidP="0054015D" w:rsidRDefault="0054015D" w14:paraId="085CD2C1" w14:textId="77777777">
      <w:pPr>
        <w:rPr>
          <w:rFonts w:ascii="Book Antiqua" w:hAnsi="Book Antiqua"/>
          <w:bCs/>
          <w:sz w:val="26"/>
          <w:szCs w:val="26"/>
        </w:rPr>
      </w:pPr>
    </w:p>
    <w:p w:rsidRPr="000F7125" w:rsidR="0054015D" w:rsidP="0054015D" w:rsidRDefault="0054015D" w14:paraId="6C0DFB32" w14:textId="77777777">
      <w:pPr>
        <w:numPr>
          <w:ilvl w:val="0"/>
          <w:numId w:val="23"/>
        </w:numPr>
        <w:rPr>
          <w:rFonts w:ascii="Book Antiqua" w:hAnsi="Book Antiqua"/>
          <w:bCs/>
          <w:sz w:val="26"/>
          <w:szCs w:val="26"/>
        </w:rPr>
      </w:pPr>
      <w:r>
        <w:rPr>
          <w:rFonts w:ascii="Book Antiqua" w:hAnsi="Book Antiqua"/>
          <w:sz w:val="26"/>
          <w:szCs w:val="26"/>
        </w:rPr>
        <w:t xml:space="preserve">D.22-10-021 requires that telecommunications carriers remit Public Purpose Program surcharge payments no later than 40 days after the close of the applicable reporting period.  </w:t>
      </w:r>
    </w:p>
    <w:p w:rsidR="0054015D" w:rsidP="0054015D" w:rsidRDefault="0054015D" w14:paraId="6F6A9922" w14:textId="77777777">
      <w:pPr>
        <w:ind w:left="720"/>
        <w:rPr>
          <w:rFonts w:ascii="Book Antiqua" w:hAnsi="Book Antiqua"/>
          <w:bCs/>
          <w:sz w:val="26"/>
          <w:szCs w:val="26"/>
        </w:rPr>
      </w:pPr>
    </w:p>
    <w:p w:rsidRPr="0087544E" w:rsidR="0054015D" w:rsidP="0054015D" w:rsidRDefault="0054015D" w14:paraId="6781A3D0" w14:textId="77777777">
      <w:pPr>
        <w:numPr>
          <w:ilvl w:val="0"/>
          <w:numId w:val="23"/>
        </w:numPr>
        <w:rPr>
          <w:rFonts w:ascii="Book Antiqua" w:hAnsi="Book Antiqua"/>
          <w:bCs/>
          <w:sz w:val="26"/>
          <w:szCs w:val="26"/>
        </w:rPr>
      </w:pPr>
      <w:r w:rsidRPr="0087544E">
        <w:rPr>
          <w:rFonts w:ascii="Book Antiqua" w:hAnsi="Book Antiqua"/>
          <w:sz w:val="26"/>
          <w:szCs w:val="26"/>
        </w:rPr>
        <w:t>Resolution T-17601 authorizes CD to issue a citation of $1,000 per event up to a maximum $3,000 for a telecommunications carrier’s failure to report and remit surcharge payments for at least six months.</w:t>
      </w:r>
    </w:p>
    <w:p w:rsidR="0054015D" w:rsidP="0054015D" w:rsidRDefault="0054015D" w14:paraId="73764324" w14:textId="77777777">
      <w:pPr>
        <w:rPr>
          <w:rFonts w:ascii="Book Antiqua" w:hAnsi="Book Antiqua"/>
          <w:bCs/>
          <w:sz w:val="26"/>
          <w:szCs w:val="26"/>
        </w:rPr>
      </w:pPr>
    </w:p>
    <w:p w:rsidRPr="00352A6D" w:rsidR="0054015D" w:rsidP="0054015D" w:rsidRDefault="0054015D" w14:paraId="1AFAC174" w14:textId="77777777">
      <w:pPr>
        <w:numPr>
          <w:ilvl w:val="0"/>
          <w:numId w:val="23"/>
        </w:numPr>
        <w:rPr>
          <w:rFonts w:ascii="Book Antiqua" w:hAnsi="Book Antiqua"/>
          <w:bCs/>
          <w:sz w:val="26"/>
          <w:szCs w:val="26"/>
        </w:rPr>
      </w:pPr>
      <w:r>
        <w:rPr>
          <w:rFonts w:ascii="Book Antiqua" w:hAnsi="Book Antiqua"/>
          <w:bCs/>
          <w:sz w:val="26"/>
          <w:szCs w:val="26"/>
        </w:rPr>
        <w:t xml:space="preserve">The $1,000 fine imposed here is consistent with Pub. Util. </w:t>
      </w:r>
      <w:r w:rsidRPr="001147FA">
        <w:rPr>
          <w:rFonts w:ascii="Book Antiqua" w:hAnsi="Book Antiqua"/>
          <w:bCs/>
          <w:sz w:val="26"/>
          <w:szCs w:val="26"/>
        </w:rPr>
        <w:t>Code §§ 247.1, 285, 702, 2101, 2107, 2108</w:t>
      </w:r>
      <w:r>
        <w:rPr>
          <w:rFonts w:ascii="Book Antiqua" w:hAnsi="Book Antiqua"/>
          <w:bCs/>
          <w:sz w:val="26"/>
          <w:szCs w:val="26"/>
        </w:rPr>
        <w:t>,</w:t>
      </w:r>
      <w:r w:rsidRPr="001147FA">
        <w:rPr>
          <w:rFonts w:ascii="Book Antiqua" w:hAnsi="Book Antiqua"/>
          <w:bCs/>
          <w:sz w:val="26"/>
          <w:szCs w:val="26"/>
        </w:rPr>
        <w:t xml:space="preserve"> </w:t>
      </w:r>
      <w:r>
        <w:rPr>
          <w:rFonts w:ascii="Book Antiqua" w:hAnsi="Book Antiqua"/>
          <w:bCs/>
          <w:sz w:val="26"/>
          <w:szCs w:val="26"/>
        </w:rPr>
        <w:t xml:space="preserve">Commission </w:t>
      </w:r>
      <w:r w:rsidRPr="001147FA">
        <w:rPr>
          <w:rFonts w:ascii="Book Antiqua" w:hAnsi="Book Antiqua"/>
          <w:bCs/>
          <w:sz w:val="26"/>
          <w:szCs w:val="26"/>
        </w:rPr>
        <w:t>Decision 22-10-021</w:t>
      </w:r>
      <w:r>
        <w:rPr>
          <w:rFonts w:ascii="Book Antiqua" w:hAnsi="Book Antiqua"/>
          <w:bCs/>
          <w:sz w:val="26"/>
          <w:szCs w:val="26"/>
        </w:rPr>
        <w:t>,</w:t>
      </w:r>
      <w:r w:rsidRPr="001147FA">
        <w:rPr>
          <w:rFonts w:ascii="Book Antiqua" w:hAnsi="Book Antiqua"/>
          <w:bCs/>
          <w:sz w:val="26"/>
          <w:szCs w:val="26"/>
        </w:rPr>
        <w:t xml:space="preserve"> </w:t>
      </w:r>
      <w:r>
        <w:rPr>
          <w:rFonts w:ascii="Book Antiqua" w:hAnsi="Book Antiqua"/>
          <w:bCs/>
          <w:sz w:val="26"/>
          <w:szCs w:val="26"/>
        </w:rPr>
        <w:t xml:space="preserve">and Commission </w:t>
      </w:r>
      <w:r w:rsidRPr="001147FA">
        <w:rPr>
          <w:rFonts w:ascii="Book Antiqua" w:hAnsi="Book Antiqua"/>
          <w:bCs/>
          <w:sz w:val="26"/>
          <w:szCs w:val="26"/>
        </w:rPr>
        <w:t>Resolution T-17601</w:t>
      </w:r>
      <w:r>
        <w:rPr>
          <w:rFonts w:ascii="Book Antiqua" w:hAnsi="Book Antiqua"/>
          <w:bCs/>
          <w:sz w:val="26"/>
          <w:szCs w:val="26"/>
        </w:rPr>
        <w:t xml:space="preserve">. </w:t>
      </w:r>
    </w:p>
    <w:p w:rsidR="0054015D" w:rsidP="0054015D" w:rsidRDefault="0054015D" w14:paraId="20DC3EE8" w14:textId="77777777">
      <w:pPr>
        <w:keepNext/>
        <w:rPr>
          <w:rFonts w:ascii="Book Antiqua" w:hAnsi="Book Antiqua"/>
          <w:b/>
          <w:sz w:val="26"/>
          <w:szCs w:val="26"/>
        </w:rPr>
      </w:pPr>
    </w:p>
    <w:p w:rsidRPr="00041C0A" w:rsidR="0054015D" w:rsidP="0054015D" w:rsidRDefault="0054015D" w14:paraId="3C6613DD" w14:textId="77777777">
      <w:pPr>
        <w:keepNext/>
        <w:contextualSpacing/>
        <w:rPr>
          <w:rFonts w:ascii="Book Antiqua" w:hAnsi="Book Antiqua"/>
          <w:sz w:val="26"/>
          <w:szCs w:val="26"/>
        </w:rPr>
      </w:pPr>
      <w:r w:rsidRPr="00041C0A">
        <w:rPr>
          <w:rFonts w:ascii="Book Antiqua" w:hAnsi="Book Antiqua"/>
          <w:b/>
          <w:sz w:val="26"/>
          <w:szCs w:val="26"/>
        </w:rPr>
        <w:t>THEREFORE, IT IS ORDERED</w:t>
      </w:r>
      <w:r w:rsidRPr="00041C0A">
        <w:rPr>
          <w:rFonts w:ascii="Book Antiqua" w:hAnsi="Book Antiqua"/>
          <w:sz w:val="26"/>
          <w:szCs w:val="26"/>
        </w:rPr>
        <w:t xml:space="preserve"> that:</w:t>
      </w:r>
    </w:p>
    <w:p w:rsidRPr="00041C0A" w:rsidR="0054015D" w:rsidP="0054015D" w:rsidRDefault="0054015D" w14:paraId="3314C700" w14:textId="77777777">
      <w:pPr>
        <w:contextualSpacing/>
        <w:rPr>
          <w:rFonts w:ascii="Book Antiqua" w:hAnsi="Book Antiqua"/>
          <w:sz w:val="26"/>
          <w:szCs w:val="26"/>
        </w:rPr>
      </w:pPr>
    </w:p>
    <w:p w:rsidR="0054015D" w:rsidP="0054015D" w:rsidRDefault="0054015D" w14:paraId="3F2309F1" w14:textId="77777777">
      <w:pPr>
        <w:numPr>
          <w:ilvl w:val="0"/>
          <w:numId w:val="21"/>
        </w:numPr>
        <w:ind w:left="360"/>
        <w:rPr>
          <w:rFonts w:ascii="Book Antiqua" w:hAnsi="Book Antiqua"/>
          <w:sz w:val="26"/>
          <w:szCs w:val="26"/>
        </w:rPr>
      </w:pPr>
      <w:r>
        <w:rPr>
          <w:rFonts w:ascii="Book Antiqua" w:hAnsi="Book Antiqua"/>
          <w:sz w:val="26"/>
          <w:szCs w:val="26"/>
        </w:rPr>
        <w:t>The appeal, K-25-06-013, of Citation number CD-2025-05-014 is denied.</w:t>
      </w:r>
    </w:p>
    <w:p w:rsidR="0054015D" w:rsidP="0054015D" w:rsidRDefault="0054015D" w14:paraId="3E412C35" w14:textId="77777777">
      <w:pPr>
        <w:numPr>
          <w:ilvl w:val="0"/>
          <w:numId w:val="21"/>
        </w:numPr>
        <w:ind w:left="360"/>
        <w:rPr>
          <w:rFonts w:ascii="Book Antiqua" w:hAnsi="Book Antiqua"/>
          <w:sz w:val="26"/>
          <w:szCs w:val="26"/>
        </w:rPr>
      </w:pPr>
      <w:r w:rsidRPr="087D246B">
        <w:rPr>
          <w:rFonts w:ascii="Book Antiqua" w:hAnsi="Book Antiqua" w:eastAsia="Book Antiqua" w:cs="Book Antiqua"/>
          <w:sz w:val="26"/>
          <w:szCs w:val="26"/>
        </w:rPr>
        <w:t>Barr Tell, USA, LLC shall report the number of access lines and remit all Public Purpose Program surcharges and user fees to date in the</w:t>
      </w:r>
      <w:r>
        <w:rPr>
          <w:rFonts w:ascii="Book Antiqua" w:hAnsi="Book Antiqua" w:eastAsia="Book Antiqua" w:cs="Book Antiqua"/>
          <w:sz w:val="26"/>
          <w:szCs w:val="26"/>
        </w:rPr>
        <w:t xml:space="preserve"> </w:t>
      </w:r>
      <w:r w:rsidRPr="087D246B">
        <w:rPr>
          <w:rFonts w:ascii="Book Antiqua" w:hAnsi="Book Antiqua" w:eastAsia="Book Antiqua" w:cs="Book Antiqua"/>
          <w:sz w:val="26"/>
          <w:szCs w:val="26"/>
        </w:rPr>
        <w:t>Telecommunications &amp; User Fees Filing System (TUFFS) within 30 days of the effective date of this Resolution</w:t>
      </w:r>
      <w:r>
        <w:rPr>
          <w:rFonts w:ascii="Book Antiqua" w:hAnsi="Book Antiqua" w:eastAsia="Book Antiqua" w:cs="Book Antiqua"/>
          <w:sz w:val="26"/>
          <w:szCs w:val="26"/>
        </w:rPr>
        <w:t>.</w:t>
      </w:r>
    </w:p>
    <w:p w:rsidRPr="002E6EB2" w:rsidR="0054015D" w:rsidP="0054015D" w:rsidRDefault="0054015D" w14:paraId="6549B5EF" w14:textId="77777777">
      <w:pPr>
        <w:numPr>
          <w:ilvl w:val="0"/>
          <w:numId w:val="21"/>
        </w:numPr>
        <w:ind w:left="360"/>
        <w:rPr>
          <w:rFonts w:ascii="Book Antiqua" w:hAnsi="Book Antiqua"/>
          <w:sz w:val="26"/>
          <w:szCs w:val="26"/>
        </w:rPr>
      </w:pPr>
      <w:r>
        <w:rPr>
          <w:rFonts w:ascii="Book Antiqua" w:hAnsi="Book Antiqua"/>
          <w:sz w:val="26"/>
          <w:szCs w:val="26"/>
        </w:rPr>
        <w:t xml:space="preserve">Barr </w:t>
      </w:r>
      <w:r w:rsidRPr="002E6EB2">
        <w:rPr>
          <w:rFonts w:ascii="Book Antiqua" w:hAnsi="Book Antiqua"/>
          <w:sz w:val="26"/>
          <w:szCs w:val="26"/>
        </w:rPr>
        <w:t>Te</w:t>
      </w:r>
      <w:r>
        <w:rPr>
          <w:rFonts w:ascii="Book Antiqua" w:hAnsi="Book Antiqua"/>
          <w:sz w:val="26"/>
          <w:szCs w:val="26"/>
        </w:rPr>
        <w:t>l</w:t>
      </w:r>
      <w:r w:rsidRPr="002E6EB2">
        <w:rPr>
          <w:rFonts w:ascii="Book Antiqua" w:hAnsi="Book Antiqua"/>
          <w:sz w:val="26"/>
          <w:szCs w:val="26"/>
        </w:rPr>
        <w:t xml:space="preserve">l, </w:t>
      </w:r>
      <w:r>
        <w:rPr>
          <w:rFonts w:ascii="Book Antiqua" w:hAnsi="Book Antiqua"/>
          <w:sz w:val="26"/>
          <w:szCs w:val="26"/>
        </w:rPr>
        <w:t>USA, LLC</w:t>
      </w:r>
      <w:r w:rsidRPr="002E6EB2">
        <w:rPr>
          <w:rFonts w:ascii="Book Antiqua" w:hAnsi="Book Antiqua"/>
          <w:sz w:val="26"/>
          <w:szCs w:val="26"/>
        </w:rPr>
        <w:t xml:space="preserve"> must pay </w:t>
      </w:r>
      <w:r>
        <w:rPr>
          <w:rFonts w:ascii="Book Antiqua" w:hAnsi="Book Antiqua"/>
          <w:sz w:val="26"/>
          <w:szCs w:val="26"/>
        </w:rPr>
        <w:t>the penalty</w:t>
      </w:r>
      <w:r w:rsidRPr="002E6EB2">
        <w:rPr>
          <w:rFonts w:ascii="Book Antiqua" w:hAnsi="Book Antiqua"/>
          <w:sz w:val="26"/>
          <w:szCs w:val="26"/>
        </w:rPr>
        <w:t xml:space="preserve"> of $1,000 by check or money order payable to the California Public Utilities Commission and mailed or delivered to the Commission’s Fiscal Office at 505 Van Ness Avenue, San Francisco, California 94102</w:t>
      </w:r>
      <w:r>
        <w:rPr>
          <w:rFonts w:ascii="Book Antiqua" w:hAnsi="Book Antiqua"/>
          <w:sz w:val="26"/>
          <w:szCs w:val="26"/>
        </w:rPr>
        <w:t xml:space="preserve">. Barr </w:t>
      </w:r>
      <w:r w:rsidRPr="002E6EB2">
        <w:rPr>
          <w:rFonts w:ascii="Book Antiqua" w:hAnsi="Book Antiqua"/>
          <w:sz w:val="26"/>
          <w:szCs w:val="26"/>
        </w:rPr>
        <w:t>Te</w:t>
      </w:r>
      <w:r>
        <w:rPr>
          <w:rFonts w:ascii="Book Antiqua" w:hAnsi="Book Antiqua"/>
          <w:sz w:val="26"/>
          <w:szCs w:val="26"/>
        </w:rPr>
        <w:t>l</w:t>
      </w:r>
      <w:r w:rsidRPr="002E6EB2">
        <w:rPr>
          <w:rFonts w:ascii="Book Antiqua" w:hAnsi="Book Antiqua"/>
          <w:sz w:val="26"/>
          <w:szCs w:val="26"/>
        </w:rPr>
        <w:t xml:space="preserve">l, </w:t>
      </w:r>
      <w:r>
        <w:rPr>
          <w:rFonts w:ascii="Book Antiqua" w:hAnsi="Book Antiqua"/>
          <w:sz w:val="26"/>
          <w:szCs w:val="26"/>
        </w:rPr>
        <w:t xml:space="preserve">USA, LLC </w:t>
      </w:r>
      <w:r w:rsidRPr="002E6EB2">
        <w:rPr>
          <w:rFonts w:ascii="Book Antiqua" w:hAnsi="Book Antiqua"/>
          <w:sz w:val="26"/>
          <w:szCs w:val="26"/>
        </w:rPr>
        <w:t xml:space="preserve">within 30 days of the effective date of this Resolution. </w:t>
      </w:r>
      <w:r>
        <w:rPr>
          <w:rFonts w:ascii="Book Antiqua" w:hAnsi="Book Antiqua"/>
          <w:sz w:val="26"/>
          <w:szCs w:val="26"/>
        </w:rPr>
        <w:t xml:space="preserve">Barr </w:t>
      </w:r>
      <w:r w:rsidRPr="002E6EB2">
        <w:rPr>
          <w:rFonts w:ascii="Book Antiqua" w:hAnsi="Book Antiqua"/>
          <w:sz w:val="26"/>
          <w:szCs w:val="26"/>
        </w:rPr>
        <w:t>Te</w:t>
      </w:r>
      <w:r>
        <w:rPr>
          <w:rFonts w:ascii="Book Antiqua" w:hAnsi="Book Antiqua"/>
          <w:sz w:val="26"/>
          <w:szCs w:val="26"/>
        </w:rPr>
        <w:t>l</w:t>
      </w:r>
      <w:r w:rsidRPr="002E6EB2">
        <w:rPr>
          <w:rFonts w:ascii="Book Antiqua" w:hAnsi="Book Antiqua"/>
          <w:sz w:val="26"/>
          <w:szCs w:val="26"/>
        </w:rPr>
        <w:t xml:space="preserve">l, </w:t>
      </w:r>
      <w:r>
        <w:rPr>
          <w:rFonts w:ascii="Book Antiqua" w:hAnsi="Book Antiqua"/>
          <w:sz w:val="26"/>
          <w:szCs w:val="26"/>
        </w:rPr>
        <w:t>USA, LLC</w:t>
      </w:r>
      <w:r w:rsidRPr="002E6EB2">
        <w:rPr>
          <w:rFonts w:ascii="Book Antiqua" w:hAnsi="Book Antiqua"/>
          <w:sz w:val="26"/>
          <w:szCs w:val="26"/>
        </w:rPr>
        <w:t xml:space="preserve"> shall write on the face of the check or money order, “For deposit to the General Fund pursuant to Resolution ALJ-</w:t>
      </w:r>
      <w:r>
        <w:rPr>
          <w:rFonts w:ascii="Book Antiqua" w:hAnsi="Book Antiqua"/>
          <w:sz w:val="26"/>
          <w:szCs w:val="26"/>
        </w:rPr>
        <w:t>486</w:t>
      </w:r>
      <w:r w:rsidRPr="002E6EB2">
        <w:rPr>
          <w:rFonts w:ascii="Book Antiqua" w:hAnsi="Book Antiqua"/>
          <w:sz w:val="26"/>
          <w:szCs w:val="26"/>
        </w:rPr>
        <w:t>”</w:t>
      </w:r>
      <w:r>
        <w:rPr>
          <w:rFonts w:ascii="Book Antiqua" w:hAnsi="Book Antiqua"/>
          <w:sz w:val="26"/>
          <w:szCs w:val="26"/>
        </w:rPr>
        <w:t>.</w:t>
      </w:r>
    </w:p>
    <w:p w:rsidRPr="00041C0A" w:rsidR="0054015D" w:rsidP="0054015D" w:rsidRDefault="0054015D" w14:paraId="57D57301" w14:textId="77777777">
      <w:pPr>
        <w:rPr>
          <w:rFonts w:ascii="Book Antiqua" w:hAnsi="Book Antiqua"/>
          <w:sz w:val="26"/>
          <w:szCs w:val="26"/>
        </w:rPr>
      </w:pPr>
    </w:p>
    <w:p w:rsidRPr="00041C0A" w:rsidR="0054015D" w:rsidP="0054015D" w:rsidRDefault="0054015D" w14:paraId="32A9DDC2" w14:textId="77777777">
      <w:pPr>
        <w:numPr>
          <w:ilvl w:val="0"/>
          <w:numId w:val="21"/>
        </w:numPr>
        <w:ind w:left="360"/>
        <w:rPr>
          <w:rFonts w:ascii="Book Antiqua" w:hAnsi="Book Antiqua"/>
          <w:sz w:val="26"/>
          <w:szCs w:val="26"/>
        </w:rPr>
      </w:pPr>
      <w:r>
        <w:rPr>
          <w:rFonts w:ascii="Book Antiqua" w:hAnsi="Book Antiqua"/>
          <w:sz w:val="26"/>
          <w:szCs w:val="26"/>
        </w:rPr>
        <w:t>K.25-06-013</w:t>
      </w:r>
      <w:r w:rsidRPr="00041C0A">
        <w:rPr>
          <w:rFonts w:ascii="Book Antiqua" w:hAnsi="Book Antiqua"/>
          <w:sz w:val="26"/>
          <w:szCs w:val="26"/>
        </w:rPr>
        <w:t xml:space="preserve"> is closed.</w:t>
      </w:r>
    </w:p>
    <w:p w:rsidRPr="00041C0A" w:rsidR="0054015D" w:rsidP="0054015D" w:rsidRDefault="0054015D" w14:paraId="39AD20A3" w14:textId="77777777">
      <w:pPr>
        <w:ind w:left="360"/>
        <w:rPr>
          <w:rFonts w:ascii="Book Antiqua" w:hAnsi="Book Antiqua"/>
          <w:sz w:val="26"/>
          <w:szCs w:val="26"/>
        </w:rPr>
      </w:pPr>
    </w:p>
    <w:p w:rsidR="0054015D" w:rsidP="0054015D" w:rsidRDefault="0054015D" w14:paraId="41C9D9CB" w14:textId="77777777">
      <w:pPr>
        <w:ind w:left="360"/>
        <w:rPr>
          <w:rFonts w:ascii="Book Antiqua" w:hAnsi="Book Antiqua"/>
          <w:sz w:val="26"/>
          <w:szCs w:val="26"/>
        </w:rPr>
      </w:pPr>
      <w:r w:rsidRPr="00041C0A">
        <w:rPr>
          <w:rFonts w:ascii="Book Antiqua" w:hAnsi="Book Antiqua"/>
          <w:sz w:val="26"/>
          <w:szCs w:val="26"/>
        </w:rPr>
        <w:t>This resolution is effective today.</w:t>
      </w:r>
    </w:p>
    <w:p w:rsidRPr="00041C0A" w:rsidR="0054015D" w:rsidP="0054015D" w:rsidRDefault="0054015D" w14:paraId="77B50CA5" w14:textId="77777777">
      <w:pPr>
        <w:ind w:left="360"/>
        <w:rPr>
          <w:rFonts w:ascii="Book Antiqua" w:hAnsi="Book Antiqua"/>
          <w:sz w:val="26"/>
          <w:szCs w:val="26"/>
        </w:rPr>
      </w:pPr>
    </w:p>
    <w:p w:rsidRPr="00041C0A" w:rsidR="0054015D" w:rsidP="0054015D" w:rsidRDefault="0054015D" w14:paraId="77B31637" w14:textId="58170377">
      <w:pPr>
        <w:ind w:left="360"/>
        <w:rPr>
          <w:rFonts w:ascii="Book Antiqua" w:hAnsi="Book Antiqua"/>
          <w:sz w:val="26"/>
          <w:szCs w:val="26"/>
        </w:rPr>
      </w:pPr>
      <w:r w:rsidRPr="00041C0A">
        <w:rPr>
          <w:rFonts w:ascii="Book Antiqua" w:hAnsi="Book Antiqua"/>
          <w:sz w:val="26"/>
          <w:szCs w:val="26"/>
        </w:rPr>
        <w:t xml:space="preserve">I certify that the foregoing resolution was duly introduced, passed, and adopted at a conference of the Public Utilities Commission of the State of </w:t>
      </w:r>
      <w:r w:rsidRPr="00041C0A">
        <w:rPr>
          <w:rFonts w:ascii="Book Antiqua" w:hAnsi="Book Antiqua"/>
          <w:sz w:val="26"/>
          <w:szCs w:val="26"/>
        </w:rPr>
        <w:lastRenderedPageBreak/>
        <w:t>California held on</w:t>
      </w:r>
      <w:r>
        <w:rPr>
          <w:rFonts w:ascii="Book Antiqua" w:hAnsi="Book Antiqua"/>
          <w:sz w:val="26"/>
          <w:szCs w:val="26"/>
        </w:rPr>
        <w:t xml:space="preserve"> December 18, </w:t>
      </w:r>
      <w:r w:rsidRPr="00CB7A6F">
        <w:rPr>
          <w:rFonts w:ascii="Book Antiqua" w:hAnsi="Book Antiqua"/>
          <w:sz w:val="26"/>
          <w:szCs w:val="26"/>
        </w:rPr>
        <w:t>2025</w:t>
      </w:r>
      <w:r w:rsidRPr="00041C0A">
        <w:rPr>
          <w:rFonts w:ascii="Book Antiqua" w:hAnsi="Book Antiqua"/>
          <w:sz w:val="26"/>
          <w:szCs w:val="26"/>
        </w:rPr>
        <w:t>, the following Commissioners voting favorably thereon:</w:t>
      </w:r>
    </w:p>
    <w:tbl>
      <w:tblPr>
        <w:tblW w:w="0" w:type="auto"/>
        <w:tblInd w:w="4428" w:type="dxa"/>
        <w:tblLayout w:type="fixed"/>
        <w:tblLook w:val="0000" w:firstRow="0" w:lastRow="0" w:firstColumn="0" w:lastColumn="0" w:noHBand="0" w:noVBand="0"/>
      </w:tblPr>
      <w:tblGrid>
        <w:gridCol w:w="3780"/>
      </w:tblGrid>
      <w:tr w:rsidRPr="00041C0A" w:rsidR="0054015D" w:rsidTr="00E81E51" w14:paraId="35ABAAE4" w14:textId="77777777">
        <w:tc>
          <w:tcPr>
            <w:tcW w:w="3780" w:type="dxa"/>
            <w:tcBorders>
              <w:bottom w:val="single" w:color="auto" w:sz="6" w:space="0"/>
            </w:tcBorders>
          </w:tcPr>
          <w:p w:rsidR="0054015D" w:rsidP="00E81E51" w:rsidRDefault="0054015D" w14:paraId="68431051" w14:textId="77777777">
            <w:pPr>
              <w:jc w:val="center"/>
              <w:rPr>
                <w:rFonts w:ascii="Book Antiqua" w:hAnsi="Book Antiqua"/>
                <w:sz w:val="26"/>
                <w:szCs w:val="26"/>
              </w:rPr>
            </w:pPr>
          </w:p>
          <w:p w:rsidRPr="00041C0A" w:rsidR="0054015D" w:rsidP="00E81E51" w:rsidRDefault="0054015D" w14:paraId="2C683AFC" w14:textId="3857C934">
            <w:pPr>
              <w:jc w:val="center"/>
              <w:rPr>
                <w:rFonts w:ascii="Book Antiqua" w:hAnsi="Book Antiqua"/>
                <w:sz w:val="26"/>
                <w:szCs w:val="26"/>
              </w:rPr>
            </w:pPr>
            <w:r>
              <w:rPr>
                <w:rFonts w:ascii="Book Antiqua" w:hAnsi="Book Antiqua"/>
                <w:sz w:val="26"/>
                <w:szCs w:val="26"/>
              </w:rPr>
              <w:t>/s/  RACHEL PETERSON</w:t>
            </w:r>
          </w:p>
        </w:tc>
      </w:tr>
      <w:tr w:rsidRPr="00041C0A" w:rsidR="0054015D" w:rsidTr="00E81E51" w14:paraId="7043345D" w14:textId="77777777">
        <w:tc>
          <w:tcPr>
            <w:tcW w:w="3780" w:type="dxa"/>
          </w:tcPr>
          <w:p w:rsidRPr="00041C0A" w:rsidR="0054015D" w:rsidP="00E81E51" w:rsidRDefault="0054015D" w14:paraId="15C7C266" w14:textId="77777777">
            <w:pPr>
              <w:spacing w:before="120"/>
              <w:jc w:val="center"/>
              <w:rPr>
                <w:rFonts w:ascii="Book Antiqua" w:hAnsi="Book Antiqua"/>
                <w:sz w:val="26"/>
                <w:szCs w:val="26"/>
              </w:rPr>
            </w:pPr>
            <w:r w:rsidRPr="00041C0A">
              <w:rPr>
                <w:rFonts w:ascii="Book Antiqua" w:hAnsi="Book Antiqua"/>
                <w:sz w:val="26"/>
                <w:szCs w:val="26"/>
              </w:rPr>
              <w:t>RACHEL PETERSON</w:t>
            </w:r>
          </w:p>
          <w:p w:rsidRPr="00041C0A" w:rsidR="0054015D" w:rsidP="00E81E51" w:rsidRDefault="0054015D" w14:paraId="2B79872B" w14:textId="77777777">
            <w:pPr>
              <w:jc w:val="center"/>
              <w:rPr>
                <w:rFonts w:ascii="Book Antiqua" w:hAnsi="Book Antiqua"/>
                <w:sz w:val="26"/>
                <w:szCs w:val="26"/>
              </w:rPr>
            </w:pPr>
            <w:r w:rsidRPr="00041C0A">
              <w:rPr>
                <w:rFonts w:ascii="Book Antiqua" w:hAnsi="Book Antiqua"/>
                <w:sz w:val="26"/>
                <w:szCs w:val="26"/>
              </w:rPr>
              <w:t>Executive Director</w:t>
            </w:r>
          </w:p>
        </w:tc>
      </w:tr>
    </w:tbl>
    <w:p w:rsidR="0054015D" w:rsidP="0054015D" w:rsidRDefault="0054015D" w14:paraId="5D3CD961" w14:textId="77777777">
      <w:pPr>
        <w:autoSpaceDE w:val="0"/>
        <w:autoSpaceDN w:val="0"/>
        <w:adjustRightInd w:val="0"/>
        <w:rPr>
          <w:rFonts w:ascii="Book Antiqua" w:hAnsi="Book Antiqua" w:cs="TimesNewRoman"/>
          <w:color w:val="000000"/>
          <w:szCs w:val="24"/>
        </w:rPr>
      </w:pPr>
      <w:bookmarkStart w:name="_Hlk124793350" w:id="1"/>
    </w:p>
    <w:p w:rsidR="0054015D" w:rsidP="0054015D" w:rsidRDefault="0054015D" w14:paraId="793C5FF9" w14:textId="77777777">
      <w:pPr>
        <w:autoSpaceDE w:val="0"/>
        <w:autoSpaceDN w:val="0"/>
        <w:adjustRightInd w:val="0"/>
        <w:rPr>
          <w:rFonts w:ascii="Book Antiqua" w:hAnsi="Book Antiqua" w:cs="TimesNewRoman"/>
          <w:color w:val="000000"/>
          <w:szCs w:val="24"/>
        </w:rPr>
      </w:pPr>
    </w:p>
    <w:bookmarkEnd w:id="1"/>
    <w:p w:rsidRPr="0054015D" w:rsidR="0054015D" w:rsidP="0054015D" w:rsidRDefault="0054015D" w14:paraId="194F9DD1" w14:textId="77777777">
      <w:pPr>
        <w:autoSpaceDE w:val="0"/>
        <w:autoSpaceDN w:val="0"/>
        <w:adjustRightInd w:val="0"/>
        <w:ind w:left="4320"/>
        <w:jc w:val="both"/>
        <w:rPr>
          <w:rFonts w:ascii="Book Antiqua" w:hAnsi="Book Antiqua" w:eastAsiaTheme="minorHAnsi"/>
          <w:sz w:val="26"/>
        </w:rPr>
      </w:pPr>
      <w:r w:rsidRPr="0054015D">
        <w:rPr>
          <w:rFonts w:ascii="Book Antiqua" w:hAnsi="Book Antiqua" w:eastAsiaTheme="minorHAnsi"/>
          <w:sz w:val="26"/>
        </w:rPr>
        <w:t>ALICE REYNOLDS</w:t>
      </w:r>
    </w:p>
    <w:p w:rsidRPr="0054015D" w:rsidR="0054015D" w:rsidP="0054015D" w:rsidRDefault="0054015D" w14:paraId="1E662A94" w14:textId="77777777">
      <w:pPr>
        <w:autoSpaceDE w:val="0"/>
        <w:autoSpaceDN w:val="0"/>
        <w:adjustRightInd w:val="0"/>
        <w:ind w:firstLine="720"/>
        <w:jc w:val="both"/>
        <w:rPr>
          <w:rFonts w:ascii="Book Antiqua" w:hAnsi="Book Antiqua" w:eastAsiaTheme="minorHAnsi"/>
          <w:sz w:val="26"/>
        </w:rPr>
      </w:pPr>
      <w:r w:rsidRPr="0054015D">
        <w:rPr>
          <w:rFonts w:ascii="Book Antiqua" w:hAnsi="Book Antiqua" w:eastAsiaTheme="minorHAnsi"/>
          <w:sz w:val="26"/>
        </w:rPr>
        <w:tab/>
      </w:r>
      <w:r w:rsidRPr="0054015D">
        <w:rPr>
          <w:rFonts w:ascii="Book Antiqua" w:hAnsi="Book Antiqua" w:eastAsiaTheme="minorHAnsi"/>
          <w:sz w:val="26"/>
        </w:rPr>
        <w:tab/>
      </w:r>
      <w:r w:rsidRPr="0054015D">
        <w:rPr>
          <w:rFonts w:ascii="Book Antiqua" w:hAnsi="Book Antiqua" w:eastAsiaTheme="minorHAnsi"/>
          <w:sz w:val="26"/>
        </w:rPr>
        <w:tab/>
      </w:r>
      <w:r w:rsidRPr="0054015D">
        <w:rPr>
          <w:rFonts w:ascii="Book Antiqua" w:hAnsi="Book Antiqua" w:eastAsiaTheme="minorHAnsi"/>
          <w:sz w:val="26"/>
        </w:rPr>
        <w:tab/>
      </w:r>
      <w:r w:rsidRPr="0054015D">
        <w:rPr>
          <w:rFonts w:ascii="Book Antiqua" w:hAnsi="Book Antiqua" w:eastAsiaTheme="minorHAnsi"/>
          <w:sz w:val="26"/>
        </w:rPr>
        <w:tab/>
        <w:t xml:space="preserve">                       President</w:t>
      </w:r>
    </w:p>
    <w:p w:rsidRPr="0054015D" w:rsidR="0054015D" w:rsidP="0054015D" w:rsidRDefault="0054015D" w14:paraId="507C2676" w14:textId="77777777">
      <w:pPr>
        <w:autoSpaceDE w:val="0"/>
        <w:autoSpaceDN w:val="0"/>
        <w:adjustRightInd w:val="0"/>
        <w:ind w:left="3600" w:firstLine="720"/>
        <w:jc w:val="both"/>
        <w:rPr>
          <w:rFonts w:ascii="Book Antiqua" w:hAnsi="Book Antiqua" w:eastAsiaTheme="minorHAnsi"/>
          <w:sz w:val="26"/>
        </w:rPr>
      </w:pPr>
      <w:r w:rsidRPr="0054015D">
        <w:rPr>
          <w:rFonts w:ascii="Book Antiqua" w:hAnsi="Book Antiqua" w:eastAsiaTheme="minorHAnsi"/>
          <w:sz w:val="26"/>
        </w:rPr>
        <w:t>DARCIE L. HOUCK</w:t>
      </w:r>
    </w:p>
    <w:p w:rsidRPr="0054015D" w:rsidR="0054015D" w:rsidP="0054015D" w:rsidRDefault="0054015D" w14:paraId="45DC6DA2" w14:textId="77777777">
      <w:pPr>
        <w:autoSpaceDE w:val="0"/>
        <w:autoSpaceDN w:val="0"/>
        <w:adjustRightInd w:val="0"/>
        <w:ind w:left="3600" w:firstLine="720"/>
        <w:jc w:val="both"/>
        <w:rPr>
          <w:rFonts w:ascii="Book Antiqua" w:hAnsi="Book Antiqua" w:eastAsiaTheme="minorHAnsi"/>
          <w:sz w:val="26"/>
        </w:rPr>
      </w:pPr>
      <w:r w:rsidRPr="0054015D">
        <w:rPr>
          <w:rFonts w:ascii="Book Antiqua" w:hAnsi="Book Antiqua" w:eastAsiaTheme="minorHAnsi"/>
          <w:sz w:val="26"/>
        </w:rPr>
        <w:t>JOHN REYNOLDS</w:t>
      </w:r>
    </w:p>
    <w:p w:rsidRPr="0054015D" w:rsidR="0054015D" w:rsidP="0054015D" w:rsidRDefault="0054015D" w14:paraId="3466C7DA" w14:textId="77777777">
      <w:pPr>
        <w:autoSpaceDE w:val="0"/>
        <w:autoSpaceDN w:val="0"/>
        <w:adjustRightInd w:val="0"/>
        <w:ind w:left="3600" w:firstLine="720"/>
        <w:jc w:val="both"/>
        <w:rPr>
          <w:rFonts w:ascii="Book Antiqua" w:hAnsi="Book Antiqua" w:cs="Calibri"/>
          <w:color w:val="000000"/>
          <w:sz w:val="26"/>
          <w:szCs w:val="26"/>
        </w:rPr>
      </w:pPr>
      <w:r w:rsidRPr="0054015D">
        <w:rPr>
          <w:rFonts w:ascii="Book Antiqua" w:hAnsi="Book Antiqua" w:cs="Calibri"/>
          <w:color w:val="000000"/>
          <w:sz w:val="26"/>
          <w:szCs w:val="26"/>
        </w:rPr>
        <w:t>KAREN DOUGLAS</w:t>
      </w:r>
    </w:p>
    <w:p w:rsidRPr="0054015D" w:rsidR="0054015D" w:rsidP="0054015D" w:rsidRDefault="0054015D" w14:paraId="660DD487" w14:textId="77777777">
      <w:pPr>
        <w:autoSpaceDE w:val="0"/>
        <w:autoSpaceDN w:val="0"/>
        <w:adjustRightInd w:val="0"/>
        <w:ind w:left="3600" w:firstLine="720"/>
        <w:jc w:val="both"/>
        <w:rPr>
          <w:rFonts w:ascii="Book Antiqua" w:hAnsi="Book Antiqua" w:eastAsiaTheme="minorHAnsi"/>
          <w:sz w:val="26"/>
        </w:rPr>
      </w:pPr>
      <w:r w:rsidRPr="0054015D">
        <w:rPr>
          <w:rFonts w:ascii="Book Antiqua" w:hAnsi="Book Antiqua" w:cs="Calibri"/>
          <w:color w:val="000000"/>
          <w:sz w:val="26"/>
          <w:szCs w:val="26"/>
        </w:rPr>
        <w:t>MATTHEW BAKER</w:t>
      </w:r>
    </w:p>
    <w:p w:rsidRPr="0054015D" w:rsidR="0054015D" w:rsidP="0054015D" w:rsidRDefault="0054015D" w14:paraId="3B9F332F" w14:textId="77777777">
      <w:pPr>
        <w:autoSpaceDE w:val="0"/>
        <w:autoSpaceDN w:val="0"/>
        <w:adjustRightInd w:val="0"/>
        <w:ind w:left="4320" w:firstLine="720"/>
        <w:jc w:val="both"/>
        <w:rPr>
          <w:rFonts w:ascii="Book Antiqua" w:hAnsi="Book Antiqua" w:eastAsiaTheme="minorHAnsi"/>
          <w:sz w:val="26"/>
        </w:rPr>
      </w:pPr>
      <w:r w:rsidRPr="0054015D">
        <w:rPr>
          <w:rFonts w:ascii="Book Antiqua" w:hAnsi="Book Antiqua" w:eastAsiaTheme="minorHAnsi"/>
          <w:sz w:val="26"/>
        </w:rPr>
        <w:t xml:space="preserve">            Commissioners</w:t>
      </w:r>
    </w:p>
    <w:p w:rsidRPr="00550CB9" w:rsidR="0054015D" w:rsidP="0054015D" w:rsidRDefault="0054015D" w14:paraId="026C5959" w14:textId="77777777">
      <w:pPr>
        <w:widowControl w:val="0"/>
        <w:tabs>
          <w:tab w:val="center" w:pos="4320"/>
          <w:tab w:val="right" w:pos="8640"/>
        </w:tabs>
        <w:rPr>
          <w:rFonts w:ascii="Book Antiqua" w:hAnsi="Book Antiqua" w:eastAsia="Arial" w:cs="Arial"/>
          <w:sz w:val="2"/>
          <w:szCs w:val="2"/>
          <w:lang w:bidi="en-US"/>
        </w:rPr>
      </w:pPr>
    </w:p>
    <w:sectPr w:rsidRPr="00550CB9" w:rsidR="0054015D" w:rsidSect="004D06DE">
      <w:headerReference w:type="default" r:id="rId8"/>
      <w:footerReference w:type="default" r:id="rId9"/>
      <w:headerReference w:type="first" r:id="rId10"/>
      <w:footerReference w:type="first" r:id="rId11"/>
      <w:pgSz w:w="12240" w:h="15840"/>
      <w:pgMar w:top="1440" w:right="1440" w:bottom="1008"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0A01F" w14:textId="77777777" w:rsidR="007745E2" w:rsidRDefault="007745E2" w:rsidP="00A76137">
      <w:r>
        <w:separator/>
      </w:r>
    </w:p>
  </w:endnote>
  <w:endnote w:type="continuationSeparator" w:id="0">
    <w:p w14:paraId="7A8A6887" w14:textId="77777777" w:rsidR="007745E2" w:rsidRDefault="007745E2" w:rsidP="00A76137">
      <w:r>
        <w:continuationSeparator/>
      </w:r>
    </w:p>
  </w:endnote>
  <w:endnote w:type="continuationNotice" w:id="1">
    <w:p w14:paraId="5ECC42C2" w14:textId="77777777" w:rsidR="007745E2" w:rsidRDefault="00774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E7DC" w14:textId="3E50E66C" w:rsidR="006B7D63" w:rsidRPr="006B7D63" w:rsidRDefault="006B7D63" w:rsidP="006B7D63">
    <w:pPr>
      <w:pStyle w:val="Footer"/>
      <w:jc w:val="center"/>
      <w:rPr>
        <w:rFonts w:ascii="Book Antiqua" w:hAnsi="Book Antiqua"/>
      </w:rPr>
    </w:pPr>
    <w:r w:rsidRPr="006B7D63">
      <w:rPr>
        <w:rFonts w:ascii="Book Antiqua" w:hAnsi="Book Antiqua"/>
      </w:rPr>
      <w:fldChar w:fldCharType="begin"/>
    </w:r>
    <w:r w:rsidRPr="006B7D63">
      <w:rPr>
        <w:rFonts w:ascii="Book Antiqua" w:hAnsi="Book Antiqua"/>
      </w:rPr>
      <w:instrText xml:space="preserve"> PAGE   \* MERGEFORMAT </w:instrText>
    </w:r>
    <w:r w:rsidRPr="006B7D63">
      <w:rPr>
        <w:rFonts w:ascii="Book Antiqua" w:hAnsi="Book Antiqua"/>
      </w:rPr>
      <w:fldChar w:fldCharType="separate"/>
    </w:r>
    <w:r w:rsidRPr="006B7D63">
      <w:rPr>
        <w:rFonts w:ascii="Book Antiqua" w:hAnsi="Book Antiqua"/>
        <w:noProof/>
      </w:rPr>
      <w:t>1</w:t>
    </w:r>
    <w:r w:rsidRPr="006B7D63">
      <w:rPr>
        <w:rFonts w:ascii="Book Antiqua" w:hAnsi="Book Antiqu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8194" w14:textId="77777777" w:rsidR="00A6592F" w:rsidRDefault="00A6592F" w:rsidP="00D258B4">
    <w:pPr>
      <w:pStyle w:val="Footer"/>
      <w:tabs>
        <w:tab w:val="center" w:pos="4680"/>
      </w:tabs>
      <w:rPr>
        <w:rFonts w:ascii="Book Antiqua" w:hAnsi="Book Antiqua"/>
        <w:szCs w:val="24"/>
      </w:rPr>
    </w:pPr>
  </w:p>
  <w:p w14:paraId="2B1B9A1C" w14:textId="0E880CA9" w:rsidR="00D9759F" w:rsidRPr="00D56813" w:rsidRDefault="006825A8" w:rsidP="00D258B4">
    <w:pPr>
      <w:pStyle w:val="Footer"/>
      <w:tabs>
        <w:tab w:val="center" w:pos="4680"/>
      </w:tabs>
      <w:rPr>
        <w:rFonts w:ascii="Book Antiqua" w:hAnsi="Book Antiqua"/>
        <w:szCs w:val="24"/>
      </w:rPr>
    </w:pPr>
    <w:r w:rsidRPr="006825A8">
      <w:rPr>
        <w:rFonts w:ascii="Book Antiqua" w:hAnsi="Book Antiqua"/>
        <w:sz w:val="16"/>
        <w:szCs w:val="16"/>
      </w:rPr>
      <w:t>592326358</w:t>
    </w:r>
    <w:r w:rsidR="00D9759F" w:rsidRPr="00D56813">
      <w:rPr>
        <w:rFonts w:ascii="Book Antiqua" w:hAnsi="Book Antiqua"/>
        <w:szCs w:val="24"/>
      </w:rPr>
      <w:tab/>
    </w:r>
    <w:r w:rsidR="00D9759F" w:rsidRPr="00D56813">
      <w:rPr>
        <w:rFonts w:ascii="Book Antiqua" w:hAnsi="Book Antiqua"/>
        <w:szCs w:val="24"/>
      </w:rPr>
      <w:tab/>
    </w:r>
    <w:r w:rsidR="00D9759F" w:rsidRPr="00D56813">
      <w:rPr>
        <w:rFonts w:ascii="Book Antiqua" w:hAnsi="Book Antiqua"/>
        <w:szCs w:val="24"/>
      </w:rPr>
      <w:fldChar w:fldCharType="begin"/>
    </w:r>
    <w:r w:rsidR="00D9759F" w:rsidRPr="00D56813">
      <w:rPr>
        <w:rFonts w:ascii="Book Antiqua" w:hAnsi="Book Antiqua"/>
        <w:szCs w:val="24"/>
      </w:rPr>
      <w:instrText xml:space="preserve"> PAGE   \* MERGEFORMAT </w:instrText>
    </w:r>
    <w:r w:rsidR="00D9759F" w:rsidRPr="00D56813">
      <w:rPr>
        <w:rFonts w:ascii="Book Antiqua" w:hAnsi="Book Antiqua"/>
        <w:szCs w:val="24"/>
      </w:rPr>
      <w:fldChar w:fldCharType="separate"/>
    </w:r>
    <w:r w:rsidR="00D9759F" w:rsidRPr="00D56813">
      <w:rPr>
        <w:rFonts w:ascii="Book Antiqua" w:hAnsi="Book Antiqua"/>
        <w:noProof/>
        <w:szCs w:val="24"/>
      </w:rPr>
      <w:t>- 1 -</w:t>
    </w:r>
    <w:r w:rsidR="00D9759F" w:rsidRPr="00D56813">
      <w:rPr>
        <w:rFonts w:ascii="Book Antiqua" w:hAnsi="Book Antiqua"/>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F98A" w14:textId="77777777" w:rsidR="007745E2" w:rsidRDefault="007745E2" w:rsidP="00A76137">
      <w:r>
        <w:separator/>
      </w:r>
    </w:p>
  </w:footnote>
  <w:footnote w:type="continuationSeparator" w:id="0">
    <w:p w14:paraId="49455613" w14:textId="77777777" w:rsidR="007745E2" w:rsidRDefault="007745E2" w:rsidP="00A76137">
      <w:r>
        <w:continuationSeparator/>
      </w:r>
    </w:p>
  </w:footnote>
  <w:footnote w:type="continuationNotice" w:id="1">
    <w:p w14:paraId="2642FA2E" w14:textId="77777777" w:rsidR="007745E2" w:rsidRDefault="007745E2"/>
  </w:footnote>
  <w:footnote w:id="2">
    <w:p w14:paraId="11AC6F85" w14:textId="77777777" w:rsidR="0054015D" w:rsidRPr="00CB7A6F" w:rsidRDefault="0054015D" w:rsidP="0054015D">
      <w:pPr>
        <w:pStyle w:val="FootnoteText"/>
        <w:rPr>
          <w:rFonts w:ascii="Book Antiqua" w:hAnsi="Book Antiqua"/>
        </w:rPr>
      </w:pPr>
      <w:r>
        <w:rPr>
          <w:rStyle w:val="FootnoteReference"/>
        </w:rPr>
        <w:footnoteRef/>
      </w:r>
      <w:r>
        <w:t xml:space="preserve"> </w:t>
      </w:r>
      <w:r w:rsidRPr="00CB7A6F">
        <w:rPr>
          <w:rFonts w:ascii="Book Antiqua" w:hAnsi="Book Antiqua"/>
        </w:rPr>
        <w:t xml:space="preserve">Resolution T-17601, June 22, 2018, </w:t>
      </w:r>
      <w:r>
        <w:rPr>
          <w:rFonts w:ascii="Book Antiqua" w:hAnsi="Book Antiqua"/>
        </w:rPr>
        <w:t>at</w:t>
      </w:r>
      <w:r w:rsidRPr="00CB7A6F">
        <w:rPr>
          <w:rFonts w:ascii="Book Antiqua" w:hAnsi="Book Antiqua"/>
        </w:rPr>
        <w:t xml:space="preserve"> 1; </w:t>
      </w:r>
      <w:r>
        <w:rPr>
          <w:rFonts w:ascii="Book Antiqua" w:hAnsi="Book Antiqua"/>
        </w:rPr>
        <w:t xml:space="preserve">California </w:t>
      </w:r>
      <w:r w:rsidRPr="00CB7A6F">
        <w:rPr>
          <w:rFonts w:ascii="Book Antiqua" w:hAnsi="Book Antiqua"/>
        </w:rPr>
        <w:t>P</w:t>
      </w:r>
      <w:r>
        <w:rPr>
          <w:rFonts w:ascii="Book Antiqua" w:hAnsi="Book Antiqua"/>
        </w:rPr>
        <w:t xml:space="preserve">ublic </w:t>
      </w:r>
      <w:r w:rsidRPr="00CB7A6F">
        <w:rPr>
          <w:rFonts w:ascii="Book Antiqua" w:hAnsi="Book Antiqua"/>
        </w:rPr>
        <w:t>U</w:t>
      </w:r>
      <w:r>
        <w:rPr>
          <w:rFonts w:ascii="Book Antiqua" w:hAnsi="Book Antiqua"/>
        </w:rPr>
        <w:t xml:space="preserve">tilities (Pub. Util.) </w:t>
      </w:r>
      <w:r w:rsidRPr="00CB7A6F">
        <w:rPr>
          <w:rFonts w:ascii="Book Antiqua" w:hAnsi="Book Antiqua"/>
        </w:rPr>
        <w:t>Code §§ 2101, 2107, 2108.</w:t>
      </w:r>
    </w:p>
  </w:footnote>
  <w:footnote w:id="3">
    <w:p w14:paraId="1F3F0009" w14:textId="77777777" w:rsidR="0054015D" w:rsidRPr="00222DFD" w:rsidRDefault="0054015D" w:rsidP="006825A8">
      <w:pPr>
        <w:pStyle w:val="FootnoteText"/>
        <w:spacing w:before="120"/>
        <w:rPr>
          <w:rFonts w:ascii="Book Antiqua" w:hAnsi="Book Antiqua"/>
        </w:rPr>
      </w:pPr>
      <w:r w:rsidRPr="00222DFD">
        <w:rPr>
          <w:rStyle w:val="FootnoteReference"/>
          <w:rFonts w:ascii="Book Antiqua" w:hAnsi="Book Antiqua"/>
        </w:rPr>
        <w:footnoteRef/>
      </w:r>
      <w:r w:rsidRPr="00222DFD">
        <w:rPr>
          <w:rFonts w:ascii="Book Antiqua" w:hAnsi="Book Antiqua"/>
        </w:rPr>
        <w:t xml:space="preserve"> Resolution T-17601.</w:t>
      </w:r>
    </w:p>
  </w:footnote>
  <w:footnote w:id="4">
    <w:p w14:paraId="4EF12505" w14:textId="77777777" w:rsidR="0054015D" w:rsidRPr="00F66069" w:rsidRDefault="0054015D" w:rsidP="0054015D">
      <w:pPr>
        <w:pStyle w:val="FootnoteText"/>
        <w:rPr>
          <w:rFonts w:ascii="Book Antiqua" w:hAnsi="Book Antiqua"/>
        </w:rPr>
      </w:pPr>
      <w:r w:rsidRPr="00F66069">
        <w:rPr>
          <w:rStyle w:val="FootnoteReference"/>
          <w:rFonts w:ascii="Book Antiqua" w:hAnsi="Book Antiqua"/>
        </w:rPr>
        <w:footnoteRef/>
      </w:r>
      <w:r w:rsidRPr="00F66069">
        <w:rPr>
          <w:rFonts w:ascii="Book Antiqua" w:hAnsi="Book Antiqua"/>
        </w:rPr>
        <w:t xml:space="preserve"> CD implemented the TUFFS reporting system in 2019. This system is referred to as Legacy TUFFS. Telecommunication Carriers would report monthly revenue subject to surcharges in the legacy TUFFS. The revenue reported for each of the three months were aggregated by Legacy TUFFS to calculate user fees due for the quarter. Following an update to the surcharge mechanism, the Commission updated the TUFFS reporting system. In 2023, the Commission launched the updated TUFFS reporting system that is currently used by carriers. </w:t>
      </w:r>
    </w:p>
  </w:footnote>
  <w:footnote w:id="5">
    <w:p w14:paraId="14262329" w14:textId="77777777" w:rsidR="0054015D" w:rsidRPr="00C07768" w:rsidRDefault="0054015D" w:rsidP="0054015D">
      <w:pPr>
        <w:pStyle w:val="FootnoteText"/>
        <w:spacing w:before="120" w:line="360" w:lineRule="auto"/>
        <w:rPr>
          <w:rFonts w:ascii="Book Antiqua" w:hAnsi="Book Antiqua"/>
        </w:rPr>
      </w:pPr>
      <w:r w:rsidRPr="00C07768">
        <w:rPr>
          <w:rStyle w:val="FootnoteReference"/>
          <w:rFonts w:ascii="Book Antiqua" w:hAnsi="Book Antiqua"/>
        </w:rPr>
        <w:footnoteRef/>
      </w:r>
      <w:r w:rsidRPr="00C07768">
        <w:rPr>
          <w:rFonts w:ascii="Book Antiqua" w:hAnsi="Book Antiqua"/>
        </w:rPr>
        <w:t xml:space="preserve"> </w:t>
      </w:r>
      <w:r w:rsidRPr="00C07768">
        <w:rPr>
          <w:rFonts w:ascii="Book Antiqua" w:hAnsi="Book Antiqua"/>
          <w:i/>
          <w:iCs/>
        </w:rPr>
        <w:t xml:space="preserve">See, </w:t>
      </w:r>
      <w:r w:rsidRPr="00C07768">
        <w:rPr>
          <w:rFonts w:ascii="Book Antiqua" w:hAnsi="Book Antiqua"/>
        </w:rPr>
        <w:t>Decision 22-10-021.</w:t>
      </w:r>
    </w:p>
  </w:footnote>
  <w:footnote w:id="6">
    <w:p w14:paraId="161F966B" w14:textId="77777777" w:rsidR="0054015D" w:rsidRPr="00C07768" w:rsidRDefault="0054015D" w:rsidP="0054015D">
      <w:pPr>
        <w:pStyle w:val="FootnoteText"/>
        <w:spacing w:line="360" w:lineRule="auto"/>
        <w:rPr>
          <w:rFonts w:ascii="Book Antiqua" w:hAnsi="Book Antiqua"/>
        </w:rPr>
      </w:pPr>
      <w:r w:rsidRPr="00C07768">
        <w:rPr>
          <w:rStyle w:val="FootnoteReference"/>
          <w:rFonts w:ascii="Book Antiqua" w:hAnsi="Book Antiqua"/>
        </w:rPr>
        <w:footnoteRef/>
      </w:r>
      <w:r w:rsidRPr="00C07768">
        <w:rPr>
          <w:rFonts w:ascii="Book Antiqua" w:hAnsi="Book Antiqua"/>
        </w:rPr>
        <w:t xml:space="preserve"> GO 153, Section 11.</w:t>
      </w:r>
    </w:p>
  </w:footnote>
  <w:footnote w:id="7">
    <w:p w14:paraId="54DA3507" w14:textId="77777777" w:rsidR="0054015D" w:rsidRPr="00117458" w:rsidRDefault="0054015D" w:rsidP="0054015D">
      <w:pPr>
        <w:pStyle w:val="FootnoteText"/>
        <w:spacing w:line="360" w:lineRule="auto"/>
        <w:rPr>
          <w:rFonts w:ascii="Book Antiqua" w:hAnsi="Book Antiqua"/>
        </w:rPr>
      </w:pPr>
      <w:r w:rsidRPr="00117458">
        <w:rPr>
          <w:rStyle w:val="FootnoteReference"/>
          <w:rFonts w:ascii="Book Antiqua" w:hAnsi="Book Antiqua"/>
        </w:rPr>
        <w:footnoteRef/>
      </w:r>
      <w:r w:rsidRPr="00117458">
        <w:rPr>
          <w:rFonts w:ascii="Book Antiqua" w:hAnsi="Book Antiqua"/>
        </w:rPr>
        <w:t xml:space="preserve"> D.22-10-021 at 60 and 75, Ordering Paragraph 2.</w:t>
      </w:r>
    </w:p>
  </w:footnote>
  <w:footnote w:id="8">
    <w:p w14:paraId="5231232F" w14:textId="77777777" w:rsidR="0054015D" w:rsidRPr="00C07768" w:rsidRDefault="0054015D" w:rsidP="0054015D">
      <w:pPr>
        <w:pStyle w:val="FootnoteText"/>
        <w:rPr>
          <w:rFonts w:ascii="Book Antiqua" w:hAnsi="Book Antiqua"/>
        </w:rPr>
      </w:pPr>
      <w:r w:rsidRPr="00C07768">
        <w:rPr>
          <w:rStyle w:val="FootnoteReference"/>
          <w:rFonts w:ascii="Book Antiqua" w:hAnsi="Book Antiqua"/>
        </w:rPr>
        <w:footnoteRef/>
      </w:r>
      <w:r w:rsidRPr="00C07768">
        <w:rPr>
          <w:rFonts w:ascii="Book Antiqua" w:hAnsi="Book Antiqua"/>
        </w:rPr>
        <w:t xml:space="preserve"> </w:t>
      </w:r>
      <w:r w:rsidRPr="00C07768">
        <w:rPr>
          <w:rFonts w:ascii="Book Antiqua" w:hAnsi="Book Antiqua"/>
          <w:i/>
          <w:iCs/>
        </w:rPr>
        <w:t>See,</w:t>
      </w:r>
      <w:r w:rsidRPr="00C07768">
        <w:rPr>
          <w:rFonts w:ascii="Book Antiqua" w:hAnsi="Book Antiqua"/>
        </w:rPr>
        <w:t xml:space="preserve"> </w:t>
      </w:r>
      <w:r>
        <w:rPr>
          <w:rFonts w:ascii="Book Antiqua" w:hAnsi="Book Antiqua"/>
        </w:rPr>
        <w:t xml:space="preserve">Exhibit </w:t>
      </w:r>
      <w:r w:rsidRPr="00C07768">
        <w:rPr>
          <w:rFonts w:ascii="Book Antiqua" w:hAnsi="Book Antiqua"/>
        </w:rPr>
        <w:t>CD</w:t>
      </w:r>
      <w:r>
        <w:rPr>
          <w:rFonts w:ascii="Book Antiqua" w:hAnsi="Book Antiqua"/>
        </w:rPr>
        <w:t>-3,</w:t>
      </w:r>
      <w:r w:rsidRPr="00C07768">
        <w:rPr>
          <w:rFonts w:ascii="Book Antiqua" w:hAnsi="Book Antiqua"/>
        </w:rPr>
        <w:t xml:space="preserve"> letter, dated December 7, 2022, with subject “Telecommunications &amp; User Fee Filing System to Facilitate Access-Line Data Reporting,” notifying Barr Tell of the requirement to report the number of access lines and remit their surcharge payment in accordance with D.22-10-021.</w:t>
      </w:r>
    </w:p>
  </w:footnote>
  <w:footnote w:id="9">
    <w:p w14:paraId="421FB384" w14:textId="77777777" w:rsidR="0054015D" w:rsidRPr="00C42071" w:rsidRDefault="0054015D" w:rsidP="0054015D">
      <w:pPr>
        <w:pStyle w:val="FootnoteText"/>
        <w:rPr>
          <w:rFonts w:ascii="Times New Roman" w:hAnsi="Times New Roman"/>
        </w:rPr>
      </w:pPr>
      <w:r w:rsidRPr="00C07768">
        <w:rPr>
          <w:rStyle w:val="FootnoteReference"/>
          <w:rFonts w:ascii="Book Antiqua" w:hAnsi="Book Antiqua"/>
        </w:rPr>
        <w:footnoteRef/>
      </w:r>
      <w:r w:rsidRPr="00C07768">
        <w:rPr>
          <w:rFonts w:ascii="Book Antiqua" w:hAnsi="Book Antiqua"/>
        </w:rPr>
        <w:t xml:space="preserve"> Resolution T-17601, Ordering Paragraph 3 [“We authorize the Communications Division to issue citations and levy scheduled penalties as discussed in this Resolution and as set forth in Appendices A, B, and C.”]; Resolution T-17601, Appendix A, at A-2.</w:t>
      </w:r>
    </w:p>
  </w:footnote>
  <w:footnote w:id="10">
    <w:p w14:paraId="5536A8F1" w14:textId="77777777" w:rsidR="0054015D" w:rsidRPr="00CB7A6F" w:rsidRDefault="0054015D" w:rsidP="0054015D">
      <w:pPr>
        <w:pStyle w:val="FootnoteText"/>
        <w:spacing w:before="120" w:line="360" w:lineRule="auto"/>
        <w:rPr>
          <w:rFonts w:ascii="Book Antiqua" w:hAnsi="Book Antiqua"/>
        </w:rPr>
      </w:pPr>
      <w:r w:rsidRPr="00C42071">
        <w:rPr>
          <w:rStyle w:val="FootnoteReference"/>
          <w:rFonts w:ascii="Times New Roman" w:hAnsi="Times New Roman"/>
        </w:rPr>
        <w:footnoteRef/>
      </w:r>
      <w:r w:rsidRPr="00C42071">
        <w:rPr>
          <w:rFonts w:ascii="Times New Roman" w:hAnsi="Times New Roman"/>
        </w:rPr>
        <w:t xml:space="preserve"> Resolution T-17601</w:t>
      </w:r>
      <w:r w:rsidRPr="00CB7A6F">
        <w:rPr>
          <w:rFonts w:ascii="Book Antiqua" w:hAnsi="Book Antiqua"/>
        </w:rPr>
        <w:t>, Appendix A.</w:t>
      </w:r>
    </w:p>
  </w:footnote>
  <w:footnote w:id="11">
    <w:p w14:paraId="2CFC0529" w14:textId="77777777" w:rsidR="0054015D" w:rsidRPr="00F66069" w:rsidRDefault="0054015D" w:rsidP="0054015D">
      <w:pPr>
        <w:pStyle w:val="FootnoteText"/>
        <w:spacing w:line="360" w:lineRule="auto"/>
        <w:rPr>
          <w:rFonts w:ascii="Book Antiqua" w:hAnsi="Book Antiqua"/>
        </w:rPr>
      </w:pPr>
      <w:r w:rsidRPr="00F66069">
        <w:rPr>
          <w:rStyle w:val="FootnoteReference"/>
          <w:rFonts w:ascii="Book Antiqua" w:hAnsi="Book Antiqua"/>
        </w:rPr>
        <w:footnoteRef/>
      </w:r>
      <w:r w:rsidRPr="00F66069">
        <w:rPr>
          <w:rFonts w:ascii="Book Antiqua" w:hAnsi="Book Antiqua"/>
        </w:rPr>
        <w:t xml:space="preserve"> D.22-10-011.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1A22" w14:textId="10A00C15" w:rsidR="000E499B" w:rsidRDefault="0054015D" w:rsidP="00BC7E7F">
    <w:pPr>
      <w:pStyle w:val="Header"/>
      <w:rPr>
        <w:rFonts w:ascii="Book Antiqua" w:hAnsi="Book Antiqua"/>
        <w:b/>
        <w:bCs/>
      </w:rPr>
    </w:pPr>
    <w:r>
      <w:rPr>
        <w:rFonts w:ascii="Book Antiqua" w:hAnsi="Book Antiqua"/>
      </w:rPr>
      <w:t xml:space="preserve">Resolution ALJ-486 </w:t>
    </w:r>
    <w:r w:rsidR="00BC7E7F">
      <w:rPr>
        <w:rFonts w:ascii="Book Antiqua" w:hAnsi="Book Antiqua"/>
      </w:rPr>
      <w:t>ALJ/</w:t>
    </w:r>
    <w:r>
      <w:rPr>
        <w:rFonts w:ascii="Book Antiqua" w:hAnsi="Book Antiqua"/>
      </w:rPr>
      <w:t>TM3/</w:t>
    </w:r>
    <w:proofErr w:type="spellStart"/>
    <w:r w:rsidR="00075BC8">
      <w:rPr>
        <w:rFonts w:ascii="Book Antiqua" w:hAnsi="Book Antiqua"/>
      </w:rPr>
      <w:t>smt</w:t>
    </w:r>
    <w:proofErr w:type="spellEnd"/>
    <w:r w:rsidR="00BC7E7F">
      <w:rPr>
        <w:rFonts w:ascii="Book Antiqua" w:hAnsi="Book Antiqua"/>
      </w:rPr>
      <w:tab/>
    </w:r>
    <w:r w:rsidR="00BC7E7F">
      <w:rPr>
        <w:rFonts w:ascii="Book Antiqua" w:hAnsi="Book Antiqua"/>
      </w:rPr>
      <w:tab/>
    </w:r>
  </w:p>
  <w:p w14:paraId="2EC46B19" w14:textId="404D6C28" w:rsidR="00790AC3" w:rsidRPr="008D50E2" w:rsidRDefault="00790AC3" w:rsidP="00BC7E7F">
    <w:pPr>
      <w:pStyle w:val="Header"/>
      <w:rPr>
        <w:rFonts w:ascii="Book Antiqua" w:hAnsi="Book Antiqua"/>
      </w:rPr>
    </w:pPr>
  </w:p>
  <w:p w14:paraId="753B1EB5" w14:textId="77777777" w:rsidR="00790AC3" w:rsidRPr="00790AC3" w:rsidRDefault="00790AC3" w:rsidP="00BC7E7F">
    <w:pPr>
      <w:pStyle w:val="Heade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DB67" w14:textId="4D3AB7EF" w:rsidR="00D318BF" w:rsidRPr="0054015D" w:rsidRDefault="0054015D" w:rsidP="00D318BF">
    <w:pPr>
      <w:pStyle w:val="Header"/>
      <w:tabs>
        <w:tab w:val="clear" w:pos="4320"/>
        <w:tab w:val="clear" w:pos="8640"/>
        <w:tab w:val="center" w:pos="4680"/>
      </w:tabs>
      <w:rPr>
        <w:rFonts w:ascii="Book Antiqua" w:hAnsi="Book Antiqua"/>
        <w:b/>
        <w:szCs w:val="24"/>
      </w:rPr>
    </w:pPr>
    <w:r w:rsidRPr="0054015D">
      <w:rPr>
        <w:rFonts w:ascii="Book Antiqua" w:hAnsi="Book Antiqua"/>
        <w:szCs w:val="24"/>
      </w:rPr>
      <w:t>ALJ/TM3</w:t>
    </w:r>
    <w:r w:rsidR="00D318BF" w:rsidRPr="0054015D">
      <w:rPr>
        <w:rFonts w:ascii="Book Antiqua" w:hAnsi="Book Antiqua"/>
        <w:szCs w:val="24"/>
      </w:rPr>
      <w:t>/</w:t>
    </w:r>
    <w:proofErr w:type="spellStart"/>
    <w:r w:rsidR="00D318BF" w:rsidRPr="0054015D">
      <w:rPr>
        <w:rFonts w:ascii="Book Antiqua" w:hAnsi="Book Antiqua"/>
        <w:szCs w:val="24"/>
      </w:rPr>
      <w:t>smt</w:t>
    </w:r>
    <w:proofErr w:type="spellEnd"/>
    <w:r w:rsidR="00D318BF" w:rsidRPr="0054015D">
      <w:rPr>
        <w:rFonts w:ascii="Book Antiqua" w:hAnsi="Book Antiqua"/>
        <w:szCs w:val="24"/>
      </w:rPr>
      <w:tab/>
      <w:t xml:space="preserve">    </w:t>
    </w:r>
    <w:r>
      <w:rPr>
        <w:rFonts w:ascii="Book Antiqua" w:hAnsi="Book Antiqua"/>
        <w:szCs w:val="24"/>
      </w:rPr>
      <w:tab/>
    </w:r>
    <w:r>
      <w:rPr>
        <w:rFonts w:ascii="Book Antiqua" w:hAnsi="Book Antiqua"/>
        <w:szCs w:val="24"/>
      </w:rPr>
      <w:tab/>
    </w:r>
    <w:r>
      <w:rPr>
        <w:rFonts w:ascii="Book Antiqua" w:hAnsi="Book Antiqua"/>
        <w:szCs w:val="24"/>
      </w:rPr>
      <w:tab/>
    </w:r>
    <w:r w:rsidR="00D318BF" w:rsidRPr="0054015D">
      <w:rPr>
        <w:rFonts w:ascii="Book Antiqua" w:hAnsi="Book Antiqua"/>
        <w:b/>
        <w:bCs/>
        <w:szCs w:val="24"/>
      </w:rPr>
      <w:t xml:space="preserve"> </w:t>
    </w:r>
    <w:r w:rsidRPr="0054015D">
      <w:rPr>
        <w:rFonts w:ascii="Book Antiqua" w:hAnsi="Book Antiqua"/>
        <w:b/>
        <w:bCs/>
        <w:szCs w:val="24"/>
      </w:rPr>
      <w:t>Date of Issuance 12/24/25</w:t>
    </w:r>
  </w:p>
  <w:p w14:paraId="09A2CF14" w14:textId="3A2ADD98" w:rsidR="00D318BF" w:rsidRPr="006825A8" w:rsidRDefault="00D318BF" w:rsidP="0054015D">
    <w:pPr>
      <w:pStyle w:val="Header"/>
      <w:tabs>
        <w:tab w:val="clear" w:pos="4320"/>
        <w:tab w:val="clear" w:pos="8640"/>
        <w:tab w:val="center" w:pos="4680"/>
        <w:tab w:val="right" w:pos="9270"/>
      </w:tabs>
      <w:rPr>
        <w:rFonts w:ascii="Book Antiqua" w:hAnsi="Book Antiqua"/>
        <w:b/>
        <w:szCs w:val="24"/>
      </w:rPr>
    </w:pPr>
    <w:r w:rsidRPr="0054015D">
      <w:rPr>
        <w:rFonts w:ascii="Book Antiqua" w:hAnsi="Book Antiqua"/>
        <w:b/>
        <w:szCs w:val="24"/>
      </w:rPr>
      <w:tab/>
    </w:r>
    <w:r w:rsidRPr="0054015D">
      <w:rPr>
        <w:rFonts w:ascii="Book Antiqua" w:hAnsi="Book Antiqua"/>
        <w:b/>
        <w:szCs w:val="24"/>
      </w:rPr>
      <w:tab/>
    </w:r>
  </w:p>
  <w:p w14:paraId="207A631B" w14:textId="77777777" w:rsidR="00D318BF" w:rsidRPr="006825A8" w:rsidRDefault="00D31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C8"/>
    <w:multiLevelType w:val="hybridMultilevel"/>
    <w:tmpl w:val="F89C208E"/>
    <w:lvl w:ilvl="0" w:tplc="3A12149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23459"/>
    <w:multiLevelType w:val="hybridMultilevel"/>
    <w:tmpl w:val="09EE3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0129F"/>
    <w:multiLevelType w:val="hybridMultilevel"/>
    <w:tmpl w:val="171AC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534A8"/>
    <w:multiLevelType w:val="hybridMultilevel"/>
    <w:tmpl w:val="81FC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0441F"/>
    <w:multiLevelType w:val="hybridMultilevel"/>
    <w:tmpl w:val="DE9A7D3E"/>
    <w:lvl w:ilvl="0" w:tplc="A3A465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B198B"/>
    <w:multiLevelType w:val="hybridMultilevel"/>
    <w:tmpl w:val="F062A150"/>
    <w:lvl w:ilvl="0" w:tplc="04090001">
      <w:start w:val="1"/>
      <w:numFmt w:val="bullet"/>
      <w:lvlText w:val=""/>
      <w:lvlJc w:val="left"/>
      <w:pPr>
        <w:ind w:left="1440" w:hanging="360"/>
      </w:pPr>
      <w:rPr>
        <w:rFonts w:ascii="Symbol" w:hAnsi="Symbol" w:hint="default"/>
      </w:rPr>
    </w:lvl>
    <w:lvl w:ilvl="1" w:tplc="6A4A060E">
      <w:numFmt w:val="bullet"/>
      <w:lvlText w:val="-"/>
      <w:lvlJc w:val="left"/>
      <w:pPr>
        <w:ind w:left="2160" w:hanging="360"/>
      </w:pPr>
      <w:rPr>
        <w:rFonts w:ascii="Book Antiqua" w:eastAsia="Times New Roman" w:hAnsi="Book Antiqua"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581ED0"/>
    <w:multiLevelType w:val="hybridMultilevel"/>
    <w:tmpl w:val="24CC1068"/>
    <w:lvl w:ilvl="0" w:tplc="0D7E0878">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A71FB8"/>
    <w:multiLevelType w:val="hybridMultilevel"/>
    <w:tmpl w:val="342AA92E"/>
    <w:lvl w:ilvl="0" w:tplc="E23C9D2C">
      <w:start w:val="1"/>
      <w:numFmt w:val="decimal"/>
      <w:lvlText w:val="%1."/>
      <w:lvlJc w:val="left"/>
      <w:pPr>
        <w:ind w:left="-144" w:hanging="360"/>
      </w:pPr>
      <w:rPr>
        <w:rFonts w:hint="default"/>
        <w:b w:val="0"/>
        <w:bCs/>
      </w:rPr>
    </w:lvl>
    <w:lvl w:ilvl="1" w:tplc="04090019">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abstractNum w:abstractNumId="8" w15:restartNumberingAfterBreak="0">
    <w:nsid w:val="27367E2E"/>
    <w:multiLevelType w:val="hybridMultilevel"/>
    <w:tmpl w:val="DA7EB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7D6830"/>
    <w:multiLevelType w:val="hybridMultilevel"/>
    <w:tmpl w:val="7FA08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FE5"/>
    <w:multiLevelType w:val="hybridMultilevel"/>
    <w:tmpl w:val="DE9A7D3E"/>
    <w:lvl w:ilvl="0" w:tplc="A3A465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3E645B"/>
    <w:multiLevelType w:val="hybridMultilevel"/>
    <w:tmpl w:val="1746585C"/>
    <w:lvl w:ilvl="0" w:tplc="D9BA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AD5C9C"/>
    <w:multiLevelType w:val="hybridMultilevel"/>
    <w:tmpl w:val="7D6C16BC"/>
    <w:lvl w:ilvl="0" w:tplc="9598873A">
      <w:start w:val="1"/>
      <w:numFmt w:val="decimal"/>
      <w:lvlText w:val="%1."/>
      <w:lvlJc w:val="left"/>
      <w:pPr>
        <w:tabs>
          <w:tab w:val="num" w:pos="240"/>
        </w:tabs>
        <w:ind w:left="240" w:hanging="600"/>
      </w:pPr>
      <w:rPr>
        <w:rFonts w:ascii="Book Antiqua" w:eastAsiaTheme="minorHAnsi" w:hAnsi="Book Antiqu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81FA1"/>
    <w:multiLevelType w:val="hybridMultilevel"/>
    <w:tmpl w:val="11FAFD30"/>
    <w:lvl w:ilvl="0" w:tplc="1B5637D4">
      <w:start w:val="7"/>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77945"/>
    <w:multiLevelType w:val="hybridMultilevel"/>
    <w:tmpl w:val="B826236C"/>
    <w:lvl w:ilvl="0" w:tplc="9938A792">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3E686E6F"/>
    <w:multiLevelType w:val="hybridMultilevel"/>
    <w:tmpl w:val="484C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34BD1"/>
    <w:multiLevelType w:val="hybridMultilevel"/>
    <w:tmpl w:val="953817A2"/>
    <w:lvl w:ilvl="0" w:tplc="2200CF9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FF28E1"/>
    <w:multiLevelType w:val="multilevel"/>
    <w:tmpl w:val="F8D0CA76"/>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15:restartNumberingAfterBreak="0">
    <w:nsid w:val="541F6FA3"/>
    <w:multiLevelType w:val="hybridMultilevel"/>
    <w:tmpl w:val="046609F8"/>
    <w:lvl w:ilvl="0" w:tplc="361C4DE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B76BA"/>
    <w:multiLevelType w:val="hybridMultilevel"/>
    <w:tmpl w:val="F962B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783151"/>
    <w:multiLevelType w:val="hybridMultilevel"/>
    <w:tmpl w:val="1ADA89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CD4757"/>
    <w:multiLevelType w:val="hybridMultilevel"/>
    <w:tmpl w:val="75BC3522"/>
    <w:lvl w:ilvl="0" w:tplc="A3A465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457E87"/>
    <w:multiLevelType w:val="hybridMultilevel"/>
    <w:tmpl w:val="B5B4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678249">
    <w:abstractNumId w:val="15"/>
  </w:num>
  <w:num w:numId="2" w16cid:durableId="1506169123">
    <w:abstractNumId w:val="22"/>
  </w:num>
  <w:num w:numId="3" w16cid:durableId="1643540010">
    <w:abstractNumId w:val="10"/>
  </w:num>
  <w:num w:numId="4" w16cid:durableId="1262909080">
    <w:abstractNumId w:val="4"/>
  </w:num>
  <w:num w:numId="5" w16cid:durableId="737022537">
    <w:abstractNumId w:val="13"/>
  </w:num>
  <w:num w:numId="6" w16cid:durableId="400520587">
    <w:abstractNumId w:val="18"/>
  </w:num>
  <w:num w:numId="7" w16cid:durableId="952906629">
    <w:abstractNumId w:val="8"/>
  </w:num>
  <w:num w:numId="8" w16cid:durableId="1583681582">
    <w:abstractNumId w:val="19"/>
  </w:num>
  <w:num w:numId="9" w16cid:durableId="689914204">
    <w:abstractNumId w:val="9"/>
  </w:num>
  <w:num w:numId="10" w16cid:durableId="585963414">
    <w:abstractNumId w:val="2"/>
  </w:num>
  <w:num w:numId="11" w16cid:durableId="789203338">
    <w:abstractNumId w:val="23"/>
  </w:num>
  <w:num w:numId="12" w16cid:durableId="152988773">
    <w:abstractNumId w:val="3"/>
  </w:num>
  <w:num w:numId="13" w16cid:durableId="509561488">
    <w:abstractNumId w:val="17"/>
  </w:num>
  <w:num w:numId="14" w16cid:durableId="1092361751">
    <w:abstractNumId w:val="11"/>
  </w:num>
  <w:num w:numId="15" w16cid:durableId="473106636">
    <w:abstractNumId w:val="6"/>
  </w:num>
  <w:num w:numId="16" w16cid:durableId="422068557">
    <w:abstractNumId w:val="0"/>
  </w:num>
  <w:num w:numId="17" w16cid:durableId="1881437664">
    <w:abstractNumId w:val="1"/>
  </w:num>
  <w:num w:numId="18" w16cid:durableId="1565985988">
    <w:abstractNumId w:val="14"/>
  </w:num>
  <w:num w:numId="19" w16cid:durableId="1868524053">
    <w:abstractNumId w:val="12"/>
  </w:num>
  <w:num w:numId="20" w16cid:durableId="610553069">
    <w:abstractNumId w:val="21"/>
  </w:num>
  <w:num w:numId="21" w16cid:durableId="277376386">
    <w:abstractNumId w:val="20"/>
  </w:num>
  <w:num w:numId="22" w16cid:durableId="2089496618">
    <w:abstractNumId w:val="7"/>
  </w:num>
  <w:num w:numId="23" w16cid:durableId="550967784">
    <w:abstractNumId w:val="16"/>
  </w:num>
  <w:num w:numId="24" w16cid:durableId="1704401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17"/>
    <w:rsid w:val="00000EA0"/>
    <w:rsid w:val="00004B9B"/>
    <w:rsid w:val="000077C5"/>
    <w:rsid w:val="00007E9A"/>
    <w:rsid w:val="00010363"/>
    <w:rsid w:val="0001289F"/>
    <w:rsid w:val="000133A9"/>
    <w:rsid w:val="0001664E"/>
    <w:rsid w:val="000201A6"/>
    <w:rsid w:val="000217CD"/>
    <w:rsid w:val="00023A90"/>
    <w:rsid w:val="00026129"/>
    <w:rsid w:val="00026F43"/>
    <w:rsid w:val="00027287"/>
    <w:rsid w:val="0003070C"/>
    <w:rsid w:val="00031D70"/>
    <w:rsid w:val="000337B7"/>
    <w:rsid w:val="000344C5"/>
    <w:rsid w:val="000357AC"/>
    <w:rsid w:val="0003606B"/>
    <w:rsid w:val="00037C44"/>
    <w:rsid w:val="00040E6E"/>
    <w:rsid w:val="0004162E"/>
    <w:rsid w:val="00042041"/>
    <w:rsid w:val="00042D49"/>
    <w:rsid w:val="000438BE"/>
    <w:rsid w:val="00044172"/>
    <w:rsid w:val="00053792"/>
    <w:rsid w:val="000552CF"/>
    <w:rsid w:val="00060D7C"/>
    <w:rsid w:val="00061BB5"/>
    <w:rsid w:val="000661C3"/>
    <w:rsid w:val="00066DC1"/>
    <w:rsid w:val="00067CA0"/>
    <w:rsid w:val="00070EE7"/>
    <w:rsid w:val="0007457E"/>
    <w:rsid w:val="00074F4C"/>
    <w:rsid w:val="00075BC8"/>
    <w:rsid w:val="0008056F"/>
    <w:rsid w:val="000837D7"/>
    <w:rsid w:val="00083BBC"/>
    <w:rsid w:val="00084043"/>
    <w:rsid w:val="00084668"/>
    <w:rsid w:val="00084A3E"/>
    <w:rsid w:val="00086AA9"/>
    <w:rsid w:val="00086CC1"/>
    <w:rsid w:val="00087717"/>
    <w:rsid w:val="00090649"/>
    <w:rsid w:val="00090C27"/>
    <w:rsid w:val="0009128C"/>
    <w:rsid w:val="000919BC"/>
    <w:rsid w:val="0009486C"/>
    <w:rsid w:val="000975C7"/>
    <w:rsid w:val="000B06B9"/>
    <w:rsid w:val="000B09DE"/>
    <w:rsid w:val="000B34C0"/>
    <w:rsid w:val="000B44D7"/>
    <w:rsid w:val="000C3E02"/>
    <w:rsid w:val="000C4B52"/>
    <w:rsid w:val="000C4DAC"/>
    <w:rsid w:val="000C548C"/>
    <w:rsid w:val="000C5D0F"/>
    <w:rsid w:val="000C7B5F"/>
    <w:rsid w:val="000D038D"/>
    <w:rsid w:val="000D075E"/>
    <w:rsid w:val="000D0FD5"/>
    <w:rsid w:val="000D1129"/>
    <w:rsid w:val="000D137D"/>
    <w:rsid w:val="000D1AC2"/>
    <w:rsid w:val="000D1F63"/>
    <w:rsid w:val="000D2057"/>
    <w:rsid w:val="000D4386"/>
    <w:rsid w:val="000D5419"/>
    <w:rsid w:val="000E39A8"/>
    <w:rsid w:val="000E4000"/>
    <w:rsid w:val="000E499B"/>
    <w:rsid w:val="000E5304"/>
    <w:rsid w:val="000F0A2B"/>
    <w:rsid w:val="000F1D20"/>
    <w:rsid w:val="000F4E45"/>
    <w:rsid w:val="001020F2"/>
    <w:rsid w:val="0010651E"/>
    <w:rsid w:val="00110895"/>
    <w:rsid w:val="00110D3D"/>
    <w:rsid w:val="00113CAE"/>
    <w:rsid w:val="001167A1"/>
    <w:rsid w:val="00117B75"/>
    <w:rsid w:val="001206C5"/>
    <w:rsid w:val="00120748"/>
    <w:rsid w:val="00125620"/>
    <w:rsid w:val="001267AE"/>
    <w:rsid w:val="00127DC4"/>
    <w:rsid w:val="00130865"/>
    <w:rsid w:val="00132077"/>
    <w:rsid w:val="00135FE2"/>
    <w:rsid w:val="0013615A"/>
    <w:rsid w:val="00137142"/>
    <w:rsid w:val="0014082C"/>
    <w:rsid w:val="001412FE"/>
    <w:rsid w:val="00147DA6"/>
    <w:rsid w:val="0015060E"/>
    <w:rsid w:val="0015282C"/>
    <w:rsid w:val="00155F89"/>
    <w:rsid w:val="00155FD6"/>
    <w:rsid w:val="001615AE"/>
    <w:rsid w:val="00161ACC"/>
    <w:rsid w:val="00162DD5"/>
    <w:rsid w:val="00163524"/>
    <w:rsid w:val="001643A8"/>
    <w:rsid w:val="00164779"/>
    <w:rsid w:val="00167B14"/>
    <w:rsid w:val="001745E6"/>
    <w:rsid w:val="00175996"/>
    <w:rsid w:val="001773BD"/>
    <w:rsid w:val="00181BEE"/>
    <w:rsid w:val="00182B7F"/>
    <w:rsid w:val="00182BE5"/>
    <w:rsid w:val="0018588D"/>
    <w:rsid w:val="00192E08"/>
    <w:rsid w:val="00193534"/>
    <w:rsid w:val="0019505C"/>
    <w:rsid w:val="00195162"/>
    <w:rsid w:val="001972FB"/>
    <w:rsid w:val="00197B0E"/>
    <w:rsid w:val="001A0D02"/>
    <w:rsid w:val="001A22BC"/>
    <w:rsid w:val="001A2CE1"/>
    <w:rsid w:val="001A2E4B"/>
    <w:rsid w:val="001A6992"/>
    <w:rsid w:val="001A7AB6"/>
    <w:rsid w:val="001A7BDF"/>
    <w:rsid w:val="001B19B7"/>
    <w:rsid w:val="001B2A36"/>
    <w:rsid w:val="001B2C53"/>
    <w:rsid w:val="001B39C8"/>
    <w:rsid w:val="001B4C58"/>
    <w:rsid w:val="001B5CE2"/>
    <w:rsid w:val="001B5E26"/>
    <w:rsid w:val="001B652A"/>
    <w:rsid w:val="001C038B"/>
    <w:rsid w:val="001C4FEC"/>
    <w:rsid w:val="001C52F2"/>
    <w:rsid w:val="001D2659"/>
    <w:rsid w:val="001D26F7"/>
    <w:rsid w:val="001D71F5"/>
    <w:rsid w:val="001E0065"/>
    <w:rsid w:val="001E04EB"/>
    <w:rsid w:val="001E36CC"/>
    <w:rsid w:val="001E37BB"/>
    <w:rsid w:val="001E5BF3"/>
    <w:rsid w:val="001E72C2"/>
    <w:rsid w:val="001E760A"/>
    <w:rsid w:val="001F09BF"/>
    <w:rsid w:val="001F0D1C"/>
    <w:rsid w:val="001F1C06"/>
    <w:rsid w:val="001F308B"/>
    <w:rsid w:val="001F5C75"/>
    <w:rsid w:val="0020114E"/>
    <w:rsid w:val="002016CC"/>
    <w:rsid w:val="002032B3"/>
    <w:rsid w:val="00205B9B"/>
    <w:rsid w:val="00205BC8"/>
    <w:rsid w:val="002065F7"/>
    <w:rsid w:val="00211316"/>
    <w:rsid w:val="00212768"/>
    <w:rsid w:val="00213878"/>
    <w:rsid w:val="00213A05"/>
    <w:rsid w:val="002167E6"/>
    <w:rsid w:val="0022075C"/>
    <w:rsid w:val="00221B87"/>
    <w:rsid w:val="00221DDD"/>
    <w:rsid w:val="002230D2"/>
    <w:rsid w:val="0022641C"/>
    <w:rsid w:val="00226742"/>
    <w:rsid w:val="00227485"/>
    <w:rsid w:val="00227835"/>
    <w:rsid w:val="00234E2D"/>
    <w:rsid w:val="0023712D"/>
    <w:rsid w:val="0023798A"/>
    <w:rsid w:val="00237E78"/>
    <w:rsid w:val="00241EC7"/>
    <w:rsid w:val="002443C4"/>
    <w:rsid w:val="00244B84"/>
    <w:rsid w:val="00245FA4"/>
    <w:rsid w:val="002473CC"/>
    <w:rsid w:val="00247FCF"/>
    <w:rsid w:val="00251AFF"/>
    <w:rsid w:val="002540BC"/>
    <w:rsid w:val="002552E1"/>
    <w:rsid w:val="00255773"/>
    <w:rsid w:val="00257076"/>
    <w:rsid w:val="0026015D"/>
    <w:rsid w:val="00260D5D"/>
    <w:rsid w:val="0026220A"/>
    <w:rsid w:val="00264700"/>
    <w:rsid w:val="00264A13"/>
    <w:rsid w:val="00265EAA"/>
    <w:rsid w:val="002664E9"/>
    <w:rsid w:val="00266FDA"/>
    <w:rsid w:val="002707EB"/>
    <w:rsid w:val="002708DF"/>
    <w:rsid w:val="00272CBC"/>
    <w:rsid w:val="002731B5"/>
    <w:rsid w:val="00273E76"/>
    <w:rsid w:val="00274E34"/>
    <w:rsid w:val="00277DF9"/>
    <w:rsid w:val="00281218"/>
    <w:rsid w:val="002830C1"/>
    <w:rsid w:val="002835AF"/>
    <w:rsid w:val="00285487"/>
    <w:rsid w:val="002867D4"/>
    <w:rsid w:val="00287C35"/>
    <w:rsid w:val="00292123"/>
    <w:rsid w:val="002957C0"/>
    <w:rsid w:val="002A12F2"/>
    <w:rsid w:val="002A4460"/>
    <w:rsid w:val="002A495F"/>
    <w:rsid w:val="002A69C9"/>
    <w:rsid w:val="002B2236"/>
    <w:rsid w:val="002B2885"/>
    <w:rsid w:val="002B33BD"/>
    <w:rsid w:val="002B5E04"/>
    <w:rsid w:val="002B5EB2"/>
    <w:rsid w:val="002B766A"/>
    <w:rsid w:val="002B7CE3"/>
    <w:rsid w:val="002C1164"/>
    <w:rsid w:val="002C4D98"/>
    <w:rsid w:val="002C58E8"/>
    <w:rsid w:val="002C5BD6"/>
    <w:rsid w:val="002D0788"/>
    <w:rsid w:val="002D1707"/>
    <w:rsid w:val="002D36A7"/>
    <w:rsid w:val="002D3A4C"/>
    <w:rsid w:val="002D40AA"/>
    <w:rsid w:val="002D66B2"/>
    <w:rsid w:val="002E3AB8"/>
    <w:rsid w:val="002F0BC0"/>
    <w:rsid w:val="002F40B9"/>
    <w:rsid w:val="002F482A"/>
    <w:rsid w:val="002F667A"/>
    <w:rsid w:val="002F6B5F"/>
    <w:rsid w:val="002F6FF8"/>
    <w:rsid w:val="002F7821"/>
    <w:rsid w:val="002F7FC2"/>
    <w:rsid w:val="00301E21"/>
    <w:rsid w:val="00303F13"/>
    <w:rsid w:val="003060D7"/>
    <w:rsid w:val="003070F1"/>
    <w:rsid w:val="00310CD6"/>
    <w:rsid w:val="003119D4"/>
    <w:rsid w:val="00312CFD"/>
    <w:rsid w:val="00317E20"/>
    <w:rsid w:val="00321545"/>
    <w:rsid w:val="00321C16"/>
    <w:rsid w:val="00325F63"/>
    <w:rsid w:val="00326EAD"/>
    <w:rsid w:val="00330401"/>
    <w:rsid w:val="0033086A"/>
    <w:rsid w:val="00331107"/>
    <w:rsid w:val="003311B4"/>
    <w:rsid w:val="0033310E"/>
    <w:rsid w:val="00334FC0"/>
    <w:rsid w:val="00335051"/>
    <w:rsid w:val="00335E6A"/>
    <w:rsid w:val="00336BFE"/>
    <w:rsid w:val="00341605"/>
    <w:rsid w:val="00342DBD"/>
    <w:rsid w:val="0034309B"/>
    <w:rsid w:val="00343699"/>
    <w:rsid w:val="003508C0"/>
    <w:rsid w:val="003524BC"/>
    <w:rsid w:val="00357C06"/>
    <w:rsid w:val="00360C6B"/>
    <w:rsid w:val="0036383C"/>
    <w:rsid w:val="003642F2"/>
    <w:rsid w:val="00366111"/>
    <w:rsid w:val="00366E35"/>
    <w:rsid w:val="00370070"/>
    <w:rsid w:val="003709F4"/>
    <w:rsid w:val="00373087"/>
    <w:rsid w:val="00373C66"/>
    <w:rsid w:val="00374E59"/>
    <w:rsid w:val="00375FE0"/>
    <w:rsid w:val="00380286"/>
    <w:rsid w:val="0038232E"/>
    <w:rsid w:val="00384451"/>
    <w:rsid w:val="00384597"/>
    <w:rsid w:val="003863C2"/>
    <w:rsid w:val="00393A03"/>
    <w:rsid w:val="0039489E"/>
    <w:rsid w:val="003A3894"/>
    <w:rsid w:val="003A6D41"/>
    <w:rsid w:val="003A7CB6"/>
    <w:rsid w:val="003B0A42"/>
    <w:rsid w:val="003B24CD"/>
    <w:rsid w:val="003B53A6"/>
    <w:rsid w:val="003B5488"/>
    <w:rsid w:val="003C0975"/>
    <w:rsid w:val="003C4268"/>
    <w:rsid w:val="003C6119"/>
    <w:rsid w:val="003D4B71"/>
    <w:rsid w:val="003D4CB1"/>
    <w:rsid w:val="003D6859"/>
    <w:rsid w:val="003E1862"/>
    <w:rsid w:val="003E4C50"/>
    <w:rsid w:val="003E5527"/>
    <w:rsid w:val="003E6A7E"/>
    <w:rsid w:val="003E7CB1"/>
    <w:rsid w:val="003F2F7A"/>
    <w:rsid w:val="003F59FF"/>
    <w:rsid w:val="0040029C"/>
    <w:rsid w:val="00401BDC"/>
    <w:rsid w:val="00402659"/>
    <w:rsid w:val="004037FD"/>
    <w:rsid w:val="004046A4"/>
    <w:rsid w:val="004128CC"/>
    <w:rsid w:val="004157E4"/>
    <w:rsid w:val="00416194"/>
    <w:rsid w:val="00425DC1"/>
    <w:rsid w:val="00430334"/>
    <w:rsid w:val="00433711"/>
    <w:rsid w:val="00433743"/>
    <w:rsid w:val="00436455"/>
    <w:rsid w:val="004375E7"/>
    <w:rsid w:val="00442C3D"/>
    <w:rsid w:val="00442D33"/>
    <w:rsid w:val="00443A5F"/>
    <w:rsid w:val="0044644D"/>
    <w:rsid w:val="0044678C"/>
    <w:rsid w:val="00446C2A"/>
    <w:rsid w:val="00452640"/>
    <w:rsid w:val="004538E8"/>
    <w:rsid w:val="0045391F"/>
    <w:rsid w:val="00455178"/>
    <w:rsid w:val="0045574B"/>
    <w:rsid w:val="00457C67"/>
    <w:rsid w:val="004669BC"/>
    <w:rsid w:val="00470250"/>
    <w:rsid w:val="00470A1F"/>
    <w:rsid w:val="00472239"/>
    <w:rsid w:val="00473F25"/>
    <w:rsid w:val="004745F7"/>
    <w:rsid w:val="00475C48"/>
    <w:rsid w:val="00476DD8"/>
    <w:rsid w:val="00480C54"/>
    <w:rsid w:val="00481688"/>
    <w:rsid w:val="004839C8"/>
    <w:rsid w:val="004840D1"/>
    <w:rsid w:val="004841C2"/>
    <w:rsid w:val="00486FB3"/>
    <w:rsid w:val="0048718D"/>
    <w:rsid w:val="00492603"/>
    <w:rsid w:val="00492B5E"/>
    <w:rsid w:val="0049515B"/>
    <w:rsid w:val="0049619D"/>
    <w:rsid w:val="00496785"/>
    <w:rsid w:val="004A0D00"/>
    <w:rsid w:val="004A665E"/>
    <w:rsid w:val="004A6A7A"/>
    <w:rsid w:val="004B0B74"/>
    <w:rsid w:val="004B52E4"/>
    <w:rsid w:val="004C0BBC"/>
    <w:rsid w:val="004C62B2"/>
    <w:rsid w:val="004D06DE"/>
    <w:rsid w:val="004D155D"/>
    <w:rsid w:val="004D1DD0"/>
    <w:rsid w:val="004D6145"/>
    <w:rsid w:val="004D78F6"/>
    <w:rsid w:val="004E0F28"/>
    <w:rsid w:val="004E45B3"/>
    <w:rsid w:val="004E6AC9"/>
    <w:rsid w:val="004E76B0"/>
    <w:rsid w:val="004E7F8A"/>
    <w:rsid w:val="004F0AE8"/>
    <w:rsid w:val="004F0E92"/>
    <w:rsid w:val="004F1D5D"/>
    <w:rsid w:val="004F215D"/>
    <w:rsid w:val="004F3C30"/>
    <w:rsid w:val="004F3FD7"/>
    <w:rsid w:val="004F5563"/>
    <w:rsid w:val="004F60CB"/>
    <w:rsid w:val="004F6BF7"/>
    <w:rsid w:val="004F7FBC"/>
    <w:rsid w:val="00501619"/>
    <w:rsid w:val="00502718"/>
    <w:rsid w:val="0050464E"/>
    <w:rsid w:val="00504A50"/>
    <w:rsid w:val="00504E77"/>
    <w:rsid w:val="005059EC"/>
    <w:rsid w:val="00510371"/>
    <w:rsid w:val="00510DA9"/>
    <w:rsid w:val="00510E21"/>
    <w:rsid w:val="00511893"/>
    <w:rsid w:val="00512814"/>
    <w:rsid w:val="00512D71"/>
    <w:rsid w:val="00520C4E"/>
    <w:rsid w:val="00522171"/>
    <w:rsid w:val="00525695"/>
    <w:rsid w:val="00525885"/>
    <w:rsid w:val="0052591D"/>
    <w:rsid w:val="005265DA"/>
    <w:rsid w:val="0053013C"/>
    <w:rsid w:val="005319BA"/>
    <w:rsid w:val="00532242"/>
    <w:rsid w:val="0053266D"/>
    <w:rsid w:val="005371BA"/>
    <w:rsid w:val="0053741E"/>
    <w:rsid w:val="0054015D"/>
    <w:rsid w:val="00540B29"/>
    <w:rsid w:val="00541579"/>
    <w:rsid w:val="00541CA3"/>
    <w:rsid w:val="00542355"/>
    <w:rsid w:val="00542B59"/>
    <w:rsid w:val="00542B8C"/>
    <w:rsid w:val="00543AC1"/>
    <w:rsid w:val="00544D96"/>
    <w:rsid w:val="00545448"/>
    <w:rsid w:val="005455AF"/>
    <w:rsid w:val="0055496C"/>
    <w:rsid w:val="00555FB6"/>
    <w:rsid w:val="00557479"/>
    <w:rsid w:val="005576FD"/>
    <w:rsid w:val="00557A1E"/>
    <w:rsid w:val="00557B62"/>
    <w:rsid w:val="00561716"/>
    <w:rsid w:val="00561866"/>
    <w:rsid w:val="00561A26"/>
    <w:rsid w:val="005622B1"/>
    <w:rsid w:val="00565874"/>
    <w:rsid w:val="0056623C"/>
    <w:rsid w:val="005663C3"/>
    <w:rsid w:val="005703CC"/>
    <w:rsid w:val="00571DC8"/>
    <w:rsid w:val="005727C0"/>
    <w:rsid w:val="00573025"/>
    <w:rsid w:val="00573D7D"/>
    <w:rsid w:val="00574B5E"/>
    <w:rsid w:val="00574C82"/>
    <w:rsid w:val="00581F31"/>
    <w:rsid w:val="00587C01"/>
    <w:rsid w:val="00595F88"/>
    <w:rsid w:val="005A28B4"/>
    <w:rsid w:val="005A3A3E"/>
    <w:rsid w:val="005A4084"/>
    <w:rsid w:val="005A4294"/>
    <w:rsid w:val="005A67FC"/>
    <w:rsid w:val="005A6E31"/>
    <w:rsid w:val="005B03CB"/>
    <w:rsid w:val="005B1360"/>
    <w:rsid w:val="005B302F"/>
    <w:rsid w:val="005B6748"/>
    <w:rsid w:val="005C019B"/>
    <w:rsid w:val="005C1C9F"/>
    <w:rsid w:val="005D0777"/>
    <w:rsid w:val="005D16D9"/>
    <w:rsid w:val="005D3BD3"/>
    <w:rsid w:val="005D3C65"/>
    <w:rsid w:val="005D6812"/>
    <w:rsid w:val="005E2D69"/>
    <w:rsid w:val="005E6C93"/>
    <w:rsid w:val="005F0186"/>
    <w:rsid w:val="005F127F"/>
    <w:rsid w:val="005F2A79"/>
    <w:rsid w:val="005F30EE"/>
    <w:rsid w:val="005F37AE"/>
    <w:rsid w:val="005F440A"/>
    <w:rsid w:val="005F5713"/>
    <w:rsid w:val="005F59BE"/>
    <w:rsid w:val="005F682D"/>
    <w:rsid w:val="00602C5D"/>
    <w:rsid w:val="006041C8"/>
    <w:rsid w:val="00604C15"/>
    <w:rsid w:val="00605417"/>
    <w:rsid w:val="00605978"/>
    <w:rsid w:val="00605BE0"/>
    <w:rsid w:val="00612F3A"/>
    <w:rsid w:val="00620824"/>
    <w:rsid w:val="00621C2B"/>
    <w:rsid w:val="00622447"/>
    <w:rsid w:val="0062257E"/>
    <w:rsid w:val="00622896"/>
    <w:rsid w:val="00622DBF"/>
    <w:rsid w:val="00623575"/>
    <w:rsid w:val="006263DE"/>
    <w:rsid w:val="00626496"/>
    <w:rsid w:val="00632D95"/>
    <w:rsid w:val="00632FB8"/>
    <w:rsid w:val="00634B3E"/>
    <w:rsid w:val="006351DA"/>
    <w:rsid w:val="0063572C"/>
    <w:rsid w:val="00640085"/>
    <w:rsid w:val="0064023A"/>
    <w:rsid w:val="0064052F"/>
    <w:rsid w:val="006460FD"/>
    <w:rsid w:val="00646806"/>
    <w:rsid w:val="006508ED"/>
    <w:rsid w:val="00651163"/>
    <w:rsid w:val="00652D17"/>
    <w:rsid w:val="00653C50"/>
    <w:rsid w:val="00657710"/>
    <w:rsid w:val="00657A1C"/>
    <w:rsid w:val="0066053A"/>
    <w:rsid w:val="0066138D"/>
    <w:rsid w:val="00663D69"/>
    <w:rsid w:val="00665AF6"/>
    <w:rsid w:val="006672CD"/>
    <w:rsid w:val="0066787E"/>
    <w:rsid w:val="006709BA"/>
    <w:rsid w:val="00671684"/>
    <w:rsid w:val="00671D6B"/>
    <w:rsid w:val="0067327F"/>
    <w:rsid w:val="006744E5"/>
    <w:rsid w:val="00674B0B"/>
    <w:rsid w:val="00677C05"/>
    <w:rsid w:val="006822EE"/>
    <w:rsid w:val="006825A8"/>
    <w:rsid w:val="0068362F"/>
    <w:rsid w:val="0069347B"/>
    <w:rsid w:val="00694607"/>
    <w:rsid w:val="00694C3C"/>
    <w:rsid w:val="0069516D"/>
    <w:rsid w:val="0069579E"/>
    <w:rsid w:val="006978B2"/>
    <w:rsid w:val="006A218D"/>
    <w:rsid w:val="006A3538"/>
    <w:rsid w:val="006A3A19"/>
    <w:rsid w:val="006A3C64"/>
    <w:rsid w:val="006B0E2E"/>
    <w:rsid w:val="006B3210"/>
    <w:rsid w:val="006B6211"/>
    <w:rsid w:val="006B7D63"/>
    <w:rsid w:val="006B7D90"/>
    <w:rsid w:val="006C0038"/>
    <w:rsid w:val="006C2585"/>
    <w:rsid w:val="006C2FFD"/>
    <w:rsid w:val="006C457E"/>
    <w:rsid w:val="006C79A1"/>
    <w:rsid w:val="006C7B46"/>
    <w:rsid w:val="006D2A44"/>
    <w:rsid w:val="006D71F1"/>
    <w:rsid w:val="006D796D"/>
    <w:rsid w:val="006E2E16"/>
    <w:rsid w:val="006E37D7"/>
    <w:rsid w:val="006E5229"/>
    <w:rsid w:val="006E531B"/>
    <w:rsid w:val="006E6CC7"/>
    <w:rsid w:val="006E7B54"/>
    <w:rsid w:val="006E7D4C"/>
    <w:rsid w:val="006F09CF"/>
    <w:rsid w:val="006F7BCB"/>
    <w:rsid w:val="00700125"/>
    <w:rsid w:val="00700245"/>
    <w:rsid w:val="00701616"/>
    <w:rsid w:val="00701770"/>
    <w:rsid w:val="00706167"/>
    <w:rsid w:val="00713130"/>
    <w:rsid w:val="00713257"/>
    <w:rsid w:val="00713354"/>
    <w:rsid w:val="00713729"/>
    <w:rsid w:val="00720287"/>
    <w:rsid w:val="00722C97"/>
    <w:rsid w:val="0072330E"/>
    <w:rsid w:val="00730B42"/>
    <w:rsid w:val="007310D7"/>
    <w:rsid w:val="007321D0"/>
    <w:rsid w:val="007334EA"/>
    <w:rsid w:val="007338D6"/>
    <w:rsid w:val="00740792"/>
    <w:rsid w:val="0074222E"/>
    <w:rsid w:val="00744266"/>
    <w:rsid w:val="007476CB"/>
    <w:rsid w:val="007526C3"/>
    <w:rsid w:val="00753523"/>
    <w:rsid w:val="00753650"/>
    <w:rsid w:val="00754091"/>
    <w:rsid w:val="00755AAC"/>
    <w:rsid w:val="007569DC"/>
    <w:rsid w:val="00762029"/>
    <w:rsid w:val="007642AD"/>
    <w:rsid w:val="00767357"/>
    <w:rsid w:val="00767B3A"/>
    <w:rsid w:val="00770C47"/>
    <w:rsid w:val="00770CDA"/>
    <w:rsid w:val="0077162B"/>
    <w:rsid w:val="00771DF5"/>
    <w:rsid w:val="007721A8"/>
    <w:rsid w:val="00772660"/>
    <w:rsid w:val="00773BBC"/>
    <w:rsid w:val="007742C1"/>
    <w:rsid w:val="00774548"/>
    <w:rsid w:val="007745E2"/>
    <w:rsid w:val="00775409"/>
    <w:rsid w:val="0077664B"/>
    <w:rsid w:val="00776D52"/>
    <w:rsid w:val="00777FA6"/>
    <w:rsid w:val="007811CA"/>
    <w:rsid w:val="00781FAE"/>
    <w:rsid w:val="007850AF"/>
    <w:rsid w:val="00785C1F"/>
    <w:rsid w:val="00786393"/>
    <w:rsid w:val="00790AC3"/>
    <w:rsid w:val="0079113A"/>
    <w:rsid w:val="00794CB9"/>
    <w:rsid w:val="00794F42"/>
    <w:rsid w:val="0079580E"/>
    <w:rsid w:val="00795AF8"/>
    <w:rsid w:val="0079699F"/>
    <w:rsid w:val="007A0AE5"/>
    <w:rsid w:val="007A0DC8"/>
    <w:rsid w:val="007A1D60"/>
    <w:rsid w:val="007A1EFF"/>
    <w:rsid w:val="007A64FC"/>
    <w:rsid w:val="007A6DB9"/>
    <w:rsid w:val="007A74EA"/>
    <w:rsid w:val="007B287B"/>
    <w:rsid w:val="007B3BC9"/>
    <w:rsid w:val="007B4F77"/>
    <w:rsid w:val="007C1594"/>
    <w:rsid w:val="007C1743"/>
    <w:rsid w:val="007C270E"/>
    <w:rsid w:val="007C299B"/>
    <w:rsid w:val="007C2C39"/>
    <w:rsid w:val="007C4825"/>
    <w:rsid w:val="007C4FE3"/>
    <w:rsid w:val="007C5E44"/>
    <w:rsid w:val="007D2607"/>
    <w:rsid w:val="007D7ABC"/>
    <w:rsid w:val="007D7F2E"/>
    <w:rsid w:val="007E0E61"/>
    <w:rsid w:val="007E4E17"/>
    <w:rsid w:val="007E523E"/>
    <w:rsid w:val="007F1149"/>
    <w:rsid w:val="007F6497"/>
    <w:rsid w:val="007F652C"/>
    <w:rsid w:val="00801FA7"/>
    <w:rsid w:val="00803BE7"/>
    <w:rsid w:val="008053E5"/>
    <w:rsid w:val="00805879"/>
    <w:rsid w:val="008103DE"/>
    <w:rsid w:val="00810798"/>
    <w:rsid w:val="00813748"/>
    <w:rsid w:val="0081562D"/>
    <w:rsid w:val="00815CF7"/>
    <w:rsid w:val="00817391"/>
    <w:rsid w:val="00820826"/>
    <w:rsid w:val="00821DA7"/>
    <w:rsid w:val="00821E8B"/>
    <w:rsid w:val="008229AB"/>
    <w:rsid w:val="00823AC4"/>
    <w:rsid w:val="008244CA"/>
    <w:rsid w:val="00827315"/>
    <w:rsid w:val="0083067B"/>
    <w:rsid w:val="00830750"/>
    <w:rsid w:val="00836792"/>
    <w:rsid w:val="00837C02"/>
    <w:rsid w:val="00837D02"/>
    <w:rsid w:val="00840368"/>
    <w:rsid w:val="00842F00"/>
    <w:rsid w:val="00844ED7"/>
    <w:rsid w:val="00846518"/>
    <w:rsid w:val="00850DFC"/>
    <w:rsid w:val="00853732"/>
    <w:rsid w:val="00853A74"/>
    <w:rsid w:val="0085506D"/>
    <w:rsid w:val="00856320"/>
    <w:rsid w:val="00861910"/>
    <w:rsid w:val="0086242C"/>
    <w:rsid w:val="008634FB"/>
    <w:rsid w:val="00863E90"/>
    <w:rsid w:val="00864999"/>
    <w:rsid w:val="008659AF"/>
    <w:rsid w:val="008661EF"/>
    <w:rsid w:val="008661F2"/>
    <w:rsid w:val="00871AE5"/>
    <w:rsid w:val="00872582"/>
    <w:rsid w:val="0087483B"/>
    <w:rsid w:val="00875BC7"/>
    <w:rsid w:val="00875F72"/>
    <w:rsid w:val="00876416"/>
    <w:rsid w:val="00876E25"/>
    <w:rsid w:val="00884058"/>
    <w:rsid w:val="008848DE"/>
    <w:rsid w:val="00885D47"/>
    <w:rsid w:val="00885DC9"/>
    <w:rsid w:val="00886E57"/>
    <w:rsid w:val="00886F3A"/>
    <w:rsid w:val="00890CB9"/>
    <w:rsid w:val="008910B7"/>
    <w:rsid w:val="008916FC"/>
    <w:rsid w:val="00891E7E"/>
    <w:rsid w:val="008924A2"/>
    <w:rsid w:val="00893164"/>
    <w:rsid w:val="0089420C"/>
    <w:rsid w:val="00897A04"/>
    <w:rsid w:val="008A2673"/>
    <w:rsid w:val="008B10F6"/>
    <w:rsid w:val="008B3CB7"/>
    <w:rsid w:val="008B643C"/>
    <w:rsid w:val="008B6EF0"/>
    <w:rsid w:val="008C0A7D"/>
    <w:rsid w:val="008C11DA"/>
    <w:rsid w:val="008C2C3A"/>
    <w:rsid w:val="008C4B9A"/>
    <w:rsid w:val="008C4BB8"/>
    <w:rsid w:val="008D251C"/>
    <w:rsid w:val="008D3077"/>
    <w:rsid w:val="008D414E"/>
    <w:rsid w:val="008D4252"/>
    <w:rsid w:val="008D4FC6"/>
    <w:rsid w:val="008D50E2"/>
    <w:rsid w:val="008D5A0C"/>
    <w:rsid w:val="008D5B98"/>
    <w:rsid w:val="008E0DD0"/>
    <w:rsid w:val="008E20C4"/>
    <w:rsid w:val="008E551D"/>
    <w:rsid w:val="008E5CB4"/>
    <w:rsid w:val="008E6115"/>
    <w:rsid w:val="008E6F8E"/>
    <w:rsid w:val="008F27D7"/>
    <w:rsid w:val="008F65A3"/>
    <w:rsid w:val="00900F8B"/>
    <w:rsid w:val="009039DD"/>
    <w:rsid w:val="00906339"/>
    <w:rsid w:val="009075A5"/>
    <w:rsid w:val="00907D61"/>
    <w:rsid w:val="00911A30"/>
    <w:rsid w:val="0091469E"/>
    <w:rsid w:val="0091656C"/>
    <w:rsid w:val="00920434"/>
    <w:rsid w:val="00923A8D"/>
    <w:rsid w:val="00924B28"/>
    <w:rsid w:val="00924EE5"/>
    <w:rsid w:val="0092544F"/>
    <w:rsid w:val="00926198"/>
    <w:rsid w:val="009269F1"/>
    <w:rsid w:val="0093480E"/>
    <w:rsid w:val="00940663"/>
    <w:rsid w:val="00941CA7"/>
    <w:rsid w:val="00943668"/>
    <w:rsid w:val="009451D3"/>
    <w:rsid w:val="00947471"/>
    <w:rsid w:val="009563F0"/>
    <w:rsid w:val="00956EF5"/>
    <w:rsid w:val="00957703"/>
    <w:rsid w:val="00957899"/>
    <w:rsid w:val="009610A2"/>
    <w:rsid w:val="0096254C"/>
    <w:rsid w:val="00962789"/>
    <w:rsid w:val="00963092"/>
    <w:rsid w:val="00964C59"/>
    <w:rsid w:val="00965185"/>
    <w:rsid w:val="009671C0"/>
    <w:rsid w:val="00972304"/>
    <w:rsid w:val="009732CA"/>
    <w:rsid w:val="009761AF"/>
    <w:rsid w:val="00983AE6"/>
    <w:rsid w:val="0098427C"/>
    <w:rsid w:val="0098714B"/>
    <w:rsid w:val="0098718F"/>
    <w:rsid w:val="0099125E"/>
    <w:rsid w:val="0099137A"/>
    <w:rsid w:val="009918EE"/>
    <w:rsid w:val="00992F9B"/>
    <w:rsid w:val="00992FEB"/>
    <w:rsid w:val="009955F0"/>
    <w:rsid w:val="009960A0"/>
    <w:rsid w:val="009A20F7"/>
    <w:rsid w:val="009A3113"/>
    <w:rsid w:val="009A66C5"/>
    <w:rsid w:val="009A6D0A"/>
    <w:rsid w:val="009A72EB"/>
    <w:rsid w:val="009A73D6"/>
    <w:rsid w:val="009B1EA9"/>
    <w:rsid w:val="009B316D"/>
    <w:rsid w:val="009B493D"/>
    <w:rsid w:val="009B7D50"/>
    <w:rsid w:val="009C267E"/>
    <w:rsid w:val="009C3B07"/>
    <w:rsid w:val="009C3CD8"/>
    <w:rsid w:val="009C40EF"/>
    <w:rsid w:val="009C41CF"/>
    <w:rsid w:val="009C5848"/>
    <w:rsid w:val="009C5EB7"/>
    <w:rsid w:val="009C7F88"/>
    <w:rsid w:val="009C7FB5"/>
    <w:rsid w:val="009D171F"/>
    <w:rsid w:val="009D3228"/>
    <w:rsid w:val="009D55CE"/>
    <w:rsid w:val="009D5617"/>
    <w:rsid w:val="009D6766"/>
    <w:rsid w:val="009D6E45"/>
    <w:rsid w:val="009D76FB"/>
    <w:rsid w:val="009E0DD8"/>
    <w:rsid w:val="009E117C"/>
    <w:rsid w:val="009E5809"/>
    <w:rsid w:val="009E73FA"/>
    <w:rsid w:val="009E768B"/>
    <w:rsid w:val="009E7BF4"/>
    <w:rsid w:val="009F033C"/>
    <w:rsid w:val="009F0EC8"/>
    <w:rsid w:val="009F1D5C"/>
    <w:rsid w:val="009F21BF"/>
    <w:rsid w:val="009F61D6"/>
    <w:rsid w:val="009F6E96"/>
    <w:rsid w:val="009F6FF9"/>
    <w:rsid w:val="00A01006"/>
    <w:rsid w:val="00A01B34"/>
    <w:rsid w:val="00A02C79"/>
    <w:rsid w:val="00A039C8"/>
    <w:rsid w:val="00A03C88"/>
    <w:rsid w:val="00A041B5"/>
    <w:rsid w:val="00A043BC"/>
    <w:rsid w:val="00A073A0"/>
    <w:rsid w:val="00A07B5D"/>
    <w:rsid w:val="00A107EA"/>
    <w:rsid w:val="00A15A6E"/>
    <w:rsid w:val="00A1649A"/>
    <w:rsid w:val="00A16EC0"/>
    <w:rsid w:val="00A178E0"/>
    <w:rsid w:val="00A20B44"/>
    <w:rsid w:val="00A21E5B"/>
    <w:rsid w:val="00A30119"/>
    <w:rsid w:val="00A302B8"/>
    <w:rsid w:val="00A32B60"/>
    <w:rsid w:val="00A33878"/>
    <w:rsid w:val="00A35BCF"/>
    <w:rsid w:val="00A377F8"/>
    <w:rsid w:val="00A41077"/>
    <w:rsid w:val="00A416ED"/>
    <w:rsid w:val="00A4176A"/>
    <w:rsid w:val="00A42616"/>
    <w:rsid w:val="00A44666"/>
    <w:rsid w:val="00A46DD4"/>
    <w:rsid w:val="00A510A6"/>
    <w:rsid w:val="00A51B6C"/>
    <w:rsid w:val="00A51F00"/>
    <w:rsid w:val="00A5241D"/>
    <w:rsid w:val="00A53B3A"/>
    <w:rsid w:val="00A53DC4"/>
    <w:rsid w:val="00A543BA"/>
    <w:rsid w:val="00A5520A"/>
    <w:rsid w:val="00A5579F"/>
    <w:rsid w:val="00A5595C"/>
    <w:rsid w:val="00A55C3B"/>
    <w:rsid w:val="00A56676"/>
    <w:rsid w:val="00A56F55"/>
    <w:rsid w:val="00A57598"/>
    <w:rsid w:val="00A609DC"/>
    <w:rsid w:val="00A60D68"/>
    <w:rsid w:val="00A611B8"/>
    <w:rsid w:val="00A63850"/>
    <w:rsid w:val="00A641E6"/>
    <w:rsid w:val="00A65523"/>
    <w:rsid w:val="00A6592F"/>
    <w:rsid w:val="00A672E0"/>
    <w:rsid w:val="00A67332"/>
    <w:rsid w:val="00A7164A"/>
    <w:rsid w:val="00A7287F"/>
    <w:rsid w:val="00A7383A"/>
    <w:rsid w:val="00A739EE"/>
    <w:rsid w:val="00A73D12"/>
    <w:rsid w:val="00A74EFA"/>
    <w:rsid w:val="00A76137"/>
    <w:rsid w:val="00A80339"/>
    <w:rsid w:val="00A8046C"/>
    <w:rsid w:val="00A821E0"/>
    <w:rsid w:val="00A826D5"/>
    <w:rsid w:val="00A8394A"/>
    <w:rsid w:val="00A846D9"/>
    <w:rsid w:val="00A86544"/>
    <w:rsid w:val="00A91FEB"/>
    <w:rsid w:val="00A92F46"/>
    <w:rsid w:val="00A9388C"/>
    <w:rsid w:val="00A93B21"/>
    <w:rsid w:val="00A959B5"/>
    <w:rsid w:val="00A96C37"/>
    <w:rsid w:val="00AA152F"/>
    <w:rsid w:val="00AA1752"/>
    <w:rsid w:val="00AA19EA"/>
    <w:rsid w:val="00AA1F70"/>
    <w:rsid w:val="00AA2F6D"/>
    <w:rsid w:val="00AA3AB2"/>
    <w:rsid w:val="00AA4972"/>
    <w:rsid w:val="00AA5FEF"/>
    <w:rsid w:val="00AA65EC"/>
    <w:rsid w:val="00AB2AA2"/>
    <w:rsid w:val="00AB2DE8"/>
    <w:rsid w:val="00AB4018"/>
    <w:rsid w:val="00AB6C6D"/>
    <w:rsid w:val="00AB753E"/>
    <w:rsid w:val="00AB7E42"/>
    <w:rsid w:val="00AB7EC3"/>
    <w:rsid w:val="00AC0B62"/>
    <w:rsid w:val="00AC3A43"/>
    <w:rsid w:val="00AC4529"/>
    <w:rsid w:val="00AC620E"/>
    <w:rsid w:val="00AC7703"/>
    <w:rsid w:val="00AC7CD7"/>
    <w:rsid w:val="00AD02B6"/>
    <w:rsid w:val="00AD27C9"/>
    <w:rsid w:val="00AE0D29"/>
    <w:rsid w:val="00AE3E01"/>
    <w:rsid w:val="00AE6361"/>
    <w:rsid w:val="00AE6726"/>
    <w:rsid w:val="00AE7DF2"/>
    <w:rsid w:val="00AF0FF0"/>
    <w:rsid w:val="00AF2667"/>
    <w:rsid w:val="00AF4BED"/>
    <w:rsid w:val="00AF7699"/>
    <w:rsid w:val="00B002F2"/>
    <w:rsid w:val="00B004A3"/>
    <w:rsid w:val="00B013D8"/>
    <w:rsid w:val="00B018F2"/>
    <w:rsid w:val="00B01CBF"/>
    <w:rsid w:val="00B05C23"/>
    <w:rsid w:val="00B06940"/>
    <w:rsid w:val="00B06CCE"/>
    <w:rsid w:val="00B13A43"/>
    <w:rsid w:val="00B166E5"/>
    <w:rsid w:val="00B17267"/>
    <w:rsid w:val="00B1771A"/>
    <w:rsid w:val="00B244C5"/>
    <w:rsid w:val="00B262AB"/>
    <w:rsid w:val="00B30385"/>
    <w:rsid w:val="00B3057E"/>
    <w:rsid w:val="00B31220"/>
    <w:rsid w:val="00B33449"/>
    <w:rsid w:val="00B34D10"/>
    <w:rsid w:val="00B35775"/>
    <w:rsid w:val="00B4122C"/>
    <w:rsid w:val="00B42A8D"/>
    <w:rsid w:val="00B4328E"/>
    <w:rsid w:val="00B4418A"/>
    <w:rsid w:val="00B44CBF"/>
    <w:rsid w:val="00B44CE2"/>
    <w:rsid w:val="00B45E03"/>
    <w:rsid w:val="00B4647C"/>
    <w:rsid w:val="00B47407"/>
    <w:rsid w:val="00B478C0"/>
    <w:rsid w:val="00B501FE"/>
    <w:rsid w:val="00B50675"/>
    <w:rsid w:val="00B554D7"/>
    <w:rsid w:val="00B556C9"/>
    <w:rsid w:val="00B55EB8"/>
    <w:rsid w:val="00B60CD3"/>
    <w:rsid w:val="00B64764"/>
    <w:rsid w:val="00B6543D"/>
    <w:rsid w:val="00B65FD2"/>
    <w:rsid w:val="00B676A4"/>
    <w:rsid w:val="00B7151E"/>
    <w:rsid w:val="00B71C07"/>
    <w:rsid w:val="00B72D17"/>
    <w:rsid w:val="00B77E09"/>
    <w:rsid w:val="00B84950"/>
    <w:rsid w:val="00B85E9B"/>
    <w:rsid w:val="00B87524"/>
    <w:rsid w:val="00B87860"/>
    <w:rsid w:val="00B90F36"/>
    <w:rsid w:val="00B91D4C"/>
    <w:rsid w:val="00B92769"/>
    <w:rsid w:val="00B92A3B"/>
    <w:rsid w:val="00BA0CC6"/>
    <w:rsid w:val="00BA1B1C"/>
    <w:rsid w:val="00BA1C00"/>
    <w:rsid w:val="00BA21D4"/>
    <w:rsid w:val="00BA38E5"/>
    <w:rsid w:val="00BA4EF6"/>
    <w:rsid w:val="00BA58D0"/>
    <w:rsid w:val="00BA6413"/>
    <w:rsid w:val="00BB0B8D"/>
    <w:rsid w:val="00BB1E0F"/>
    <w:rsid w:val="00BB373E"/>
    <w:rsid w:val="00BB4095"/>
    <w:rsid w:val="00BB49FB"/>
    <w:rsid w:val="00BB527A"/>
    <w:rsid w:val="00BB5A81"/>
    <w:rsid w:val="00BB71B7"/>
    <w:rsid w:val="00BB7385"/>
    <w:rsid w:val="00BC040B"/>
    <w:rsid w:val="00BC1103"/>
    <w:rsid w:val="00BC1FE2"/>
    <w:rsid w:val="00BC24EA"/>
    <w:rsid w:val="00BC2AD6"/>
    <w:rsid w:val="00BC3064"/>
    <w:rsid w:val="00BC7E7F"/>
    <w:rsid w:val="00BD2A5E"/>
    <w:rsid w:val="00BD305C"/>
    <w:rsid w:val="00BD36FE"/>
    <w:rsid w:val="00BD4013"/>
    <w:rsid w:val="00BD4D4D"/>
    <w:rsid w:val="00BD5F3C"/>
    <w:rsid w:val="00BD7051"/>
    <w:rsid w:val="00BD757A"/>
    <w:rsid w:val="00BE1C3D"/>
    <w:rsid w:val="00BE2989"/>
    <w:rsid w:val="00BE7924"/>
    <w:rsid w:val="00BF1CB7"/>
    <w:rsid w:val="00BF3008"/>
    <w:rsid w:val="00BF57BA"/>
    <w:rsid w:val="00BF68A7"/>
    <w:rsid w:val="00BF6E2F"/>
    <w:rsid w:val="00C01CBB"/>
    <w:rsid w:val="00C03513"/>
    <w:rsid w:val="00C06F56"/>
    <w:rsid w:val="00C111DF"/>
    <w:rsid w:val="00C1218E"/>
    <w:rsid w:val="00C12E53"/>
    <w:rsid w:val="00C135E4"/>
    <w:rsid w:val="00C16E4B"/>
    <w:rsid w:val="00C23F2B"/>
    <w:rsid w:val="00C25D95"/>
    <w:rsid w:val="00C265E2"/>
    <w:rsid w:val="00C3186C"/>
    <w:rsid w:val="00C33B70"/>
    <w:rsid w:val="00C36190"/>
    <w:rsid w:val="00C36354"/>
    <w:rsid w:val="00C37359"/>
    <w:rsid w:val="00C40F89"/>
    <w:rsid w:val="00C47EB0"/>
    <w:rsid w:val="00C522A3"/>
    <w:rsid w:val="00C526DF"/>
    <w:rsid w:val="00C5307C"/>
    <w:rsid w:val="00C54A72"/>
    <w:rsid w:val="00C54DD3"/>
    <w:rsid w:val="00C568A0"/>
    <w:rsid w:val="00C56A9B"/>
    <w:rsid w:val="00C56D35"/>
    <w:rsid w:val="00C606C5"/>
    <w:rsid w:val="00C614D8"/>
    <w:rsid w:val="00C620CB"/>
    <w:rsid w:val="00C6419D"/>
    <w:rsid w:val="00C676B9"/>
    <w:rsid w:val="00C715F1"/>
    <w:rsid w:val="00C72576"/>
    <w:rsid w:val="00C72798"/>
    <w:rsid w:val="00C72E5B"/>
    <w:rsid w:val="00C75250"/>
    <w:rsid w:val="00C7559E"/>
    <w:rsid w:val="00C77D2D"/>
    <w:rsid w:val="00C810C8"/>
    <w:rsid w:val="00C81807"/>
    <w:rsid w:val="00C825E1"/>
    <w:rsid w:val="00C82C99"/>
    <w:rsid w:val="00C832FB"/>
    <w:rsid w:val="00C861DB"/>
    <w:rsid w:val="00C95E4C"/>
    <w:rsid w:val="00C97A8C"/>
    <w:rsid w:val="00CA1432"/>
    <w:rsid w:val="00CA384F"/>
    <w:rsid w:val="00CA595D"/>
    <w:rsid w:val="00CA6107"/>
    <w:rsid w:val="00CB30F6"/>
    <w:rsid w:val="00CB7178"/>
    <w:rsid w:val="00CC0BB5"/>
    <w:rsid w:val="00CC29A8"/>
    <w:rsid w:val="00CC3720"/>
    <w:rsid w:val="00CD3920"/>
    <w:rsid w:val="00CD4497"/>
    <w:rsid w:val="00CD55DA"/>
    <w:rsid w:val="00CD58B5"/>
    <w:rsid w:val="00CE1031"/>
    <w:rsid w:val="00CE1302"/>
    <w:rsid w:val="00CE22EA"/>
    <w:rsid w:val="00CE4519"/>
    <w:rsid w:val="00CE540D"/>
    <w:rsid w:val="00CE56D2"/>
    <w:rsid w:val="00CF014E"/>
    <w:rsid w:val="00CF280F"/>
    <w:rsid w:val="00CF6A8E"/>
    <w:rsid w:val="00CF6B17"/>
    <w:rsid w:val="00D016B1"/>
    <w:rsid w:val="00D0203E"/>
    <w:rsid w:val="00D02388"/>
    <w:rsid w:val="00D0370D"/>
    <w:rsid w:val="00D03857"/>
    <w:rsid w:val="00D03E2B"/>
    <w:rsid w:val="00D0427C"/>
    <w:rsid w:val="00D049BB"/>
    <w:rsid w:val="00D04D15"/>
    <w:rsid w:val="00D0561F"/>
    <w:rsid w:val="00D06000"/>
    <w:rsid w:val="00D06A1E"/>
    <w:rsid w:val="00D06AB6"/>
    <w:rsid w:val="00D1144D"/>
    <w:rsid w:val="00D1387B"/>
    <w:rsid w:val="00D17169"/>
    <w:rsid w:val="00D202CB"/>
    <w:rsid w:val="00D208CC"/>
    <w:rsid w:val="00D20A2B"/>
    <w:rsid w:val="00D212F8"/>
    <w:rsid w:val="00D23AD0"/>
    <w:rsid w:val="00D24BAB"/>
    <w:rsid w:val="00D258B4"/>
    <w:rsid w:val="00D318BF"/>
    <w:rsid w:val="00D32521"/>
    <w:rsid w:val="00D32B9E"/>
    <w:rsid w:val="00D33144"/>
    <w:rsid w:val="00D3491E"/>
    <w:rsid w:val="00D35D71"/>
    <w:rsid w:val="00D415B2"/>
    <w:rsid w:val="00D45464"/>
    <w:rsid w:val="00D456FC"/>
    <w:rsid w:val="00D4575C"/>
    <w:rsid w:val="00D46A0C"/>
    <w:rsid w:val="00D471DA"/>
    <w:rsid w:val="00D47A61"/>
    <w:rsid w:val="00D47F65"/>
    <w:rsid w:val="00D507E9"/>
    <w:rsid w:val="00D51532"/>
    <w:rsid w:val="00D52806"/>
    <w:rsid w:val="00D5399E"/>
    <w:rsid w:val="00D543EE"/>
    <w:rsid w:val="00D5537B"/>
    <w:rsid w:val="00D56813"/>
    <w:rsid w:val="00D658F9"/>
    <w:rsid w:val="00D710B0"/>
    <w:rsid w:val="00D71371"/>
    <w:rsid w:val="00D731A0"/>
    <w:rsid w:val="00D736F0"/>
    <w:rsid w:val="00D74B53"/>
    <w:rsid w:val="00D77497"/>
    <w:rsid w:val="00D80BE3"/>
    <w:rsid w:val="00D80E39"/>
    <w:rsid w:val="00D81556"/>
    <w:rsid w:val="00D8196F"/>
    <w:rsid w:val="00D8245D"/>
    <w:rsid w:val="00D82641"/>
    <w:rsid w:val="00D83CE5"/>
    <w:rsid w:val="00D85B11"/>
    <w:rsid w:val="00D85EBB"/>
    <w:rsid w:val="00D86FE1"/>
    <w:rsid w:val="00D87861"/>
    <w:rsid w:val="00D95546"/>
    <w:rsid w:val="00D95743"/>
    <w:rsid w:val="00D96B61"/>
    <w:rsid w:val="00D9759F"/>
    <w:rsid w:val="00D97C62"/>
    <w:rsid w:val="00DA0682"/>
    <w:rsid w:val="00DA40FD"/>
    <w:rsid w:val="00DA519F"/>
    <w:rsid w:val="00DA6F93"/>
    <w:rsid w:val="00DB1703"/>
    <w:rsid w:val="00DB4203"/>
    <w:rsid w:val="00DB5421"/>
    <w:rsid w:val="00DB54BF"/>
    <w:rsid w:val="00DB5A96"/>
    <w:rsid w:val="00DB5F40"/>
    <w:rsid w:val="00DB66BF"/>
    <w:rsid w:val="00DB7D3F"/>
    <w:rsid w:val="00DC0808"/>
    <w:rsid w:val="00DC0B08"/>
    <w:rsid w:val="00DC1B4B"/>
    <w:rsid w:val="00DC351D"/>
    <w:rsid w:val="00DC3645"/>
    <w:rsid w:val="00DC442C"/>
    <w:rsid w:val="00DC472E"/>
    <w:rsid w:val="00DD0194"/>
    <w:rsid w:val="00DD04D7"/>
    <w:rsid w:val="00DD2867"/>
    <w:rsid w:val="00DD385A"/>
    <w:rsid w:val="00DD6875"/>
    <w:rsid w:val="00DE0E78"/>
    <w:rsid w:val="00DE2F3F"/>
    <w:rsid w:val="00DE389E"/>
    <w:rsid w:val="00DE3F05"/>
    <w:rsid w:val="00DE5DD7"/>
    <w:rsid w:val="00DE62BF"/>
    <w:rsid w:val="00DE759B"/>
    <w:rsid w:val="00DF1597"/>
    <w:rsid w:val="00DF2F22"/>
    <w:rsid w:val="00DF3AFC"/>
    <w:rsid w:val="00DF4552"/>
    <w:rsid w:val="00DF5016"/>
    <w:rsid w:val="00E00979"/>
    <w:rsid w:val="00E01C35"/>
    <w:rsid w:val="00E01DC8"/>
    <w:rsid w:val="00E03C92"/>
    <w:rsid w:val="00E0637A"/>
    <w:rsid w:val="00E06D50"/>
    <w:rsid w:val="00E07332"/>
    <w:rsid w:val="00E10092"/>
    <w:rsid w:val="00E11F18"/>
    <w:rsid w:val="00E12F73"/>
    <w:rsid w:val="00E14DB8"/>
    <w:rsid w:val="00E14ED0"/>
    <w:rsid w:val="00E15F29"/>
    <w:rsid w:val="00E1705B"/>
    <w:rsid w:val="00E17905"/>
    <w:rsid w:val="00E211CF"/>
    <w:rsid w:val="00E26021"/>
    <w:rsid w:val="00E267C2"/>
    <w:rsid w:val="00E27051"/>
    <w:rsid w:val="00E30971"/>
    <w:rsid w:val="00E3400A"/>
    <w:rsid w:val="00E3514B"/>
    <w:rsid w:val="00E35F0F"/>
    <w:rsid w:val="00E35FFB"/>
    <w:rsid w:val="00E36019"/>
    <w:rsid w:val="00E369AE"/>
    <w:rsid w:val="00E37146"/>
    <w:rsid w:val="00E379E8"/>
    <w:rsid w:val="00E41BE7"/>
    <w:rsid w:val="00E4233A"/>
    <w:rsid w:val="00E42759"/>
    <w:rsid w:val="00E42C7F"/>
    <w:rsid w:val="00E43340"/>
    <w:rsid w:val="00E43940"/>
    <w:rsid w:val="00E44962"/>
    <w:rsid w:val="00E44FA0"/>
    <w:rsid w:val="00E4519D"/>
    <w:rsid w:val="00E452FC"/>
    <w:rsid w:val="00E46C7C"/>
    <w:rsid w:val="00E536CD"/>
    <w:rsid w:val="00E545E5"/>
    <w:rsid w:val="00E552F0"/>
    <w:rsid w:val="00E5549C"/>
    <w:rsid w:val="00E57543"/>
    <w:rsid w:val="00E5795B"/>
    <w:rsid w:val="00E57FD7"/>
    <w:rsid w:val="00E6287E"/>
    <w:rsid w:val="00E66155"/>
    <w:rsid w:val="00E666DF"/>
    <w:rsid w:val="00E72217"/>
    <w:rsid w:val="00E7368A"/>
    <w:rsid w:val="00E73A37"/>
    <w:rsid w:val="00E751D8"/>
    <w:rsid w:val="00E7792A"/>
    <w:rsid w:val="00E802CD"/>
    <w:rsid w:val="00E80C54"/>
    <w:rsid w:val="00E813B2"/>
    <w:rsid w:val="00E819A9"/>
    <w:rsid w:val="00E829BA"/>
    <w:rsid w:val="00E84570"/>
    <w:rsid w:val="00E8669C"/>
    <w:rsid w:val="00E93615"/>
    <w:rsid w:val="00E93D4D"/>
    <w:rsid w:val="00E945D2"/>
    <w:rsid w:val="00E9514B"/>
    <w:rsid w:val="00E95248"/>
    <w:rsid w:val="00E966E1"/>
    <w:rsid w:val="00E97621"/>
    <w:rsid w:val="00E97F9E"/>
    <w:rsid w:val="00EA0098"/>
    <w:rsid w:val="00EA372B"/>
    <w:rsid w:val="00EA5D6E"/>
    <w:rsid w:val="00EA7652"/>
    <w:rsid w:val="00EB042F"/>
    <w:rsid w:val="00EB22DD"/>
    <w:rsid w:val="00EB3800"/>
    <w:rsid w:val="00EB572B"/>
    <w:rsid w:val="00EB613F"/>
    <w:rsid w:val="00EB77B3"/>
    <w:rsid w:val="00EC0338"/>
    <w:rsid w:val="00EC0AA5"/>
    <w:rsid w:val="00EC0CDA"/>
    <w:rsid w:val="00EC38AF"/>
    <w:rsid w:val="00EC5C57"/>
    <w:rsid w:val="00EC7883"/>
    <w:rsid w:val="00ED1E5E"/>
    <w:rsid w:val="00ED3B25"/>
    <w:rsid w:val="00ED4816"/>
    <w:rsid w:val="00ED4AA9"/>
    <w:rsid w:val="00ED60BB"/>
    <w:rsid w:val="00ED639B"/>
    <w:rsid w:val="00ED6F29"/>
    <w:rsid w:val="00ED711A"/>
    <w:rsid w:val="00ED7BD9"/>
    <w:rsid w:val="00EE1909"/>
    <w:rsid w:val="00EE2AB5"/>
    <w:rsid w:val="00EE2BBD"/>
    <w:rsid w:val="00EE3F60"/>
    <w:rsid w:val="00EE40B6"/>
    <w:rsid w:val="00EE43D5"/>
    <w:rsid w:val="00EE4CCC"/>
    <w:rsid w:val="00EE55EB"/>
    <w:rsid w:val="00EF36C3"/>
    <w:rsid w:val="00EF3C5C"/>
    <w:rsid w:val="00EF5852"/>
    <w:rsid w:val="00EF7478"/>
    <w:rsid w:val="00EF77C4"/>
    <w:rsid w:val="00F0148C"/>
    <w:rsid w:val="00F01BC9"/>
    <w:rsid w:val="00F01C0E"/>
    <w:rsid w:val="00F024C8"/>
    <w:rsid w:val="00F04CB7"/>
    <w:rsid w:val="00F067C9"/>
    <w:rsid w:val="00F105DE"/>
    <w:rsid w:val="00F10AF8"/>
    <w:rsid w:val="00F11A74"/>
    <w:rsid w:val="00F12F86"/>
    <w:rsid w:val="00F137B2"/>
    <w:rsid w:val="00F1700C"/>
    <w:rsid w:val="00F265C1"/>
    <w:rsid w:val="00F30AB2"/>
    <w:rsid w:val="00F40145"/>
    <w:rsid w:val="00F40233"/>
    <w:rsid w:val="00F41219"/>
    <w:rsid w:val="00F4799B"/>
    <w:rsid w:val="00F5206F"/>
    <w:rsid w:val="00F5245A"/>
    <w:rsid w:val="00F528E9"/>
    <w:rsid w:val="00F52F5A"/>
    <w:rsid w:val="00F55F6C"/>
    <w:rsid w:val="00F57E19"/>
    <w:rsid w:val="00F602D6"/>
    <w:rsid w:val="00F60C60"/>
    <w:rsid w:val="00F629A6"/>
    <w:rsid w:val="00F63B39"/>
    <w:rsid w:val="00F63F84"/>
    <w:rsid w:val="00F651E2"/>
    <w:rsid w:val="00F65809"/>
    <w:rsid w:val="00F65C3C"/>
    <w:rsid w:val="00F65E89"/>
    <w:rsid w:val="00F65FB7"/>
    <w:rsid w:val="00F67CE1"/>
    <w:rsid w:val="00F67D6C"/>
    <w:rsid w:val="00F71CBD"/>
    <w:rsid w:val="00F75E7E"/>
    <w:rsid w:val="00F808EE"/>
    <w:rsid w:val="00F826FE"/>
    <w:rsid w:val="00F84F80"/>
    <w:rsid w:val="00F910A6"/>
    <w:rsid w:val="00F929D6"/>
    <w:rsid w:val="00F9357D"/>
    <w:rsid w:val="00F97337"/>
    <w:rsid w:val="00FA1C87"/>
    <w:rsid w:val="00FA34BA"/>
    <w:rsid w:val="00FA6BD3"/>
    <w:rsid w:val="00FA6DD0"/>
    <w:rsid w:val="00FA7C29"/>
    <w:rsid w:val="00FB00A4"/>
    <w:rsid w:val="00FB579C"/>
    <w:rsid w:val="00FB5A15"/>
    <w:rsid w:val="00FB699F"/>
    <w:rsid w:val="00FC363D"/>
    <w:rsid w:val="00FC403A"/>
    <w:rsid w:val="00FC631E"/>
    <w:rsid w:val="00FD0CB1"/>
    <w:rsid w:val="00FD1977"/>
    <w:rsid w:val="00FD2250"/>
    <w:rsid w:val="00FD25E9"/>
    <w:rsid w:val="00FD6F6F"/>
    <w:rsid w:val="00FE00FE"/>
    <w:rsid w:val="00FE058C"/>
    <w:rsid w:val="00FE30E4"/>
    <w:rsid w:val="00FE5220"/>
    <w:rsid w:val="00FF06FD"/>
    <w:rsid w:val="00FF2301"/>
    <w:rsid w:val="00FF2D22"/>
    <w:rsid w:val="00FF3E24"/>
    <w:rsid w:val="00FF4880"/>
    <w:rsid w:val="00FF6101"/>
    <w:rsid w:val="00FF6307"/>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D091"/>
  <w15:chartTrackingRefBased/>
  <w15:docId w15:val="{F35A8C30-E4DE-46CF-A2D5-829107AC210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4C"/>
    <w:pPr>
      <w:spacing w:after="0" w:line="240" w:lineRule="auto"/>
    </w:pPr>
    <w:rPr>
      <w:rFonts w:ascii="Palatino" w:eastAsia="Times New Roman" w:hAnsi="Palatino" w:cs="Times New Roman"/>
      <w:sz w:val="24"/>
      <w:szCs w:val="20"/>
    </w:rPr>
  </w:style>
  <w:style w:type="paragraph" w:styleId="Heading1">
    <w:name w:val="heading 1"/>
    <w:basedOn w:val="Normal"/>
    <w:next w:val="Normal"/>
    <w:link w:val="Heading1Char"/>
    <w:qFormat/>
    <w:rsid w:val="00C56D35"/>
    <w:pPr>
      <w:keepNext/>
      <w:keepLines/>
      <w:numPr>
        <w:numId w:val="1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56D35"/>
    <w:pPr>
      <w:keepNext/>
      <w:keepLines/>
      <w:numPr>
        <w:ilvl w:val="1"/>
        <w:numId w:val="1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C56D35"/>
    <w:pPr>
      <w:keepNext/>
      <w:keepLines/>
      <w:numPr>
        <w:ilvl w:val="2"/>
        <w:numId w:val="13"/>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C56D35"/>
    <w:pPr>
      <w:keepNext/>
      <w:keepLines/>
      <w:numPr>
        <w:ilvl w:val="3"/>
        <w:numId w:val="13"/>
      </w:numPr>
      <w:spacing w:before="40"/>
      <w:outlineLvl w:val="3"/>
    </w:pPr>
    <w:rPr>
      <w:rFonts w:asciiTheme="majorHAnsi" w:eastAsiaTheme="majorEastAsia" w:hAnsiTheme="majorHAnsi" w:cstheme="majorBidi"/>
      <w:i/>
      <w:iCs/>
      <w:color w:val="2F5496" w:themeColor="accent1" w:themeShade="BF"/>
      <w:szCs w:val="24"/>
    </w:rPr>
  </w:style>
  <w:style w:type="paragraph" w:styleId="Heading5">
    <w:name w:val="heading 5"/>
    <w:basedOn w:val="Normal"/>
    <w:next w:val="Normal"/>
    <w:link w:val="Heading5Char"/>
    <w:semiHidden/>
    <w:unhideWhenUsed/>
    <w:qFormat/>
    <w:rsid w:val="00C56D35"/>
    <w:pPr>
      <w:keepNext/>
      <w:keepLines/>
      <w:numPr>
        <w:ilvl w:val="4"/>
        <w:numId w:val="13"/>
      </w:numPr>
      <w:spacing w:before="40"/>
      <w:outlineLvl w:val="4"/>
    </w:pPr>
    <w:rPr>
      <w:rFonts w:asciiTheme="majorHAnsi" w:eastAsiaTheme="majorEastAsia" w:hAnsiTheme="majorHAnsi" w:cstheme="majorBidi"/>
      <w:color w:val="2F5496" w:themeColor="accent1" w:themeShade="BF"/>
      <w:szCs w:val="24"/>
    </w:rPr>
  </w:style>
  <w:style w:type="paragraph" w:styleId="Heading6">
    <w:name w:val="heading 6"/>
    <w:basedOn w:val="Normal"/>
    <w:next w:val="Normal"/>
    <w:link w:val="Heading6Char"/>
    <w:semiHidden/>
    <w:unhideWhenUsed/>
    <w:qFormat/>
    <w:rsid w:val="00C56D35"/>
    <w:pPr>
      <w:keepNext/>
      <w:keepLines/>
      <w:numPr>
        <w:ilvl w:val="5"/>
        <w:numId w:val="13"/>
      </w:numPr>
      <w:spacing w:before="40"/>
      <w:outlineLvl w:val="5"/>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semiHidden/>
    <w:unhideWhenUsed/>
    <w:qFormat/>
    <w:rsid w:val="00C56D35"/>
    <w:pPr>
      <w:keepNext/>
      <w:keepLines/>
      <w:numPr>
        <w:ilvl w:val="6"/>
        <w:numId w:val="13"/>
      </w:numPr>
      <w:spacing w:before="40"/>
      <w:outlineLvl w:val="6"/>
    </w:pPr>
    <w:rPr>
      <w:rFonts w:asciiTheme="majorHAnsi" w:eastAsiaTheme="majorEastAsia" w:hAnsiTheme="majorHAnsi" w:cstheme="majorBidi"/>
      <w:i/>
      <w:iCs/>
      <w:color w:val="1F3763" w:themeColor="accent1" w:themeShade="7F"/>
      <w:szCs w:val="24"/>
    </w:rPr>
  </w:style>
  <w:style w:type="paragraph" w:styleId="Heading8">
    <w:name w:val="heading 8"/>
    <w:basedOn w:val="Normal"/>
    <w:next w:val="Normal"/>
    <w:link w:val="Heading8Char"/>
    <w:semiHidden/>
    <w:unhideWhenUsed/>
    <w:qFormat/>
    <w:rsid w:val="00C56D35"/>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56D35"/>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D17"/>
    <w:pPr>
      <w:tabs>
        <w:tab w:val="center" w:pos="4320"/>
        <w:tab w:val="right" w:pos="8640"/>
      </w:tabs>
    </w:pPr>
  </w:style>
  <w:style w:type="character" w:customStyle="1" w:styleId="HeaderChar">
    <w:name w:val="Header Char"/>
    <w:basedOn w:val="DefaultParagraphFont"/>
    <w:link w:val="Header"/>
    <w:rsid w:val="00B72D17"/>
    <w:rPr>
      <w:rFonts w:ascii="Palatino" w:eastAsia="Times New Roman" w:hAnsi="Palatino" w:cs="Times New Roman"/>
      <w:sz w:val="24"/>
      <w:szCs w:val="20"/>
    </w:rPr>
  </w:style>
  <w:style w:type="paragraph" w:styleId="Footer">
    <w:name w:val="footer"/>
    <w:basedOn w:val="Normal"/>
    <w:link w:val="FooterChar"/>
    <w:uiPriority w:val="99"/>
    <w:rsid w:val="00B72D17"/>
    <w:pPr>
      <w:tabs>
        <w:tab w:val="center" w:pos="4320"/>
        <w:tab w:val="right" w:pos="8640"/>
      </w:tabs>
    </w:pPr>
  </w:style>
  <w:style w:type="character" w:customStyle="1" w:styleId="FooterChar">
    <w:name w:val="Footer Char"/>
    <w:basedOn w:val="DefaultParagraphFont"/>
    <w:link w:val="Footer"/>
    <w:uiPriority w:val="99"/>
    <w:rsid w:val="00B72D17"/>
    <w:rPr>
      <w:rFonts w:ascii="Palatino" w:eastAsia="Times New Roman" w:hAnsi="Palatino" w:cs="Times New Roman"/>
      <w:sz w:val="24"/>
      <w:szCs w:val="20"/>
    </w:rPr>
  </w:style>
  <w:style w:type="character" w:styleId="PageNumber">
    <w:name w:val="page number"/>
    <w:basedOn w:val="DefaultParagraphFont"/>
    <w:rsid w:val="00B72D17"/>
  </w:style>
  <w:style w:type="paragraph" w:styleId="Title">
    <w:name w:val="Title"/>
    <w:basedOn w:val="Normal"/>
    <w:link w:val="TitleChar"/>
    <w:qFormat/>
    <w:rsid w:val="00B72D17"/>
    <w:pPr>
      <w:jc w:val="center"/>
    </w:pPr>
    <w:rPr>
      <w:rFonts w:ascii="Helvetica" w:hAnsi="Helvetica"/>
      <w:b/>
    </w:rPr>
  </w:style>
  <w:style w:type="character" w:customStyle="1" w:styleId="TitleChar">
    <w:name w:val="Title Char"/>
    <w:basedOn w:val="DefaultParagraphFont"/>
    <w:link w:val="Title"/>
    <w:rsid w:val="00B72D17"/>
    <w:rPr>
      <w:rFonts w:ascii="Helvetica" w:eastAsia="Times New Roman" w:hAnsi="Helvetica" w:cs="Times New Roman"/>
      <w:b/>
      <w:sz w:val="24"/>
      <w:szCs w:val="20"/>
    </w:rPr>
  </w:style>
  <w:style w:type="paragraph" w:styleId="BlockText">
    <w:name w:val="Block Text"/>
    <w:basedOn w:val="Normal"/>
    <w:rsid w:val="00B72D17"/>
    <w:pPr>
      <w:ind w:left="720" w:right="720"/>
    </w:pPr>
  </w:style>
  <w:style w:type="table" w:styleId="TableGrid">
    <w:name w:val="Table Grid"/>
    <w:basedOn w:val="TableNormal"/>
    <w:uiPriority w:val="39"/>
    <w:rsid w:val="00B72D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2D17"/>
    <w:rPr>
      <w:color w:val="0000FF"/>
      <w:u w:val="single"/>
    </w:rPr>
  </w:style>
  <w:style w:type="paragraph" w:styleId="FootnoteText">
    <w:name w:val="footnote text"/>
    <w:basedOn w:val="Normal"/>
    <w:link w:val="FootnoteTextChar"/>
    <w:unhideWhenUsed/>
    <w:rsid w:val="00A76137"/>
    <w:rPr>
      <w:sz w:val="20"/>
    </w:rPr>
  </w:style>
  <w:style w:type="character" w:customStyle="1" w:styleId="FootnoteTextChar">
    <w:name w:val="Footnote Text Char"/>
    <w:basedOn w:val="DefaultParagraphFont"/>
    <w:link w:val="FootnoteText"/>
    <w:rsid w:val="00A76137"/>
    <w:rPr>
      <w:rFonts w:ascii="Palatino" w:eastAsia="Times New Roman" w:hAnsi="Palatino" w:cs="Times New Roman"/>
      <w:sz w:val="20"/>
      <w:szCs w:val="20"/>
    </w:rPr>
  </w:style>
  <w:style w:type="character" w:styleId="FootnoteReference">
    <w:name w:val="footnote reference"/>
    <w:basedOn w:val="DefaultParagraphFont"/>
    <w:unhideWhenUsed/>
    <w:rsid w:val="00A76137"/>
    <w:rPr>
      <w:vertAlign w:val="superscript"/>
    </w:rPr>
  </w:style>
  <w:style w:type="paragraph" w:styleId="BalloonText">
    <w:name w:val="Balloon Text"/>
    <w:basedOn w:val="Normal"/>
    <w:link w:val="BalloonTextChar"/>
    <w:uiPriority w:val="99"/>
    <w:semiHidden/>
    <w:unhideWhenUsed/>
    <w:rsid w:val="00E42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C7F"/>
    <w:rPr>
      <w:rFonts w:ascii="Segoe UI" w:eastAsia="Times New Roman" w:hAnsi="Segoe UI" w:cs="Segoe UI"/>
      <w:sz w:val="18"/>
      <w:szCs w:val="18"/>
    </w:rPr>
  </w:style>
  <w:style w:type="paragraph" w:styleId="ListParagraph">
    <w:name w:val="List Paragraph"/>
    <w:basedOn w:val="Normal"/>
    <w:uiPriority w:val="34"/>
    <w:qFormat/>
    <w:rsid w:val="00182B7F"/>
    <w:pPr>
      <w:ind w:left="720"/>
      <w:contextualSpacing/>
    </w:pPr>
  </w:style>
  <w:style w:type="character" w:styleId="CommentReference">
    <w:name w:val="annotation reference"/>
    <w:basedOn w:val="DefaultParagraphFont"/>
    <w:uiPriority w:val="99"/>
    <w:semiHidden/>
    <w:unhideWhenUsed/>
    <w:rsid w:val="00DB4203"/>
    <w:rPr>
      <w:sz w:val="16"/>
      <w:szCs w:val="16"/>
    </w:rPr>
  </w:style>
  <w:style w:type="paragraph" w:styleId="CommentText">
    <w:name w:val="annotation text"/>
    <w:basedOn w:val="Normal"/>
    <w:link w:val="CommentTextChar"/>
    <w:uiPriority w:val="99"/>
    <w:unhideWhenUsed/>
    <w:rsid w:val="00DB4203"/>
    <w:rPr>
      <w:sz w:val="20"/>
    </w:rPr>
  </w:style>
  <w:style w:type="character" w:customStyle="1" w:styleId="CommentTextChar">
    <w:name w:val="Comment Text Char"/>
    <w:basedOn w:val="DefaultParagraphFont"/>
    <w:link w:val="CommentText"/>
    <w:uiPriority w:val="99"/>
    <w:rsid w:val="00DB4203"/>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DB4203"/>
    <w:rPr>
      <w:b/>
      <w:bCs/>
    </w:rPr>
  </w:style>
  <w:style w:type="character" w:customStyle="1" w:styleId="CommentSubjectChar">
    <w:name w:val="Comment Subject Char"/>
    <w:basedOn w:val="CommentTextChar"/>
    <w:link w:val="CommentSubject"/>
    <w:uiPriority w:val="99"/>
    <w:semiHidden/>
    <w:rsid w:val="00DB4203"/>
    <w:rPr>
      <w:rFonts w:ascii="Palatino" w:eastAsia="Times New Roman" w:hAnsi="Palatino" w:cs="Times New Roman"/>
      <w:b/>
      <w:bCs/>
      <w:sz w:val="20"/>
      <w:szCs w:val="20"/>
    </w:rPr>
  </w:style>
  <w:style w:type="paragraph" w:styleId="Revision">
    <w:name w:val="Revision"/>
    <w:hidden/>
    <w:uiPriority w:val="99"/>
    <w:semiHidden/>
    <w:rsid w:val="00E1705B"/>
    <w:pPr>
      <w:spacing w:after="0" w:line="240" w:lineRule="auto"/>
    </w:pPr>
    <w:rPr>
      <w:rFonts w:ascii="Palatino" w:eastAsia="Times New Roman" w:hAnsi="Palatino" w:cs="Times New Roman"/>
      <w:sz w:val="24"/>
      <w:szCs w:val="20"/>
    </w:rPr>
  </w:style>
  <w:style w:type="character" w:customStyle="1" w:styleId="Heading1Char">
    <w:name w:val="Heading 1 Char"/>
    <w:basedOn w:val="DefaultParagraphFont"/>
    <w:link w:val="Heading1"/>
    <w:rsid w:val="00C56D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6D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C56D3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C56D3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C56D3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C56D3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C56D3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C56D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56D35"/>
    <w:rPr>
      <w:rFonts w:asciiTheme="majorHAnsi" w:eastAsiaTheme="majorEastAsia" w:hAnsiTheme="majorHAnsi" w:cstheme="majorBidi"/>
      <w:i/>
      <w:iCs/>
      <w:color w:val="272727" w:themeColor="text1" w:themeTint="D8"/>
      <w:sz w:val="21"/>
      <w:szCs w:val="21"/>
    </w:rPr>
  </w:style>
  <w:style w:type="paragraph" w:customStyle="1" w:styleId="Default">
    <w:name w:val="Default"/>
    <w:rsid w:val="00C56D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yleFootnoteReference13ptBlack">
    <w:name w:val="Style Footnote Reference + 13 pt Black"/>
    <w:basedOn w:val="FootnoteReference"/>
    <w:qFormat/>
    <w:rsid w:val="00C56D35"/>
    <w:rPr>
      <w:b/>
      <w:color w:val="000000"/>
      <w:sz w:val="26"/>
      <w:u w:val="single"/>
      <w:vertAlign w:val="superscript"/>
    </w:rPr>
  </w:style>
  <w:style w:type="character" w:styleId="UnresolvedMention">
    <w:name w:val="Unresolved Mention"/>
    <w:basedOn w:val="DefaultParagraphFont"/>
    <w:uiPriority w:val="99"/>
    <w:semiHidden/>
    <w:unhideWhenUsed/>
    <w:rsid w:val="00F57E19"/>
    <w:rPr>
      <w:color w:val="605E5C"/>
      <w:shd w:val="clear" w:color="auto" w:fill="E1DFDD"/>
    </w:rPr>
  </w:style>
  <w:style w:type="paragraph" w:styleId="NoSpacing">
    <w:name w:val="No Spacing"/>
    <w:uiPriority w:val="1"/>
    <w:qFormat/>
    <w:rsid w:val="002867D4"/>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D36A7"/>
    <w:pPr>
      <w:widowControl w:val="0"/>
      <w:autoSpaceDE w:val="0"/>
      <w:autoSpaceDN w:val="0"/>
    </w:pPr>
    <w:rPr>
      <w:rFonts w:ascii="Book Antiqua" w:eastAsia="Book Antiqua" w:hAnsi="Book Antiqua" w:cs="Book Antiqua"/>
      <w:sz w:val="26"/>
      <w:szCs w:val="26"/>
    </w:rPr>
  </w:style>
  <w:style w:type="character" w:customStyle="1" w:styleId="BodyTextChar">
    <w:name w:val="Body Text Char"/>
    <w:basedOn w:val="DefaultParagraphFont"/>
    <w:link w:val="BodyText"/>
    <w:uiPriority w:val="1"/>
    <w:rsid w:val="002D36A7"/>
    <w:rPr>
      <w:rFonts w:ascii="Book Antiqua" w:eastAsia="Book Antiqua" w:hAnsi="Book Antiqua" w:cs="Book Antiqu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0DE59-0E8F-4EDC-9230-3484E5B7779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1694</ap:Words>
  <ap:Characters>9659</ap:Characters>
  <ap:Application>Microsoft Office Word</ap:Application>
  <ap:DocSecurity>0</ap:DocSecurity>
  <ap:Lines>80</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11331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2024-12-17T03:20:00Z</cp:lastPrinted>
  <dcterms:created xsi:type="dcterms:W3CDTF">2025-12-24T09:02:54Z</dcterms:created>
  <dcterms:modified xsi:type="dcterms:W3CDTF">2025-12-24T09:02:54Z</dcterms:modified>
</cp:coreProperties>
</file>