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715B" w:rsidR="00F36447" w:rsidP="00634309" w:rsidRDefault="00D0715B" w14:paraId="04E22611" w14:textId="5C1D4D23">
      <w:pPr>
        <w:tabs>
          <w:tab w:val="right" w:pos="9360"/>
        </w:tabs>
        <w:spacing w:line="240" w:lineRule="auto"/>
        <w:ind w:firstLine="0"/>
        <w:rPr>
          <w:b/>
        </w:rPr>
      </w:pPr>
      <w:r>
        <w:t>ALJ/RMD/nd3</w:t>
      </w:r>
      <w:r w:rsidRPr="00D0715B" w:rsidR="007E0FEE">
        <w:tab/>
      </w:r>
      <w:r w:rsidRPr="00634309" w:rsidR="00634309">
        <w:rPr>
          <w:b/>
          <w:bCs/>
        </w:rPr>
        <w:t>Date of Issuance 12/26/2025</w:t>
      </w:r>
    </w:p>
    <w:p w:rsidR="00DA7B5D" w:rsidP="00D0715B" w:rsidRDefault="00DA7B5D" w14:paraId="39944CEF" w14:textId="77777777">
      <w:pPr>
        <w:spacing w:line="240" w:lineRule="auto"/>
        <w:ind w:firstLine="0"/>
      </w:pPr>
    </w:p>
    <w:p w:rsidR="00D0715B" w:rsidP="00D0715B" w:rsidRDefault="00D0715B" w14:paraId="61C79948" w14:textId="77777777">
      <w:pPr>
        <w:spacing w:line="240" w:lineRule="auto"/>
        <w:ind w:firstLine="0"/>
      </w:pPr>
    </w:p>
    <w:p w:rsidRPr="00EE3060" w:rsidR="00DA7B5D" w:rsidP="00D0715B" w:rsidRDefault="00634309" w14:paraId="09584804" w14:textId="4E043080">
      <w:pPr>
        <w:spacing w:line="240" w:lineRule="auto"/>
        <w:ind w:firstLine="0"/>
      </w:pPr>
      <w:r w:rsidRPr="00F3538E">
        <w:t xml:space="preserve">Decision </w:t>
      </w:r>
      <w:r w:rsidRPr="00622D61">
        <w:t>25-12-023</w:t>
      </w:r>
      <w:r>
        <w:t xml:space="preserve">  December 18, 2025</w:t>
      </w:r>
    </w:p>
    <w:p w:rsidR="00DA7B5D" w:rsidP="00D0715B" w:rsidRDefault="00DA7B5D" w14:paraId="1ACF771B" w14:textId="77777777">
      <w:pPr>
        <w:spacing w:line="240" w:lineRule="auto"/>
        <w:ind w:firstLine="0"/>
        <w:rPr>
          <w:u w:val="single"/>
        </w:rPr>
      </w:pPr>
    </w:p>
    <w:p w:rsidR="00D0715B" w:rsidP="00D0715B" w:rsidRDefault="00D0715B" w14:paraId="7DA1BD43" w14:textId="77777777">
      <w:pPr>
        <w:spacing w:line="240" w:lineRule="auto"/>
        <w:ind w:firstLine="0"/>
        <w:rPr>
          <w:u w:val="single"/>
        </w:rPr>
      </w:pPr>
    </w:p>
    <w:p w:rsidR="00DA7B5D" w:rsidP="00BB0243" w:rsidRDefault="00DA7B5D" w14:paraId="2418FC62"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D971091" w14:textId="77777777">
      <w:pPr>
        <w:spacing w:line="240" w:lineRule="auto"/>
        <w:ind w:firstLine="0"/>
        <w:rPr>
          <w:rFonts w:ascii="Arial" w:hAnsi="Arial" w:cs="Arial"/>
          <w:sz w:val="24"/>
          <w:szCs w:val="24"/>
        </w:rPr>
      </w:pPr>
    </w:p>
    <w:tbl>
      <w:tblPr>
        <w:tblStyle w:val="TableGrid"/>
        <w:tblW w:w="9360" w:type="dxa"/>
        <w:tblLayout w:type="fixed"/>
        <w:tblLook w:val="04A0" w:firstRow="1" w:lastRow="0" w:firstColumn="1" w:lastColumn="0" w:noHBand="0" w:noVBand="1"/>
      </w:tblPr>
      <w:tblGrid>
        <w:gridCol w:w="4680"/>
        <w:gridCol w:w="4680"/>
      </w:tblGrid>
      <w:tr w:rsidR="00DA7B5D" w:rsidTr="00D0715B" w14:paraId="24A67180" w14:textId="77777777">
        <w:tc>
          <w:tcPr>
            <w:tcW w:w="5040" w:type="dxa"/>
            <w:tcBorders>
              <w:top w:val="nil"/>
              <w:left w:val="nil"/>
              <w:bottom w:val="single" w:color="auto" w:sz="4" w:space="0"/>
              <w:right w:val="single" w:color="auto" w:sz="4" w:space="0"/>
            </w:tcBorders>
          </w:tcPr>
          <w:p w:rsidR="005A63DC" w:rsidP="00610C74" w:rsidRDefault="005A63DC" w14:paraId="64F71E9F" w14:textId="56D41029">
            <w:pPr>
              <w:spacing w:line="240" w:lineRule="auto"/>
              <w:ind w:firstLine="0"/>
              <w:rPr>
                <w:rFonts w:cs="Arial"/>
                <w:szCs w:val="26"/>
              </w:rPr>
            </w:pPr>
            <w:r w:rsidRPr="005A63DC">
              <w:rPr>
                <w:rFonts w:cs="Arial"/>
                <w:szCs w:val="26"/>
              </w:rPr>
              <w:t>Application of Southern California Edison Company (U338E) for Authority to Recover Costs Related to the 2018 Woolsey Fire Recorded in the Wildfire Expense Memorandum Account and Catastrophic Event Memorandum Account.</w:t>
            </w:r>
          </w:p>
          <w:p w:rsidRPr="00DA7B5D" w:rsidR="00DA7B5D" w:rsidP="00610C74" w:rsidRDefault="00DA7B5D" w14:paraId="57638A21" w14:textId="775EB697">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610C74" w14:paraId="20B6ECC8" w14:textId="3753F15A">
            <w:pPr>
              <w:spacing w:line="240" w:lineRule="auto"/>
              <w:ind w:firstLine="0"/>
              <w:jc w:val="center"/>
              <w:rPr>
                <w:rFonts w:cs="Arial"/>
                <w:szCs w:val="26"/>
              </w:rPr>
            </w:pPr>
            <w:r>
              <w:rPr>
                <w:rFonts w:cs="Arial"/>
                <w:szCs w:val="26"/>
              </w:rPr>
              <w:t>Application 24</w:t>
            </w:r>
            <w:r w:rsidR="003B5862">
              <w:rPr>
                <w:rFonts w:cs="Arial"/>
                <w:szCs w:val="26"/>
              </w:rPr>
              <w:noBreakHyphen/>
            </w:r>
            <w:r>
              <w:rPr>
                <w:rFonts w:cs="Arial"/>
                <w:szCs w:val="26"/>
              </w:rPr>
              <w:t>10</w:t>
            </w:r>
            <w:r w:rsidR="003B5862">
              <w:rPr>
                <w:rFonts w:cs="Arial"/>
                <w:szCs w:val="26"/>
              </w:rPr>
              <w:noBreakHyphen/>
            </w:r>
            <w:r>
              <w:rPr>
                <w:rFonts w:cs="Arial"/>
                <w:szCs w:val="26"/>
              </w:rPr>
              <w:t>002</w:t>
            </w:r>
          </w:p>
        </w:tc>
      </w:tr>
    </w:tbl>
    <w:p w:rsidR="00DA7B5D" w:rsidP="008F0116" w:rsidRDefault="00DA7B5D" w14:paraId="205D01DC" w14:textId="77777777">
      <w:pPr>
        <w:spacing w:line="240" w:lineRule="auto"/>
        <w:ind w:firstLine="0"/>
        <w:rPr>
          <w:rFonts w:ascii="Arial" w:hAnsi="Arial" w:cs="Arial"/>
          <w:sz w:val="24"/>
          <w:szCs w:val="24"/>
        </w:rPr>
      </w:pPr>
    </w:p>
    <w:p w:rsidR="00DA7B5D" w:rsidP="008F0116" w:rsidRDefault="00DA7B5D" w14:paraId="2B1D1DE7" w14:textId="77777777">
      <w:pPr>
        <w:spacing w:line="240" w:lineRule="auto"/>
        <w:ind w:firstLine="0"/>
        <w:rPr>
          <w:rFonts w:ascii="Arial" w:hAnsi="Arial" w:cs="Arial"/>
          <w:sz w:val="24"/>
          <w:szCs w:val="24"/>
        </w:rPr>
      </w:pPr>
    </w:p>
    <w:p w:rsidRPr="00EE1E54" w:rsidR="00F92385" w:rsidP="00EE1E54" w:rsidRDefault="00610C74" w14:paraId="186F8AD3" w14:textId="5D9E93EC">
      <w:pPr>
        <w:pStyle w:val="Dummy"/>
        <w:jc w:val="center"/>
      </w:pPr>
      <w:bookmarkStart w:name="Title" w:id="0"/>
      <w:bookmarkStart w:name="_Toc217632434" w:id="1"/>
      <w:r>
        <w:t xml:space="preserve">DECISION ADOPTING SETTLEMENT </w:t>
      </w:r>
      <w:r w:rsidR="000E3D79">
        <w:t>ON</w:t>
      </w:r>
      <w:r>
        <w:t xml:space="preserve"> THE REQUEST</w:t>
      </w:r>
      <w:r w:rsidR="009C1FE9">
        <w:br/>
      </w:r>
      <w:r>
        <w:t xml:space="preserve">BY </w:t>
      </w:r>
      <w:r w:rsidRPr="00610C74">
        <w:t>SOUTHERN CALIFORNIA EDISON COMPANY</w:t>
      </w:r>
      <w:r>
        <w:t xml:space="preserve"> FOR</w:t>
      </w:r>
      <w:r w:rsidR="009C1FE9">
        <w:br/>
      </w:r>
      <w:r>
        <w:t>COST RECOVERY</w:t>
      </w:r>
      <w:r w:rsidRPr="00610C74">
        <w:t xml:space="preserve"> RELATED TO THE 2018 WOOLSEY</w:t>
      </w:r>
      <w:r>
        <w:t xml:space="preserve"> </w:t>
      </w:r>
      <w:r w:rsidRPr="00610C74">
        <w:t>FIRE</w:t>
      </w:r>
      <w:r w:rsidR="009C1FE9">
        <w:br/>
      </w:r>
      <w:r w:rsidRPr="00610C74">
        <w:t>RECORDED IN THE</w:t>
      </w:r>
      <w:r>
        <w:t xml:space="preserve"> </w:t>
      </w:r>
      <w:r w:rsidRPr="00610C74">
        <w:t>WILDFIRE EXPENSE</w:t>
      </w:r>
      <w:r>
        <w:t xml:space="preserve"> </w:t>
      </w:r>
      <w:r w:rsidRPr="00610C74">
        <w:t>MEMORANDUM</w:t>
      </w:r>
      <w:r>
        <w:t xml:space="preserve"> </w:t>
      </w:r>
      <w:r w:rsidRPr="00610C74">
        <w:t>ACCOUNT</w:t>
      </w:r>
      <w:r w:rsidR="009C1FE9">
        <w:br/>
      </w:r>
      <w:r w:rsidRPr="00610C74">
        <w:t>AND CATASTROPHIC</w:t>
      </w:r>
      <w:r>
        <w:t xml:space="preserve"> </w:t>
      </w:r>
      <w:r w:rsidRPr="00610C74">
        <w:t>EVENT MEMORANDUM ACCOUNT</w:t>
      </w:r>
      <w:bookmarkEnd w:id="0"/>
      <w:bookmarkEnd w:id="1"/>
    </w:p>
    <w:p w:rsidR="00D0715B" w:rsidP="00D0715B" w:rsidRDefault="00D0715B" w14:paraId="0E201867" w14:textId="77777777"/>
    <w:p w:rsidR="00D0715B" w:rsidP="00D0715B" w:rsidRDefault="00D0715B" w14:paraId="594998E7" w14:textId="77777777">
      <w:pPr>
        <w:ind w:firstLine="0"/>
      </w:pPr>
    </w:p>
    <w:p w:rsidRPr="00D0715B" w:rsidR="00D0715B" w:rsidP="00D0715B" w:rsidRDefault="00D0715B" w14:paraId="1710FD9D" w14:textId="11BF9649">
      <w:pPr>
        <w:sectPr w:rsidRPr="00D0715B" w:rsidR="00D0715B" w:rsidSect="00100DDA">
          <w:headerReference w:type="default" r:id="rId11"/>
          <w:footerReference w:type="default" r:id="rId12"/>
          <w:headerReference w:type="first" r:id="rId13"/>
          <w:footerReference w:type="first" r:id="rId14"/>
          <w:pgSz w:w="12240" w:h="15840"/>
          <w:pgMar w:top="1728" w:right="1440" w:bottom="1440" w:left="1440" w:header="720" w:footer="720" w:gutter="0"/>
          <w:pgNumType w:start="1"/>
          <w:cols w:space="720"/>
          <w:titlePg/>
          <w:docGrid w:linePitch="360"/>
        </w:sectPr>
      </w:pPr>
    </w:p>
    <w:p w:rsidRPr="001E2A62" w:rsidR="00D50119" w:rsidP="00692938" w:rsidRDefault="00D50119" w14:paraId="01DE2996" w14:textId="77777777">
      <w:pPr>
        <w:pStyle w:val="TOCHeading"/>
      </w:pPr>
      <w:r w:rsidRPr="001E2A62">
        <w:lastRenderedPageBreak/>
        <w:t>TABLE OF CONTENTS</w:t>
      </w:r>
    </w:p>
    <w:p w:rsidRPr="00D50119" w:rsidR="00D50119" w:rsidP="00692938" w:rsidRDefault="00D50119" w14:paraId="42EDFFC9" w14:textId="77777777">
      <w:pPr>
        <w:tabs>
          <w:tab w:val="right" w:pos="9360"/>
        </w:tabs>
        <w:spacing w:line="240" w:lineRule="auto"/>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FE6EAF" w:rsidP="00FE6EAF" w:rsidRDefault="008C7413" w14:paraId="022BCDAE" w14:textId="27643328">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7632434">
            <w:r w:rsidRPr="00711955" w:rsidR="00FE6EAF">
              <w:rPr>
                <w:rStyle w:val="Hyperlink"/>
                <w:noProof/>
              </w:rPr>
              <w:t>DECISION ADOPTING SETTLEMENT ON THE REQUEST BY SOUTHERN CALIFORNIA EDISON COMPANY FOR COST RECOVERY RELATED TO THE 2018 WOOLSEY FIRE RECORDED IN THE WILDFIRE EXPENSE MEMORANDUM ACCOUNT AND CATASTROPHIC EVENT MEMORANDUM ACCOUNT</w:t>
            </w:r>
            <w:r w:rsidR="00FE6EAF">
              <w:rPr>
                <w:noProof/>
                <w:webHidden/>
              </w:rPr>
              <w:tab/>
            </w:r>
            <w:r w:rsidR="00FE6EAF">
              <w:rPr>
                <w:noProof/>
                <w:webHidden/>
              </w:rPr>
              <w:fldChar w:fldCharType="begin"/>
            </w:r>
            <w:r w:rsidR="00FE6EAF">
              <w:rPr>
                <w:noProof/>
                <w:webHidden/>
              </w:rPr>
              <w:instrText xml:space="preserve"> PAGEREF _Toc217632434 \h </w:instrText>
            </w:r>
            <w:r w:rsidR="00FE6EAF">
              <w:rPr>
                <w:noProof/>
                <w:webHidden/>
              </w:rPr>
            </w:r>
            <w:r w:rsidR="00FE6EAF">
              <w:rPr>
                <w:noProof/>
                <w:webHidden/>
              </w:rPr>
              <w:fldChar w:fldCharType="separate"/>
            </w:r>
            <w:r w:rsidR="00FE6EAF">
              <w:rPr>
                <w:noProof/>
                <w:webHidden/>
              </w:rPr>
              <w:t>1</w:t>
            </w:r>
            <w:r w:rsidR="00FE6EAF">
              <w:rPr>
                <w:noProof/>
                <w:webHidden/>
              </w:rPr>
              <w:fldChar w:fldCharType="end"/>
            </w:r>
          </w:hyperlink>
        </w:p>
        <w:p w:rsidR="00FE6EAF" w:rsidRDefault="00FE6EAF" w14:paraId="657E4D79" w14:textId="2C8568AA">
          <w:pPr>
            <w:pStyle w:val="TOC1"/>
            <w:tabs>
              <w:tab w:val="right" w:leader="dot" w:pos="9350"/>
            </w:tabs>
            <w:rPr>
              <w:rFonts w:asciiTheme="minorHAnsi" w:hAnsiTheme="minorHAnsi" w:cstheme="minorBidi"/>
              <w:noProof/>
              <w:kern w:val="2"/>
              <w:sz w:val="24"/>
              <w:szCs w:val="24"/>
              <w14:ligatures w14:val="standardContextual"/>
            </w:rPr>
          </w:pPr>
          <w:hyperlink w:history="1" w:anchor="_Toc217632435">
            <w:r w:rsidRPr="00711955">
              <w:rPr>
                <w:rStyle w:val="Hyperlink"/>
                <w:noProof/>
              </w:rPr>
              <w:t>Summary</w:t>
            </w:r>
            <w:r>
              <w:rPr>
                <w:noProof/>
                <w:webHidden/>
              </w:rPr>
              <w:tab/>
            </w:r>
            <w:r>
              <w:rPr>
                <w:noProof/>
                <w:webHidden/>
              </w:rPr>
              <w:fldChar w:fldCharType="begin"/>
            </w:r>
            <w:r>
              <w:rPr>
                <w:noProof/>
                <w:webHidden/>
              </w:rPr>
              <w:instrText xml:space="preserve"> PAGEREF _Toc217632435 \h </w:instrText>
            </w:r>
            <w:r>
              <w:rPr>
                <w:noProof/>
                <w:webHidden/>
              </w:rPr>
            </w:r>
            <w:r>
              <w:rPr>
                <w:noProof/>
                <w:webHidden/>
              </w:rPr>
              <w:fldChar w:fldCharType="separate"/>
            </w:r>
            <w:r>
              <w:rPr>
                <w:noProof/>
                <w:webHidden/>
              </w:rPr>
              <w:t>2</w:t>
            </w:r>
            <w:r>
              <w:rPr>
                <w:noProof/>
                <w:webHidden/>
              </w:rPr>
              <w:fldChar w:fldCharType="end"/>
            </w:r>
          </w:hyperlink>
        </w:p>
        <w:p w:rsidR="00FE6EAF" w:rsidRDefault="00FE6EAF" w14:paraId="396EFCD1" w14:textId="3352E978">
          <w:pPr>
            <w:pStyle w:val="TOC1"/>
            <w:tabs>
              <w:tab w:val="right" w:leader="dot" w:pos="9350"/>
            </w:tabs>
            <w:rPr>
              <w:rFonts w:asciiTheme="minorHAnsi" w:hAnsiTheme="minorHAnsi" w:cstheme="minorBidi"/>
              <w:noProof/>
              <w:kern w:val="2"/>
              <w:sz w:val="24"/>
              <w:szCs w:val="24"/>
              <w14:ligatures w14:val="standardContextual"/>
            </w:rPr>
          </w:pPr>
          <w:hyperlink w:history="1" w:anchor="_Toc217632436">
            <w:r w:rsidRPr="00711955">
              <w:rPr>
                <w:rStyle w:val="Hyperlink"/>
                <w:noProof/>
              </w:rPr>
              <w:t>1.</w:t>
            </w:r>
            <w:r>
              <w:rPr>
                <w:rFonts w:asciiTheme="minorHAnsi" w:hAnsiTheme="minorHAnsi" w:cstheme="minorBidi"/>
                <w:noProof/>
                <w:kern w:val="2"/>
                <w:sz w:val="24"/>
                <w:szCs w:val="24"/>
                <w14:ligatures w14:val="standardContextual"/>
              </w:rPr>
              <w:tab/>
            </w:r>
            <w:r w:rsidRPr="00711955">
              <w:rPr>
                <w:rStyle w:val="Hyperlink"/>
                <w:noProof/>
              </w:rPr>
              <w:t>Background</w:t>
            </w:r>
            <w:r>
              <w:rPr>
                <w:noProof/>
                <w:webHidden/>
              </w:rPr>
              <w:tab/>
            </w:r>
            <w:r>
              <w:rPr>
                <w:noProof/>
                <w:webHidden/>
              </w:rPr>
              <w:fldChar w:fldCharType="begin"/>
            </w:r>
            <w:r>
              <w:rPr>
                <w:noProof/>
                <w:webHidden/>
              </w:rPr>
              <w:instrText xml:space="preserve"> PAGEREF _Toc217632436 \h </w:instrText>
            </w:r>
            <w:r>
              <w:rPr>
                <w:noProof/>
                <w:webHidden/>
              </w:rPr>
            </w:r>
            <w:r>
              <w:rPr>
                <w:noProof/>
                <w:webHidden/>
              </w:rPr>
              <w:fldChar w:fldCharType="separate"/>
            </w:r>
            <w:r>
              <w:rPr>
                <w:noProof/>
                <w:webHidden/>
              </w:rPr>
              <w:t>3</w:t>
            </w:r>
            <w:r>
              <w:rPr>
                <w:noProof/>
                <w:webHidden/>
              </w:rPr>
              <w:fldChar w:fldCharType="end"/>
            </w:r>
          </w:hyperlink>
        </w:p>
        <w:p w:rsidR="00FE6EAF" w:rsidRDefault="00FE6EAF" w14:paraId="71E5B0F2" w14:textId="6220E517">
          <w:pPr>
            <w:pStyle w:val="TOC1"/>
            <w:tabs>
              <w:tab w:val="right" w:leader="dot" w:pos="9350"/>
            </w:tabs>
            <w:rPr>
              <w:rFonts w:asciiTheme="minorHAnsi" w:hAnsiTheme="minorHAnsi" w:cstheme="minorBidi"/>
              <w:noProof/>
              <w:kern w:val="2"/>
              <w:sz w:val="24"/>
              <w:szCs w:val="24"/>
              <w14:ligatures w14:val="standardContextual"/>
            </w:rPr>
          </w:pPr>
          <w:hyperlink w:history="1" w:anchor="_Toc217632437">
            <w:r w:rsidRPr="00711955">
              <w:rPr>
                <w:rStyle w:val="Hyperlink"/>
                <w:noProof/>
              </w:rPr>
              <w:t>2.</w:t>
            </w:r>
            <w:r>
              <w:rPr>
                <w:rFonts w:asciiTheme="minorHAnsi" w:hAnsiTheme="minorHAnsi" w:cstheme="minorBidi"/>
                <w:noProof/>
                <w:kern w:val="2"/>
                <w:sz w:val="24"/>
                <w:szCs w:val="24"/>
                <w14:ligatures w14:val="standardContextual"/>
              </w:rPr>
              <w:tab/>
            </w:r>
            <w:r w:rsidRPr="00711955">
              <w:rPr>
                <w:rStyle w:val="Hyperlink"/>
                <w:noProof/>
              </w:rPr>
              <w:t>Submission Date</w:t>
            </w:r>
            <w:r>
              <w:rPr>
                <w:noProof/>
                <w:webHidden/>
              </w:rPr>
              <w:tab/>
            </w:r>
            <w:r>
              <w:rPr>
                <w:noProof/>
                <w:webHidden/>
              </w:rPr>
              <w:fldChar w:fldCharType="begin"/>
            </w:r>
            <w:r>
              <w:rPr>
                <w:noProof/>
                <w:webHidden/>
              </w:rPr>
              <w:instrText xml:space="preserve"> PAGEREF _Toc217632437 \h </w:instrText>
            </w:r>
            <w:r>
              <w:rPr>
                <w:noProof/>
                <w:webHidden/>
              </w:rPr>
            </w:r>
            <w:r>
              <w:rPr>
                <w:noProof/>
                <w:webHidden/>
              </w:rPr>
              <w:fldChar w:fldCharType="separate"/>
            </w:r>
            <w:r>
              <w:rPr>
                <w:noProof/>
                <w:webHidden/>
              </w:rPr>
              <w:t>7</w:t>
            </w:r>
            <w:r>
              <w:rPr>
                <w:noProof/>
                <w:webHidden/>
              </w:rPr>
              <w:fldChar w:fldCharType="end"/>
            </w:r>
          </w:hyperlink>
        </w:p>
        <w:p w:rsidR="00FE6EAF" w:rsidRDefault="00FE6EAF" w14:paraId="13C217A6" w14:textId="0C888931">
          <w:pPr>
            <w:pStyle w:val="TOC1"/>
            <w:tabs>
              <w:tab w:val="right" w:leader="dot" w:pos="9350"/>
            </w:tabs>
            <w:rPr>
              <w:rFonts w:asciiTheme="minorHAnsi" w:hAnsiTheme="minorHAnsi" w:cstheme="minorBidi"/>
              <w:noProof/>
              <w:kern w:val="2"/>
              <w:sz w:val="24"/>
              <w:szCs w:val="24"/>
              <w14:ligatures w14:val="standardContextual"/>
            </w:rPr>
          </w:pPr>
          <w:hyperlink w:history="1" w:anchor="_Toc217632438">
            <w:r w:rsidRPr="00711955">
              <w:rPr>
                <w:rStyle w:val="Hyperlink"/>
                <w:noProof/>
              </w:rPr>
              <w:t>3.</w:t>
            </w:r>
            <w:r>
              <w:rPr>
                <w:rFonts w:asciiTheme="minorHAnsi" w:hAnsiTheme="minorHAnsi" w:cstheme="minorBidi"/>
                <w:noProof/>
                <w:kern w:val="2"/>
                <w:sz w:val="24"/>
                <w:szCs w:val="24"/>
                <w14:ligatures w14:val="standardContextual"/>
              </w:rPr>
              <w:tab/>
            </w:r>
            <w:r w:rsidRPr="00711955">
              <w:rPr>
                <w:rStyle w:val="Hyperlink"/>
                <w:noProof/>
              </w:rPr>
              <w:t>Standard of Review for Settlements</w:t>
            </w:r>
            <w:r>
              <w:rPr>
                <w:noProof/>
                <w:webHidden/>
              </w:rPr>
              <w:tab/>
            </w:r>
            <w:r>
              <w:rPr>
                <w:noProof/>
                <w:webHidden/>
              </w:rPr>
              <w:fldChar w:fldCharType="begin"/>
            </w:r>
            <w:r>
              <w:rPr>
                <w:noProof/>
                <w:webHidden/>
              </w:rPr>
              <w:instrText xml:space="preserve"> PAGEREF _Toc217632438 \h </w:instrText>
            </w:r>
            <w:r>
              <w:rPr>
                <w:noProof/>
                <w:webHidden/>
              </w:rPr>
            </w:r>
            <w:r>
              <w:rPr>
                <w:noProof/>
                <w:webHidden/>
              </w:rPr>
              <w:fldChar w:fldCharType="separate"/>
            </w:r>
            <w:r>
              <w:rPr>
                <w:noProof/>
                <w:webHidden/>
              </w:rPr>
              <w:t>7</w:t>
            </w:r>
            <w:r>
              <w:rPr>
                <w:noProof/>
                <w:webHidden/>
              </w:rPr>
              <w:fldChar w:fldCharType="end"/>
            </w:r>
          </w:hyperlink>
        </w:p>
        <w:p w:rsidR="00FE6EAF" w:rsidRDefault="00FE6EAF" w14:paraId="1811E5CB" w14:textId="464BA61D">
          <w:pPr>
            <w:pStyle w:val="TOC1"/>
            <w:tabs>
              <w:tab w:val="right" w:leader="dot" w:pos="9350"/>
            </w:tabs>
            <w:rPr>
              <w:rFonts w:asciiTheme="minorHAnsi" w:hAnsiTheme="minorHAnsi" w:cstheme="minorBidi"/>
              <w:noProof/>
              <w:kern w:val="2"/>
              <w:sz w:val="24"/>
              <w:szCs w:val="24"/>
              <w14:ligatures w14:val="standardContextual"/>
            </w:rPr>
          </w:pPr>
          <w:hyperlink w:history="1" w:anchor="_Toc217632439">
            <w:r w:rsidRPr="00711955">
              <w:rPr>
                <w:rStyle w:val="Hyperlink"/>
                <w:noProof/>
              </w:rPr>
              <w:t>4.</w:t>
            </w:r>
            <w:r>
              <w:rPr>
                <w:rFonts w:asciiTheme="minorHAnsi" w:hAnsiTheme="minorHAnsi" w:cstheme="minorBidi"/>
                <w:noProof/>
                <w:kern w:val="2"/>
                <w:sz w:val="24"/>
                <w:szCs w:val="24"/>
                <w14:ligatures w14:val="standardContextual"/>
              </w:rPr>
              <w:tab/>
            </w:r>
            <w:r w:rsidRPr="00711955">
              <w:rPr>
                <w:rStyle w:val="Hyperlink"/>
                <w:noProof/>
              </w:rPr>
              <w:t>Issues Before the Commission</w:t>
            </w:r>
            <w:r>
              <w:rPr>
                <w:noProof/>
                <w:webHidden/>
              </w:rPr>
              <w:tab/>
            </w:r>
            <w:r>
              <w:rPr>
                <w:noProof/>
                <w:webHidden/>
              </w:rPr>
              <w:fldChar w:fldCharType="begin"/>
            </w:r>
            <w:r>
              <w:rPr>
                <w:noProof/>
                <w:webHidden/>
              </w:rPr>
              <w:instrText xml:space="preserve"> PAGEREF _Toc217632439 \h </w:instrText>
            </w:r>
            <w:r>
              <w:rPr>
                <w:noProof/>
                <w:webHidden/>
              </w:rPr>
            </w:r>
            <w:r>
              <w:rPr>
                <w:noProof/>
                <w:webHidden/>
              </w:rPr>
              <w:fldChar w:fldCharType="separate"/>
            </w:r>
            <w:r>
              <w:rPr>
                <w:noProof/>
                <w:webHidden/>
              </w:rPr>
              <w:t>9</w:t>
            </w:r>
            <w:r>
              <w:rPr>
                <w:noProof/>
                <w:webHidden/>
              </w:rPr>
              <w:fldChar w:fldCharType="end"/>
            </w:r>
          </w:hyperlink>
        </w:p>
        <w:p w:rsidR="00FE6EAF" w:rsidRDefault="00FE6EAF" w14:paraId="01A94FDA" w14:textId="600213D8">
          <w:pPr>
            <w:pStyle w:val="TOC1"/>
            <w:tabs>
              <w:tab w:val="right" w:leader="dot" w:pos="9350"/>
            </w:tabs>
            <w:rPr>
              <w:rFonts w:asciiTheme="minorHAnsi" w:hAnsiTheme="minorHAnsi" w:cstheme="minorBidi"/>
              <w:noProof/>
              <w:kern w:val="2"/>
              <w:sz w:val="24"/>
              <w:szCs w:val="24"/>
              <w14:ligatures w14:val="standardContextual"/>
            </w:rPr>
          </w:pPr>
          <w:hyperlink w:history="1" w:anchor="_Toc217632440">
            <w:r w:rsidRPr="00711955">
              <w:rPr>
                <w:rStyle w:val="Hyperlink"/>
                <w:noProof/>
              </w:rPr>
              <w:t>5.</w:t>
            </w:r>
            <w:r>
              <w:rPr>
                <w:rFonts w:asciiTheme="minorHAnsi" w:hAnsiTheme="minorHAnsi" w:cstheme="minorBidi"/>
                <w:noProof/>
                <w:kern w:val="2"/>
                <w:sz w:val="24"/>
                <w:szCs w:val="24"/>
                <w14:ligatures w14:val="standardContextual"/>
              </w:rPr>
              <w:tab/>
            </w:r>
            <w:r w:rsidRPr="00711955">
              <w:rPr>
                <w:rStyle w:val="Hyperlink"/>
                <w:noProof/>
              </w:rPr>
              <w:t>SCE’s Application</w:t>
            </w:r>
            <w:r>
              <w:rPr>
                <w:noProof/>
                <w:webHidden/>
              </w:rPr>
              <w:tab/>
            </w:r>
            <w:r>
              <w:rPr>
                <w:noProof/>
                <w:webHidden/>
              </w:rPr>
              <w:fldChar w:fldCharType="begin"/>
            </w:r>
            <w:r>
              <w:rPr>
                <w:noProof/>
                <w:webHidden/>
              </w:rPr>
              <w:instrText xml:space="preserve"> PAGEREF _Toc217632440 \h </w:instrText>
            </w:r>
            <w:r>
              <w:rPr>
                <w:noProof/>
                <w:webHidden/>
              </w:rPr>
            </w:r>
            <w:r>
              <w:rPr>
                <w:noProof/>
                <w:webHidden/>
              </w:rPr>
              <w:fldChar w:fldCharType="separate"/>
            </w:r>
            <w:r>
              <w:rPr>
                <w:noProof/>
                <w:webHidden/>
              </w:rPr>
              <w:t>10</w:t>
            </w:r>
            <w:r>
              <w:rPr>
                <w:noProof/>
                <w:webHidden/>
              </w:rPr>
              <w:fldChar w:fldCharType="end"/>
            </w:r>
          </w:hyperlink>
        </w:p>
        <w:p w:rsidR="00FE6EAF" w:rsidRDefault="00FE6EAF" w14:paraId="57690D06" w14:textId="4766EC68">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7632441">
            <w:r w:rsidRPr="00711955">
              <w:rPr>
                <w:rStyle w:val="Hyperlink"/>
                <w:noProof/>
              </w:rPr>
              <w:t>5.1.</w:t>
            </w:r>
            <w:r>
              <w:rPr>
                <w:rFonts w:asciiTheme="minorHAnsi" w:hAnsiTheme="minorHAnsi" w:cstheme="minorBidi"/>
                <w:noProof/>
                <w:kern w:val="2"/>
                <w:sz w:val="24"/>
                <w:szCs w:val="24"/>
                <w14:ligatures w14:val="standardContextual"/>
              </w:rPr>
              <w:tab/>
            </w:r>
            <w:r w:rsidRPr="00711955">
              <w:rPr>
                <w:rStyle w:val="Hyperlink"/>
                <w:noProof/>
              </w:rPr>
              <w:t>July 15, 2025 SCE Update</w:t>
            </w:r>
            <w:r>
              <w:rPr>
                <w:noProof/>
                <w:webHidden/>
              </w:rPr>
              <w:tab/>
            </w:r>
            <w:r>
              <w:rPr>
                <w:noProof/>
                <w:webHidden/>
              </w:rPr>
              <w:fldChar w:fldCharType="begin"/>
            </w:r>
            <w:r>
              <w:rPr>
                <w:noProof/>
                <w:webHidden/>
              </w:rPr>
              <w:instrText xml:space="preserve"> PAGEREF _Toc217632441 \h </w:instrText>
            </w:r>
            <w:r>
              <w:rPr>
                <w:noProof/>
                <w:webHidden/>
              </w:rPr>
            </w:r>
            <w:r>
              <w:rPr>
                <w:noProof/>
                <w:webHidden/>
              </w:rPr>
              <w:fldChar w:fldCharType="separate"/>
            </w:r>
            <w:r>
              <w:rPr>
                <w:noProof/>
                <w:webHidden/>
              </w:rPr>
              <w:t>12</w:t>
            </w:r>
            <w:r>
              <w:rPr>
                <w:noProof/>
                <w:webHidden/>
              </w:rPr>
              <w:fldChar w:fldCharType="end"/>
            </w:r>
          </w:hyperlink>
        </w:p>
        <w:p w:rsidR="00FE6EAF" w:rsidRDefault="00FE6EAF" w14:paraId="74258D2C" w14:textId="4C1E0E85">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7632442">
            <w:r w:rsidRPr="00711955">
              <w:rPr>
                <w:rStyle w:val="Hyperlink"/>
                <w:noProof/>
              </w:rPr>
              <w:t>5.2.</w:t>
            </w:r>
            <w:r>
              <w:rPr>
                <w:rFonts w:asciiTheme="minorHAnsi" w:hAnsiTheme="minorHAnsi" w:cstheme="minorBidi"/>
                <w:noProof/>
                <w:kern w:val="2"/>
                <w:sz w:val="24"/>
                <w:szCs w:val="24"/>
                <w14:ligatures w14:val="standardContextual"/>
              </w:rPr>
              <w:tab/>
            </w:r>
            <w:r w:rsidRPr="00711955">
              <w:rPr>
                <w:rStyle w:val="Hyperlink"/>
                <w:noProof/>
              </w:rPr>
              <w:t>The 2018 Woolsey Fire</w:t>
            </w:r>
            <w:r>
              <w:rPr>
                <w:noProof/>
                <w:webHidden/>
              </w:rPr>
              <w:tab/>
            </w:r>
            <w:r>
              <w:rPr>
                <w:noProof/>
                <w:webHidden/>
              </w:rPr>
              <w:fldChar w:fldCharType="begin"/>
            </w:r>
            <w:r>
              <w:rPr>
                <w:noProof/>
                <w:webHidden/>
              </w:rPr>
              <w:instrText xml:space="preserve"> PAGEREF _Toc217632442 \h </w:instrText>
            </w:r>
            <w:r>
              <w:rPr>
                <w:noProof/>
                <w:webHidden/>
              </w:rPr>
            </w:r>
            <w:r>
              <w:rPr>
                <w:noProof/>
                <w:webHidden/>
              </w:rPr>
              <w:fldChar w:fldCharType="separate"/>
            </w:r>
            <w:r>
              <w:rPr>
                <w:noProof/>
                <w:webHidden/>
              </w:rPr>
              <w:t>12</w:t>
            </w:r>
            <w:r>
              <w:rPr>
                <w:noProof/>
                <w:webHidden/>
              </w:rPr>
              <w:fldChar w:fldCharType="end"/>
            </w:r>
          </w:hyperlink>
        </w:p>
        <w:p w:rsidR="00FE6EAF" w:rsidRDefault="00FE6EAF" w14:paraId="5FA5CF29" w14:textId="3BB6DDE4">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7632443">
            <w:r w:rsidRPr="00711955">
              <w:rPr>
                <w:rStyle w:val="Hyperlink"/>
                <w:noProof/>
              </w:rPr>
              <w:t>5.3.</w:t>
            </w:r>
            <w:r>
              <w:rPr>
                <w:rFonts w:asciiTheme="minorHAnsi" w:hAnsiTheme="minorHAnsi" w:cstheme="minorBidi"/>
                <w:noProof/>
                <w:kern w:val="2"/>
                <w:sz w:val="24"/>
                <w:szCs w:val="24"/>
                <w14:ligatures w14:val="standardContextual"/>
              </w:rPr>
              <w:tab/>
            </w:r>
            <w:r w:rsidRPr="00711955">
              <w:rPr>
                <w:rStyle w:val="Hyperlink"/>
                <w:noProof/>
              </w:rPr>
              <w:t>Court Litigation Resulting from Woolsey Fire</w:t>
            </w:r>
            <w:r>
              <w:rPr>
                <w:noProof/>
                <w:webHidden/>
              </w:rPr>
              <w:tab/>
            </w:r>
            <w:r>
              <w:rPr>
                <w:noProof/>
                <w:webHidden/>
              </w:rPr>
              <w:fldChar w:fldCharType="begin"/>
            </w:r>
            <w:r>
              <w:rPr>
                <w:noProof/>
                <w:webHidden/>
              </w:rPr>
              <w:instrText xml:space="preserve"> PAGEREF _Toc217632443 \h </w:instrText>
            </w:r>
            <w:r>
              <w:rPr>
                <w:noProof/>
                <w:webHidden/>
              </w:rPr>
            </w:r>
            <w:r>
              <w:rPr>
                <w:noProof/>
                <w:webHidden/>
              </w:rPr>
              <w:fldChar w:fldCharType="separate"/>
            </w:r>
            <w:r>
              <w:rPr>
                <w:noProof/>
                <w:webHidden/>
              </w:rPr>
              <w:t>14</w:t>
            </w:r>
            <w:r>
              <w:rPr>
                <w:noProof/>
                <w:webHidden/>
              </w:rPr>
              <w:fldChar w:fldCharType="end"/>
            </w:r>
          </w:hyperlink>
        </w:p>
        <w:p w:rsidR="00FE6EAF" w:rsidRDefault="00FE6EAF" w14:paraId="77095399" w14:textId="3B5EB881">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7632444">
            <w:r w:rsidRPr="00711955">
              <w:rPr>
                <w:rStyle w:val="Hyperlink"/>
                <w:noProof/>
              </w:rPr>
              <w:t>5.4.</w:t>
            </w:r>
            <w:r>
              <w:rPr>
                <w:rFonts w:asciiTheme="minorHAnsi" w:hAnsiTheme="minorHAnsi" w:cstheme="minorBidi"/>
                <w:noProof/>
                <w:kern w:val="2"/>
                <w:sz w:val="24"/>
                <w:szCs w:val="24"/>
                <w14:ligatures w14:val="standardContextual"/>
              </w:rPr>
              <w:tab/>
            </w:r>
            <w:r w:rsidRPr="00711955">
              <w:rPr>
                <w:rStyle w:val="Hyperlink"/>
                <w:noProof/>
              </w:rPr>
              <w:t>Resolution of Commission Enforcement Action on Woolsey Fire</w:t>
            </w:r>
            <w:r>
              <w:rPr>
                <w:noProof/>
                <w:webHidden/>
              </w:rPr>
              <w:tab/>
            </w:r>
            <w:r>
              <w:rPr>
                <w:noProof/>
                <w:webHidden/>
              </w:rPr>
              <w:fldChar w:fldCharType="begin"/>
            </w:r>
            <w:r>
              <w:rPr>
                <w:noProof/>
                <w:webHidden/>
              </w:rPr>
              <w:instrText xml:space="preserve"> PAGEREF _Toc217632444 \h </w:instrText>
            </w:r>
            <w:r>
              <w:rPr>
                <w:noProof/>
                <w:webHidden/>
              </w:rPr>
            </w:r>
            <w:r>
              <w:rPr>
                <w:noProof/>
                <w:webHidden/>
              </w:rPr>
              <w:fldChar w:fldCharType="separate"/>
            </w:r>
            <w:r>
              <w:rPr>
                <w:noProof/>
                <w:webHidden/>
              </w:rPr>
              <w:t>15</w:t>
            </w:r>
            <w:r>
              <w:rPr>
                <w:noProof/>
                <w:webHidden/>
              </w:rPr>
              <w:fldChar w:fldCharType="end"/>
            </w:r>
          </w:hyperlink>
        </w:p>
        <w:p w:rsidR="00FE6EAF" w:rsidRDefault="00FE6EAF" w14:paraId="3BD91084" w14:textId="0C4B2273">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7632445">
            <w:r w:rsidRPr="00711955">
              <w:rPr>
                <w:rStyle w:val="Hyperlink"/>
                <w:noProof/>
              </w:rPr>
              <w:t>5.5.</w:t>
            </w:r>
            <w:r>
              <w:rPr>
                <w:rFonts w:asciiTheme="minorHAnsi" w:hAnsiTheme="minorHAnsi" w:cstheme="minorBidi"/>
                <w:noProof/>
                <w:kern w:val="2"/>
                <w:sz w:val="24"/>
                <w:szCs w:val="24"/>
                <w14:ligatures w14:val="standardContextual"/>
              </w:rPr>
              <w:tab/>
            </w:r>
            <w:r w:rsidRPr="00711955">
              <w:rPr>
                <w:rStyle w:val="Hyperlink"/>
                <w:noProof/>
              </w:rPr>
              <w:t>Description of the Accounts under Review</w:t>
            </w:r>
            <w:r>
              <w:rPr>
                <w:noProof/>
                <w:webHidden/>
              </w:rPr>
              <w:tab/>
            </w:r>
            <w:r>
              <w:rPr>
                <w:noProof/>
                <w:webHidden/>
              </w:rPr>
              <w:fldChar w:fldCharType="begin"/>
            </w:r>
            <w:r>
              <w:rPr>
                <w:noProof/>
                <w:webHidden/>
              </w:rPr>
              <w:instrText xml:space="preserve"> PAGEREF _Toc217632445 \h </w:instrText>
            </w:r>
            <w:r>
              <w:rPr>
                <w:noProof/>
                <w:webHidden/>
              </w:rPr>
            </w:r>
            <w:r>
              <w:rPr>
                <w:noProof/>
                <w:webHidden/>
              </w:rPr>
              <w:fldChar w:fldCharType="separate"/>
            </w:r>
            <w:r>
              <w:rPr>
                <w:noProof/>
                <w:webHidden/>
              </w:rPr>
              <w:t>17</w:t>
            </w:r>
            <w:r>
              <w:rPr>
                <w:noProof/>
                <w:webHidden/>
              </w:rPr>
              <w:fldChar w:fldCharType="end"/>
            </w:r>
          </w:hyperlink>
        </w:p>
        <w:p w:rsidR="00FE6EAF" w:rsidRDefault="00FE6EAF" w14:paraId="115B5C37" w14:textId="659EBC3B">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7632446">
            <w:r w:rsidRPr="00711955">
              <w:rPr>
                <w:rStyle w:val="Hyperlink"/>
                <w:noProof/>
              </w:rPr>
              <w:t>5.5.1.</w:t>
            </w:r>
            <w:r>
              <w:rPr>
                <w:rFonts w:asciiTheme="minorHAnsi" w:hAnsiTheme="minorHAnsi" w:cstheme="minorBidi"/>
                <w:noProof/>
                <w:kern w:val="2"/>
                <w:sz w:val="24"/>
                <w:szCs w:val="24"/>
                <w14:ligatures w14:val="standardContextual"/>
              </w:rPr>
              <w:tab/>
            </w:r>
            <w:r w:rsidRPr="00711955">
              <w:rPr>
                <w:rStyle w:val="Hyperlink"/>
                <w:noProof/>
              </w:rPr>
              <w:t>WEMA</w:t>
            </w:r>
            <w:r>
              <w:rPr>
                <w:noProof/>
                <w:webHidden/>
              </w:rPr>
              <w:tab/>
            </w:r>
            <w:r>
              <w:rPr>
                <w:noProof/>
                <w:webHidden/>
              </w:rPr>
              <w:fldChar w:fldCharType="begin"/>
            </w:r>
            <w:r>
              <w:rPr>
                <w:noProof/>
                <w:webHidden/>
              </w:rPr>
              <w:instrText xml:space="preserve"> PAGEREF _Toc217632446 \h </w:instrText>
            </w:r>
            <w:r>
              <w:rPr>
                <w:noProof/>
                <w:webHidden/>
              </w:rPr>
            </w:r>
            <w:r>
              <w:rPr>
                <w:noProof/>
                <w:webHidden/>
              </w:rPr>
              <w:fldChar w:fldCharType="separate"/>
            </w:r>
            <w:r>
              <w:rPr>
                <w:noProof/>
                <w:webHidden/>
              </w:rPr>
              <w:t>17</w:t>
            </w:r>
            <w:r>
              <w:rPr>
                <w:noProof/>
                <w:webHidden/>
              </w:rPr>
              <w:fldChar w:fldCharType="end"/>
            </w:r>
          </w:hyperlink>
        </w:p>
        <w:p w:rsidR="00FE6EAF" w:rsidRDefault="00FE6EAF" w14:paraId="78ED6FA9" w14:textId="68B7B795">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7632447">
            <w:r w:rsidRPr="00711955">
              <w:rPr>
                <w:rStyle w:val="Hyperlink"/>
                <w:noProof/>
              </w:rPr>
              <w:t>5.5.2.</w:t>
            </w:r>
            <w:r>
              <w:rPr>
                <w:rFonts w:asciiTheme="minorHAnsi" w:hAnsiTheme="minorHAnsi" w:cstheme="minorBidi"/>
                <w:noProof/>
                <w:kern w:val="2"/>
                <w:sz w:val="24"/>
                <w:szCs w:val="24"/>
                <w14:ligatures w14:val="standardContextual"/>
              </w:rPr>
              <w:tab/>
            </w:r>
            <w:r w:rsidRPr="00711955">
              <w:rPr>
                <w:rStyle w:val="Hyperlink"/>
                <w:noProof/>
              </w:rPr>
              <w:t>CEMA</w:t>
            </w:r>
            <w:r>
              <w:rPr>
                <w:noProof/>
                <w:webHidden/>
              </w:rPr>
              <w:tab/>
            </w:r>
            <w:r>
              <w:rPr>
                <w:noProof/>
                <w:webHidden/>
              </w:rPr>
              <w:fldChar w:fldCharType="begin"/>
            </w:r>
            <w:r>
              <w:rPr>
                <w:noProof/>
                <w:webHidden/>
              </w:rPr>
              <w:instrText xml:space="preserve"> PAGEREF _Toc217632447 \h </w:instrText>
            </w:r>
            <w:r>
              <w:rPr>
                <w:noProof/>
                <w:webHidden/>
              </w:rPr>
            </w:r>
            <w:r>
              <w:rPr>
                <w:noProof/>
                <w:webHidden/>
              </w:rPr>
              <w:fldChar w:fldCharType="separate"/>
            </w:r>
            <w:r>
              <w:rPr>
                <w:noProof/>
                <w:webHidden/>
              </w:rPr>
              <w:t>18</w:t>
            </w:r>
            <w:r>
              <w:rPr>
                <w:noProof/>
                <w:webHidden/>
              </w:rPr>
              <w:fldChar w:fldCharType="end"/>
            </w:r>
          </w:hyperlink>
        </w:p>
        <w:p w:rsidR="00FE6EAF" w:rsidRDefault="00FE6EAF" w14:paraId="47E1A3C0" w14:textId="16371EC8">
          <w:pPr>
            <w:pStyle w:val="TOC1"/>
            <w:tabs>
              <w:tab w:val="right" w:leader="dot" w:pos="9350"/>
            </w:tabs>
            <w:rPr>
              <w:rFonts w:asciiTheme="minorHAnsi" w:hAnsiTheme="minorHAnsi" w:cstheme="minorBidi"/>
              <w:noProof/>
              <w:kern w:val="2"/>
              <w:sz w:val="24"/>
              <w:szCs w:val="24"/>
              <w14:ligatures w14:val="standardContextual"/>
            </w:rPr>
          </w:pPr>
          <w:hyperlink w:history="1" w:anchor="_Toc217632448">
            <w:r w:rsidRPr="00711955">
              <w:rPr>
                <w:rStyle w:val="Hyperlink"/>
                <w:noProof/>
              </w:rPr>
              <w:t>6.</w:t>
            </w:r>
            <w:r>
              <w:rPr>
                <w:rFonts w:asciiTheme="minorHAnsi" w:hAnsiTheme="minorHAnsi" w:cstheme="minorBidi"/>
                <w:noProof/>
                <w:kern w:val="2"/>
                <w:sz w:val="24"/>
                <w:szCs w:val="24"/>
                <w14:ligatures w14:val="standardContextual"/>
              </w:rPr>
              <w:tab/>
            </w:r>
            <w:r w:rsidRPr="00711955">
              <w:rPr>
                <w:rStyle w:val="Hyperlink"/>
                <w:noProof/>
              </w:rPr>
              <w:t>Parties’ Litigation Positions and Review of SCE Request</w:t>
            </w:r>
            <w:r>
              <w:rPr>
                <w:noProof/>
                <w:webHidden/>
              </w:rPr>
              <w:tab/>
            </w:r>
            <w:r>
              <w:rPr>
                <w:noProof/>
                <w:webHidden/>
              </w:rPr>
              <w:fldChar w:fldCharType="begin"/>
            </w:r>
            <w:r>
              <w:rPr>
                <w:noProof/>
                <w:webHidden/>
              </w:rPr>
              <w:instrText xml:space="preserve"> PAGEREF _Toc217632448 \h </w:instrText>
            </w:r>
            <w:r>
              <w:rPr>
                <w:noProof/>
                <w:webHidden/>
              </w:rPr>
            </w:r>
            <w:r>
              <w:rPr>
                <w:noProof/>
                <w:webHidden/>
              </w:rPr>
              <w:fldChar w:fldCharType="separate"/>
            </w:r>
            <w:r>
              <w:rPr>
                <w:noProof/>
                <w:webHidden/>
              </w:rPr>
              <w:t>18</w:t>
            </w:r>
            <w:r>
              <w:rPr>
                <w:noProof/>
                <w:webHidden/>
              </w:rPr>
              <w:fldChar w:fldCharType="end"/>
            </w:r>
          </w:hyperlink>
        </w:p>
        <w:p w:rsidR="00FE6EAF" w:rsidRDefault="00FE6EAF" w14:paraId="3653D23E" w14:textId="550DE26F">
          <w:pPr>
            <w:pStyle w:val="TOC1"/>
            <w:tabs>
              <w:tab w:val="right" w:leader="dot" w:pos="9350"/>
            </w:tabs>
            <w:rPr>
              <w:rFonts w:asciiTheme="minorHAnsi" w:hAnsiTheme="minorHAnsi" w:cstheme="minorBidi"/>
              <w:noProof/>
              <w:kern w:val="2"/>
              <w:sz w:val="24"/>
              <w:szCs w:val="24"/>
              <w14:ligatures w14:val="standardContextual"/>
            </w:rPr>
          </w:pPr>
          <w:hyperlink w:history="1" w:anchor="_Toc217632449">
            <w:r w:rsidRPr="00711955">
              <w:rPr>
                <w:rStyle w:val="Hyperlink"/>
                <w:noProof/>
              </w:rPr>
              <w:t>7.</w:t>
            </w:r>
            <w:r>
              <w:rPr>
                <w:rFonts w:asciiTheme="minorHAnsi" w:hAnsiTheme="minorHAnsi" w:cstheme="minorBidi"/>
                <w:noProof/>
                <w:kern w:val="2"/>
                <w:sz w:val="24"/>
                <w:szCs w:val="24"/>
                <w14:ligatures w14:val="standardContextual"/>
              </w:rPr>
              <w:tab/>
            </w:r>
            <w:r w:rsidRPr="00711955">
              <w:rPr>
                <w:rStyle w:val="Hyperlink"/>
                <w:noProof/>
              </w:rPr>
              <w:t>Settlement Agreement</w:t>
            </w:r>
            <w:r>
              <w:rPr>
                <w:noProof/>
                <w:webHidden/>
              </w:rPr>
              <w:tab/>
            </w:r>
            <w:r>
              <w:rPr>
                <w:noProof/>
                <w:webHidden/>
              </w:rPr>
              <w:fldChar w:fldCharType="begin"/>
            </w:r>
            <w:r>
              <w:rPr>
                <w:noProof/>
                <w:webHidden/>
              </w:rPr>
              <w:instrText xml:space="preserve"> PAGEREF _Toc217632449 \h </w:instrText>
            </w:r>
            <w:r>
              <w:rPr>
                <w:noProof/>
                <w:webHidden/>
              </w:rPr>
            </w:r>
            <w:r>
              <w:rPr>
                <w:noProof/>
                <w:webHidden/>
              </w:rPr>
              <w:fldChar w:fldCharType="separate"/>
            </w:r>
            <w:r>
              <w:rPr>
                <w:noProof/>
                <w:webHidden/>
              </w:rPr>
              <w:t>20</w:t>
            </w:r>
            <w:r>
              <w:rPr>
                <w:noProof/>
                <w:webHidden/>
              </w:rPr>
              <w:fldChar w:fldCharType="end"/>
            </w:r>
          </w:hyperlink>
        </w:p>
        <w:p w:rsidR="00FE6EAF" w:rsidRDefault="00FE6EAF" w14:paraId="48B57807" w14:textId="7D1F41D6">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7632450">
            <w:r w:rsidRPr="00711955">
              <w:rPr>
                <w:rStyle w:val="Hyperlink"/>
                <w:noProof/>
              </w:rPr>
              <w:t>7.1.</w:t>
            </w:r>
            <w:r>
              <w:rPr>
                <w:rFonts w:asciiTheme="minorHAnsi" w:hAnsiTheme="minorHAnsi" w:cstheme="minorBidi"/>
                <w:noProof/>
                <w:kern w:val="2"/>
                <w:sz w:val="24"/>
                <w:szCs w:val="24"/>
                <w14:ligatures w14:val="standardContextual"/>
              </w:rPr>
              <w:tab/>
            </w:r>
            <w:r w:rsidRPr="00711955">
              <w:rPr>
                <w:rStyle w:val="Hyperlink"/>
                <w:noProof/>
              </w:rPr>
              <w:t>Cost Recovery and Disallowances for WEMA and CEMA Woolsey Fire</w:t>
            </w:r>
            <w:r>
              <w:rPr>
                <w:noProof/>
                <w:webHidden/>
              </w:rPr>
              <w:tab/>
            </w:r>
            <w:r>
              <w:rPr>
                <w:noProof/>
                <w:webHidden/>
              </w:rPr>
              <w:fldChar w:fldCharType="begin"/>
            </w:r>
            <w:r>
              <w:rPr>
                <w:noProof/>
                <w:webHidden/>
              </w:rPr>
              <w:instrText xml:space="preserve"> PAGEREF _Toc217632450 \h </w:instrText>
            </w:r>
            <w:r>
              <w:rPr>
                <w:noProof/>
                <w:webHidden/>
              </w:rPr>
            </w:r>
            <w:r>
              <w:rPr>
                <w:noProof/>
                <w:webHidden/>
              </w:rPr>
              <w:fldChar w:fldCharType="separate"/>
            </w:r>
            <w:r>
              <w:rPr>
                <w:noProof/>
                <w:webHidden/>
              </w:rPr>
              <w:t>22</w:t>
            </w:r>
            <w:r>
              <w:rPr>
                <w:noProof/>
                <w:webHidden/>
              </w:rPr>
              <w:fldChar w:fldCharType="end"/>
            </w:r>
          </w:hyperlink>
        </w:p>
        <w:p w:rsidR="00FE6EAF" w:rsidRDefault="00FE6EAF" w14:paraId="74CA86C5" w14:textId="7B77C1D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7632451">
            <w:r w:rsidRPr="00711955">
              <w:rPr>
                <w:rStyle w:val="Hyperlink"/>
                <w:noProof/>
              </w:rPr>
              <w:t>7.1.1.</w:t>
            </w:r>
            <w:r>
              <w:rPr>
                <w:rFonts w:asciiTheme="minorHAnsi" w:hAnsiTheme="minorHAnsi" w:cstheme="minorBidi"/>
                <w:noProof/>
                <w:kern w:val="2"/>
                <w:sz w:val="24"/>
                <w:szCs w:val="24"/>
                <w14:ligatures w14:val="standardContextual"/>
              </w:rPr>
              <w:tab/>
            </w:r>
            <w:r w:rsidRPr="00711955">
              <w:rPr>
                <w:rStyle w:val="Hyperlink"/>
                <w:noProof/>
              </w:rPr>
              <w:t>WEMA Amounts</w:t>
            </w:r>
            <w:r>
              <w:rPr>
                <w:noProof/>
                <w:webHidden/>
              </w:rPr>
              <w:tab/>
            </w:r>
            <w:r>
              <w:rPr>
                <w:noProof/>
                <w:webHidden/>
              </w:rPr>
              <w:fldChar w:fldCharType="begin"/>
            </w:r>
            <w:r>
              <w:rPr>
                <w:noProof/>
                <w:webHidden/>
              </w:rPr>
              <w:instrText xml:space="preserve"> PAGEREF _Toc217632451 \h </w:instrText>
            </w:r>
            <w:r>
              <w:rPr>
                <w:noProof/>
                <w:webHidden/>
              </w:rPr>
            </w:r>
            <w:r>
              <w:rPr>
                <w:noProof/>
                <w:webHidden/>
              </w:rPr>
              <w:fldChar w:fldCharType="separate"/>
            </w:r>
            <w:r>
              <w:rPr>
                <w:noProof/>
                <w:webHidden/>
              </w:rPr>
              <w:t>22</w:t>
            </w:r>
            <w:r>
              <w:rPr>
                <w:noProof/>
                <w:webHidden/>
              </w:rPr>
              <w:fldChar w:fldCharType="end"/>
            </w:r>
          </w:hyperlink>
        </w:p>
        <w:p w:rsidR="00FE6EAF" w:rsidRDefault="00FE6EAF" w14:paraId="18A138CB" w14:textId="7922EFC6">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7632452">
            <w:r w:rsidRPr="00711955">
              <w:rPr>
                <w:rStyle w:val="Hyperlink"/>
                <w:noProof/>
              </w:rPr>
              <w:t>7.1.2.</w:t>
            </w:r>
            <w:r>
              <w:rPr>
                <w:rFonts w:asciiTheme="minorHAnsi" w:hAnsiTheme="minorHAnsi" w:cstheme="minorBidi"/>
                <w:noProof/>
                <w:kern w:val="2"/>
                <w:sz w:val="24"/>
                <w:szCs w:val="24"/>
                <w14:ligatures w14:val="standardContextual"/>
              </w:rPr>
              <w:tab/>
            </w:r>
            <w:r w:rsidRPr="00711955">
              <w:rPr>
                <w:rStyle w:val="Hyperlink"/>
                <w:noProof/>
              </w:rPr>
              <w:t>CEMA Amounts</w:t>
            </w:r>
            <w:r>
              <w:rPr>
                <w:noProof/>
                <w:webHidden/>
              </w:rPr>
              <w:tab/>
            </w:r>
            <w:r>
              <w:rPr>
                <w:noProof/>
                <w:webHidden/>
              </w:rPr>
              <w:fldChar w:fldCharType="begin"/>
            </w:r>
            <w:r>
              <w:rPr>
                <w:noProof/>
                <w:webHidden/>
              </w:rPr>
              <w:instrText xml:space="preserve"> PAGEREF _Toc217632452 \h </w:instrText>
            </w:r>
            <w:r>
              <w:rPr>
                <w:noProof/>
                <w:webHidden/>
              </w:rPr>
            </w:r>
            <w:r>
              <w:rPr>
                <w:noProof/>
                <w:webHidden/>
              </w:rPr>
              <w:fldChar w:fldCharType="separate"/>
            </w:r>
            <w:r>
              <w:rPr>
                <w:noProof/>
                <w:webHidden/>
              </w:rPr>
              <w:t>23</w:t>
            </w:r>
            <w:r>
              <w:rPr>
                <w:noProof/>
                <w:webHidden/>
              </w:rPr>
              <w:fldChar w:fldCharType="end"/>
            </w:r>
          </w:hyperlink>
        </w:p>
        <w:p w:rsidR="00FE6EAF" w:rsidRDefault="00FE6EAF" w14:paraId="7C0C75B8" w14:textId="07262B3D">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7632453">
            <w:r w:rsidRPr="00711955">
              <w:rPr>
                <w:rStyle w:val="Hyperlink"/>
                <w:noProof/>
              </w:rPr>
              <w:t>7.2.</w:t>
            </w:r>
            <w:r>
              <w:rPr>
                <w:rFonts w:asciiTheme="minorHAnsi" w:hAnsiTheme="minorHAnsi" w:cstheme="minorBidi"/>
                <w:noProof/>
                <w:kern w:val="2"/>
                <w:sz w:val="24"/>
                <w:szCs w:val="24"/>
                <w14:ligatures w14:val="standardContextual"/>
              </w:rPr>
              <w:tab/>
            </w:r>
            <w:r w:rsidRPr="00711955">
              <w:rPr>
                <w:rStyle w:val="Hyperlink"/>
                <w:noProof/>
              </w:rPr>
              <w:t>Cost Recovery and Disallowances for Trailing Amounts, Costs Recorded After May 31, 2025, and Advice Letter Process</w:t>
            </w:r>
            <w:r>
              <w:rPr>
                <w:noProof/>
                <w:webHidden/>
              </w:rPr>
              <w:tab/>
            </w:r>
            <w:r>
              <w:rPr>
                <w:noProof/>
                <w:webHidden/>
              </w:rPr>
              <w:fldChar w:fldCharType="begin"/>
            </w:r>
            <w:r>
              <w:rPr>
                <w:noProof/>
                <w:webHidden/>
              </w:rPr>
              <w:instrText xml:space="preserve"> PAGEREF _Toc217632453 \h </w:instrText>
            </w:r>
            <w:r>
              <w:rPr>
                <w:noProof/>
                <w:webHidden/>
              </w:rPr>
            </w:r>
            <w:r>
              <w:rPr>
                <w:noProof/>
                <w:webHidden/>
              </w:rPr>
              <w:fldChar w:fldCharType="separate"/>
            </w:r>
            <w:r>
              <w:rPr>
                <w:noProof/>
                <w:webHidden/>
              </w:rPr>
              <w:t>24</w:t>
            </w:r>
            <w:r>
              <w:rPr>
                <w:noProof/>
                <w:webHidden/>
              </w:rPr>
              <w:fldChar w:fldCharType="end"/>
            </w:r>
          </w:hyperlink>
        </w:p>
        <w:p w:rsidR="00FE6EAF" w:rsidRDefault="00FE6EAF" w14:paraId="050D19F8" w14:textId="0E36CE17">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7632454">
            <w:r w:rsidRPr="00711955">
              <w:rPr>
                <w:rStyle w:val="Hyperlink"/>
                <w:noProof/>
              </w:rPr>
              <w:t>7.3.</w:t>
            </w:r>
            <w:r>
              <w:rPr>
                <w:rFonts w:asciiTheme="minorHAnsi" w:hAnsiTheme="minorHAnsi" w:cstheme="minorBidi"/>
                <w:noProof/>
                <w:kern w:val="2"/>
                <w:sz w:val="24"/>
                <w:szCs w:val="24"/>
                <w14:ligatures w14:val="standardContextual"/>
              </w:rPr>
              <w:tab/>
            </w:r>
            <w:r w:rsidRPr="00711955">
              <w:rPr>
                <w:rStyle w:val="Hyperlink"/>
                <w:noProof/>
              </w:rPr>
              <w:t>Waiver of Recovery of $157 Million in WEMA Costs and Other Pre</w:t>
            </w:r>
            <w:r w:rsidRPr="00711955">
              <w:rPr>
                <w:rStyle w:val="Hyperlink"/>
                <w:noProof/>
              </w:rPr>
              <w:noBreakHyphen/>
              <w:t>July 12, 2019 Costs</w:t>
            </w:r>
            <w:r>
              <w:rPr>
                <w:noProof/>
                <w:webHidden/>
              </w:rPr>
              <w:tab/>
            </w:r>
            <w:r>
              <w:rPr>
                <w:noProof/>
                <w:webHidden/>
              </w:rPr>
              <w:fldChar w:fldCharType="begin"/>
            </w:r>
            <w:r>
              <w:rPr>
                <w:noProof/>
                <w:webHidden/>
              </w:rPr>
              <w:instrText xml:space="preserve"> PAGEREF _Toc217632454 \h </w:instrText>
            </w:r>
            <w:r>
              <w:rPr>
                <w:noProof/>
                <w:webHidden/>
              </w:rPr>
            </w:r>
            <w:r>
              <w:rPr>
                <w:noProof/>
                <w:webHidden/>
              </w:rPr>
              <w:fldChar w:fldCharType="separate"/>
            </w:r>
            <w:r>
              <w:rPr>
                <w:noProof/>
                <w:webHidden/>
              </w:rPr>
              <w:t>25</w:t>
            </w:r>
            <w:r>
              <w:rPr>
                <w:noProof/>
                <w:webHidden/>
              </w:rPr>
              <w:fldChar w:fldCharType="end"/>
            </w:r>
          </w:hyperlink>
        </w:p>
        <w:p w:rsidR="00FE6EAF" w:rsidRDefault="00FE6EAF" w14:paraId="62A9F7F6" w14:textId="283B39D1">
          <w:pPr>
            <w:pStyle w:val="TOC1"/>
            <w:tabs>
              <w:tab w:val="right" w:leader="dot" w:pos="9350"/>
            </w:tabs>
            <w:rPr>
              <w:rFonts w:asciiTheme="minorHAnsi" w:hAnsiTheme="minorHAnsi" w:cstheme="minorBidi"/>
              <w:noProof/>
              <w:kern w:val="2"/>
              <w:sz w:val="24"/>
              <w:szCs w:val="24"/>
              <w14:ligatures w14:val="standardContextual"/>
            </w:rPr>
          </w:pPr>
          <w:hyperlink w:history="1" w:anchor="_Toc217632455">
            <w:r w:rsidRPr="00711955">
              <w:rPr>
                <w:rStyle w:val="Hyperlink"/>
                <w:noProof/>
              </w:rPr>
              <w:t>8.</w:t>
            </w:r>
            <w:r>
              <w:rPr>
                <w:rFonts w:asciiTheme="minorHAnsi" w:hAnsiTheme="minorHAnsi" w:cstheme="minorBidi"/>
                <w:noProof/>
                <w:kern w:val="2"/>
                <w:sz w:val="24"/>
                <w:szCs w:val="24"/>
                <w14:ligatures w14:val="standardContextual"/>
              </w:rPr>
              <w:tab/>
            </w:r>
            <w:r w:rsidRPr="00711955">
              <w:rPr>
                <w:rStyle w:val="Hyperlink"/>
                <w:noProof/>
              </w:rPr>
              <w:t>Wild Tree Opposition</w:t>
            </w:r>
            <w:r>
              <w:rPr>
                <w:noProof/>
                <w:webHidden/>
              </w:rPr>
              <w:tab/>
            </w:r>
            <w:r>
              <w:rPr>
                <w:noProof/>
                <w:webHidden/>
              </w:rPr>
              <w:fldChar w:fldCharType="begin"/>
            </w:r>
            <w:r>
              <w:rPr>
                <w:noProof/>
                <w:webHidden/>
              </w:rPr>
              <w:instrText xml:space="preserve"> PAGEREF _Toc217632455 \h </w:instrText>
            </w:r>
            <w:r>
              <w:rPr>
                <w:noProof/>
                <w:webHidden/>
              </w:rPr>
            </w:r>
            <w:r>
              <w:rPr>
                <w:noProof/>
                <w:webHidden/>
              </w:rPr>
              <w:fldChar w:fldCharType="separate"/>
            </w:r>
            <w:r>
              <w:rPr>
                <w:noProof/>
                <w:webHidden/>
              </w:rPr>
              <w:t>25</w:t>
            </w:r>
            <w:r>
              <w:rPr>
                <w:noProof/>
                <w:webHidden/>
              </w:rPr>
              <w:fldChar w:fldCharType="end"/>
            </w:r>
          </w:hyperlink>
        </w:p>
        <w:p w:rsidR="00FE6EAF" w:rsidRDefault="00FE6EAF" w14:paraId="2D9A9367" w14:textId="5E43BB59">
          <w:pPr>
            <w:pStyle w:val="TOC1"/>
            <w:tabs>
              <w:tab w:val="right" w:leader="dot" w:pos="9350"/>
            </w:tabs>
            <w:rPr>
              <w:rFonts w:asciiTheme="minorHAnsi" w:hAnsiTheme="minorHAnsi" w:cstheme="minorBidi"/>
              <w:noProof/>
              <w:kern w:val="2"/>
              <w:sz w:val="24"/>
              <w:szCs w:val="24"/>
              <w14:ligatures w14:val="standardContextual"/>
            </w:rPr>
          </w:pPr>
          <w:hyperlink w:history="1" w:anchor="_Toc217632456">
            <w:r w:rsidRPr="00711955">
              <w:rPr>
                <w:rStyle w:val="Hyperlink"/>
                <w:noProof/>
              </w:rPr>
              <w:t>9.</w:t>
            </w:r>
            <w:r>
              <w:rPr>
                <w:rFonts w:asciiTheme="minorHAnsi" w:hAnsiTheme="minorHAnsi" w:cstheme="minorBidi"/>
                <w:noProof/>
                <w:kern w:val="2"/>
                <w:sz w:val="24"/>
                <w:szCs w:val="24"/>
                <w14:ligatures w14:val="standardContextual"/>
              </w:rPr>
              <w:tab/>
            </w:r>
            <w:r w:rsidRPr="00711955">
              <w:rPr>
                <w:rStyle w:val="Hyperlink"/>
                <w:noProof/>
              </w:rPr>
              <w:t>Analysis — Approval of Settlement Agreement</w:t>
            </w:r>
            <w:r>
              <w:rPr>
                <w:noProof/>
                <w:webHidden/>
              </w:rPr>
              <w:tab/>
            </w:r>
            <w:r>
              <w:rPr>
                <w:noProof/>
                <w:webHidden/>
              </w:rPr>
              <w:fldChar w:fldCharType="begin"/>
            </w:r>
            <w:r>
              <w:rPr>
                <w:noProof/>
                <w:webHidden/>
              </w:rPr>
              <w:instrText xml:space="preserve"> PAGEREF _Toc217632456 \h </w:instrText>
            </w:r>
            <w:r>
              <w:rPr>
                <w:noProof/>
                <w:webHidden/>
              </w:rPr>
            </w:r>
            <w:r>
              <w:rPr>
                <w:noProof/>
                <w:webHidden/>
              </w:rPr>
              <w:fldChar w:fldCharType="separate"/>
            </w:r>
            <w:r>
              <w:rPr>
                <w:noProof/>
                <w:webHidden/>
              </w:rPr>
              <w:t>26</w:t>
            </w:r>
            <w:r>
              <w:rPr>
                <w:noProof/>
                <w:webHidden/>
              </w:rPr>
              <w:fldChar w:fldCharType="end"/>
            </w:r>
          </w:hyperlink>
        </w:p>
        <w:p w:rsidR="00FE6EAF" w:rsidRDefault="00FE6EAF" w14:paraId="1E1593A3" w14:textId="63EA7601">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7632457">
            <w:r w:rsidRPr="00711955">
              <w:rPr>
                <w:rStyle w:val="Hyperlink"/>
                <w:noProof/>
              </w:rPr>
              <w:t>9.1.</w:t>
            </w:r>
            <w:r>
              <w:rPr>
                <w:rFonts w:asciiTheme="minorHAnsi" w:hAnsiTheme="minorHAnsi" w:cstheme="minorBidi"/>
                <w:noProof/>
                <w:kern w:val="2"/>
                <w:sz w:val="24"/>
                <w:szCs w:val="24"/>
                <w14:ligatures w14:val="standardContextual"/>
              </w:rPr>
              <w:tab/>
            </w:r>
            <w:r w:rsidRPr="00711955">
              <w:rPr>
                <w:rStyle w:val="Hyperlink"/>
                <w:noProof/>
              </w:rPr>
              <w:t>Reasonable in Light of the Whole Record</w:t>
            </w:r>
            <w:r>
              <w:rPr>
                <w:noProof/>
                <w:webHidden/>
              </w:rPr>
              <w:tab/>
            </w:r>
            <w:r>
              <w:rPr>
                <w:noProof/>
                <w:webHidden/>
              </w:rPr>
              <w:fldChar w:fldCharType="begin"/>
            </w:r>
            <w:r>
              <w:rPr>
                <w:noProof/>
                <w:webHidden/>
              </w:rPr>
              <w:instrText xml:space="preserve"> PAGEREF _Toc217632457 \h </w:instrText>
            </w:r>
            <w:r>
              <w:rPr>
                <w:noProof/>
                <w:webHidden/>
              </w:rPr>
            </w:r>
            <w:r>
              <w:rPr>
                <w:noProof/>
                <w:webHidden/>
              </w:rPr>
              <w:fldChar w:fldCharType="separate"/>
            </w:r>
            <w:r>
              <w:rPr>
                <w:noProof/>
                <w:webHidden/>
              </w:rPr>
              <w:t>27</w:t>
            </w:r>
            <w:r>
              <w:rPr>
                <w:noProof/>
                <w:webHidden/>
              </w:rPr>
              <w:fldChar w:fldCharType="end"/>
            </w:r>
          </w:hyperlink>
        </w:p>
        <w:p w:rsidR="00FE6EAF" w:rsidRDefault="00FE6EAF" w14:paraId="3CCD970D" w14:textId="77CACB77">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7632458">
            <w:r w:rsidRPr="00711955">
              <w:rPr>
                <w:rStyle w:val="Hyperlink"/>
                <w:noProof/>
              </w:rPr>
              <w:t>9.2.</w:t>
            </w:r>
            <w:r>
              <w:rPr>
                <w:rFonts w:asciiTheme="minorHAnsi" w:hAnsiTheme="minorHAnsi" w:cstheme="minorBidi"/>
                <w:noProof/>
                <w:kern w:val="2"/>
                <w:sz w:val="24"/>
                <w:szCs w:val="24"/>
                <w14:ligatures w14:val="standardContextual"/>
              </w:rPr>
              <w:tab/>
            </w:r>
            <w:r w:rsidRPr="00711955">
              <w:rPr>
                <w:rStyle w:val="Hyperlink"/>
                <w:noProof/>
              </w:rPr>
              <w:t>Consistent with the Law</w:t>
            </w:r>
            <w:r>
              <w:rPr>
                <w:noProof/>
                <w:webHidden/>
              </w:rPr>
              <w:tab/>
            </w:r>
            <w:r>
              <w:rPr>
                <w:noProof/>
                <w:webHidden/>
              </w:rPr>
              <w:fldChar w:fldCharType="begin"/>
            </w:r>
            <w:r>
              <w:rPr>
                <w:noProof/>
                <w:webHidden/>
              </w:rPr>
              <w:instrText xml:space="preserve"> PAGEREF _Toc217632458 \h </w:instrText>
            </w:r>
            <w:r>
              <w:rPr>
                <w:noProof/>
                <w:webHidden/>
              </w:rPr>
            </w:r>
            <w:r>
              <w:rPr>
                <w:noProof/>
                <w:webHidden/>
              </w:rPr>
              <w:fldChar w:fldCharType="separate"/>
            </w:r>
            <w:r>
              <w:rPr>
                <w:noProof/>
                <w:webHidden/>
              </w:rPr>
              <w:t>29</w:t>
            </w:r>
            <w:r>
              <w:rPr>
                <w:noProof/>
                <w:webHidden/>
              </w:rPr>
              <w:fldChar w:fldCharType="end"/>
            </w:r>
          </w:hyperlink>
        </w:p>
        <w:p w:rsidR="00FE6EAF" w:rsidRDefault="00FE6EAF" w14:paraId="3628A876" w14:textId="4554A912">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7632459">
            <w:r w:rsidRPr="00711955">
              <w:rPr>
                <w:rStyle w:val="Hyperlink"/>
                <w:noProof/>
              </w:rPr>
              <w:t>9.3.</w:t>
            </w:r>
            <w:r>
              <w:rPr>
                <w:rFonts w:asciiTheme="minorHAnsi" w:hAnsiTheme="minorHAnsi" w:cstheme="minorBidi"/>
                <w:noProof/>
                <w:kern w:val="2"/>
                <w:sz w:val="24"/>
                <w:szCs w:val="24"/>
                <w14:ligatures w14:val="standardContextual"/>
              </w:rPr>
              <w:tab/>
            </w:r>
            <w:r w:rsidRPr="00711955">
              <w:rPr>
                <w:rStyle w:val="Hyperlink"/>
                <w:noProof/>
              </w:rPr>
              <w:t>In the Public Interest</w:t>
            </w:r>
            <w:r>
              <w:rPr>
                <w:noProof/>
                <w:webHidden/>
              </w:rPr>
              <w:tab/>
            </w:r>
            <w:r>
              <w:rPr>
                <w:noProof/>
                <w:webHidden/>
              </w:rPr>
              <w:fldChar w:fldCharType="begin"/>
            </w:r>
            <w:r>
              <w:rPr>
                <w:noProof/>
                <w:webHidden/>
              </w:rPr>
              <w:instrText xml:space="preserve"> PAGEREF _Toc217632459 \h </w:instrText>
            </w:r>
            <w:r>
              <w:rPr>
                <w:noProof/>
                <w:webHidden/>
              </w:rPr>
            </w:r>
            <w:r>
              <w:rPr>
                <w:noProof/>
                <w:webHidden/>
              </w:rPr>
              <w:fldChar w:fldCharType="separate"/>
            </w:r>
            <w:r>
              <w:rPr>
                <w:noProof/>
                <w:webHidden/>
              </w:rPr>
              <w:t>30</w:t>
            </w:r>
            <w:r>
              <w:rPr>
                <w:noProof/>
                <w:webHidden/>
              </w:rPr>
              <w:fldChar w:fldCharType="end"/>
            </w:r>
          </w:hyperlink>
        </w:p>
        <w:p w:rsidR="00FE6EAF" w:rsidRDefault="00FE6EAF" w14:paraId="50D38F6F" w14:textId="441A9B2E">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7632460">
            <w:r w:rsidRPr="00711955">
              <w:rPr>
                <w:rStyle w:val="Hyperlink"/>
                <w:noProof/>
              </w:rPr>
              <w:t>9.4.</w:t>
            </w:r>
            <w:r>
              <w:rPr>
                <w:rFonts w:asciiTheme="minorHAnsi" w:hAnsiTheme="minorHAnsi" w:cstheme="minorBidi"/>
                <w:noProof/>
                <w:kern w:val="2"/>
                <w:sz w:val="24"/>
                <w:szCs w:val="24"/>
                <w14:ligatures w14:val="standardContextual"/>
              </w:rPr>
              <w:tab/>
            </w:r>
            <w:r w:rsidRPr="00711955">
              <w:rPr>
                <w:rStyle w:val="Hyperlink"/>
                <w:noProof/>
              </w:rPr>
              <w:t>Opposition of Wild Tree Lacks Merit</w:t>
            </w:r>
            <w:r>
              <w:rPr>
                <w:noProof/>
                <w:webHidden/>
              </w:rPr>
              <w:tab/>
            </w:r>
            <w:r>
              <w:rPr>
                <w:noProof/>
                <w:webHidden/>
              </w:rPr>
              <w:fldChar w:fldCharType="begin"/>
            </w:r>
            <w:r>
              <w:rPr>
                <w:noProof/>
                <w:webHidden/>
              </w:rPr>
              <w:instrText xml:space="preserve"> PAGEREF _Toc217632460 \h </w:instrText>
            </w:r>
            <w:r>
              <w:rPr>
                <w:noProof/>
                <w:webHidden/>
              </w:rPr>
            </w:r>
            <w:r>
              <w:rPr>
                <w:noProof/>
                <w:webHidden/>
              </w:rPr>
              <w:fldChar w:fldCharType="separate"/>
            </w:r>
            <w:r>
              <w:rPr>
                <w:noProof/>
                <w:webHidden/>
              </w:rPr>
              <w:t>32</w:t>
            </w:r>
            <w:r>
              <w:rPr>
                <w:noProof/>
                <w:webHidden/>
              </w:rPr>
              <w:fldChar w:fldCharType="end"/>
            </w:r>
          </w:hyperlink>
        </w:p>
        <w:p w:rsidR="00FE6EAF" w:rsidRDefault="00FE6EAF" w14:paraId="5F32639F" w14:textId="21CC0C49">
          <w:pPr>
            <w:pStyle w:val="TOC1"/>
            <w:tabs>
              <w:tab w:val="right" w:leader="dot" w:pos="9350"/>
            </w:tabs>
            <w:rPr>
              <w:rFonts w:asciiTheme="minorHAnsi" w:hAnsiTheme="minorHAnsi" w:cstheme="minorBidi"/>
              <w:noProof/>
              <w:kern w:val="2"/>
              <w:sz w:val="24"/>
              <w:szCs w:val="24"/>
              <w14:ligatures w14:val="standardContextual"/>
            </w:rPr>
          </w:pPr>
          <w:hyperlink w:history="1" w:anchor="_Toc217632461">
            <w:r w:rsidRPr="00711955">
              <w:rPr>
                <w:rStyle w:val="Hyperlink"/>
                <w:noProof/>
              </w:rPr>
              <w:t>10.</w:t>
            </w:r>
            <w:r>
              <w:rPr>
                <w:rFonts w:asciiTheme="minorHAnsi" w:hAnsiTheme="minorHAnsi" w:cstheme="minorBidi"/>
                <w:noProof/>
                <w:kern w:val="2"/>
                <w:sz w:val="24"/>
                <w:szCs w:val="24"/>
                <w14:ligatures w14:val="standardContextual"/>
              </w:rPr>
              <w:tab/>
            </w:r>
            <w:r w:rsidRPr="00711955">
              <w:rPr>
                <w:rStyle w:val="Hyperlink"/>
                <w:noProof/>
              </w:rPr>
              <w:t>Implementation</w:t>
            </w:r>
            <w:r>
              <w:rPr>
                <w:noProof/>
                <w:webHidden/>
              </w:rPr>
              <w:tab/>
            </w:r>
            <w:r>
              <w:rPr>
                <w:noProof/>
                <w:webHidden/>
              </w:rPr>
              <w:fldChar w:fldCharType="begin"/>
            </w:r>
            <w:r>
              <w:rPr>
                <w:noProof/>
                <w:webHidden/>
              </w:rPr>
              <w:instrText xml:space="preserve"> PAGEREF _Toc217632461 \h </w:instrText>
            </w:r>
            <w:r>
              <w:rPr>
                <w:noProof/>
                <w:webHidden/>
              </w:rPr>
            </w:r>
            <w:r>
              <w:rPr>
                <w:noProof/>
                <w:webHidden/>
              </w:rPr>
              <w:fldChar w:fldCharType="separate"/>
            </w:r>
            <w:r>
              <w:rPr>
                <w:noProof/>
                <w:webHidden/>
              </w:rPr>
              <w:t>35</w:t>
            </w:r>
            <w:r>
              <w:rPr>
                <w:noProof/>
                <w:webHidden/>
              </w:rPr>
              <w:fldChar w:fldCharType="end"/>
            </w:r>
          </w:hyperlink>
        </w:p>
        <w:p w:rsidR="00FE6EAF" w:rsidRDefault="00FE6EAF" w14:paraId="2B24C3D9" w14:textId="18D5B6C0">
          <w:pPr>
            <w:pStyle w:val="TOC1"/>
            <w:tabs>
              <w:tab w:val="right" w:leader="dot" w:pos="9350"/>
            </w:tabs>
            <w:rPr>
              <w:rFonts w:asciiTheme="minorHAnsi" w:hAnsiTheme="minorHAnsi" w:cstheme="minorBidi"/>
              <w:noProof/>
              <w:kern w:val="2"/>
              <w:sz w:val="24"/>
              <w:szCs w:val="24"/>
              <w14:ligatures w14:val="standardContextual"/>
            </w:rPr>
          </w:pPr>
          <w:hyperlink w:history="1" w:anchor="_Toc217632462">
            <w:r w:rsidRPr="00711955">
              <w:rPr>
                <w:rStyle w:val="Hyperlink"/>
                <w:noProof/>
              </w:rPr>
              <w:t>11.</w:t>
            </w:r>
            <w:r>
              <w:rPr>
                <w:rFonts w:asciiTheme="minorHAnsi" w:hAnsiTheme="minorHAnsi" w:cstheme="minorBidi"/>
                <w:noProof/>
                <w:kern w:val="2"/>
                <w:sz w:val="24"/>
                <w:szCs w:val="24"/>
                <w14:ligatures w14:val="standardContextual"/>
              </w:rPr>
              <w:tab/>
            </w:r>
            <w:r w:rsidRPr="00711955">
              <w:rPr>
                <w:rStyle w:val="Hyperlink"/>
                <w:noProof/>
              </w:rPr>
              <w:t>Affordability Metrics</w:t>
            </w:r>
            <w:r>
              <w:rPr>
                <w:noProof/>
                <w:webHidden/>
              </w:rPr>
              <w:tab/>
            </w:r>
            <w:r>
              <w:rPr>
                <w:noProof/>
                <w:webHidden/>
              </w:rPr>
              <w:fldChar w:fldCharType="begin"/>
            </w:r>
            <w:r>
              <w:rPr>
                <w:noProof/>
                <w:webHidden/>
              </w:rPr>
              <w:instrText xml:space="preserve"> PAGEREF _Toc217632462 \h </w:instrText>
            </w:r>
            <w:r>
              <w:rPr>
                <w:noProof/>
                <w:webHidden/>
              </w:rPr>
            </w:r>
            <w:r>
              <w:rPr>
                <w:noProof/>
                <w:webHidden/>
              </w:rPr>
              <w:fldChar w:fldCharType="separate"/>
            </w:r>
            <w:r>
              <w:rPr>
                <w:noProof/>
                <w:webHidden/>
              </w:rPr>
              <w:t>37</w:t>
            </w:r>
            <w:r>
              <w:rPr>
                <w:noProof/>
                <w:webHidden/>
              </w:rPr>
              <w:fldChar w:fldCharType="end"/>
            </w:r>
          </w:hyperlink>
        </w:p>
        <w:p w:rsidR="00FE6EAF" w:rsidRDefault="00FE6EAF" w14:paraId="3C7A23B0" w14:textId="31BF43D2">
          <w:pPr>
            <w:pStyle w:val="TOC1"/>
            <w:tabs>
              <w:tab w:val="right" w:leader="dot" w:pos="9350"/>
            </w:tabs>
            <w:rPr>
              <w:rFonts w:asciiTheme="minorHAnsi" w:hAnsiTheme="minorHAnsi" w:cstheme="minorBidi"/>
              <w:noProof/>
              <w:kern w:val="2"/>
              <w:sz w:val="24"/>
              <w:szCs w:val="24"/>
              <w14:ligatures w14:val="standardContextual"/>
            </w:rPr>
          </w:pPr>
          <w:hyperlink w:history="1" w:anchor="_Toc217632463">
            <w:r w:rsidRPr="00711955">
              <w:rPr>
                <w:rStyle w:val="Hyperlink"/>
                <w:noProof/>
              </w:rPr>
              <w:t>12.</w:t>
            </w:r>
            <w:r>
              <w:rPr>
                <w:rFonts w:asciiTheme="minorHAnsi" w:hAnsiTheme="minorHAnsi" w:cstheme="minorBidi"/>
                <w:noProof/>
                <w:kern w:val="2"/>
                <w:sz w:val="24"/>
                <w:szCs w:val="24"/>
                <w14:ligatures w14:val="standardContextual"/>
              </w:rPr>
              <w:tab/>
            </w:r>
            <w:r w:rsidRPr="00711955">
              <w:rPr>
                <w:rStyle w:val="Hyperlink"/>
                <w:noProof/>
              </w:rPr>
              <w:t>Summary of Public Comment</w:t>
            </w:r>
            <w:r>
              <w:rPr>
                <w:noProof/>
                <w:webHidden/>
              </w:rPr>
              <w:tab/>
            </w:r>
            <w:r>
              <w:rPr>
                <w:noProof/>
                <w:webHidden/>
              </w:rPr>
              <w:fldChar w:fldCharType="begin"/>
            </w:r>
            <w:r>
              <w:rPr>
                <w:noProof/>
                <w:webHidden/>
              </w:rPr>
              <w:instrText xml:space="preserve"> PAGEREF _Toc217632463 \h </w:instrText>
            </w:r>
            <w:r>
              <w:rPr>
                <w:noProof/>
                <w:webHidden/>
              </w:rPr>
            </w:r>
            <w:r>
              <w:rPr>
                <w:noProof/>
                <w:webHidden/>
              </w:rPr>
              <w:fldChar w:fldCharType="separate"/>
            </w:r>
            <w:r>
              <w:rPr>
                <w:noProof/>
                <w:webHidden/>
              </w:rPr>
              <w:t>38</w:t>
            </w:r>
            <w:r>
              <w:rPr>
                <w:noProof/>
                <w:webHidden/>
              </w:rPr>
              <w:fldChar w:fldCharType="end"/>
            </w:r>
          </w:hyperlink>
        </w:p>
        <w:p w:rsidR="00FE6EAF" w:rsidRDefault="00FE6EAF" w14:paraId="34B7F832" w14:textId="4F30C634">
          <w:pPr>
            <w:pStyle w:val="TOC1"/>
            <w:tabs>
              <w:tab w:val="right" w:leader="dot" w:pos="9350"/>
            </w:tabs>
            <w:rPr>
              <w:rFonts w:asciiTheme="minorHAnsi" w:hAnsiTheme="minorHAnsi" w:cstheme="minorBidi"/>
              <w:noProof/>
              <w:kern w:val="2"/>
              <w:sz w:val="24"/>
              <w:szCs w:val="24"/>
              <w14:ligatures w14:val="standardContextual"/>
            </w:rPr>
          </w:pPr>
          <w:hyperlink w:history="1" w:anchor="_Toc217632464">
            <w:r w:rsidRPr="00711955">
              <w:rPr>
                <w:rStyle w:val="Hyperlink"/>
                <w:noProof/>
              </w:rPr>
              <w:t>13.</w:t>
            </w:r>
            <w:r>
              <w:rPr>
                <w:rFonts w:asciiTheme="minorHAnsi" w:hAnsiTheme="minorHAnsi" w:cstheme="minorBidi"/>
                <w:noProof/>
                <w:kern w:val="2"/>
                <w:sz w:val="24"/>
                <w:szCs w:val="24"/>
                <w14:ligatures w14:val="standardContextual"/>
              </w:rPr>
              <w:tab/>
            </w:r>
            <w:r w:rsidRPr="00711955">
              <w:rPr>
                <w:rStyle w:val="Hyperlink"/>
                <w:noProof/>
              </w:rPr>
              <w:t>Procedural Matters</w:t>
            </w:r>
            <w:r>
              <w:rPr>
                <w:noProof/>
                <w:webHidden/>
              </w:rPr>
              <w:tab/>
            </w:r>
            <w:r>
              <w:rPr>
                <w:noProof/>
                <w:webHidden/>
              </w:rPr>
              <w:fldChar w:fldCharType="begin"/>
            </w:r>
            <w:r>
              <w:rPr>
                <w:noProof/>
                <w:webHidden/>
              </w:rPr>
              <w:instrText xml:space="preserve"> PAGEREF _Toc217632464 \h </w:instrText>
            </w:r>
            <w:r>
              <w:rPr>
                <w:noProof/>
                <w:webHidden/>
              </w:rPr>
            </w:r>
            <w:r>
              <w:rPr>
                <w:noProof/>
                <w:webHidden/>
              </w:rPr>
              <w:fldChar w:fldCharType="separate"/>
            </w:r>
            <w:r>
              <w:rPr>
                <w:noProof/>
                <w:webHidden/>
              </w:rPr>
              <w:t>38</w:t>
            </w:r>
            <w:r>
              <w:rPr>
                <w:noProof/>
                <w:webHidden/>
              </w:rPr>
              <w:fldChar w:fldCharType="end"/>
            </w:r>
          </w:hyperlink>
        </w:p>
        <w:p w:rsidR="00FE6EAF" w:rsidRDefault="00FE6EAF" w14:paraId="10B9672A" w14:textId="6B2C4518">
          <w:pPr>
            <w:pStyle w:val="TOC1"/>
            <w:tabs>
              <w:tab w:val="right" w:leader="dot" w:pos="9350"/>
            </w:tabs>
            <w:rPr>
              <w:rFonts w:asciiTheme="minorHAnsi" w:hAnsiTheme="minorHAnsi" w:cstheme="minorBidi"/>
              <w:noProof/>
              <w:kern w:val="2"/>
              <w:sz w:val="24"/>
              <w:szCs w:val="24"/>
              <w14:ligatures w14:val="standardContextual"/>
            </w:rPr>
          </w:pPr>
          <w:hyperlink w:history="1" w:anchor="_Toc217632465">
            <w:r w:rsidRPr="00711955">
              <w:rPr>
                <w:rStyle w:val="Hyperlink"/>
                <w:noProof/>
              </w:rPr>
              <w:t>14.</w:t>
            </w:r>
            <w:r>
              <w:rPr>
                <w:rFonts w:asciiTheme="minorHAnsi" w:hAnsiTheme="minorHAnsi" w:cstheme="minorBidi"/>
                <w:noProof/>
                <w:kern w:val="2"/>
                <w:sz w:val="24"/>
                <w:szCs w:val="24"/>
                <w14:ligatures w14:val="standardContextual"/>
              </w:rPr>
              <w:tab/>
            </w:r>
            <w:r w:rsidRPr="00711955">
              <w:rPr>
                <w:rStyle w:val="Hyperlink"/>
                <w:noProof/>
              </w:rPr>
              <w:t>Comments on Proposed Decision</w:t>
            </w:r>
            <w:r>
              <w:rPr>
                <w:noProof/>
                <w:webHidden/>
              </w:rPr>
              <w:tab/>
            </w:r>
            <w:r>
              <w:rPr>
                <w:noProof/>
                <w:webHidden/>
              </w:rPr>
              <w:fldChar w:fldCharType="begin"/>
            </w:r>
            <w:r>
              <w:rPr>
                <w:noProof/>
                <w:webHidden/>
              </w:rPr>
              <w:instrText xml:space="preserve"> PAGEREF _Toc217632465 \h </w:instrText>
            </w:r>
            <w:r>
              <w:rPr>
                <w:noProof/>
                <w:webHidden/>
              </w:rPr>
            </w:r>
            <w:r>
              <w:rPr>
                <w:noProof/>
                <w:webHidden/>
              </w:rPr>
              <w:fldChar w:fldCharType="separate"/>
            </w:r>
            <w:r>
              <w:rPr>
                <w:noProof/>
                <w:webHidden/>
              </w:rPr>
              <w:t>39</w:t>
            </w:r>
            <w:r>
              <w:rPr>
                <w:noProof/>
                <w:webHidden/>
              </w:rPr>
              <w:fldChar w:fldCharType="end"/>
            </w:r>
          </w:hyperlink>
        </w:p>
        <w:p w:rsidR="00FE6EAF" w:rsidRDefault="00FE6EAF" w14:paraId="33B7774C" w14:textId="35D6BBEE">
          <w:pPr>
            <w:pStyle w:val="TOC1"/>
            <w:tabs>
              <w:tab w:val="right" w:leader="dot" w:pos="9350"/>
            </w:tabs>
            <w:rPr>
              <w:rFonts w:asciiTheme="minorHAnsi" w:hAnsiTheme="minorHAnsi" w:cstheme="minorBidi"/>
              <w:noProof/>
              <w:kern w:val="2"/>
              <w:sz w:val="24"/>
              <w:szCs w:val="24"/>
              <w14:ligatures w14:val="standardContextual"/>
            </w:rPr>
          </w:pPr>
          <w:hyperlink w:history="1" w:anchor="_Toc217632466">
            <w:r w:rsidRPr="00711955">
              <w:rPr>
                <w:rStyle w:val="Hyperlink"/>
                <w:noProof/>
              </w:rPr>
              <w:t>15.</w:t>
            </w:r>
            <w:r>
              <w:rPr>
                <w:rFonts w:asciiTheme="minorHAnsi" w:hAnsiTheme="minorHAnsi" w:cstheme="minorBidi"/>
                <w:noProof/>
                <w:kern w:val="2"/>
                <w:sz w:val="24"/>
                <w:szCs w:val="24"/>
                <w14:ligatures w14:val="standardContextual"/>
              </w:rPr>
              <w:tab/>
            </w:r>
            <w:r w:rsidRPr="00711955">
              <w:rPr>
                <w:rStyle w:val="Hyperlink"/>
                <w:noProof/>
              </w:rPr>
              <w:t>Assignment of Proceeding</w:t>
            </w:r>
            <w:r>
              <w:rPr>
                <w:noProof/>
                <w:webHidden/>
              </w:rPr>
              <w:tab/>
            </w:r>
            <w:r>
              <w:rPr>
                <w:noProof/>
                <w:webHidden/>
              </w:rPr>
              <w:fldChar w:fldCharType="begin"/>
            </w:r>
            <w:r>
              <w:rPr>
                <w:noProof/>
                <w:webHidden/>
              </w:rPr>
              <w:instrText xml:space="preserve"> PAGEREF _Toc217632466 \h </w:instrText>
            </w:r>
            <w:r>
              <w:rPr>
                <w:noProof/>
                <w:webHidden/>
              </w:rPr>
            </w:r>
            <w:r>
              <w:rPr>
                <w:noProof/>
                <w:webHidden/>
              </w:rPr>
              <w:fldChar w:fldCharType="separate"/>
            </w:r>
            <w:r>
              <w:rPr>
                <w:noProof/>
                <w:webHidden/>
              </w:rPr>
              <w:t>39</w:t>
            </w:r>
            <w:r>
              <w:rPr>
                <w:noProof/>
                <w:webHidden/>
              </w:rPr>
              <w:fldChar w:fldCharType="end"/>
            </w:r>
          </w:hyperlink>
        </w:p>
        <w:p w:rsidR="00FE6EAF" w:rsidRDefault="00FE6EAF" w14:paraId="20686B90" w14:textId="7EF2E56E">
          <w:pPr>
            <w:pStyle w:val="TOC1"/>
            <w:tabs>
              <w:tab w:val="right" w:leader="dot" w:pos="9350"/>
            </w:tabs>
            <w:rPr>
              <w:rFonts w:asciiTheme="minorHAnsi" w:hAnsiTheme="minorHAnsi" w:cstheme="minorBidi"/>
              <w:noProof/>
              <w:kern w:val="2"/>
              <w:sz w:val="24"/>
              <w:szCs w:val="24"/>
              <w14:ligatures w14:val="standardContextual"/>
            </w:rPr>
          </w:pPr>
          <w:hyperlink w:history="1" w:anchor="_Toc217632467">
            <w:r w:rsidRPr="00711955">
              <w:rPr>
                <w:rStyle w:val="Hyperlink"/>
                <w:noProof/>
              </w:rPr>
              <w:t>Findings of Fact</w:t>
            </w:r>
            <w:r>
              <w:rPr>
                <w:noProof/>
                <w:webHidden/>
              </w:rPr>
              <w:tab/>
            </w:r>
            <w:r>
              <w:rPr>
                <w:noProof/>
                <w:webHidden/>
              </w:rPr>
              <w:fldChar w:fldCharType="begin"/>
            </w:r>
            <w:r>
              <w:rPr>
                <w:noProof/>
                <w:webHidden/>
              </w:rPr>
              <w:instrText xml:space="preserve"> PAGEREF _Toc217632467 \h </w:instrText>
            </w:r>
            <w:r>
              <w:rPr>
                <w:noProof/>
                <w:webHidden/>
              </w:rPr>
            </w:r>
            <w:r>
              <w:rPr>
                <w:noProof/>
                <w:webHidden/>
              </w:rPr>
              <w:fldChar w:fldCharType="separate"/>
            </w:r>
            <w:r>
              <w:rPr>
                <w:noProof/>
                <w:webHidden/>
              </w:rPr>
              <w:t>39</w:t>
            </w:r>
            <w:r>
              <w:rPr>
                <w:noProof/>
                <w:webHidden/>
              </w:rPr>
              <w:fldChar w:fldCharType="end"/>
            </w:r>
          </w:hyperlink>
        </w:p>
        <w:p w:rsidR="00FE6EAF" w:rsidRDefault="00FE6EAF" w14:paraId="60F33BB1" w14:textId="2F4E5D90">
          <w:pPr>
            <w:pStyle w:val="TOC1"/>
            <w:tabs>
              <w:tab w:val="right" w:leader="dot" w:pos="9350"/>
            </w:tabs>
            <w:rPr>
              <w:rFonts w:asciiTheme="minorHAnsi" w:hAnsiTheme="minorHAnsi" w:cstheme="minorBidi"/>
              <w:noProof/>
              <w:kern w:val="2"/>
              <w:sz w:val="24"/>
              <w:szCs w:val="24"/>
              <w14:ligatures w14:val="standardContextual"/>
            </w:rPr>
          </w:pPr>
          <w:hyperlink w:history="1" w:anchor="_Toc217632468">
            <w:r w:rsidRPr="00711955">
              <w:rPr>
                <w:rStyle w:val="Hyperlink"/>
                <w:noProof/>
              </w:rPr>
              <w:t>Conclusions of Law</w:t>
            </w:r>
            <w:r>
              <w:rPr>
                <w:noProof/>
                <w:webHidden/>
              </w:rPr>
              <w:tab/>
            </w:r>
            <w:r>
              <w:rPr>
                <w:noProof/>
                <w:webHidden/>
              </w:rPr>
              <w:fldChar w:fldCharType="begin"/>
            </w:r>
            <w:r>
              <w:rPr>
                <w:noProof/>
                <w:webHidden/>
              </w:rPr>
              <w:instrText xml:space="preserve"> PAGEREF _Toc217632468 \h </w:instrText>
            </w:r>
            <w:r>
              <w:rPr>
                <w:noProof/>
                <w:webHidden/>
              </w:rPr>
            </w:r>
            <w:r>
              <w:rPr>
                <w:noProof/>
                <w:webHidden/>
              </w:rPr>
              <w:fldChar w:fldCharType="separate"/>
            </w:r>
            <w:r>
              <w:rPr>
                <w:noProof/>
                <w:webHidden/>
              </w:rPr>
              <w:t>41</w:t>
            </w:r>
            <w:r>
              <w:rPr>
                <w:noProof/>
                <w:webHidden/>
              </w:rPr>
              <w:fldChar w:fldCharType="end"/>
            </w:r>
          </w:hyperlink>
        </w:p>
        <w:p w:rsidR="00FE6EAF" w:rsidRDefault="00FE6EAF" w14:paraId="6E45E0F8" w14:textId="7138F174">
          <w:pPr>
            <w:pStyle w:val="TOC1"/>
            <w:tabs>
              <w:tab w:val="right" w:leader="dot" w:pos="9350"/>
            </w:tabs>
            <w:rPr>
              <w:rFonts w:asciiTheme="minorHAnsi" w:hAnsiTheme="minorHAnsi" w:cstheme="minorBidi"/>
              <w:noProof/>
              <w:kern w:val="2"/>
              <w:sz w:val="24"/>
              <w:szCs w:val="24"/>
              <w14:ligatures w14:val="standardContextual"/>
            </w:rPr>
          </w:pPr>
          <w:hyperlink w:history="1" w:anchor="_Toc217632469">
            <w:r w:rsidRPr="00711955">
              <w:rPr>
                <w:rStyle w:val="Hyperlink"/>
                <w:noProof/>
              </w:rPr>
              <w:t>ORDER</w:t>
            </w:r>
            <w:r>
              <w:rPr>
                <w:noProof/>
                <w:webHidden/>
              </w:rPr>
              <w:tab/>
            </w:r>
            <w:r>
              <w:rPr>
                <w:noProof/>
                <w:webHidden/>
              </w:rPr>
              <w:fldChar w:fldCharType="begin"/>
            </w:r>
            <w:r>
              <w:rPr>
                <w:noProof/>
                <w:webHidden/>
              </w:rPr>
              <w:instrText xml:space="preserve"> PAGEREF _Toc217632469 \h </w:instrText>
            </w:r>
            <w:r>
              <w:rPr>
                <w:noProof/>
                <w:webHidden/>
              </w:rPr>
            </w:r>
            <w:r>
              <w:rPr>
                <w:noProof/>
                <w:webHidden/>
              </w:rPr>
              <w:fldChar w:fldCharType="separate"/>
            </w:r>
            <w:r>
              <w:rPr>
                <w:noProof/>
                <w:webHidden/>
              </w:rPr>
              <w:t>43</w:t>
            </w:r>
            <w:r>
              <w:rPr>
                <w:noProof/>
                <w:webHidden/>
              </w:rPr>
              <w:fldChar w:fldCharType="end"/>
            </w:r>
          </w:hyperlink>
        </w:p>
        <w:p w:rsidR="00D82A43" w:rsidP="008C7413" w:rsidRDefault="008C7413" w14:paraId="3C0EFBC2" w14:textId="09D48AF9">
          <w:pPr>
            <w:pStyle w:val="TOC1"/>
            <w:tabs>
              <w:tab w:val="right" w:leader="dot" w:pos="9350"/>
            </w:tabs>
          </w:pPr>
          <w:r>
            <w:rPr>
              <w:rFonts w:asciiTheme="minorHAnsi" w:hAnsiTheme="minorHAnsi"/>
              <w:sz w:val="22"/>
            </w:rPr>
            <w:fldChar w:fldCharType="end"/>
          </w:r>
        </w:p>
      </w:sdtContent>
    </w:sdt>
    <w:p w:rsidRPr="00AB1C1B" w:rsidR="00014C6E" w:rsidP="002A3499" w:rsidRDefault="0098655A" w14:paraId="573B5749" w14:textId="34248CC4">
      <w:pPr>
        <w:spacing w:line="240" w:lineRule="auto"/>
        <w:ind w:firstLine="0"/>
        <w:rPr>
          <w:rFonts w:cs="Arial"/>
          <w:szCs w:val="26"/>
          <w:lang w:val="en-ZW"/>
        </w:rPr>
      </w:pPr>
      <w:r w:rsidRPr="00AB1C1B">
        <w:rPr>
          <w:rFonts w:cs="Arial"/>
          <w:b/>
          <w:szCs w:val="26"/>
        </w:rPr>
        <w:t xml:space="preserve">Appendix </w:t>
      </w:r>
      <w:r w:rsidRPr="00AB1C1B">
        <w:rPr>
          <w:rFonts w:cs="Arial"/>
          <w:szCs w:val="26"/>
        </w:rPr>
        <w:t>–</w:t>
      </w:r>
      <w:r w:rsidRPr="00AB1C1B" w:rsidR="00E23CBB">
        <w:rPr>
          <w:rFonts w:cs="Arial"/>
          <w:szCs w:val="26"/>
        </w:rPr>
        <w:t xml:space="preserve"> </w:t>
      </w:r>
      <w:bookmarkStart w:name="_Hlk212647563" w:id="2"/>
      <w:r w:rsidRPr="00AB1C1B" w:rsidR="009453BA">
        <w:rPr>
          <w:rFonts w:cs="Arial"/>
          <w:szCs w:val="26"/>
        </w:rPr>
        <w:t>September </w:t>
      </w:r>
      <w:r w:rsidRPr="00AB1C1B" w:rsidR="00014C6E">
        <w:rPr>
          <w:rFonts w:cs="Arial"/>
          <w:szCs w:val="26"/>
        </w:rPr>
        <w:t xml:space="preserve">19, 2025 </w:t>
      </w:r>
      <w:r w:rsidRPr="00AB1C1B" w:rsidR="00014C6E">
        <w:rPr>
          <w:rFonts w:cs="Arial"/>
          <w:i/>
          <w:iCs/>
          <w:szCs w:val="26"/>
          <w:lang w:val="en-ZW"/>
        </w:rPr>
        <w:t xml:space="preserve">Joint Motion </w:t>
      </w:r>
      <w:r w:rsidRPr="00AB1C1B" w:rsidR="00014C6E">
        <w:rPr>
          <w:rFonts w:cs="Arial"/>
          <w:i/>
          <w:iCs/>
          <w:szCs w:val="26"/>
        </w:rPr>
        <w:t>by Southern California Edison Company, the Public Advocates Office, Energy Producers and Users Coalition, and Small Business Utility Advocates for Approval of Settlement Agreement Resolving Woolsey Fire Cost Recovery Application</w:t>
      </w:r>
      <w:r w:rsidRPr="00AB1C1B" w:rsidR="00014C6E">
        <w:rPr>
          <w:rFonts w:cs="Arial"/>
          <w:szCs w:val="26"/>
        </w:rPr>
        <w:t xml:space="preserve"> – </w:t>
      </w:r>
      <w:r w:rsidRPr="00AB1C1B" w:rsidR="00185BD8">
        <w:rPr>
          <w:rFonts w:cs="Arial"/>
          <w:szCs w:val="26"/>
        </w:rPr>
        <w:t xml:space="preserve">with attached </w:t>
      </w:r>
      <w:r w:rsidRPr="00AB1C1B" w:rsidR="00014C6E">
        <w:rPr>
          <w:rFonts w:cs="Arial"/>
          <w:szCs w:val="26"/>
        </w:rPr>
        <w:t>Settlement Agreement</w:t>
      </w:r>
      <w:r w:rsidRPr="00AB1C1B" w:rsidR="007D67B0">
        <w:rPr>
          <w:rFonts w:cs="Arial"/>
          <w:szCs w:val="26"/>
        </w:rPr>
        <w:t xml:space="preserve"> and </w:t>
      </w:r>
      <w:r w:rsidRPr="00AB1C1B" w:rsidR="00185BD8">
        <w:rPr>
          <w:rFonts w:cs="Arial"/>
          <w:szCs w:val="26"/>
        </w:rPr>
        <w:t>Appendix 1 Illustrative Authorized WEMA Amount Cost Recovery Scen</w:t>
      </w:r>
      <w:bookmarkEnd w:id="2"/>
      <w:r w:rsidRPr="00AB1C1B" w:rsidR="00185BD8">
        <w:rPr>
          <w:rFonts w:cs="Arial"/>
          <w:szCs w:val="26"/>
        </w:rPr>
        <w:t>arios</w:t>
      </w:r>
    </w:p>
    <w:p w:rsidR="00D44DB6" w:rsidP="00D44DB6" w:rsidRDefault="00D44DB6" w14:paraId="3B2DC5D1" w14:textId="79E7D554">
      <w:pPr>
        <w:spacing w:line="240" w:lineRule="auto"/>
        <w:ind w:firstLine="0"/>
        <w:rPr>
          <w:rFonts w:cs="Arial"/>
          <w:i/>
          <w:szCs w:val="26"/>
        </w:rPr>
      </w:pPr>
    </w:p>
    <w:p w:rsidR="004B7EF9" w:rsidP="00D44DB6" w:rsidRDefault="004B7EF9" w14:paraId="4C1A910D" w14:textId="77777777">
      <w:pPr>
        <w:spacing w:line="240" w:lineRule="auto"/>
        <w:ind w:firstLine="0"/>
        <w:rPr>
          <w:rFonts w:cs="Arial"/>
          <w:i/>
          <w:szCs w:val="26"/>
        </w:rPr>
      </w:pPr>
    </w:p>
    <w:p w:rsidRPr="00D44DB6" w:rsidR="004B7EF9" w:rsidP="00D44DB6" w:rsidRDefault="004B7EF9" w14:paraId="6D2E67EA" w14:textId="10A3D771">
      <w:pPr>
        <w:spacing w:line="240" w:lineRule="auto"/>
        <w:ind w:firstLine="0"/>
        <w:rPr>
          <w:rFonts w:cs="Arial"/>
          <w:i/>
          <w:szCs w:val="26"/>
        </w:rPr>
        <w:sectPr w:rsidRPr="00D44DB6" w:rsidR="004B7EF9" w:rsidSect="00D0715B">
          <w:pgSz w:w="12240" w:h="15840"/>
          <w:pgMar w:top="1728" w:right="1440" w:bottom="1440" w:left="1440" w:header="720" w:footer="720" w:gutter="0"/>
          <w:pgNumType w:fmt="lowerRoman" w:start="1"/>
          <w:cols w:space="720"/>
          <w:docGrid w:linePitch="360"/>
        </w:sectPr>
      </w:pPr>
    </w:p>
    <w:p w:rsidR="0098655A" w:rsidP="00C871A6" w:rsidRDefault="0029644D" w14:paraId="285580A2" w14:textId="55094D56">
      <w:pPr>
        <w:pStyle w:val="Main"/>
      </w:pPr>
      <w:r>
        <w:rPr>
          <w:highlight w:val="yellow"/>
        </w:rPr>
        <w:lastRenderedPageBreak/>
        <w:fldChar w:fldCharType="begin"/>
      </w:r>
      <w:r>
        <w:instrText xml:space="preserve"> REF Title \h </w:instrText>
      </w:r>
      <w:r>
        <w:rPr>
          <w:highlight w:val="yellow"/>
        </w:rPr>
      </w:r>
      <w:r>
        <w:rPr>
          <w:highlight w:val="yellow"/>
        </w:rPr>
        <w:fldChar w:fldCharType="separate"/>
      </w:r>
      <w:r w:rsidR="00FE6EAF">
        <w:t>DECISION ADOPTING SETTLEMENT ON THE REQUEST</w:t>
      </w:r>
      <w:r w:rsidR="00FE6EAF">
        <w:br/>
        <w:t xml:space="preserve">BY </w:t>
      </w:r>
      <w:r w:rsidRPr="00610C74" w:rsidR="00FE6EAF">
        <w:t>SOUTHERN CALIFORNIA EDISON COMPANY</w:t>
      </w:r>
      <w:r w:rsidR="00FE6EAF">
        <w:t xml:space="preserve"> FOR</w:t>
      </w:r>
      <w:r w:rsidR="00FE6EAF">
        <w:br/>
        <w:t>COST RECOVERY</w:t>
      </w:r>
      <w:r w:rsidRPr="00610C74" w:rsidR="00FE6EAF">
        <w:t xml:space="preserve"> RELATED TO THE 2018 WOOLSEY</w:t>
      </w:r>
      <w:r w:rsidR="00FE6EAF">
        <w:t xml:space="preserve"> </w:t>
      </w:r>
      <w:r w:rsidRPr="00610C74" w:rsidR="00FE6EAF">
        <w:t>FIRE</w:t>
      </w:r>
      <w:r w:rsidR="00FE6EAF">
        <w:br/>
      </w:r>
      <w:r w:rsidRPr="00610C74" w:rsidR="00FE6EAF">
        <w:t>RECORDED IN THE</w:t>
      </w:r>
      <w:r w:rsidR="00FE6EAF">
        <w:t xml:space="preserve"> </w:t>
      </w:r>
      <w:r w:rsidRPr="00610C74" w:rsidR="00FE6EAF">
        <w:t>WILDFIRE EXPENSE</w:t>
      </w:r>
      <w:r w:rsidR="00FE6EAF">
        <w:t xml:space="preserve"> </w:t>
      </w:r>
      <w:r w:rsidRPr="00610C74" w:rsidR="00FE6EAF">
        <w:t>MEMORANDUM</w:t>
      </w:r>
      <w:r w:rsidR="00FE6EAF">
        <w:t xml:space="preserve"> </w:t>
      </w:r>
      <w:r w:rsidRPr="00610C74" w:rsidR="00FE6EAF">
        <w:t>ACCOUNT</w:t>
      </w:r>
      <w:r w:rsidR="00FE6EAF">
        <w:br/>
      </w:r>
      <w:r w:rsidRPr="00610C74" w:rsidR="00FE6EAF">
        <w:t>AND CATASTROPHIC</w:t>
      </w:r>
      <w:r w:rsidR="00FE6EAF">
        <w:t xml:space="preserve"> </w:t>
      </w:r>
      <w:r w:rsidRPr="00610C74" w:rsidR="00FE6EAF">
        <w:t>EVENT MEMORANDUM ACCOUNT</w:t>
      </w:r>
      <w:r>
        <w:rPr>
          <w:highlight w:val="yellow"/>
        </w:rPr>
        <w:fldChar w:fldCharType="end"/>
      </w:r>
    </w:p>
    <w:p w:rsidRPr="00C871A6" w:rsidR="00C871A6" w:rsidP="00C871A6" w:rsidRDefault="00C871A6" w14:paraId="34829174" w14:textId="77777777">
      <w:pPr>
        <w:pStyle w:val="Main"/>
      </w:pPr>
    </w:p>
    <w:p w:rsidR="005A148C" w:rsidP="00677BEE" w:rsidRDefault="005A148C" w14:paraId="73349932" w14:textId="77777777">
      <w:pPr>
        <w:pStyle w:val="Dummy"/>
      </w:pPr>
      <w:bookmarkStart w:name="_Toc8123714" w:id="3"/>
      <w:bookmarkStart w:name="_Toc217632435" w:id="4"/>
      <w:r>
        <w:t>Summary</w:t>
      </w:r>
      <w:bookmarkEnd w:id="3"/>
      <w:bookmarkEnd w:id="4"/>
    </w:p>
    <w:p w:rsidRPr="0052583F" w:rsidR="0052583F" w:rsidP="002466AC" w:rsidRDefault="0052583F" w14:paraId="4FCD78BE" w14:textId="41BC7E20">
      <w:pPr>
        <w:pStyle w:val="Standard"/>
      </w:pPr>
      <w:r w:rsidRPr="0052583F">
        <w:t>This decision a</w:t>
      </w:r>
      <w:r w:rsidR="00CE69F5">
        <w:t xml:space="preserve">dopts the </w:t>
      </w:r>
      <w:r w:rsidR="009453BA">
        <w:t>September </w:t>
      </w:r>
      <w:r w:rsidR="002A3499">
        <w:t xml:space="preserve">19, 2025 </w:t>
      </w:r>
      <w:r w:rsidR="00CE69F5">
        <w:t xml:space="preserve">Settlement </w:t>
      </w:r>
      <w:r w:rsidRPr="0052583F">
        <w:t xml:space="preserve">Agreement </w:t>
      </w:r>
      <w:r w:rsidR="00556078">
        <w:t>regarding the request by</w:t>
      </w:r>
      <w:r w:rsidR="000E3D79">
        <w:t xml:space="preserve"> </w:t>
      </w:r>
      <w:r w:rsidRPr="0052583F">
        <w:t>Southern California Edison Company</w:t>
      </w:r>
      <w:r w:rsidR="00556078">
        <w:t xml:space="preserve"> (SCE) for </w:t>
      </w:r>
      <w:r w:rsidR="000E3D79">
        <w:t xml:space="preserve">approval and recovery of certain </w:t>
      </w:r>
      <w:r w:rsidRPr="00610C74" w:rsidR="00610C74">
        <w:t>costs associated</w:t>
      </w:r>
      <w:r w:rsidR="000E3D79">
        <w:t xml:space="preserve"> </w:t>
      </w:r>
      <w:r w:rsidRPr="00610C74" w:rsidR="00610C74">
        <w:t xml:space="preserve">with the </w:t>
      </w:r>
      <w:r w:rsidR="00F01AC1">
        <w:t xml:space="preserve">November </w:t>
      </w:r>
      <w:r w:rsidRPr="00610C74" w:rsidR="00610C74">
        <w:t>2018 Woolsey Fire</w:t>
      </w:r>
      <w:r w:rsidR="00F01AC1">
        <w:t xml:space="preserve"> (</w:t>
      </w:r>
      <w:r w:rsidRPr="00F01AC1" w:rsidR="00F01AC1">
        <w:t>Ventura County</w:t>
      </w:r>
      <w:r w:rsidR="00556078">
        <w:t>)</w:t>
      </w:r>
      <w:r w:rsidR="00F01AC1">
        <w:t>.</w:t>
      </w:r>
      <w:r w:rsidR="00A7367B">
        <w:t xml:space="preserve"> The adopted Settlement Agreement includes</w:t>
      </w:r>
      <w:r w:rsidR="002466AC">
        <w:t>, among other things,</w:t>
      </w:r>
      <w:r w:rsidR="00A7367B">
        <w:t xml:space="preserve"> </w:t>
      </w:r>
      <w:r w:rsidRPr="00A7367B" w:rsidR="00A7367B">
        <w:t>a permanent disallowance of approximately $3.676</w:t>
      </w:r>
      <w:r w:rsidR="00F60904">
        <w:t> billion</w:t>
      </w:r>
      <w:r w:rsidRPr="00A7367B" w:rsidR="00A7367B">
        <w:t xml:space="preserve"> of SCE</w:t>
      </w:r>
      <w:r w:rsidR="00BE4878">
        <w:t>’</w:t>
      </w:r>
      <w:r w:rsidRPr="00A7367B" w:rsidR="00A7367B">
        <w:t>s recorded</w:t>
      </w:r>
      <w:r w:rsidR="00A7367B">
        <w:t xml:space="preserve"> </w:t>
      </w:r>
      <w:r w:rsidRPr="00A7367B" w:rsidR="00A7367B">
        <w:t xml:space="preserve">costs associated with the Woolsey Fire. </w:t>
      </w:r>
      <w:r w:rsidR="002466AC">
        <w:t>The Settlement Agreement reflects a reduction</w:t>
      </w:r>
      <w:r w:rsidR="00490F6F">
        <w:t xml:space="preserve">, as </w:t>
      </w:r>
      <w:r w:rsidR="000E3D79">
        <w:t>SCE</w:t>
      </w:r>
      <w:r w:rsidR="00BE4878">
        <w:t>’</w:t>
      </w:r>
      <w:r w:rsidR="002466AC">
        <w:t>s</w:t>
      </w:r>
      <w:r w:rsidR="000E3D79">
        <w:t xml:space="preserve"> initial request</w:t>
      </w:r>
      <w:r w:rsidR="002A3499">
        <w:t xml:space="preserve"> </w:t>
      </w:r>
      <w:r w:rsidR="00490F6F">
        <w:t>was</w:t>
      </w:r>
      <w:r w:rsidR="000E3D79">
        <w:t xml:space="preserve"> </w:t>
      </w:r>
      <w:r w:rsidRPr="00610C74" w:rsidR="000E3D79">
        <w:t>$5.43</w:t>
      </w:r>
      <w:r w:rsidR="00F60904">
        <w:t> billion</w:t>
      </w:r>
      <w:r w:rsidR="00490F6F">
        <w:t xml:space="preserve"> of costs </w:t>
      </w:r>
      <w:r w:rsidRPr="00610C74" w:rsidR="00610C74">
        <w:t>recorded to</w:t>
      </w:r>
      <w:r w:rsidR="00556078">
        <w:t xml:space="preserve"> the </w:t>
      </w:r>
      <w:r w:rsidRPr="00610C74" w:rsidR="00610C74">
        <w:t>Wildfire Expense Memorandum Account (WEMA) for</w:t>
      </w:r>
      <w:r w:rsidR="000E3D79">
        <w:t xml:space="preserve"> </w:t>
      </w:r>
      <w:r w:rsidRPr="00610C74" w:rsidR="00610C74">
        <w:t>third</w:t>
      </w:r>
      <w:r w:rsidR="003B5862">
        <w:noBreakHyphen/>
      </w:r>
      <w:r w:rsidRPr="00610C74" w:rsidR="00610C74">
        <w:t>party claims</w:t>
      </w:r>
      <w:r w:rsidR="000E3D79">
        <w:t>,</w:t>
      </w:r>
      <w:r w:rsidRPr="00610C74" w:rsidR="00610C74">
        <w:t xml:space="preserve"> legal costs, </w:t>
      </w:r>
      <w:r w:rsidR="000E3D79">
        <w:t>and</w:t>
      </w:r>
      <w:r w:rsidRPr="00610C74" w:rsidR="000E3D79">
        <w:t xml:space="preserve"> financing costs </w:t>
      </w:r>
      <w:r w:rsidRPr="00610C74" w:rsidR="00610C74">
        <w:t>minus insurance reimbursements</w:t>
      </w:r>
      <w:r w:rsidR="000E3D79">
        <w:t xml:space="preserve"> and non</w:t>
      </w:r>
      <w:r w:rsidR="003B5862">
        <w:noBreakHyphen/>
      </w:r>
      <w:r w:rsidRPr="00610C74" w:rsidR="00610C74">
        <w:t>jurisdictional costs</w:t>
      </w:r>
      <w:r w:rsidR="000E3D79">
        <w:t xml:space="preserve"> and </w:t>
      </w:r>
      <w:r w:rsidRPr="00610C74" w:rsidR="00610C74">
        <w:t>$83.8</w:t>
      </w:r>
      <w:r w:rsidR="00BE4878">
        <w:t> million</w:t>
      </w:r>
      <w:r w:rsidRPr="00610C74" w:rsidR="00610C74">
        <w:t xml:space="preserve"> </w:t>
      </w:r>
      <w:r w:rsidR="00490F6F">
        <w:t>of</w:t>
      </w:r>
      <w:r w:rsidRPr="00610C74" w:rsidR="00610C74">
        <w:t xml:space="preserve"> costs recorded to </w:t>
      </w:r>
      <w:r w:rsidR="00556078">
        <w:t>the</w:t>
      </w:r>
      <w:r w:rsidRPr="00610C74" w:rsidR="00610C74">
        <w:t xml:space="preserve"> Catastrophic Event Memorandum Account (CEMA),</w:t>
      </w:r>
      <w:r w:rsidR="000E3D79">
        <w:t xml:space="preserve"> </w:t>
      </w:r>
      <w:r w:rsidRPr="00610C74" w:rsidR="00610C74">
        <w:t>including $82.3</w:t>
      </w:r>
      <w:r w:rsidR="00BE4878">
        <w:t> million</w:t>
      </w:r>
      <w:r w:rsidRPr="00610C74" w:rsidR="00610C74">
        <w:t xml:space="preserve"> in capital expenditures and $1.5</w:t>
      </w:r>
      <w:r w:rsidR="00BE4878">
        <w:t> million</w:t>
      </w:r>
      <w:r w:rsidRPr="00610C74" w:rsidR="00610C74">
        <w:t xml:space="preserve"> in expense to restore</w:t>
      </w:r>
      <w:r w:rsidR="000E3D79">
        <w:t xml:space="preserve"> </w:t>
      </w:r>
      <w:r w:rsidRPr="00610C74" w:rsidR="00610C74">
        <w:t>service to customers</w:t>
      </w:r>
      <w:r w:rsidR="002A3499">
        <w:t xml:space="preserve">, </w:t>
      </w:r>
      <w:r w:rsidRPr="00610C74" w:rsidR="00610C74">
        <w:t>repair, replace, or restore damaged facilities</w:t>
      </w:r>
      <w:r w:rsidR="002A3499">
        <w:t xml:space="preserve">, </w:t>
      </w:r>
      <w:r w:rsidRPr="00610C74" w:rsidR="00610C74">
        <w:t>and comply with</w:t>
      </w:r>
      <w:r w:rsidR="000E3D79">
        <w:t xml:space="preserve"> </w:t>
      </w:r>
      <w:r w:rsidRPr="00610C74" w:rsidR="00610C74">
        <w:t>government</w:t>
      </w:r>
      <w:r w:rsidR="002A3499">
        <w:t xml:space="preserve"> </w:t>
      </w:r>
      <w:r w:rsidRPr="00610C74" w:rsidR="00610C74">
        <w:t>orders related to the Woolsey Fire.</w:t>
      </w:r>
      <w:r w:rsidR="000E3D79">
        <w:t xml:space="preserve"> Th</w:t>
      </w:r>
      <w:r w:rsidR="002466AC">
        <w:t>e</w:t>
      </w:r>
      <w:r w:rsidR="000E3D79">
        <w:t xml:space="preserve"> </w:t>
      </w:r>
      <w:r w:rsidR="002466AC">
        <w:t xml:space="preserve">adopted </w:t>
      </w:r>
      <w:r w:rsidR="000E3D79">
        <w:t xml:space="preserve">Settlement Agreement </w:t>
      </w:r>
      <w:r w:rsidRPr="00E762A9" w:rsidR="00E762A9">
        <w:t xml:space="preserve">authorizes cost recovery of </w:t>
      </w:r>
      <w:r w:rsidRPr="00E762A9" w:rsidR="00215F4D">
        <w:t>approximately $</w:t>
      </w:r>
      <w:r w:rsidR="00215F4D">
        <w:t>1.9</w:t>
      </w:r>
      <w:r w:rsidR="00F60904">
        <w:t> billion</w:t>
      </w:r>
      <w:r w:rsidRPr="00E762A9" w:rsidR="00215F4D">
        <w:t xml:space="preserve"> </w:t>
      </w:r>
      <w:r w:rsidR="00490F6F">
        <w:t xml:space="preserve">of the </w:t>
      </w:r>
      <w:r w:rsidR="00215F4D">
        <w:t xml:space="preserve">WEMA </w:t>
      </w:r>
      <w:r w:rsidR="00490F6F">
        <w:t xml:space="preserve">recorded costs </w:t>
      </w:r>
      <w:r w:rsidR="00215F4D">
        <w:t>(</w:t>
      </w:r>
      <w:r w:rsidRPr="00E762A9" w:rsidR="00E762A9">
        <w:t>35%</w:t>
      </w:r>
      <w:r w:rsidR="00215F4D">
        <w:t>)</w:t>
      </w:r>
      <w:r w:rsidRPr="00E762A9" w:rsidR="00E762A9">
        <w:t xml:space="preserve"> and </w:t>
      </w:r>
      <w:r w:rsidR="00215F4D">
        <w:t>approximately $71</w:t>
      </w:r>
      <w:r w:rsidR="00BE4878">
        <w:t> million</w:t>
      </w:r>
      <w:r w:rsidR="00215F4D">
        <w:t xml:space="preserve"> </w:t>
      </w:r>
      <w:r w:rsidR="00490F6F">
        <w:t xml:space="preserve">of the </w:t>
      </w:r>
      <w:r w:rsidR="00215F4D">
        <w:t xml:space="preserve">CEMA </w:t>
      </w:r>
      <w:r w:rsidR="00490F6F">
        <w:t xml:space="preserve">recorded costs </w:t>
      </w:r>
      <w:r w:rsidR="00215F4D">
        <w:t>(</w:t>
      </w:r>
      <w:r w:rsidRPr="00E762A9" w:rsidR="00E762A9">
        <w:t>85%</w:t>
      </w:r>
      <w:r w:rsidR="00215F4D">
        <w:t>)</w:t>
      </w:r>
      <w:r w:rsidRPr="00E762A9" w:rsidR="00E762A9">
        <w:t>.</w:t>
      </w:r>
      <w:r w:rsidR="002466AC">
        <w:t xml:space="preserve"> Cost recovery will be primarily sought through a securitization application </w:t>
      </w:r>
      <w:r w:rsidR="00490F6F">
        <w:t xml:space="preserve">to be </w:t>
      </w:r>
      <w:r w:rsidR="002466AC">
        <w:t xml:space="preserve">filed by SCE under </w:t>
      </w:r>
      <w:r w:rsidR="00F4321E">
        <w:t>Section </w:t>
      </w:r>
      <w:r w:rsidR="002466AC">
        <w:t xml:space="preserve">850 </w:t>
      </w:r>
      <w:r w:rsidR="005D5DB1">
        <w:rPr>
          <w:i/>
          <w:iCs/>
        </w:rPr>
        <w:t>et seq.</w:t>
      </w:r>
      <w:r w:rsidR="002466AC">
        <w:t xml:space="preserve"> of the Public Utilities Code.</w:t>
      </w:r>
    </w:p>
    <w:p w:rsidR="0052583F" w:rsidP="0052583F" w:rsidRDefault="0052583F" w14:paraId="189DE146" w14:textId="77777777">
      <w:pPr>
        <w:pStyle w:val="Standard"/>
      </w:pPr>
      <w:r w:rsidRPr="0052583F">
        <w:t>The proceeding is closed.</w:t>
      </w:r>
    </w:p>
    <w:p w:rsidR="00A9022B" w:rsidP="00E94FAC" w:rsidRDefault="002C7FE9" w14:paraId="3529F9C9" w14:textId="48DE6F9B">
      <w:pPr>
        <w:pStyle w:val="Heading1"/>
      </w:pPr>
      <w:bookmarkStart w:name="_Toc8123715" w:id="5"/>
      <w:bookmarkStart w:name="_Toc217632436" w:id="6"/>
      <w:r w:rsidRPr="00BB1539">
        <w:lastRenderedPageBreak/>
        <w:t>Background</w:t>
      </w:r>
      <w:bookmarkEnd w:id="5"/>
      <w:bookmarkEnd w:id="6"/>
    </w:p>
    <w:p w:rsidR="009453BA" w:rsidP="00E326A7" w:rsidRDefault="00A9022B" w14:paraId="0BCA77B8" w14:textId="70C675CD">
      <w:pPr>
        <w:pStyle w:val="Standard"/>
      </w:pPr>
      <w:r w:rsidRPr="00A9022B">
        <w:t xml:space="preserve"> On </w:t>
      </w:r>
      <w:r w:rsidR="009453BA">
        <w:t>October </w:t>
      </w:r>
      <w:r w:rsidRPr="00A9022B">
        <w:t>8, 2024, Southern California Edison Company (SCE) filed Application (A.)</w:t>
      </w:r>
      <w:r w:rsidR="00F60904">
        <w:t> </w:t>
      </w:r>
      <w:r w:rsidRPr="00A9022B">
        <w:t>24</w:t>
      </w:r>
      <w:r w:rsidR="003B5862">
        <w:noBreakHyphen/>
      </w:r>
      <w:r w:rsidRPr="00A9022B">
        <w:t>10</w:t>
      </w:r>
      <w:r w:rsidR="003B5862">
        <w:noBreakHyphen/>
      </w:r>
      <w:r w:rsidRPr="00A9022B">
        <w:t>002</w:t>
      </w:r>
      <w:r w:rsidRPr="00A9022B">
        <w:rPr>
          <w:i/>
          <w:iCs/>
        </w:rPr>
        <w:t>, Application of Southern California Edison Company for Authority to Recover Costs Related to the 2018 Woolsey Fire Recorded in the Wildfire Expense Memorandum Account and Catastrophic Event Memorandum Account</w:t>
      </w:r>
      <w:r w:rsidR="000F7989">
        <w:rPr>
          <w:i/>
          <w:iCs/>
        </w:rPr>
        <w:t xml:space="preserve"> </w:t>
      </w:r>
      <w:r w:rsidRPr="000F7989" w:rsidR="000F7989">
        <w:t>(Application)</w:t>
      </w:r>
      <w:r w:rsidRPr="000F7989">
        <w:t>.</w:t>
      </w:r>
      <w:r w:rsidRPr="000F7989" w:rsidR="001F4D01">
        <w:rPr>
          <w:rStyle w:val="FootnoteReference"/>
        </w:rPr>
        <w:footnoteReference w:id="2"/>
      </w:r>
      <w:r w:rsidR="001F4D01">
        <w:rPr>
          <w:i/>
          <w:iCs/>
          <w:sz w:val="28"/>
          <w:vertAlign w:val="superscript"/>
        </w:rPr>
        <w:t xml:space="preserve"> </w:t>
      </w:r>
      <w:r w:rsidR="00F6021E">
        <w:t xml:space="preserve">SCE also submitted prepared </w:t>
      </w:r>
      <w:r w:rsidR="00AE2BAC">
        <w:t xml:space="preserve">direct </w:t>
      </w:r>
      <w:r w:rsidR="00F6021E">
        <w:t>testimony in support of its request.</w:t>
      </w:r>
      <w:r w:rsidR="001F4D01">
        <w:rPr>
          <w:rStyle w:val="FootnoteReference"/>
        </w:rPr>
        <w:footnoteReference w:id="3"/>
      </w:r>
    </w:p>
    <w:p w:rsidR="00F6021E" w:rsidP="00F6021E" w:rsidRDefault="00A9022B" w14:paraId="1497B896" w14:textId="467F558A">
      <w:pPr>
        <w:pStyle w:val="Standard"/>
      </w:pPr>
      <w:r>
        <w:t>In</w:t>
      </w:r>
      <w:r w:rsidR="000F7989">
        <w:t xml:space="preserve"> this Application</w:t>
      </w:r>
      <w:r>
        <w:t>, SCE request</w:t>
      </w:r>
      <w:r w:rsidR="002466AC">
        <w:t>ed</w:t>
      </w:r>
      <w:r w:rsidRPr="00461DB0" w:rsidR="00461DB0">
        <w:t xml:space="preserve"> authority to recover in rates</w:t>
      </w:r>
      <w:r w:rsidR="002466AC">
        <w:t xml:space="preserve"> certain</w:t>
      </w:r>
      <w:r w:rsidRPr="00461DB0" w:rsidR="00461DB0">
        <w:t xml:space="preserve"> costs related to the</w:t>
      </w:r>
      <w:r w:rsidR="0088311A">
        <w:t xml:space="preserve"> 2018</w:t>
      </w:r>
      <w:r w:rsidRPr="00461DB0" w:rsidR="00461DB0">
        <w:t xml:space="preserve"> Woolsey Fire</w:t>
      </w:r>
      <w:r w:rsidR="002466AC">
        <w:t xml:space="preserve">, </w:t>
      </w:r>
      <w:r w:rsidRPr="00461DB0" w:rsidR="00461DB0">
        <w:t xml:space="preserve">which </w:t>
      </w:r>
      <w:r w:rsidR="0088311A">
        <w:t>SCE</w:t>
      </w:r>
      <w:r w:rsidRPr="00461DB0" w:rsidR="00461DB0">
        <w:t xml:space="preserve"> recorded in </w:t>
      </w:r>
      <w:r w:rsidR="0088311A">
        <w:t xml:space="preserve">two memorandum accounts, the </w:t>
      </w:r>
      <w:r w:rsidRPr="00461DB0" w:rsidR="00461DB0">
        <w:t>Wildfire Expense Memorandum Account (WEMA) and</w:t>
      </w:r>
      <w:r w:rsidR="0088311A">
        <w:t xml:space="preserve"> a </w:t>
      </w:r>
      <w:r w:rsidRPr="00461DB0" w:rsidR="00461DB0">
        <w:t>Catastrophic Event Memorandum Account (CEMA).</w:t>
      </w:r>
      <w:r w:rsidR="000F7989">
        <w:rPr>
          <w:rStyle w:val="FootnoteReference"/>
        </w:rPr>
        <w:footnoteReference w:id="4"/>
      </w:r>
      <w:r w:rsidR="00461DB0">
        <w:t xml:space="preserve"> </w:t>
      </w:r>
      <w:r w:rsidR="002466AC">
        <w:t>SCE</w:t>
      </w:r>
      <w:r w:rsidRPr="00461DB0" w:rsidR="00461DB0">
        <w:t xml:space="preserve"> </w:t>
      </w:r>
      <w:r w:rsidR="00461DB0">
        <w:t>requested</w:t>
      </w:r>
      <w:r w:rsidRPr="00461DB0" w:rsidR="00461DB0">
        <w:t xml:space="preserve"> recovery of approximately $5.4</w:t>
      </w:r>
      <w:r w:rsidR="00F60904">
        <w:t> billion</w:t>
      </w:r>
      <w:r w:rsidRPr="00461DB0" w:rsidR="00461DB0">
        <w:t xml:space="preserve"> in costs incurred</w:t>
      </w:r>
      <w:r w:rsidR="0088311A">
        <w:t>,</w:t>
      </w:r>
      <w:r w:rsidRPr="00461DB0" w:rsidR="00461DB0">
        <w:t xml:space="preserve"> as of August 2024</w:t>
      </w:r>
      <w:r w:rsidR="0088311A">
        <w:t>,</w:t>
      </w:r>
      <w:r w:rsidRPr="00461DB0" w:rsidR="00461DB0">
        <w:t xml:space="preserve"> and recorded in SCE</w:t>
      </w:r>
      <w:r w:rsidR="00BE4878">
        <w:t>’</w:t>
      </w:r>
      <w:r w:rsidRPr="00461DB0" w:rsidR="00461DB0">
        <w:t>s WEMA, which is net of insurance recoveries, as well as approximately $84</w:t>
      </w:r>
      <w:r w:rsidR="00BE4878">
        <w:t> million</w:t>
      </w:r>
      <w:r w:rsidRPr="00461DB0" w:rsidR="00461DB0">
        <w:t xml:space="preserve"> in restoration</w:t>
      </w:r>
      <w:r w:rsidR="003B5862">
        <w:noBreakHyphen/>
      </w:r>
      <w:r w:rsidRPr="00461DB0" w:rsidR="00461DB0">
        <w:t>related capital costs and capital</w:t>
      </w:r>
      <w:r w:rsidR="003B5862">
        <w:noBreakHyphen/>
      </w:r>
      <w:r w:rsidRPr="00461DB0" w:rsidR="00461DB0">
        <w:t>related expenses incurred and recorded in SCE</w:t>
      </w:r>
      <w:r w:rsidR="00BE4878">
        <w:t>’</w:t>
      </w:r>
      <w:r w:rsidRPr="00461DB0" w:rsidR="00461DB0">
        <w:t>s CEMA.</w:t>
      </w:r>
      <w:r w:rsidR="00262DD1">
        <w:rPr>
          <w:rStyle w:val="FootnoteReference"/>
        </w:rPr>
        <w:footnoteReference w:id="5"/>
      </w:r>
    </w:p>
    <w:p w:rsidR="00461DB0" w:rsidP="00F6021E" w:rsidRDefault="006A4502" w14:paraId="0FD1D237" w14:textId="4ACC5FF7">
      <w:pPr>
        <w:pStyle w:val="Standard"/>
      </w:pPr>
      <w:r>
        <w:t xml:space="preserve">On </w:t>
      </w:r>
      <w:r w:rsidR="009453BA">
        <w:t>November </w:t>
      </w:r>
      <w:r>
        <w:t>11, 202</w:t>
      </w:r>
      <w:r w:rsidR="002466AC">
        <w:t>4</w:t>
      </w:r>
      <w:r>
        <w:t xml:space="preserve">, </w:t>
      </w:r>
      <w:r w:rsidRPr="00461DB0">
        <w:t xml:space="preserve">Wild Tree Foundation (Wild Tree) filed </w:t>
      </w:r>
      <w:r>
        <w:t xml:space="preserve">a </w:t>
      </w:r>
      <w:r w:rsidRPr="00461DB0">
        <w:t>protest</w:t>
      </w:r>
      <w:r>
        <w:t xml:space="preserve"> in opposition to the request</w:t>
      </w:r>
      <w:r w:rsidRPr="00461DB0">
        <w:t>.</w:t>
      </w:r>
      <w:r>
        <w:rPr>
          <w:rStyle w:val="FootnoteReference"/>
        </w:rPr>
        <w:footnoteReference w:id="6"/>
      </w:r>
      <w:r>
        <w:t xml:space="preserve"> </w:t>
      </w:r>
      <w:r w:rsidR="00461DB0">
        <w:t>On</w:t>
      </w:r>
      <w:r w:rsidR="00A9022B">
        <w:t xml:space="preserve"> </w:t>
      </w:r>
      <w:r w:rsidR="009453BA">
        <w:t>November </w:t>
      </w:r>
      <w:r w:rsidRPr="00A9022B" w:rsidR="00A9022B">
        <w:t xml:space="preserve">12, 2024, the Public Advocates Office at </w:t>
      </w:r>
      <w:r w:rsidRPr="00A9022B" w:rsidR="00A9022B">
        <w:lastRenderedPageBreak/>
        <w:t>the California Public Utilities Commission (</w:t>
      </w:r>
      <w:r w:rsidR="003708E7">
        <w:t>Cal Advoc</w:t>
      </w:r>
      <w:r w:rsidRPr="00A9022B" w:rsidR="00A9022B">
        <w:t>ates)</w:t>
      </w:r>
      <w:r>
        <w:t xml:space="preserve"> and </w:t>
      </w:r>
      <w:r w:rsidRPr="00461DB0" w:rsidR="00461DB0">
        <w:t>The Utility Reform Network (TURN)</w:t>
      </w:r>
      <w:r>
        <w:t xml:space="preserve"> </w:t>
      </w:r>
      <w:r w:rsidRPr="00461DB0">
        <w:t>filed protests</w:t>
      </w:r>
      <w:r>
        <w:t xml:space="preserve"> in opposition to the request</w:t>
      </w:r>
      <w:r w:rsidRPr="00461DB0">
        <w:t>.</w:t>
      </w:r>
      <w:r>
        <w:rPr>
          <w:rStyle w:val="FootnoteReference"/>
        </w:rPr>
        <w:footnoteReference w:id="7"/>
      </w:r>
      <w:r w:rsidRPr="00461DB0">
        <w:t xml:space="preserve"> </w:t>
      </w:r>
      <w:r w:rsidRPr="00C47D19" w:rsidR="00C47D19">
        <w:t xml:space="preserve">On </w:t>
      </w:r>
      <w:r w:rsidR="009453BA">
        <w:t>November </w:t>
      </w:r>
      <w:r w:rsidRPr="00C47D19" w:rsidR="00C47D19">
        <w:t>21, 2024, SCE filed a response to these protests.</w:t>
      </w:r>
      <w:r w:rsidR="00207C4E">
        <w:rPr>
          <w:rStyle w:val="FootnoteReference"/>
        </w:rPr>
        <w:footnoteReference w:id="8"/>
      </w:r>
    </w:p>
    <w:p w:rsidR="00F6021E" w:rsidP="0045215C" w:rsidRDefault="00C47D19" w14:paraId="6FD4A722" w14:textId="352DE0C3">
      <w:pPr>
        <w:pStyle w:val="Standard"/>
      </w:pPr>
      <w:r w:rsidRPr="00C47D19">
        <w:t xml:space="preserve">On </w:t>
      </w:r>
      <w:r w:rsidR="009453BA">
        <w:t>December </w:t>
      </w:r>
      <w:r w:rsidRPr="00C47D19">
        <w:t xml:space="preserve">3, 2024, </w:t>
      </w:r>
      <w:r w:rsidRPr="00461DB0" w:rsidR="00461DB0">
        <w:t>S</w:t>
      </w:r>
      <w:r w:rsidR="00461DB0">
        <w:t xml:space="preserve">mall </w:t>
      </w:r>
      <w:r w:rsidRPr="00461DB0" w:rsidR="00461DB0">
        <w:t>B</w:t>
      </w:r>
      <w:r w:rsidR="00461DB0">
        <w:t xml:space="preserve">usiness </w:t>
      </w:r>
      <w:r w:rsidRPr="00461DB0" w:rsidR="00461DB0">
        <w:t>U</w:t>
      </w:r>
      <w:r w:rsidR="00461DB0">
        <w:t xml:space="preserve">tility </w:t>
      </w:r>
      <w:r w:rsidRPr="00461DB0" w:rsidR="00461DB0">
        <w:t>A</w:t>
      </w:r>
      <w:r w:rsidR="00461DB0">
        <w:t>dvocates</w:t>
      </w:r>
      <w:r w:rsidR="00207C4E">
        <w:t xml:space="preserve"> (SBUA)</w:t>
      </w:r>
      <w:r w:rsidRPr="00461DB0" w:rsidR="00461DB0">
        <w:t xml:space="preserve"> filed a motion for party status, which was granted by </w:t>
      </w:r>
      <w:r w:rsidR="00F07235">
        <w:t xml:space="preserve">an </w:t>
      </w:r>
      <w:r w:rsidRPr="00461DB0" w:rsidR="00461DB0">
        <w:t xml:space="preserve">Administrative Law Judge (ALJ) </w:t>
      </w:r>
      <w:r w:rsidR="00F07235">
        <w:t>Ruling on</w:t>
      </w:r>
      <w:r w:rsidR="00461DB0">
        <w:t xml:space="preserve"> </w:t>
      </w:r>
      <w:r w:rsidR="009453BA">
        <w:t>December </w:t>
      </w:r>
      <w:r w:rsidRPr="00461DB0" w:rsidR="00461DB0">
        <w:t>4, 2024.</w:t>
      </w:r>
      <w:r w:rsidR="00207C4E">
        <w:rPr>
          <w:rStyle w:val="FootnoteReference"/>
        </w:rPr>
        <w:footnoteReference w:id="9"/>
      </w:r>
      <w:r w:rsidRPr="00461DB0" w:rsidR="00461DB0">
        <w:t xml:space="preserve"> </w:t>
      </w:r>
      <w:r w:rsidR="002466AC">
        <w:t xml:space="preserve">According to the motion, </w:t>
      </w:r>
      <w:r w:rsidR="00BE4878">
        <w:t>“</w:t>
      </w:r>
      <w:r w:rsidRPr="00E43F3F" w:rsidR="00E43F3F">
        <w:t>SBUA</w:t>
      </w:r>
      <w:r w:rsidR="00BE4878">
        <w:t>’</w:t>
      </w:r>
      <w:r w:rsidRPr="00E43F3F" w:rsidR="00E43F3F">
        <w:t>s mission is to represent the utility</w:t>
      </w:r>
      <w:r w:rsidR="003B5862">
        <w:noBreakHyphen/>
      </w:r>
      <w:r w:rsidRPr="00E43F3F" w:rsidR="00E43F3F">
        <w:t>related concerns of the small business utility customers</w:t>
      </w:r>
      <w:r w:rsidR="00BE4878">
        <w:t>”</w:t>
      </w:r>
      <w:r w:rsidR="00E43F3F">
        <w:t xml:space="preserve"> and claims that </w:t>
      </w:r>
      <w:r w:rsidR="00BE4878">
        <w:t>“</w:t>
      </w:r>
      <w:r w:rsidR="00E43F3F">
        <w:t>[t]</w:t>
      </w:r>
      <w:r w:rsidRPr="00E43F3F" w:rsidR="00E43F3F">
        <w:t>he interests of this class often diverge from residential ratepayers and larger commercial customers on a variety of utility matters, including the development of new programs, revenue expenditures, rates and cost allocations.</w:t>
      </w:r>
      <w:r w:rsidR="00BE4878">
        <w:t>”</w:t>
      </w:r>
      <w:r w:rsidR="00E43F3F">
        <w:rPr>
          <w:rStyle w:val="FootnoteReference"/>
        </w:rPr>
        <w:footnoteReference w:id="10"/>
      </w:r>
    </w:p>
    <w:p w:rsidR="004C4857" w:rsidP="00E326A7" w:rsidRDefault="004C4857" w14:paraId="71D4BEB7" w14:textId="5755E57B">
      <w:pPr>
        <w:pStyle w:val="Standard"/>
      </w:pPr>
      <w:r>
        <w:t xml:space="preserve">On </w:t>
      </w:r>
      <w:r w:rsidR="009453BA">
        <w:t>December </w:t>
      </w:r>
      <w:r>
        <w:t xml:space="preserve">16, 2024, SCE </w:t>
      </w:r>
      <w:r w:rsidRPr="005A3A4D">
        <w:t xml:space="preserve">filed the Proof of </w:t>
      </w:r>
      <w:r w:rsidR="00CD0DC1">
        <w:t>Rule </w:t>
      </w:r>
      <w:r w:rsidRPr="005A3A4D">
        <w:t>3.2 Compliance</w:t>
      </w:r>
      <w:r w:rsidRPr="005A3A4D">
        <w:rPr>
          <w:rFonts w:ascii="TimesNewRomanPSMT" w:hAnsi="TimesNewRomanPSMT" w:cs="TimesNewRomanPSMT"/>
          <w:sz w:val="24"/>
          <w:szCs w:val="24"/>
        </w:rPr>
        <w:t xml:space="preserve"> </w:t>
      </w:r>
      <w:r w:rsidRPr="005A3A4D">
        <w:t>with the notice requirements of Rules</w:t>
      </w:r>
      <w:r w:rsidR="003708E7">
        <w:t> </w:t>
      </w:r>
      <w:r w:rsidRPr="005A3A4D">
        <w:t>3.2(b), (c)</w:t>
      </w:r>
      <w:r w:rsidR="003708E7">
        <w:t>,</w:t>
      </w:r>
      <w:r w:rsidRPr="005A3A4D">
        <w:t xml:space="preserve"> and (d)</w:t>
      </w:r>
      <w:r w:rsidR="00C97CDA">
        <w:t xml:space="preserve"> of the </w:t>
      </w:r>
      <w:r w:rsidR="003708E7">
        <w:t xml:space="preserve">California Public Utilities </w:t>
      </w:r>
      <w:r w:rsidR="00C97CDA">
        <w:t>Commission</w:t>
      </w:r>
      <w:r w:rsidR="00BE4878">
        <w:t>’</w:t>
      </w:r>
      <w:r w:rsidR="00C97CDA">
        <w:t xml:space="preserve">s </w:t>
      </w:r>
      <w:r w:rsidR="003708E7">
        <w:t xml:space="preserve">(Commission) </w:t>
      </w:r>
      <w:r w:rsidR="00C97CDA">
        <w:t>Rules of Practice and Procedure (Rules).</w:t>
      </w:r>
    </w:p>
    <w:p w:rsidR="00D27E58" w:rsidP="00F6021E" w:rsidRDefault="00C47D19" w14:paraId="7025D34B" w14:textId="72A1507C">
      <w:pPr>
        <w:pStyle w:val="Standard"/>
      </w:pPr>
      <w:r w:rsidRPr="00C47D19">
        <w:t xml:space="preserve">A prehearing conference was held on </w:t>
      </w:r>
      <w:r w:rsidR="009453BA">
        <w:t>December </w:t>
      </w:r>
      <w:r w:rsidRPr="00C47D19">
        <w:t>20, 2024 to identify disputed issues of law and fact, determine the need for evidentiary hearings, set the schedule for resolving the</w:t>
      </w:r>
      <w:r w:rsidR="002466AC">
        <w:t xml:space="preserve"> proceeding</w:t>
      </w:r>
      <w:r w:rsidRPr="00C47D19">
        <w:t xml:space="preserve">, and address other matters as necessary. </w:t>
      </w:r>
      <w:r w:rsidRPr="00461DB0">
        <w:t xml:space="preserve">SCE, </w:t>
      </w:r>
      <w:r w:rsidR="003708E7">
        <w:t>Cal Advoc</w:t>
      </w:r>
      <w:r w:rsidRPr="00461DB0">
        <w:t>ates, TURN, and SBUA</w:t>
      </w:r>
      <w:r w:rsidRPr="00C47D19">
        <w:t xml:space="preserve"> </w:t>
      </w:r>
      <w:r w:rsidRPr="00461DB0">
        <w:t>attended</w:t>
      </w:r>
      <w:r>
        <w:t>.</w:t>
      </w:r>
    </w:p>
    <w:p w:rsidR="003D2187" w:rsidP="00F6021E" w:rsidRDefault="003D2187" w14:paraId="0FB985BA" w14:textId="421742E6">
      <w:pPr>
        <w:pStyle w:val="Standard"/>
      </w:pPr>
      <w:r w:rsidRPr="003D2187">
        <w:lastRenderedPageBreak/>
        <w:t xml:space="preserve">On </w:t>
      </w:r>
      <w:r w:rsidR="009453BA">
        <w:t>January </w:t>
      </w:r>
      <w:r w:rsidRPr="003D2187">
        <w:t xml:space="preserve">30, 2025, </w:t>
      </w:r>
      <w:r w:rsidR="003708E7">
        <w:t>Cal Advoc</w:t>
      </w:r>
      <w:r w:rsidRPr="003D2187">
        <w:t>ates and TURN filed a joint motion to exclude cost</w:t>
      </w:r>
      <w:r w:rsidR="003B5862">
        <w:noBreakHyphen/>
      </w:r>
      <w:r w:rsidRPr="003D2187">
        <w:t>of</w:t>
      </w:r>
      <w:r w:rsidR="003B5862">
        <w:noBreakHyphen/>
      </w:r>
      <w:r w:rsidRPr="003D2187">
        <w:t>capital issues from the proceeding.</w:t>
      </w:r>
      <w:r w:rsidR="009E625D">
        <w:rPr>
          <w:rStyle w:val="FootnoteReference"/>
        </w:rPr>
        <w:footnoteReference w:id="11"/>
      </w:r>
      <w:r w:rsidR="00D730F3">
        <w:t xml:space="preserve"> On </w:t>
      </w:r>
      <w:r w:rsidR="009453BA">
        <w:t>February </w:t>
      </w:r>
      <w:r w:rsidR="00D730F3">
        <w:t>7, 2025, SCE filed a response in opposition to the motion.</w:t>
      </w:r>
      <w:r w:rsidR="003E3356">
        <w:rPr>
          <w:rStyle w:val="FootnoteReference"/>
        </w:rPr>
        <w:footnoteReference w:id="12"/>
      </w:r>
      <w:r w:rsidR="00D730F3">
        <w:t xml:space="preserve"> On </w:t>
      </w:r>
      <w:r w:rsidR="009453BA">
        <w:t>February </w:t>
      </w:r>
      <w:r w:rsidR="00D730F3">
        <w:t xml:space="preserve">18, 2025, </w:t>
      </w:r>
      <w:r w:rsidR="003708E7">
        <w:t>Cal Advoc</w:t>
      </w:r>
      <w:r w:rsidRPr="003D2187" w:rsidR="00D730F3">
        <w:t>ates and TURN</w:t>
      </w:r>
      <w:r w:rsidR="00D730F3">
        <w:t xml:space="preserve"> filed a joint reply.</w:t>
      </w:r>
      <w:r w:rsidR="003E3356">
        <w:rPr>
          <w:rStyle w:val="FootnoteReference"/>
        </w:rPr>
        <w:footnoteReference w:id="13"/>
      </w:r>
    </w:p>
    <w:p w:rsidR="009453BA" w:rsidP="00F6021E" w:rsidRDefault="003D2187" w14:paraId="7ADC56D5" w14:textId="5654A70F">
      <w:pPr>
        <w:pStyle w:val="Standard"/>
      </w:pPr>
      <w:r w:rsidRPr="003D2187">
        <w:t xml:space="preserve">On </w:t>
      </w:r>
      <w:r w:rsidR="009453BA">
        <w:t>March </w:t>
      </w:r>
      <w:r w:rsidRPr="003D2187">
        <w:t xml:space="preserve">10, 2025, </w:t>
      </w:r>
      <w:r w:rsidR="002466AC">
        <w:t>a</w:t>
      </w:r>
      <w:r w:rsidRPr="003D2187">
        <w:t>ssigned Commissioner</w:t>
      </w:r>
      <w:r w:rsidR="009E625D">
        <w:t xml:space="preserve"> </w:t>
      </w:r>
      <w:r w:rsidRPr="003D2187">
        <w:t>Matthew</w:t>
      </w:r>
      <w:r w:rsidRPr="00B70356" w:rsidR="00B70356">
        <w:rPr>
          <w:rFonts w:ascii="Times New Roman" w:hAnsi="Times New Roman" w:cs="Times New Roman"/>
          <w:color w:val="000000"/>
          <w:sz w:val="23"/>
          <w:szCs w:val="23"/>
        </w:rPr>
        <w:t xml:space="preserve"> </w:t>
      </w:r>
      <w:r w:rsidRPr="00B70356" w:rsidR="00B70356">
        <w:t>Baker</w:t>
      </w:r>
      <w:r w:rsidR="009E625D">
        <w:t xml:space="preserve"> </w:t>
      </w:r>
      <w:r w:rsidRPr="00B70356" w:rsidR="00B70356">
        <w:t xml:space="preserve">issued a </w:t>
      </w:r>
      <w:r w:rsidRPr="00207C4E" w:rsidR="00207C4E">
        <w:t>Scoping Memo and Ruling</w:t>
      </w:r>
      <w:r w:rsidR="00207C4E">
        <w:t xml:space="preserve"> </w:t>
      </w:r>
      <w:r w:rsidR="00D22884">
        <w:t xml:space="preserve">to </w:t>
      </w:r>
      <w:r w:rsidR="00207C4E">
        <w:t>set forth the issues to be considered</w:t>
      </w:r>
      <w:r w:rsidR="00D22884">
        <w:t xml:space="preserve"> and </w:t>
      </w:r>
      <w:r w:rsidR="00207C4E">
        <w:t xml:space="preserve">a </w:t>
      </w:r>
      <w:r w:rsidRPr="00B70356" w:rsidR="00B70356">
        <w:t>schedule for the proceeding</w:t>
      </w:r>
      <w:r w:rsidR="00AE2BAC">
        <w:t>.</w:t>
      </w:r>
      <w:r w:rsidR="00AE2BAC">
        <w:rPr>
          <w:rStyle w:val="FootnoteReference"/>
        </w:rPr>
        <w:footnoteReference w:id="14"/>
      </w:r>
      <w:r w:rsidR="00AE2BAC">
        <w:t xml:space="preserve"> The assigned Commissioner also </w:t>
      </w:r>
      <w:r w:rsidR="00D22884">
        <w:t>designate</w:t>
      </w:r>
      <w:r w:rsidR="00AE2BAC">
        <w:t>d</w:t>
      </w:r>
      <w:r w:rsidR="00D22884">
        <w:t xml:space="preserve"> the ALJ as the presiding officer</w:t>
      </w:r>
      <w:r w:rsidR="00AE2BAC">
        <w:t xml:space="preserve"> </w:t>
      </w:r>
      <w:r w:rsidR="00207C4E">
        <w:t xml:space="preserve">and </w:t>
      </w:r>
      <w:r w:rsidR="00E326A7">
        <w:t xml:space="preserve">denied </w:t>
      </w:r>
      <w:r w:rsidR="00F6021E">
        <w:t>the motion</w:t>
      </w:r>
      <w:r w:rsidR="00E326A7">
        <w:t xml:space="preserve"> to exclude</w:t>
      </w:r>
      <w:r w:rsidR="00F07235">
        <w:t xml:space="preserve"> the cost</w:t>
      </w:r>
      <w:r w:rsidR="003B5862">
        <w:noBreakHyphen/>
      </w:r>
      <w:r w:rsidR="00F07235">
        <w:t>of</w:t>
      </w:r>
      <w:r w:rsidR="003B5862">
        <w:noBreakHyphen/>
      </w:r>
      <w:r w:rsidR="00F07235">
        <w:t>capital</w:t>
      </w:r>
      <w:r w:rsidR="00E326A7">
        <w:t xml:space="preserve"> evidence</w:t>
      </w:r>
      <w:r w:rsidR="009E625D">
        <w:t xml:space="preserve"> filed by </w:t>
      </w:r>
      <w:r w:rsidR="003708E7">
        <w:t>Cal Advoc</w:t>
      </w:r>
      <w:r w:rsidRPr="009E625D" w:rsidR="009E625D">
        <w:t>ates and TURN</w:t>
      </w:r>
      <w:r w:rsidR="00262B2D">
        <w:t xml:space="preserve"> </w:t>
      </w:r>
      <w:r w:rsidR="00F07235">
        <w:t xml:space="preserve">to provide </w:t>
      </w:r>
      <w:r w:rsidR="009E625D">
        <w:t xml:space="preserve">SCE </w:t>
      </w:r>
      <w:r w:rsidR="00262B2D">
        <w:t>w</w:t>
      </w:r>
      <w:r w:rsidR="00F07235">
        <w:t>ith an</w:t>
      </w:r>
      <w:r w:rsidR="00262B2D">
        <w:t xml:space="preserve"> </w:t>
      </w:r>
      <w:r w:rsidR="00E326A7">
        <w:t xml:space="preserve">opportunity to establish </w:t>
      </w:r>
      <w:r w:rsidR="00262B2D">
        <w:t xml:space="preserve">the </w:t>
      </w:r>
      <w:r w:rsidR="00E326A7">
        <w:t>relevance</w:t>
      </w:r>
      <w:r w:rsidR="00262B2D">
        <w:t xml:space="preserve"> </w:t>
      </w:r>
      <w:r w:rsidR="380FE4BA">
        <w:t>of</w:t>
      </w:r>
      <w:r w:rsidR="00F07235">
        <w:t xml:space="preserve"> </w:t>
      </w:r>
      <w:r w:rsidR="00262B2D">
        <w:t>the evidence</w:t>
      </w:r>
      <w:r w:rsidR="00E326A7">
        <w:t xml:space="preserve"> at hearings, at which time </w:t>
      </w:r>
      <w:r w:rsidR="00F07235">
        <w:t xml:space="preserve">a </w:t>
      </w:r>
      <w:r w:rsidR="00E326A7">
        <w:t>motion</w:t>
      </w:r>
      <w:r w:rsidR="00F07235">
        <w:t xml:space="preserve"> to exclude could</w:t>
      </w:r>
      <w:r w:rsidR="00E326A7">
        <w:t xml:space="preserve"> be reconsidered.</w:t>
      </w:r>
      <w:r w:rsidR="00207C4E">
        <w:rPr>
          <w:rStyle w:val="FootnoteReference"/>
        </w:rPr>
        <w:footnoteReference w:id="15"/>
      </w:r>
    </w:p>
    <w:p w:rsidR="00B70356" w:rsidP="00F6021E" w:rsidRDefault="00B70356" w14:paraId="53923D25" w14:textId="1B9EC33F">
      <w:pPr>
        <w:pStyle w:val="Standard"/>
      </w:pPr>
      <w:r w:rsidRPr="00B70356">
        <w:t xml:space="preserve">On </w:t>
      </w:r>
      <w:r w:rsidR="009453BA">
        <w:t>April </w:t>
      </w:r>
      <w:r w:rsidRPr="00B70356">
        <w:t xml:space="preserve">25, 2025, </w:t>
      </w:r>
      <w:r w:rsidRPr="00F01AC1" w:rsidR="00872D48">
        <w:t>Energy Producers and Users Coalition</w:t>
      </w:r>
      <w:r w:rsidRPr="00B70356" w:rsidR="00872D48">
        <w:t xml:space="preserve"> </w:t>
      </w:r>
      <w:r w:rsidR="00872D48">
        <w:t>(</w:t>
      </w:r>
      <w:r w:rsidRPr="00B70356">
        <w:t>EPUC</w:t>
      </w:r>
      <w:r w:rsidR="00872D48">
        <w:t>)</w:t>
      </w:r>
      <w:r w:rsidRPr="00B70356">
        <w:t xml:space="preserve"> filed a motion for party status, which was granted </w:t>
      </w:r>
      <w:r w:rsidR="00021B70">
        <w:t xml:space="preserve">by </w:t>
      </w:r>
      <w:r w:rsidRPr="00B70356">
        <w:t>ALJ</w:t>
      </w:r>
      <w:r w:rsidR="00021B70">
        <w:t xml:space="preserve"> </w:t>
      </w:r>
      <w:r w:rsidRPr="00B70356">
        <w:t xml:space="preserve">Ruling </w:t>
      </w:r>
      <w:r w:rsidR="00021B70">
        <w:t>on</w:t>
      </w:r>
      <w:r w:rsidRPr="00B70356">
        <w:t xml:space="preserve"> </w:t>
      </w:r>
      <w:r w:rsidR="009453BA">
        <w:t>April </w:t>
      </w:r>
      <w:r w:rsidRPr="00B70356">
        <w:t>29, 2025.</w:t>
      </w:r>
      <w:r w:rsidR="00872D48">
        <w:rPr>
          <w:rStyle w:val="FootnoteReference"/>
        </w:rPr>
        <w:footnoteReference w:id="16"/>
      </w:r>
    </w:p>
    <w:p w:rsidR="009453BA" w:rsidP="00D730F3" w:rsidRDefault="009447E2" w14:paraId="723006BC" w14:textId="1E64E48A">
      <w:pPr>
        <w:pStyle w:val="Standard"/>
      </w:pPr>
      <w:r>
        <w:t xml:space="preserve">On </w:t>
      </w:r>
      <w:r w:rsidR="009453BA">
        <w:t>June </w:t>
      </w:r>
      <w:r>
        <w:t xml:space="preserve">3, 2025, </w:t>
      </w:r>
      <w:r w:rsidR="003708E7">
        <w:t>Cal Advoc</w:t>
      </w:r>
      <w:r>
        <w:t>ates and EPUC submitted prepared direct testimony.</w:t>
      </w:r>
    </w:p>
    <w:p w:rsidR="009453BA" w:rsidP="00014C6E" w:rsidRDefault="004C4857" w14:paraId="2A38C3D6" w14:textId="119873B1">
      <w:pPr>
        <w:pStyle w:val="Standard"/>
      </w:pPr>
      <w:r w:rsidRPr="004C4857">
        <w:lastRenderedPageBreak/>
        <w:t xml:space="preserve">On </w:t>
      </w:r>
      <w:r w:rsidR="009453BA">
        <w:t>July </w:t>
      </w:r>
      <w:r>
        <w:t>15, 20</w:t>
      </w:r>
      <w:r w:rsidR="00B74BB1">
        <w:t>2</w:t>
      </w:r>
      <w:r>
        <w:t>5</w:t>
      </w:r>
      <w:r w:rsidRPr="004C4857">
        <w:t xml:space="preserve">, SCE submitted </w:t>
      </w:r>
      <w:r w:rsidR="00B74BB1">
        <w:t xml:space="preserve">prepared </w:t>
      </w:r>
      <w:r w:rsidRPr="004C4857">
        <w:t>rebuttal testimony and provided an updated WEMA balance</w:t>
      </w:r>
      <w:r w:rsidR="00B74BB1">
        <w:t xml:space="preserve">, </w:t>
      </w:r>
      <w:r w:rsidRPr="004C4857" w:rsidR="00B74BB1">
        <w:t xml:space="preserve">as of </w:t>
      </w:r>
      <w:r w:rsidR="009453BA">
        <w:t>May </w:t>
      </w:r>
      <w:r w:rsidRPr="004C4857" w:rsidR="00B74BB1">
        <w:t>31, 2025</w:t>
      </w:r>
      <w:r w:rsidR="00B74BB1">
        <w:t xml:space="preserve">, </w:t>
      </w:r>
      <w:r w:rsidRPr="004C4857">
        <w:t>related to the Woolsey Fire</w:t>
      </w:r>
      <w:r w:rsidR="00B74BB1">
        <w:t xml:space="preserve"> </w:t>
      </w:r>
      <w:r w:rsidRPr="004C4857">
        <w:t>reflecting an additional approximately $206</w:t>
      </w:r>
      <w:r w:rsidR="00BE4878">
        <w:t> million</w:t>
      </w:r>
      <w:r w:rsidRPr="004C4857">
        <w:t xml:space="preserve"> in WEMA</w:t>
      </w:r>
      <w:r w:rsidR="003B5862">
        <w:noBreakHyphen/>
      </w:r>
      <w:r w:rsidRPr="004C4857">
        <w:t xml:space="preserve">eligible costs incurred between </w:t>
      </w:r>
      <w:r w:rsidR="009453BA">
        <w:t>August </w:t>
      </w:r>
      <w:r w:rsidRPr="004C4857">
        <w:t xml:space="preserve">31, 2024 and </w:t>
      </w:r>
      <w:r w:rsidR="009453BA">
        <w:t>May </w:t>
      </w:r>
      <w:r w:rsidRPr="004C4857">
        <w:t>31, 2025.</w:t>
      </w:r>
      <w:r w:rsidRPr="004C4857">
        <w:rPr>
          <w:vertAlign w:val="superscript"/>
        </w:rPr>
        <w:footnoteReference w:id="17"/>
      </w:r>
      <w:r w:rsidRPr="004C4857">
        <w:t xml:space="preserve"> </w:t>
      </w:r>
      <w:r w:rsidR="000E2CAA">
        <w:t xml:space="preserve">EPUC and SBUA also submitted </w:t>
      </w:r>
      <w:r w:rsidR="00B74BB1">
        <w:t xml:space="preserve">prepared </w:t>
      </w:r>
      <w:r w:rsidR="000E2CAA">
        <w:t>rebuttal testimony.</w:t>
      </w:r>
    </w:p>
    <w:p w:rsidR="009453BA" w:rsidP="00014C6E" w:rsidRDefault="00F6021E" w14:paraId="2F99CE6A" w14:textId="77777777">
      <w:pPr>
        <w:pStyle w:val="Standard"/>
      </w:pPr>
      <w:r>
        <w:t>During the proceeding, t</w:t>
      </w:r>
      <w:r w:rsidRPr="006A7AA2" w:rsidR="006A7AA2">
        <w:t>he parties met and conferred, as required under the Commission</w:t>
      </w:r>
      <w:r w:rsidR="00BE4878">
        <w:t>’</w:t>
      </w:r>
      <w:r w:rsidRPr="006A7AA2" w:rsidR="006A7AA2">
        <w:t>s Rules</w:t>
      </w:r>
      <w:r w:rsidR="00B74BB1">
        <w:t xml:space="preserve"> of Practice and Procedure</w:t>
      </w:r>
      <w:r w:rsidRPr="006A7AA2" w:rsidR="006A7AA2">
        <w:t xml:space="preserve">, and </w:t>
      </w:r>
      <w:r w:rsidR="00B74BB1">
        <w:t xml:space="preserve">also </w:t>
      </w:r>
      <w:r w:rsidRPr="006A7AA2" w:rsidR="006A7AA2">
        <w:t>engaged in settlement discussions.</w:t>
      </w:r>
    </w:p>
    <w:p w:rsidR="009453BA" w:rsidP="00014C6E" w:rsidRDefault="00021B70" w14:paraId="58060999" w14:textId="75B8E11E">
      <w:pPr>
        <w:pStyle w:val="Standard"/>
      </w:pPr>
      <w:r w:rsidRPr="00021B70">
        <w:t xml:space="preserve">On </w:t>
      </w:r>
      <w:r w:rsidR="009453BA">
        <w:t>August </w:t>
      </w:r>
      <w:r w:rsidRPr="00021B70">
        <w:t>11, 2025, the ALJ issued</w:t>
      </w:r>
      <w:r>
        <w:t xml:space="preserve"> a</w:t>
      </w:r>
      <w:r w:rsidRPr="00021B70">
        <w:t xml:space="preserve"> </w:t>
      </w:r>
      <w:r>
        <w:t>r</w:t>
      </w:r>
      <w:r w:rsidRPr="00021B70">
        <w:t xml:space="preserve">uling granting an email motion by SCE and </w:t>
      </w:r>
      <w:r w:rsidR="003708E7">
        <w:t>Cal Advoc</w:t>
      </w:r>
      <w:r w:rsidRPr="00021B70">
        <w:t>ates to suspend</w:t>
      </w:r>
      <w:r w:rsidR="00207C4E">
        <w:t xml:space="preserve"> several procedural deadlines, including</w:t>
      </w:r>
      <w:r w:rsidRPr="00021B70">
        <w:t xml:space="preserve"> the </w:t>
      </w:r>
      <w:r w:rsidR="009453BA">
        <w:t>August </w:t>
      </w:r>
      <w:r w:rsidRPr="00021B70">
        <w:t xml:space="preserve">12, 2025 deadline for parties to file motions for settlement, the </w:t>
      </w:r>
      <w:r w:rsidR="009453BA">
        <w:t>August </w:t>
      </w:r>
      <w:r w:rsidRPr="00021B70">
        <w:t xml:space="preserve">26, 2025 </w:t>
      </w:r>
      <w:r w:rsidR="00B74BB1">
        <w:t>s</w:t>
      </w:r>
      <w:r w:rsidRPr="00021B70">
        <w:t xml:space="preserve">tatus </w:t>
      </w:r>
      <w:r w:rsidR="00B74BB1">
        <w:t>c</w:t>
      </w:r>
      <w:r w:rsidRPr="00021B70">
        <w:t>onference</w:t>
      </w:r>
      <w:r w:rsidR="00207C4E">
        <w:t>,</w:t>
      </w:r>
      <w:r w:rsidRPr="00021B70">
        <w:t xml:space="preserve"> and the </w:t>
      </w:r>
      <w:r w:rsidR="009453BA">
        <w:t>September </w:t>
      </w:r>
      <w:r w:rsidRPr="00021B70">
        <w:t>8</w:t>
      </w:r>
      <w:r w:rsidR="003B5862">
        <w:noBreakHyphen/>
      </w:r>
      <w:r w:rsidRPr="00021B70">
        <w:t>12, 2025 evidentiary hearings.</w:t>
      </w:r>
    </w:p>
    <w:p w:rsidR="00014C6E" w:rsidP="00014C6E" w:rsidRDefault="00021B70" w14:paraId="0640D20C" w14:textId="2F79D495">
      <w:pPr>
        <w:pStyle w:val="Standard"/>
      </w:pPr>
      <w:r>
        <w:t xml:space="preserve">On </w:t>
      </w:r>
      <w:r w:rsidR="009453BA">
        <w:t>August </w:t>
      </w:r>
      <w:r>
        <w:t>27</w:t>
      </w:r>
      <w:r w:rsidR="008F7C38">
        <w:t>, 2025</w:t>
      </w:r>
      <w:r>
        <w:t xml:space="preserve"> and </w:t>
      </w:r>
      <w:r w:rsidR="009453BA">
        <w:t>September </w:t>
      </w:r>
      <w:r>
        <w:t>9, 2025, the assigned ALJ issued ruling</w:t>
      </w:r>
      <w:r w:rsidR="00B74BB1">
        <w:t>s</w:t>
      </w:r>
      <w:r>
        <w:t xml:space="preserve"> further extending SCE</w:t>
      </w:r>
      <w:r w:rsidR="00BE4878">
        <w:t>’</w:t>
      </w:r>
      <w:r w:rsidR="00B74BB1">
        <w:t>s</w:t>
      </w:r>
      <w:r>
        <w:t xml:space="preserve"> and </w:t>
      </w:r>
      <w:r w:rsidR="003708E7">
        <w:t>Cal Advoc</w:t>
      </w:r>
      <w:r>
        <w:t>ates</w:t>
      </w:r>
      <w:r w:rsidR="00BE4878">
        <w:t>’</w:t>
      </w:r>
      <w:r>
        <w:t xml:space="preserve"> request to suspend the procedural schedule</w:t>
      </w:r>
      <w:r w:rsidR="00207C4E">
        <w:t xml:space="preserve"> in response to the requests by </w:t>
      </w:r>
      <w:r w:rsidR="00B74BB1">
        <w:t xml:space="preserve">the </w:t>
      </w:r>
      <w:r w:rsidR="00207C4E">
        <w:t>parties.</w:t>
      </w:r>
    </w:p>
    <w:p w:rsidR="00E84E98" w:rsidP="00E84E98" w:rsidRDefault="00F01AC1" w14:paraId="3791EDDC" w14:textId="3ABE0800">
      <w:pPr>
        <w:pStyle w:val="Standard"/>
      </w:pPr>
      <w:r>
        <w:t xml:space="preserve">On </w:t>
      </w:r>
      <w:r w:rsidR="009453BA">
        <w:t>September </w:t>
      </w:r>
      <w:r>
        <w:t>19, 2025, p</w:t>
      </w:r>
      <w:r w:rsidRPr="00F01AC1">
        <w:t xml:space="preserve">ursuant to </w:t>
      </w:r>
      <w:r w:rsidR="00CD0DC1">
        <w:t>Rule </w:t>
      </w:r>
      <w:r w:rsidRPr="00F01AC1">
        <w:t xml:space="preserve">12 of the </w:t>
      </w:r>
      <w:r w:rsidR="008F7C38">
        <w:t>Commission</w:t>
      </w:r>
      <w:r w:rsidR="00BE4878">
        <w:t>’</w:t>
      </w:r>
      <w:r w:rsidR="008F7C38">
        <w:t xml:space="preserve">s </w:t>
      </w:r>
      <w:r w:rsidRPr="00F01AC1">
        <w:t>Rules</w:t>
      </w:r>
      <w:r w:rsidR="00B74BB1">
        <w:t xml:space="preserve"> of Practice and Procedure</w:t>
      </w:r>
      <w:r w:rsidRPr="00F01AC1">
        <w:t xml:space="preserve">, SCE, </w:t>
      </w:r>
      <w:r w:rsidR="003708E7">
        <w:t>Cal Advoc</w:t>
      </w:r>
      <w:r w:rsidRPr="00F01AC1">
        <w:t>ates, EPUC, and SBUA (collectively</w:t>
      </w:r>
      <w:r w:rsidR="00272CE4">
        <w:t xml:space="preserve">, </w:t>
      </w:r>
      <w:r w:rsidRPr="00F01AC1">
        <w:t>Settling Parties) file</w:t>
      </w:r>
      <w:r w:rsidR="00B74BB1">
        <w:t>d</w:t>
      </w:r>
      <w:r w:rsidRPr="00F01AC1">
        <w:t xml:space="preserve"> </w:t>
      </w:r>
      <w:r w:rsidR="00272CE4">
        <w:t>a</w:t>
      </w:r>
      <w:r w:rsidRPr="00F01AC1">
        <w:t xml:space="preserve"> joint motion (Joint Motion</w:t>
      </w:r>
      <w:r w:rsidR="00014C6E">
        <w:t xml:space="preserve"> for Settlement</w:t>
      </w:r>
      <w:r w:rsidRPr="00F01AC1">
        <w:t xml:space="preserve">) to request the Commission adopt </w:t>
      </w:r>
      <w:r w:rsidR="00272CE4">
        <w:t>the</w:t>
      </w:r>
      <w:r w:rsidRPr="00F01AC1">
        <w:t xml:space="preserve"> </w:t>
      </w:r>
      <w:r w:rsidRPr="00272CE4">
        <w:rPr>
          <w:i/>
          <w:iCs/>
        </w:rPr>
        <w:t>Settlement Agreement Resolving Woo</w:t>
      </w:r>
      <w:r w:rsidR="00401FED">
        <w:rPr>
          <w:i/>
          <w:iCs/>
        </w:rPr>
        <w:t>ls</w:t>
      </w:r>
      <w:r w:rsidRPr="00272CE4">
        <w:rPr>
          <w:i/>
          <w:iCs/>
        </w:rPr>
        <w:t>ey Fire Cost Recovery Application</w:t>
      </w:r>
      <w:r w:rsidRPr="00F01AC1">
        <w:t xml:space="preserve"> (Settlement Agreement),</w:t>
      </w:r>
      <w:r w:rsidR="00207C4E">
        <w:t xml:space="preserve"> </w:t>
      </w:r>
      <w:r w:rsidRPr="00F01AC1">
        <w:t>attached</w:t>
      </w:r>
      <w:r w:rsidR="00272CE4">
        <w:t xml:space="preserve"> to the Joint Motion</w:t>
      </w:r>
      <w:r w:rsidRPr="00F01AC1">
        <w:t xml:space="preserve"> </w:t>
      </w:r>
      <w:r w:rsidR="00014C6E">
        <w:t>for Settlement</w:t>
      </w:r>
      <w:r>
        <w:t>.</w:t>
      </w:r>
      <w:r w:rsidR="00014C6E">
        <w:rPr>
          <w:rStyle w:val="FootnoteReference"/>
        </w:rPr>
        <w:footnoteReference w:id="18"/>
      </w:r>
      <w:r w:rsidR="00E84E98">
        <w:t xml:space="preserve"> </w:t>
      </w:r>
      <w:r w:rsidRPr="004964B0" w:rsidR="00E84E98">
        <w:lastRenderedPageBreak/>
        <w:t xml:space="preserve">The Utility Reform Network (TURN) authorized the Settling Parties to represent that TURN </w:t>
      </w:r>
      <w:r w:rsidR="00B74BB1">
        <w:t>did</w:t>
      </w:r>
      <w:r w:rsidRPr="004964B0" w:rsidR="00E84E98">
        <w:t xml:space="preserve"> not plan to oppose the Joint Motion</w:t>
      </w:r>
      <w:r w:rsidR="00A5385B">
        <w:t xml:space="preserve"> for Settlement</w:t>
      </w:r>
      <w:r w:rsidRPr="004964B0" w:rsidR="00E84E98">
        <w:t>.</w:t>
      </w:r>
      <w:r w:rsidR="00E84E98">
        <w:rPr>
          <w:rStyle w:val="FootnoteReference"/>
        </w:rPr>
        <w:footnoteReference w:id="19"/>
      </w:r>
    </w:p>
    <w:p w:rsidR="00014C6E" w:rsidP="00014C6E" w:rsidRDefault="00FF6255" w14:paraId="3A56B26E" w14:textId="6EBF479E">
      <w:pPr>
        <w:pStyle w:val="Standard"/>
      </w:pPr>
      <w:r>
        <w:t xml:space="preserve">On </w:t>
      </w:r>
      <w:r w:rsidR="009453BA">
        <w:t>September </w:t>
      </w:r>
      <w:r>
        <w:t>19, 2025, t</w:t>
      </w:r>
      <w:r w:rsidR="00E84E98">
        <w:t xml:space="preserve">he Settling Parties also filed motions to enter prepared testimony into the </w:t>
      </w:r>
      <w:r w:rsidRPr="00D50138" w:rsidR="00E84E98">
        <w:t>evidentiary record and</w:t>
      </w:r>
      <w:r>
        <w:t xml:space="preserve"> place certain </w:t>
      </w:r>
      <w:r w:rsidRPr="00D50138" w:rsidR="00E84E98">
        <w:t>confidential documents</w:t>
      </w:r>
      <w:r>
        <w:t xml:space="preserve"> under seal</w:t>
      </w:r>
      <w:r w:rsidRPr="00D50138" w:rsidR="00E84E98">
        <w:t>.</w:t>
      </w:r>
      <w:r w:rsidRPr="00D50138" w:rsidR="0070404D">
        <w:rPr>
          <w:rStyle w:val="FootnoteReference"/>
        </w:rPr>
        <w:footnoteReference w:id="20"/>
      </w:r>
      <w:r w:rsidRPr="00D50138" w:rsidR="00E84E98">
        <w:t xml:space="preserve"> The ALJ granted these motions on </w:t>
      </w:r>
      <w:r w:rsidR="009453BA">
        <w:t>October </w:t>
      </w:r>
      <w:r w:rsidRPr="00D50138" w:rsidR="00D50138">
        <w:t>21, 2025</w:t>
      </w:r>
      <w:r w:rsidRPr="00D50138" w:rsidR="00E84E98">
        <w:t>.</w:t>
      </w:r>
    </w:p>
    <w:p w:rsidR="009453BA" w:rsidP="00014C6E" w:rsidRDefault="00E84E98" w14:paraId="0F10FC86" w14:textId="0BA7D5C0">
      <w:pPr>
        <w:pStyle w:val="Standard"/>
      </w:pPr>
      <w:r>
        <w:t xml:space="preserve">On </w:t>
      </w:r>
      <w:r w:rsidR="009453BA">
        <w:t>October </w:t>
      </w:r>
      <w:r>
        <w:t>3, 2025, Wild Tree filed comments in opposition to the Joint Motion for Settlement.</w:t>
      </w:r>
      <w:r w:rsidR="00794516">
        <w:rPr>
          <w:rStyle w:val="FootnoteReference"/>
        </w:rPr>
        <w:footnoteReference w:id="21"/>
      </w:r>
    </w:p>
    <w:p w:rsidR="00DD3B9B" w:rsidP="00B5485E" w:rsidRDefault="00DD3B9B" w14:paraId="75F2C619" w14:textId="1C010AC9">
      <w:pPr>
        <w:pStyle w:val="Standard"/>
      </w:pPr>
      <w:r>
        <w:t xml:space="preserve">On </w:t>
      </w:r>
      <w:r w:rsidR="009453BA">
        <w:t>October </w:t>
      </w:r>
      <w:r>
        <w:t>10, 2025, the Settling Parties filed a reply to the opposition by Wild Tree.</w:t>
      </w:r>
      <w:r>
        <w:rPr>
          <w:rStyle w:val="FootnoteReference"/>
        </w:rPr>
        <w:footnoteReference w:id="22"/>
      </w:r>
    </w:p>
    <w:p w:rsidR="00E96849" w:rsidP="00520FD7" w:rsidRDefault="00E96849" w14:paraId="7FE1B1A8" w14:textId="283B187F">
      <w:pPr>
        <w:pStyle w:val="Heading1"/>
      </w:pPr>
      <w:bookmarkStart w:name="_Toc217632437" w:id="9"/>
      <w:r w:rsidRPr="00E96849">
        <w:t>Submission Date</w:t>
      </w:r>
      <w:bookmarkEnd w:id="9"/>
    </w:p>
    <w:p w:rsidR="00BB1539" w:rsidP="00847349" w:rsidRDefault="00E96849" w14:paraId="5777ABC8" w14:textId="102BEE59">
      <w:pPr>
        <w:pStyle w:val="Standard"/>
      </w:pPr>
      <w:r w:rsidRPr="00E96849">
        <w:t>This matter was submitted on</w:t>
      </w:r>
      <w:r>
        <w:t xml:space="preserve"> </w:t>
      </w:r>
      <w:r w:rsidR="009453BA">
        <w:t>October </w:t>
      </w:r>
      <w:r w:rsidR="00847349">
        <w:t>10, 2025 upon receipt of the reply by Settling Parties</w:t>
      </w:r>
      <w:r>
        <w:t>.</w:t>
      </w:r>
    </w:p>
    <w:p w:rsidR="0052583F" w:rsidP="00BB1539" w:rsidRDefault="0052583F" w14:paraId="5C8CB5CD" w14:textId="4549EE5B">
      <w:pPr>
        <w:pStyle w:val="Heading1"/>
      </w:pPr>
      <w:bookmarkStart w:name="_Toc199342150" w:id="10"/>
      <w:bookmarkStart w:name="_Toc217632438" w:id="11"/>
      <w:r w:rsidRPr="0052583F">
        <w:t>Standard of Review for Settlement</w:t>
      </w:r>
      <w:bookmarkEnd w:id="10"/>
      <w:r w:rsidR="005A3A4D">
        <w:t>s</w:t>
      </w:r>
      <w:bookmarkEnd w:id="11"/>
    </w:p>
    <w:p w:rsidRPr="0052583F" w:rsidR="0052583F" w:rsidP="0052583F" w:rsidRDefault="0052583F" w14:paraId="680F35B3" w14:textId="1B20BCD5">
      <w:pPr>
        <w:pStyle w:val="Standard"/>
      </w:pPr>
      <w:r w:rsidRPr="0052583F">
        <w:t>The Commission may adopt a settlement after determining whether the settlement satisfies the three</w:t>
      </w:r>
      <w:r w:rsidR="003B5862">
        <w:noBreakHyphen/>
      </w:r>
      <w:r w:rsidRPr="0052583F">
        <w:t xml:space="preserve">prong test of </w:t>
      </w:r>
      <w:r w:rsidR="00CD0DC1">
        <w:t>Rule </w:t>
      </w:r>
      <w:r w:rsidRPr="0052583F">
        <w:t>12.1(d), which provides as follows</w:t>
      </w:r>
      <w:r w:rsidR="009453BA">
        <w:t xml:space="preserve">:  </w:t>
      </w:r>
      <w:r w:rsidR="00BE4878">
        <w:t>“</w:t>
      </w:r>
      <w:r w:rsidRPr="0052583F">
        <w:t>The Commission will not approve settlements, whether contested or uncontested, unless the settlement is reasonable in light of the whole record, consistent with law, and in the public interest.</w:t>
      </w:r>
      <w:r w:rsidR="00BE4878">
        <w:t>”</w:t>
      </w:r>
      <w:r w:rsidRPr="0052583F">
        <w:rPr>
          <w:vertAlign w:val="superscript"/>
        </w:rPr>
        <w:footnoteReference w:id="23"/>
      </w:r>
    </w:p>
    <w:p w:rsidR="009453BA" w:rsidP="0052583F" w:rsidRDefault="0052583F" w14:paraId="7EA22F2A" w14:textId="77777777">
      <w:pPr>
        <w:pStyle w:val="Standard"/>
        <w:rPr>
          <w:lang w:val="en-ZW"/>
        </w:rPr>
      </w:pPr>
      <w:r w:rsidRPr="0052583F">
        <w:rPr>
          <w:lang w:val="en-ZW"/>
        </w:rPr>
        <w:lastRenderedPageBreak/>
        <w:t xml:space="preserve">The Commission has stated that, </w:t>
      </w:r>
      <w:r w:rsidR="00BE4878">
        <w:rPr>
          <w:lang w:val="en-ZW"/>
        </w:rPr>
        <w:t>“</w:t>
      </w:r>
      <w:r w:rsidRPr="0052583F">
        <w:rPr>
          <w:lang w:val="en-ZW"/>
        </w:rPr>
        <w:t>Beyond this basic [</w:t>
      </w:r>
      <w:r w:rsidR="00CD0DC1">
        <w:rPr>
          <w:lang w:val="en-ZW"/>
        </w:rPr>
        <w:t>Rule </w:t>
      </w:r>
      <w:r w:rsidRPr="0052583F">
        <w:rPr>
          <w:lang w:val="en-ZW"/>
        </w:rPr>
        <w:t>12.1(d)] standard, we have incorporated other standards into its analysis, which have largely depended on situational factors, such as the type of proceeding at issue, the interests of the settling parties and whether the settlement is contested.</w:t>
      </w:r>
      <w:r w:rsidR="00BE4878">
        <w:rPr>
          <w:lang w:val="en-ZW"/>
        </w:rPr>
        <w:t>”</w:t>
      </w:r>
      <w:r w:rsidRPr="0052583F">
        <w:rPr>
          <w:vertAlign w:val="superscript"/>
          <w:lang w:val="en-ZW"/>
        </w:rPr>
        <w:footnoteReference w:id="24"/>
      </w:r>
    </w:p>
    <w:p w:rsidRPr="0052583F" w:rsidR="0052583F" w:rsidP="0052583F" w:rsidRDefault="0052583F" w14:paraId="59F6D85B" w14:textId="42AECBDC">
      <w:pPr>
        <w:pStyle w:val="Standard"/>
      </w:pPr>
      <w:r w:rsidRPr="0052583F">
        <w:t xml:space="preserve">Moreover, although the Commission favors settlements, all matters decided by the Commission must meet the overall </w:t>
      </w:r>
      <w:r w:rsidR="00BE4878">
        <w:t>“</w:t>
      </w:r>
      <w:r w:rsidRPr="0052583F">
        <w:t>just and reasonable</w:t>
      </w:r>
      <w:r w:rsidR="00BE4878">
        <w:t>”</w:t>
      </w:r>
      <w:r w:rsidRPr="0052583F">
        <w:t xml:space="preserve"> standard of the </w:t>
      </w:r>
      <w:r w:rsidR="00401FED">
        <w:t>Public Utilities Code (</w:t>
      </w:r>
      <w:r w:rsidR="0079180F">
        <w:t xml:space="preserve">Pub. Util. </w:t>
      </w:r>
      <w:r w:rsidRPr="0052583F">
        <w:t>Code</w:t>
      </w:r>
      <w:r w:rsidR="00401FED">
        <w:t>)</w:t>
      </w:r>
      <w:r w:rsidRPr="0052583F">
        <w:t>.</w:t>
      </w:r>
      <w:r w:rsidRPr="0052583F">
        <w:rPr>
          <w:vertAlign w:val="superscript"/>
        </w:rPr>
        <w:footnoteReference w:id="25"/>
      </w:r>
      <w:r w:rsidRPr="0052583F">
        <w:t xml:space="preserve"> The Commission considers whether a settlement is just and reasonable based on the </w:t>
      </w:r>
      <w:r w:rsidR="00595E88">
        <w:t xml:space="preserve">proposed </w:t>
      </w:r>
      <w:r w:rsidR="00B5485E">
        <w:t xml:space="preserve">settlement </w:t>
      </w:r>
      <w:r w:rsidRPr="0052583F">
        <w:t>agreement as a whole, not on individual provisions</w:t>
      </w:r>
      <w:r w:rsidR="009453BA">
        <w:t xml:space="preserve">:  </w:t>
      </w:r>
      <w:r w:rsidR="00BE4878">
        <w:t>“</w:t>
      </w:r>
      <w:r w:rsidRPr="0052583F">
        <w:t>In assessing settlements, we consider individual settlement provisions but, in light of strong public policy favoring settlements, we do not base our conclusion on whether any single provision is the optimal result. Rather, we determine whether the settlement as a whole produces a just and reasonable outcome.</w:t>
      </w:r>
      <w:r w:rsidR="00BE4878">
        <w:t>”</w:t>
      </w:r>
      <w:r w:rsidRPr="0052583F">
        <w:rPr>
          <w:vertAlign w:val="superscript"/>
        </w:rPr>
        <w:footnoteReference w:id="26"/>
      </w:r>
    </w:p>
    <w:p w:rsidRPr="0052583F" w:rsidR="0052583F" w:rsidP="0052583F" w:rsidRDefault="0052583F" w14:paraId="6DD701B5" w14:textId="77777777">
      <w:pPr>
        <w:pStyle w:val="Standard"/>
        <w:rPr>
          <w:lang w:val="en-ZW"/>
        </w:rPr>
      </w:pPr>
      <w:r w:rsidRPr="0052583F">
        <w:rPr>
          <w:lang w:val="en-ZW"/>
        </w:rPr>
        <w:t xml:space="preserve">The Commission has stated that the public policy </w:t>
      </w:r>
      <w:proofErr w:type="spellStart"/>
      <w:r w:rsidRPr="0052583F">
        <w:rPr>
          <w:lang w:val="en-ZW"/>
        </w:rPr>
        <w:t>favoring</w:t>
      </w:r>
      <w:proofErr w:type="spellEnd"/>
      <w:r w:rsidRPr="0052583F">
        <w:rPr>
          <w:lang w:val="en-ZW"/>
        </w:rPr>
        <w:t xml:space="preserve"> settlement supports many worthwhile goals. These goals include reducing the expense of litigation costs, conserving scarce resources of parties and the Commission, and allowing parties to reduce the risk that litigation will produce unacceptable results.</w:t>
      </w:r>
      <w:r w:rsidRPr="0052583F">
        <w:rPr>
          <w:vertAlign w:val="superscript"/>
          <w:lang w:val="en-ZW"/>
        </w:rPr>
        <w:footnoteReference w:id="27"/>
      </w:r>
    </w:p>
    <w:p w:rsidRPr="0063491C" w:rsidR="0052583F" w:rsidP="003F527B" w:rsidRDefault="0052583F" w14:paraId="58CB2096" w14:textId="4DE3D69B">
      <w:pPr>
        <w:pStyle w:val="Standard"/>
      </w:pPr>
      <w:r w:rsidRPr="0052583F">
        <w:lastRenderedPageBreak/>
        <w:t xml:space="preserve">To approve a </w:t>
      </w:r>
      <w:r w:rsidR="00FF24FB">
        <w:t xml:space="preserve">proposed </w:t>
      </w:r>
      <w:r w:rsidRPr="0052583F">
        <w:t>settlement</w:t>
      </w:r>
      <w:r w:rsidR="00FF24FB">
        <w:t>,</w:t>
      </w:r>
      <w:r w:rsidRPr="0052583F">
        <w:t xml:space="preserve"> the Commission must also find that the settling parties had a sound and thorough understanding of the </w:t>
      </w:r>
      <w:r w:rsidR="00B5485E">
        <w:t>A</w:t>
      </w:r>
      <w:r w:rsidRPr="0052583F">
        <w:t>pplication</w:t>
      </w:r>
      <w:r w:rsidR="00FF24FB">
        <w:t xml:space="preserve"> </w:t>
      </w:r>
      <w:r w:rsidRPr="0052583F">
        <w:t>and all the underlying assumptions and data included in the record</w:t>
      </w:r>
      <w:r w:rsidR="00B5485E">
        <w:t xml:space="preserve"> of the proceeding</w:t>
      </w:r>
      <w:r w:rsidRPr="0052583F">
        <w:t>.</w:t>
      </w:r>
      <w:r w:rsidRPr="0052583F">
        <w:rPr>
          <w:vertAlign w:val="superscript"/>
        </w:rPr>
        <w:footnoteReference w:id="28"/>
      </w:r>
    </w:p>
    <w:p w:rsidR="005A148C" w:rsidP="005939A5" w:rsidRDefault="005939A5" w14:paraId="779D7226" w14:textId="77777777">
      <w:pPr>
        <w:pStyle w:val="Heading1"/>
      </w:pPr>
      <w:bookmarkStart w:name="_Toc8123719" w:id="12"/>
      <w:bookmarkStart w:name="_Toc217632439" w:id="13"/>
      <w:r>
        <w:t xml:space="preserve">Issues Before the </w:t>
      </w:r>
      <w:bookmarkEnd w:id="12"/>
      <w:r w:rsidR="008A08BF">
        <w:t>Commission</w:t>
      </w:r>
      <w:bookmarkEnd w:id="13"/>
    </w:p>
    <w:p w:rsidR="00705715" w:rsidP="004F7F32" w:rsidRDefault="007B57E3" w14:paraId="5F2A45BC" w14:textId="6BDE5896">
      <w:pPr>
        <w:pStyle w:val="Standard"/>
      </w:pPr>
      <w:r w:rsidRPr="007B57E3">
        <w:t>Th</w:t>
      </w:r>
      <w:r w:rsidRPr="009B2466">
        <w:rPr>
          <w:rFonts w:eastAsia="Book Antiqua" w:cs="Book Antiqua"/>
        </w:rPr>
        <w:t>e</w:t>
      </w:r>
      <w:r w:rsidRPr="009B2466">
        <w:rPr>
          <w:rFonts w:eastAsia="Book Antiqua" w:cs="Book Antiqua"/>
          <w:szCs w:val="26"/>
        </w:rPr>
        <w:t xml:space="preserve"> </w:t>
      </w:r>
      <w:r w:rsidRPr="06E6E60A" w:rsidR="629E2F03">
        <w:rPr>
          <w:rFonts w:eastAsia="Book Antiqua" w:cs="Book Antiqua"/>
          <w:szCs w:val="26"/>
        </w:rPr>
        <w:t xml:space="preserve">issue </w:t>
      </w:r>
      <w:r w:rsidR="00E741D3">
        <w:rPr>
          <w:rFonts w:eastAsia="Book Antiqua" w:cs="Book Antiqua"/>
          <w:szCs w:val="26"/>
        </w:rPr>
        <w:t xml:space="preserve">before the Commission </w:t>
      </w:r>
      <w:r w:rsidRPr="009B2466" w:rsidR="53B83357">
        <w:rPr>
          <w:rFonts w:eastAsia="Book Antiqua" w:cs="Book Antiqua"/>
          <w:color w:val="333333"/>
          <w:szCs w:val="26"/>
        </w:rPr>
        <w:t xml:space="preserve">is whether the Settlement </w:t>
      </w:r>
      <w:r w:rsidR="00A5385B">
        <w:rPr>
          <w:rFonts w:eastAsia="Book Antiqua" w:cs="Book Antiqua"/>
          <w:color w:val="333333"/>
          <w:szCs w:val="26"/>
        </w:rPr>
        <w:t xml:space="preserve">Agreement </w:t>
      </w:r>
      <w:r w:rsidRPr="009B2466" w:rsidR="53B83357">
        <w:rPr>
          <w:rFonts w:eastAsia="Book Antiqua" w:cs="Book Antiqua"/>
          <w:color w:val="333333"/>
          <w:szCs w:val="26"/>
        </w:rPr>
        <w:t xml:space="preserve">complies with the requirements of </w:t>
      </w:r>
      <w:r w:rsidR="00CD0DC1">
        <w:rPr>
          <w:rFonts w:eastAsia="Book Antiqua" w:cs="Book Antiqua"/>
          <w:color w:val="333333"/>
          <w:szCs w:val="26"/>
        </w:rPr>
        <w:t>Rule </w:t>
      </w:r>
      <w:r w:rsidRPr="009B2466" w:rsidR="53B83357">
        <w:rPr>
          <w:rFonts w:eastAsia="Book Antiqua" w:cs="Book Antiqua"/>
          <w:color w:val="333333"/>
          <w:szCs w:val="26"/>
        </w:rPr>
        <w:t>12 of the Commission</w:t>
      </w:r>
      <w:r w:rsidR="00BE4878">
        <w:rPr>
          <w:rFonts w:eastAsia="Book Antiqua" w:cs="Book Antiqua"/>
          <w:color w:val="333333"/>
          <w:szCs w:val="26"/>
        </w:rPr>
        <w:t>’</w:t>
      </w:r>
      <w:r w:rsidRPr="009B2466" w:rsidR="53B83357">
        <w:rPr>
          <w:rFonts w:eastAsia="Book Antiqua" w:cs="Book Antiqua"/>
          <w:color w:val="333333"/>
          <w:szCs w:val="26"/>
        </w:rPr>
        <w:t>s Rules of Practice and Procedure for approval of settlement</w:t>
      </w:r>
      <w:r w:rsidR="00E741D3">
        <w:rPr>
          <w:rFonts w:eastAsia="Book Antiqua" w:cs="Book Antiqua"/>
          <w:color w:val="333333"/>
          <w:szCs w:val="26"/>
        </w:rPr>
        <w:t>s</w:t>
      </w:r>
      <w:r w:rsidRPr="06E6E60A" w:rsidR="53B83357">
        <w:rPr>
          <w:rFonts w:eastAsia="Book Antiqua" w:cs="Book Antiqua"/>
          <w:color w:val="333333"/>
          <w:szCs w:val="26"/>
        </w:rPr>
        <w:t>.</w:t>
      </w:r>
      <w:r w:rsidRPr="009B2466" w:rsidR="53B83357">
        <w:rPr>
          <w:rFonts w:eastAsia="Book Antiqua" w:cs="Book Antiqua"/>
          <w:szCs w:val="26"/>
        </w:rPr>
        <w:t xml:space="preserve"> </w:t>
      </w:r>
      <w:r w:rsidRPr="06E6E60A" w:rsidR="27A60137">
        <w:rPr>
          <w:rFonts w:eastAsia="Book Antiqua" w:cs="Book Antiqua"/>
          <w:szCs w:val="26"/>
        </w:rPr>
        <w:t xml:space="preserve">The following </w:t>
      </w:r>
      <w:r w:rsidRPr="009B2466">
        <w:rPr>
          <w:rFonts w:eastAsia="Book Antiqua" w:cs="Book Antiqua"/>
          <w:szCs w:val="26"/>
        </w:rPr>
        <w:t>i</w:t>
      </w:r>
      <w:r w:rsidRPr="00716FCA">
        <w:rPr>
          <w:szCs w:val="26"/>
        </w:rPr>
        <w:t>ss</w:t>
      </w:r>
      <w:r w:rsidRPr="007B57E3">
        <w:t>ues</w:t>
      </w:r>
      <w:r w:rsidR="00E741D3">
        <w:t xml:space="preserve"> were found to be</w:t>
      </w:r>
      <w:r w:rsidRPr="007B57E3">
        <w:t xml:space="preserve"> in the scope of this proceeding to be determined or otherwise considered:</w:t>
      </w:r>
      <w:r>
        <w:rPr>
          <w:rStyle w:val="FootnoteReference"/>
        </w:rPr>
        <w:footnoteReference w:id="29"/>
      </w:r>
    </w:p>
    <w:p w:rsidR="009453BA" w:rsidP="0080194A" w:rsidRDefault="00705715" w14:paraId="3424AA31" w14:textId="77777777">
      <w:pPr>
        <w:pStyle w:val="BlockQuoteH025"/>
        <w:numPr>
          <w:ilvl w:val="0"/>
          <w:numId w:val="19"/>
        </w:numPr>
        <w:rPr>
          <w:szCs w:val="26"/>
        </w:rPr>
      </w:pPr>
      <w:r>
        <w:rPr>
          <w:szCs w:val="26"/>
        </w:rPr>
        <w:t xml:space="preserve">Whether SCE was </w:t>
      </w:r>
      <w:r w:rsidRPr="0080194A">
        <w:t>prudent</w:t>
      </w:r>
      <w:r>
        <w:rPr>
          <w:szCs w:val="26"/>
        </w:rPr>
        <w:t xml:space="preserve"> with respect to the design, construction, operation, engineering, and maintenance of any facilities linked to the ignitions of the Woolsey Fire?</w:t>
      </w:r>
    </w:p>
    <w:p w:rsidR="009453BA" w:rsidP="0080194A" w:rsidRDefault="00705715" w14:paraId="44BCDDE9" w14:textId="77777777">
      <w:pPr>
        <w:pStyle w:val="BlockQuoteH025"/>
        <w:numPr>
          <w:ilvl w:val="0"/>
          <w:numId w:val="19"/>
        </w:numPr>
        <w:rPr>
          <w:szCs w:val="26"/>
        </w:rPr>
      </w:pPr>
      <w:r>
        <w:rPr>
          <w:szCs w:val="26"/>
        </w:rPr>
        <w:t>Whether it is just and reasonable for SCE to recover in rates the costs sought in the Application?</w:t>
      </w:r>
    </w:p>
    <w:p w:rsidR="009453BA" w:rsidP="0080194A" w:rsidRDefault="00705715" w14:paraId="5E688FAE" w14:textId="77777777">
      <w:pPr>
        <w:pStyle w:val="BlockQuoteH025"/>
        <w:numPr>
          <w:ilvl w:val="0"/>
          <w:numId w:val="19"/>
        </w:numPr>
        <w:rPr>
          <w:szCs w:val="26"/>
        </w:rPr>
      </w:pPr>
      <w:r>
        <w:rPr>
          <w:szCs w:val="26"/>
        </w:rPr>
        <w:t>Whether SCE</w:t>
      </w:r>
      <w:r w:rsidR="00BE4878">
        <w:rPr>
          <w:szCs w:val="26"/>
        </w:rPr>
        <w:t>’</w:t>
      </w:r>
      <w:r>
        <w:rPr>
          <w:szCs w:val="26"/>
        </w:rPr>
        <w:t>s actions in connection with settling of legal claims arising from the Woolsey Fire were reasonable?</w:t>
      </w:r>
    </w:p>
    <w:p w:rsidR="009453BA" w:rsidP="0080194A" w:rsidRDefault="00705715" w14:paraId="45E3382A" w14:textId="77777777">
      <w:pPr>
        <w:pStyle w:val="BlockQuoteH025"/>
        <w:numPr>
          <w:ilvl w:val="0"/>
          <w:numId w:val="19"/>
        </w:numPr>
        <w:rPr>
          <w:szCs w:val="26"/>
        </w:rPr>
      </w:pPr>
      <w:r>
        <w:rPr>
          <w:szCs w:val="26"/>
        </w:rPr>
        <w:t>Whether SCE</w:t>
      </w:r>
      <w:r w:rsidR="00BE4878">
        <w:rPr>
          <w:szCs w:val="26"/>
        </w:rPr>
        <w:t>’</w:t>
      </w:r>
      <w:r>
        <w:rPr>
          <w:szCs w:val="26"/>
        </w:rPr>
        <w:t>s legal costs paid in defense of claims arising from the Woolsey Fire were reasonable?</w:t>
      </w:r>
    </w:p>
    <w:p w:rsidR="009453BA" w:rsidP="0080194A" w:rsidRDefault="00705715" w14:paraId="31B1E934" w14:textId="77777777">
      <w:pPr>
        <w:pStyle w:val="BlockQuoteH025"/>
        <w:numPr>
          <w:ilvl w:val="0"/>
          <w:numId w:val="19"/>
        </w:numPr>
        <w:rPr>
          <w:szCs w:val="26"/>
        </w:rPr>
      </w:pPr>
      <w:r>
        <w:rPr>
          <w:szCs w:val="26"/>
        </w:rPr>
        <w:t>Whether SCE</w:t>
      </w:r>
      <w:r w:rsidR="00BE4878">
        <w:rPr>
          <w:szCs w:val="26"/>
        </w:rPr>
        <w:t>’</w:t>
      </w:r>
      <w:r>
        <w:rPr>
          <w:szCs w:val="26"/>
        </w:rPr>
        <w:t xml:space="preserve">s incurred and estimated </w:t>
      </w:r>
      <w:r w:rsidRPr="0080194A">
        <w:t>financing</w:t>
      </w:r>
      <w:r>
        <w:rPr>
          <w:szCs w:val="26"/>
        </w:rPr>
        <w:t xml:space="preserve"> costs relating to the Woolsey Fire are reasonable?</w:t>
      </w:r>
    </w:p>
    <w:p w:rsidR="00DC1FB8" w:rsidP="00DC1FB8" w:rsidRDefault="00705715" w14:paraId="4FE3EECF" w14:textId="77777777">
      <w:pPr>
        <w:pStyle w:val="BlockQuoteH025"/>
        <w:numPr>
          <w:ilvl w:val="0"/>
          <w:numId w:val="19"/>
        </w:numPr>
        <w:rPr>
          <w:szCs w:val="26"/>
        </w:rPr>
      </w:pPr>
      <w:r>
        <w:rPr>
          <w:szCs w:val="26"/>
        </w:rPr>
        <w:t>Whether SCE</w:t>
      </w:r>
      <w:r w:rsidR="00BE4878">
        <w:rPr>
          <w:szCs w:val="26"/>
        </w:rPr>
        <w:t>’</w:t>
      </w:r>
      <w:r>
        <w:rPr>
          <w:szCs w:val="26"/>
        </w:rPr>
        <w:t xml:space="preserve">s </w:t>
      </w:r>
      <w:r w:rsidRPr="0080194A">
        <w:t>restoration</w:t>
      </w:r>
      <w:r>
        <w:rPr>
          <w:szCs w:val="26"/>
        </w:rPr>
        <w:t xml:space="preserve"> costs are incremental and reasonable?</w:t>
      </w:r>
    </w:p>
    <w:p w:rsidRPr="00DC1FB8" w:rsidR="00DC1FB8" w:rsidP="00DC1FB8" w:rsidRDefault="00705715" w14:paraId="0416D3F5" w14:textId="08A6924F">
      <w:pPr>
        <w:pStyle w:val="BlockQuoteH025"/>
        <w:numPr>
          <w:ilvl w:val="0"/>
          <w:numId w:val="19"/>
        </w:numPr>
        <w:rPr>
          <w:szCs w:val="26"/>
        </w:rPr>
      </w:pPr>
      <w:r>
        <w:t>Whether SCE</w:t>
      </w:r>
      <w:r w:rsidR="00BE4878">
        <w:t>’</w:t>
      </w:r>
      <w:r>
        <w:t xml:space="preserve">s cost </w:t>
      </w:r>
      <w:r w:rsidRPr="0080194A">
        <w:t>recovery</w:t>
      </w:r>
      <w:r>
        <w:t xml:space="preserve"> proposal should be adopted, including its proposal to quantify the additional claims and associated costs as part of its rebuttal testimony, true up estimated financing costs in a subsequent financing order</w:t>
      </w:r>
      <w:r w:rsidR="00DC1FB8">
        <w:t xml:space="preserve"> </w:t>
      </w:r>
      <w:r w:rsidRPr="00DC1FB8" w:rsidR="00DC1FB8">
        <w:t>application proceeding, and use a Tier</w:t>
      </w:r>
      <w:r w:rsidR="009748F8">
        <w:t> </w:t>
      </w:r>
      <w:r w:rsidRPr="00DC1FB8" w:rsidR="00DC1FB8">
        <w:t xml:space="preserve">2 Advice Letter for </w:t>
      </w:r>
      <w:r w:rsidRPr="00DC1FB8" w:rsidR="00DC1FB8">
        <w:lastRenderedPageBreak/>
        <w:t>claims and associated costs not reviewed in this Application (giving effect to the $250</w:t>
      </w:r>
      <w:r w:rsidR="009748F8">
        <w:t> </w:t>
      </w:r>
      <w:r w:rsidRPr="00DC1FB8" w:rsidR="00DC1FB8">
        <w:t>million of claims waived in the Administrative Consent Order entered into between SCE and the Commission’s Safety and Enforcement Division in connection with the Woolsey Fire)?</w:t>
      </w:r>
    </w:p>
    <w:p w:rsidR="00600672" w:rsidP="00600672" w:rsidRDefault="00600672" w14:paraId="39518D92" w14:textId="592B1C69">
      <w:pPr>
        <w:pStyle w:val="Heading1"/>
      </w:pPr>
      <w:bookmarkStart w:name="_Toc217632440" w:id="14"/>
      <w:r>
        <w:t>SCE</w:t>
      </w:r>
      <w:r w:rsidR="00BE4878">
        <w:t>’</w:t>
      </w:r>
      <w:r>
        <w:t>s Application</w:t>
      </w:r>
      <w:bookmarkEnd w:id="14"/>
    </w:p>
    <w:p w:rsidR="009453BA" w:rsidP="00A2376D" w:rsidRDefault="004C0AC6" w14:paraId="33719D9D" w14:textId="0238D7BB">
      <w:pPr>
        <w:pStyle w:val="Standard"/>
      </w:pPr>
      <w:r w:rsidRPr="004C0AC6">
        <w:t xml:space="preserve">SCE </w:t>
      </w:r>
      <w:r w:rsidR="00552342">
        <w:t>requested</w:t>
      </w:r>
      <w:r w:rsidRPr="004C0AC6">
        <w:t xml:space="preserve"> a finding of just and reasonable costs pursuant to </w:t>
      </w:r>
      <w:r w:rsidR="00CD0DC1">
        <w:t>Pub. Util.</w:t>
      </w:r>
      <w:r w:rsidRPr="004C0AC6">
        <w:t xml:space="preserve"> Code </w:t>
      </w:r>
      <w:r w:rsidR="00F4321E">
        <w:t>Sections </w:t>
      </w:r>
      <w:r w:rsidRPr="004C0AC6">
        <w:t xml:space="preserve">451 and 454.9 and </w:t>
      </w:r>
      <w:r w:rsidR="00F60904">
        <w:t>Decision (</w:t>
      </w:r>
      <w:r w:rsidRPr="004C0AC6">
        <w:t>D.</w:t>
      </w:r>
      <w:r w:rsidR="00F60904">
        <w:t>) </w:t>
      </w:r>
      <w:r w:rsidRPr="004C0AC6">
        <w:t>18</w:t>
      </w:r>
      <w:r w:rsidR="003B5862">
        <w:noBreakHyphen/>
      </w:r>
      <w:r w:rsidRPr="004C0AC6">
        <w:t>11</w:t>
      </w:r>
      <w:r w:rsidR="003B5862">
        <w:noBreakHyphen/>
      </w:r>
      <w:r w:rsidRPr="004C0AC6">
        <w:t>051 and D.21</w:t>
      </w:r>
      <w:r w:rsidR="003B5862">
        <w:noBreakHyphen/>
      </w:r>
      <w:r w:rsidRPr="004C0AC6">
        <w:t>08</w:t>
      </w:r>
      <w:r w:rsidR="003B5862">
        <w:noBreakHyphen/>
      </w:r>
      <w:r w:rsidRPr="004C0AC6">
        <w:t>024</w:t>
      </w:r>
      <w:r>
        <w:t xml:space="preserve"> </w:t>
      </w:r>
      <w:r w:rsidRPr="004C0AC6">
        <w:t>pertaining to approximately $5.4</w:t>
      </w:r>
      <w:r w:rsidR="00F60904">
        <w:t> billion</w:t>
      </w:r>
      <w:r w:rsidRPr="004C0AC6">
        <w:t xml:space="preserve"> in claims costs paid and legal costs incurred as of August 2024</w:t>
      </w:r>
      <w:r w:rsidR="00552342">
        <w:t xml:space="preserve"> (and updated on </w:t>
      </w:r>
      <w:r w:rsidR="009453BA">
        <w:t>July </w:t>
      </w:r>
      <w:r w:rsidR="00552342">
        <w:t>15, 2025)</w:t>
      </w:r>
      <w:r w:rsidRPr="004C0AC6">
        <w:t xml:space="preserve"> to resolve third</w:t>
      </w:r>
      <w:r w:rsidR="003B5862">
        <w:noBreakHyphen/>
      </w:r>
      <w:r w:rsidRPr="004C0AC6">
        <w:t>party claims arising from the 2018 Woolsey Fire and associated financing costs and, additionally, approximately $84</w:t>
      </w:r>
      <w:r w:rsidR="00BE4878">
        <w:t> million</w:t>
      </w:r>
      <w:r w:rsidRPr="004C0AC6">
        <w:t xml:space="preserve"> in restoration</w:t>
      </w:r>
      <w:r w:rsidR="003B5862">
        <w:noBreakHyphen/>
      </w:r>
      <w:r w:rsidRPr="004C0AC6">
        <w:t>related costs.</w:t>
      </w:r>
      <w:r w:rsidR="005B0F2F">
        <w:rPr>
          <w:rStyle w:val="FootnoteReference"/>
        </w:rPr>
        <w:footnoteReference w:id="30"/>
      </w:r>
      <w:r w:rsidRPr="004C0AC6">
        <w:t xml:space="preserve"> SCE </w:t>
      </w:r>
      <w:r w:rsidR="00552342">
        <w:t>requested</w:t>
      </w:r>
      <w:r w:rsidRPr="004C0AC6">
        <w:t xml:space="preserve"> authority to recover these costs in rates, as follows</w:t>
      </w:r>
      <w:r w:rsidR="009453BA">
        <w:t xml:space="preserve">:  </w:t>
      </w:r>
      <w:r w:rsidRPr="004C0AC6">
        <w:t>(1)</w:t>
      </w:r>
      <w:r w:rsidR="00D54A51">
        <w:t> </w:t>
      </w:r>
      <w:r w:rsidRPr="004C0AC6">
        <w:t>costs related to the 2018 Woolsey Fire recorded in SCE</w:t>
      </w:r>
      <w:r w:rsidR="00BE4878">
        <w:t>’</w:t>
      </w:r>
      <w:r w:rsidRPr="004C0AC6">
        <w:t>s WEMA</w:t>
      </w:r>
      <w:r w:rsidR="00B4198A">
        <w:t>; and (2) </w:t>
      </w:r>
      <w:r w:rsidRPr="004C0AC6">
        <w:t>restoration costs associated with the Woolsey Fire recorded in SCE</w:t>
      </w:r>
      <w:r w:rsidR="00BE4878">
        <w:t>’</w:t>
      </w:r>
      <w:r w:rsidRPr="004C0AC6">
        <w:t>s CEMA.</w:t>
      </w:r>
      <w:r w:rsidR="005B0F2F">
        <w:rPr>
          <w:rStyle w:val="FootnoteReference"/>
        </w:rPr>
        <w:footnoteReference w:id="31"/>
      </w:r>
      <w:r w:rsidR="00A2376D">
        <w:t xml:space="preserve"> </w:t>
      </w:r>
      <w:r w:rsidRPr="00A2376D" w:rsidR="00A2376D">
        <w:t>At the time the Woolsey Fire ignited</w:t>
      </w:r>
      <w:r w:rsidR="00552342">
        <w:t xml:space="preserve"> in November 2018</w:t>
      </w:r>
      <w:r w:rsidRPr="00A2376D" w:rsidR="00A2376D">
        <w:t>, SCE held $1</w:t>
      </w:r>
      <w:r w:rsidR="00F60904">
        <w:t> billion</w:t>
      </w:r>
      <w:r w:rsidRPr="00A2376D" w:rsidR="00A2376D">
        <w:t xml:space="preserve"> of liability insurance coverage that was applied to claims and related costs associated with the Woolsey Fire.</w:t>
      </w:r>
      <w:r w:rsidR="00A2376D">
        <w:rPr>
          <w:rStyle w:val="FootnoteReference"/>
        </w:rPr>
        <w:footnoteReference w:id="32"/>
      </w:r>
    </w:p>
    <w:p w:rsidR="009453BA" w:rsidRDefault="00052082" w14:paraId="46917EBC" w14:textId="3862276E">
      <w:pPr>
        <w:pStyle w:val="Standard"/>
      </w:pPr>
      <w:r w:rsidRPr="00052082">
        <w:t xml:space="preserve">Regarding the ratemaking mechanism for recovery of these costs, SCE </w:t>
      </w:r>
      <w:r w:rsidR="00552342">
        <w:t>proposed</w:t>
      </w:r>
      <w:r w:rsidRPr="00052082">
        <w:t xml:space="preserve"> to finance the WEMA costs through the issuance of recovery bonds pursuant to </w:t>
      </w:r>
      <w:r w:rsidR="00CD0DC1">
        <w:t>Pub. Util.</w:t>
      </w:r>
      <w:r w:rsidRPr="00052082">
        <w:t xml:space="preserve"> Code </w:t>
      </w:r>
      <w:r w:rsidR="00F4321E">
        <w:t>Section </w:t>
      </w:r>
      <w:r w:rsidRPr="00052082">
        <w:t xml:space="preserve">850 </w:t>
      </w:r>
      <w:r w:rsidR="005D5DB1">
        <w:rPr>
          <w:i/>
          <w:iCs/>
        </w:rPr>
        <w:t>et seq.</w:t>
      </w:r>
      <w:r w:rsidRPr="06E6E60A" w:rsidR="00C3205F">
        <w:rPr>
          <w:rStyle w:val="FootnoteReference"/>
          <w:i/>
          <w:iCs/>
        </w:rPr>
        <w:footnoteReference w:id="33"/>
      </w:r>
      <w:r w:rsidRPr="00052082">
        <w:t xml:space="preserve"> SCE state</w:t>
      </w:r>
      <w:r w:rsidR="00552342">
        <w:t>d</w:t>
      </w:r>
      <w:r w:rsidRPr="00052082">
        <w:t xml:space="preserve"> it</w:t>
      </w:r>
      <w:r w:rsidR="00C2514D">
        <w:t>s</w:t>
      </w:r>
      <w:r w:rsidRPr="00052082">
        <w:t xml:space="preserve"> inten</w:t>
      </w:r>
      <w:r w:rsidR="00552342">
        <w:t>t</w:t>
      </w:r>
      <w:r w:rsidRPr="00052082">
        <w:t xml:space="preserve"> to file a separate application for further authorizations under </w:t>
      </w:r>
      <w:r w:rsidR="00F4321E">
        <w:t>Section </w:t>
      </w:r>
      <w:r w:rsidRPr="00052082">
        <w:t xml:space="preserve">850 </w:t>
      </w:r>
      <w:r w:rsidR="005D5DB1">
        <w:rPr>
          <w:i/>
          <w:iCs/>
        </w:rPr>
        <w:t>et seq.</w:t>
      </w:r>
      <w:r w:rsidR="00C3205F">
        <w:rPr>
          <w:rStyle w:val="FootnoteReference"/>
        </w:rPr>
        <w:footnoteReference w:id="34"/>
      </w:r>
      <w:r w:rsidRPr="00052082">
        <w:t xml:space="preserve"> SCE </w:t>
      </w:r>
      <w:r w:rsidRPr="00052082">
        <w:lastRenderedPageBreak/>
        <w:t>estimate</w:t>
      </w:r>
      <w:r w:rsidR="00552342">
        <w:t>d</w:t>
      </w:r>
      <w:r w:rsidRPr="00052082">
        <w:t xml:space="preserve"> that securitization would result in the average residential customer paying an estimated $3.44 per month for 30 years for the WEMA costs</w:t>
      </w:r>
      <w:r w:rsidR="00F00CED">
        <w:t>.</w:t>
      </w:r>
      <w:r w:rsidR="00F00CED">
        <w:rPr>
          <w:rStyle w:val="FootnoteReference"/>
        </w:rPr>
        <w:footnoteReference w:id="35"/>
      </w:r>
      <w:r w:rsidRPr="00052082">
        <w:t xml:space="preserve"> SCE propose</w:t>
      </w:r>
      <w:r w:rsidR="00552342">
        <w:t>d</w:t>
      </w:r>
      <w:r w:rsidRPr="00052082">
        <w:t xml:space="preserve"> to recover the CEMA costs through </w:t>
      </w:r>
      <w:r w:rsidR="00552342">
        <w:t>traditional</w:t>
      </w:r>
      <w:r w:rsidRPr="00052082">
        <w:t xml:space="preserve"> methods of </w:t>
      </w:r>
      <w:r w:rsidR="00552342">
        <w:t xml:space="preserve">cost </w:t>
      </w:r>
      <w:r w:rsidRPr="00052082">
        <w:t>recovery.</w:t>
      </w:r>
      <w:r w:rsidR="00F00CED">
        <w:rPr>
          <w:rStyle w:val="FootnoteReference"/>
        </w:rPr>
        <w:footnoteReference w:id="36"/>
      </w:r>
      <w:r w:rsidR="00CF4F5F">
        <w:t xml:space="preserve"> The below chart from SCE Ex</w:t>
      </w:r>
      <w:r w:rsidR="003B5862">
        <w:noBreakHyphen/>
      </w:r>
      <w:r w:rsidR="00CF4F5F">
        <w:t xml:space="preserve">09 presents the cost recovery request set forth in the </w:t>
      </w:r>
      <w:r w:rsidR="009453BA">
        <w:t>October </w:t>
      </w:r>
      <w:r w:rsidR="009E3FBA">
        <w:t>8, 202</w:t>
      </w:r>
      <w:r w:rsidR="58B6497D">
        <w:t>4</w:t>
      </w:r>
      <w:r w:rsidR="00CF4F5F">
        <w:t xml:space="preserve"> Application.</w:t>
      </w:r>
    </w:p>
    <w:p w:rsidR="00BC3588" w:rsidP="00064D2C" w:rsidRDefault="00CF4F5F" w14:paraId="5D74948B" w14:textId="28B86F45">
      <w:pPr>
        <w:pStyle w:val="Standard"/>
      </w:pPr>
      <w:r w:rsidRPr="00CF4F5F">
        <w:rPr>
          <w:noProof/>
        </w:rPr>
        <w:drawing>
          <wp:inline distT="0" distB="0" distL="0" distR="0" wp14:anchorId="177AB907" wp14:editId="5A190FFE">
            <wp:extent cx="5591955" cy="4334480"/>
            <wp:effectExtent l="0" t="0" r="0" b="9525"/>
            <wp:docPr id="1674266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66383" name=""/>
                    <pic:cNvPicPr/>
                  </pic:nvPicPr>
                  <pic:blipFill>
                    <a:blip r:embed="rId15"/>
                    <a:stretch>
                      <a:fillRect/>
                    </a:stretch>
                  </pic:blipFill>
                  <pic:spPr>
                    <a:xfrm>
                      <a:off x="0" y="0"/>
                      <a:ext cx="5591955" cy="4334480"/>
                    </a:xfrm>
                    <a:prstGeom prst="rect">
                      <a:avLst/>
                    </a:prstGeom>
                  </pic:spPr>
                </pic:pic>
              </a:graphicData>
            </a:graphic>
          </wp:inline>
        </w:drawing>
      </w:r>
    </w:p>
    <w:p w:rsidR="009453BA" w:rsidP="00334C82" w:rsidRDefault="00BC3588" w14:paraId="6594DB93" w14:textId="77777777">
      <w:pPr>
        <w:pStyle w:val="Standard"/>
      </w:pPr>
      <w:r w:rsidRPr="00334C82">
        <w:t xml:space="preserve">The above chart does not reflect </w:t>
      </w:r>
      <w:r w:rsidRPr="00334C82" w:rsidR="00C97CDA">
        <w:t xml:space="preserve">certain smaller amounts of </w:t>
      </w:r>
      <w:r w:rsidRPr="00334C82" w:rsidR="007822AC">
        <w:t>costs</w:t>
      </w:r>
      <w:r w:rsidRPr="00334C82" w:rsidR="00C97CDA">
        <w:t xml:space="preserve"> that are d</w:t>
      </w:r>
      <w:r w:rsidRPr="00334C82" w:rsidR="00334C82">
        <w:t>escribed</w:t>
      </w:r>
      <w:r w:rsidRPr="00334C82" w:rsidR="00C97CDA">
        <w:t xml:space="preserve"> </w:t>
      </w:r>
      <w:r w:rsidRPr="0092523B" w:rsidR="00C97CDA">
        <w:t xml:space="preserve">at </w:t>
      </w:r>
      <w:r w:rsidR="00F4321E">
        <w:t>Section </w:t>
      </w:r>
      <w:r w:rsidRPr="0092523B" w:rsidR="0092523B">
        <w:t>7.2</w:t>
      </w:r>
      <w:r w:rsidRPr="0092523B" w:rsidR="00334C82">
        <w:t>, herein</w:t>
      </w:r>
      <w:r w:rsidRPr="00334C82" w:rsidR="00C97CDA">
        <w:t>.</w:t>
      </w:r>
    </w:p>
    <w:p w:rsidR="008524CE" w:rsidP="000F5FF8" w:rsidRDefault="009453BA" w14:paraId="1787E1D4" w14:textId="42BF110D">
      <w:pPr>
        <w:pStyle w:val="Heading2"/>
      </w:pPr>
      <w:bookmarkStart w:name="_Toc217632441" w:id="15"/>
      <w:r>
        <w:lastRenderedPageBreak/>
        <w:t>July </w:t>
      </w:r>
      <w:r w:rsidRPr="7E60AC81" w:rsidR="0F201D3E">
        <w:t>15</w:t>
      </w:r>
      <w:r w:rsidR="000F5FF8">
        <w:t>, 202</w:t>
      </w:r>
      <w:r w:rsidR="00BD7D04">
        <w:t>5 SCE</w:t>
      </w:r>
      <w:r w:rsidRPr="7E60AC81" w:rsidR="0F201D3E">
        <w:t xml:space="preserve"> Updat</w:t>
      </w:r>
      <w:r w:rsidRPr="7E60AC81" w:rsidR="1D8D8FD8">
        <w:t>e</w:t>
      </w:r>
      <w:bookmarkEnd w:id="15"/>
    </w:p>
    <w:p w:rsidRPr="00D70194" w:rsidR="1D8D8FD8" w:rsidP="00D70194" w:rsidRDefault="00265534" w14:paraId="28C3421C" w14:textId="319793D2">
      <w:pPr>
        <w:pStyle w:val="Standard"/>
      </w:pPr>
      <w:r>
        <w:t xml:space="preserve">On </w:t>
      </w:r>
      <w:r w:rsidR="009453BA">
        <w:t>July </w:t>
      </w:r>
      <w:r>
        <w:t xml:space="preserve">15, 2025, </w:t>
      </w:r>
      <w:r w:rsidR="1D8D8FD8">
        <w:t>SCE</w:t>
      </w:r>
      <w:r>
        <w:t xml:space="preserve"> filed an</w:t>
      </w:r>
      <w:r w:rsidR="1D8D8FD8">
        <w:t xml:space="preserve"> update</w:t>
      </w:r>
      <w:r>
        <w:t xml:space="preserve"> to</w:t>
      </w:r>
      <w:r w:rsidR="1D8D8FD8">
        <w:t xml:space="preserve"> its origina</w:t>
      </w:r>
      <w:r>
        <w:t xml:space="preserve">l WEMA </w:t>
      </w:r>
      <w:r w:rsidR="1D8D8FD8">
        <w:t>claims and legal costs</w:t>
      </w:r>
      <w:r>
        <w:t>, calculated as of August 2024</w:t>
      </w:r>
      <w:r w:rsidR="1D8D8FD8">
        <w:t>.</w:t>
      </w:r>
      <w:r w:rsidR="752A4B02">
        <w:t xml:space="preserve"> The updated</w:t>
      </w:r>
      <w:r>
        <w:t xml:space="preserve"> WEMA</w:t>
      </w:r>
      <w:r w:rsidR="752A4B02">
        <w:t xml:space="preserve"> costs reflect ongoing financing</w:t>
      </w:r>
      <w:r w:rsidR="3686BDBC">
        <w:t xml:space="preserve">, legal costs, and additional claims payments made from </w:t>
      </w:r>
      <w:r w:rsidR="009453BA">
        <w:t>August </w:t>
      </w:r>
      <w:r w:rsidR="3686BDBC">
        <w:t xml:space="preserve">4, 2024 to </w:t>
      </w:r>
      <w:r w:rsidR="009453BA">
        <w:t>May </w:t>
      </w:r>
      <w:r w:rsidR="3686BDBC">
        <w:t>31, 2025.</w:t>
      </w:r>
      <w:r w:rsidRPr="7E60AC81" w:rsidR="1D8D8FD8">
        <w:rPr>
          <w:rStyle w:val="FootnoteReference"/>
        </w:rPr>
        <w:footnoteReference w:id="37"/>
      </w:r>
      <w:r w:rsidRPr="7E60AC81" w:rsidR="23CD90AB">
        <w:rPr>
          <w:rStyle w:val="FootnoteReference"/>
        </w:rPr>
        <w:t xml:space="preserve"> </w:t>
      </w:r>
      <w:r w:rsidR="6A0FCDD4">
        <w:rPr>
          <w:noProof/>
        </w:rPr>
        <w:drawing>
          <wp:inline distT="0" distB="0" distL="0" distR="0" wp14:anchorId="3D0FD9B7" wp14:editId="23DB9184">
            <wp:extent cx="5943600" cy="4343400"/>
            <wp:effectExtent l="0" t="0" r="0" b="0"/>
            <wp:docPr id="350340879" name="Picture 350340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4343400"/>
                    </a:xfrm>
                    <a:prstGeom prst="rect">
                      <a:avLst/>
                    </a:prstGeom>
                  </pic:spPr>
                </pic:pic>
              </a:graphicData>
            </a:graphic>
          </wp:inline>
        </w:drawing>
      </w:r>
    </w:p>
    <w:p w:rsidR="009453BA" w:rsidP="00445E58" w:rsidRDefault="008261FB" w14:paraId="30D94AA5" w14:textId="77777777">
      <w:pPr>
        <w:pStyle w:val="Heading2"/>
      </w:pPr>
      <w:bookmarkStart w:name="_Toc217632442" w:id="16"/>
      <w:r w:rsidRPr="008261FB">
        <w:t>The 2018 Woolsey Fire</w:t>
      </w:r>
      <w:bookmarkEnd w:id="16"/>
    </w:p>
    <w:p w:rsidRPr="008261FB" w:rsidR="008261FB" w:rsidP="008261FB" w:rsidRDefault="00445E58" w14:paraId="5390DD5D" w14:textId="288F7B08">
      <w:pPr>
        <w:pStyle w:val="Standard"/>
      </w:pPr>
      <w:r>
        <w:t>SCE provide</w:t>
      </w:r>
      <w:r w:rsidR="00CF0D1D">
        <w:t>d</w:t>
      </w:r>
      <w:r>
        <w:t xml:space="preserve"> details of the Woolsey </w:t>
      </w:r>
      <w:r w:rsidR="00C2514D">
        <w:t>Fire</w:t>
      </w:r>
      <w:r>
        <w:t xml:space="preserve"> in its Application and supporting prepared testimony. </w:t>
      </w:r>
      <w:r w:rsidRPr="008261FB" w:rsidR="008261FB">
        <w:t xml:space="preserve">The Woolsey Fire ignited at the </w:t>
      </w:r>
      <w:r w:rsidR="00D23BDE">
        <w:t>Santa </w:t>
      </w:r>
      <w:r w:rsidRPr="008261FB" w:rsidR="008261FB">
        <w:t xml:space="preserve">Susana Field Laboratory in the Simi Valley area of Ventura County on </w:t>
      </w:r>
      <w:r w:rsidR="009453BA">
        <w:t>November </w:t>
      </w:r>
      <w:r w:rsidRPr="008261FB" w:rsidR="008261FB">
        <w:t xml:space="preserve">8, 2018. The ignition area was located on or near SCE facilities carrying the </w:t>
      </w:r>
      <w:r w:rsidRPr="008261FB" w:rsidR="008261FB">
        <w:lastRenderedPageBreak/>
        <w:t>Chatsworth</w:t>
      </w:r>
      <w:r w:rsidR="003B5862">
        <w:noBreakHyphen/>
      </w:r>
      <w:r w:rsidRPr="008261FB" w:rsidR="008261FB">
        <w:t xml:space="preserve">Thrust 66kV </w:t>
      </w:r>
      <w:proofErr w:type="spellStart"/>
      <w:r w:rsidRPr="008261FB" w:rsidR="008261FB">
        <w:t>subtransmission</w:t>
      </w:r>
      <w:proofErr w:type="spellEnd"/>
      <w:r w:rsidRPr="008261FB" w:rsidR="008261FB">
        <w:t xml:space="preserve"> circuit and the Big Rock 16kV distribution circuit.</w:t>
      </w:r>
      <w:r w:rsidR="00357E08">
        <w:rPr>
          <w:rStyle w:val="FootnoteReference"/>
        </w:rPr>
        <w:footnoteReference w:id="38"/>
      </w:r>
      <w:r w:rsidRPr="008261FB" w:rsidR="008261FB">
        <w:t xml:space="preserve"> A report prepared by the Ventura County Fire Department and California Department of Forestry and Fire Protection</w:t>
      </w:r>
      <w:r w:rsidR="001F2860">
        <w:t xml:space="preserve"> </w:t>
      </w:r>
      <w:r w:rsidRPr="008261FB" w:rsidR="008261FB">
        <w:t>(Fire Agency Report) concluded that the Woolsey Fire occurred at approximately 2:22</w:t>
      </w:r>
      <w:r w:rsidR="00153B94">
        <w:t> </w:t>
      </w:r>
      <w:r w:rsidRPr="008261FB" w:rsidR="008261FB">
        <w:t>p.m.</w:t>
      </w:r>
      <w:r w:rsidR="00357E08">
        <w:rPr>
          <w:rStyle w:val="FootnoteReference"/>
        </w:rPr>
        <w:footnoteReference w:id="39"/>
      </w:r>
    </w:p>
    <w:p w:rsidRPr="008261FB" w:rsidR="008261FB" w:rsidP="008261FB" w:rsidRDefault="00357E08" w14:paraId="77892534" w14:textId="14A75270">
      <w:pPr>
        <w:pStyle w:val="Standard"/>
      </w:pPr>
      <w:r>
        <w:t>According to the Joint Motion</w:t>
      </w:r>
      <w:r w:rsidR="00F77EFA">
        <w:t xml:space="preserve"> for Settlement</w:t>
      </w:r>
      <w:r>
        <w:t>, the c</w:t>
      </w:r>
      <w:r w:rsidRPr="008261FB" w:rsidR="008261FB">
        <w:t>limatological and wind factors caused the Woolsey Fire to spread rapidly and intensely.</w:t>
      </w:r>
      <w:r>
        <w:rPr>
          <w:rStyle w:val="FootnoteReference"/>
        </w:rPr>
        <w:footnoteReference w:id="40"/>
      </w:r>
      <w:r w:rsidRPr="008261FB">
        <w:t xml:space="preserve"> </w:t>
      </w:r>
      <w:r w:rsidRPr="008261FB" w:rsidR="008261FB">
        <w:t>The Woolsey Fire occurred during a Red Flag Warning in a remote location.</w:t>
      </w:r>
      <w:r>
        <w:rPr>
          <w:rStyle w:val="FootnoteReference"/>
        </w:rPr>
        <w:footnoteReference w:id="41"/>
      </w:r>
      <w:r w:rsidRPr="008261FB">
        <w:t xml:space="preserve"> </w:t>
      </w:r>
      <w:r w:rsidRPr="008261FB" w:rsidR="008261FB">
        <w:t xml:space="preserve">In the overnight hours of </w:t>
      </w:r>
      <w:r w:rsidR="009453BA">
        <w:t>November </w:t>
      </w:r>
      <w:r w:rsidRPr="008261FB" w:rsidR="008261FB">
        <w:t>8</w:t>
      </w:r>
      <w:r w:rsidR="003B5862">
        <w:noBreakHyphen/>
      </w:r>
      <w:r w:rsidRPr="008261FB" w:rsidR="008261FB">
        <w:t xml:space="preserve">9, </w:t>
      </w:r>
      <w:r>
        <w:t xml:space="preserve">2018 </w:t>
      </w:r>
      <w:r w:rsidRPr="008261FB" w:rsidR="008261FB">
        <w:t xml:space="preserve">high winds led the fire to jump </w:t>
      </w:r>
      <w:r w:rsidR="0076151A">
        <w:t>Highway </w:t>
      </w:r>
      <w:r w:rsidRPr="008261FB" w:rsidR="008261FB">
        <w:t>101, propelling it all the way to the coast in a matter of hours.</w:t>
      </w:r>
      <w:r>
        <w:rPr>
          <w:rStyle w:val="FootnoteReference"/>
        </w:rPr>
        <w:footnoteReference w:id="42"/>
      </w:r>
      <w:r w:rsidRPr="008261FB" w:rsidR="008261FB">
        <w:t xml:space="preserve"> </w:t>
      </w:r>
      <w:r>
        <w:t xml:space="preserve">The Joint Motion </w:t>
      </w:r>
      <w:r w:rsidR="00F77EFA">
        <w:t xml:space="preserve">for Settlement </w:t>
      </w:r>
      <w:r>
        <w:t>states that, a</w:t>
      </w:r>
      <w:r w:rsidRPr="008261FB" w:rsidR="008261FB">
        <w:t>ccording to the Fire Agency Report, the Woolsey Fire burned approximately 97,000 acres in total, destroyed or damaged an estimated 2,007 structures, and resulted in three confirmed fatalities.</w:t>
      </w:r>
      <w:r>
        <w:rPr>
          <w:rStyle w:val="FootnoteReference"/>
        </w:rPr>
        <w:footnoteReference w:id="43"/>
      </w:r>
    </w:p>
    <w:p w:rsidR="008261FB" w:rsidP="008261FB" w:rsidRDefault="008261FB" w14:paraId="0DEB1916" w14:textId="7671F664">
      <w:pPr>
        <w:pStyle w:val="Standard"/>
      </w:pPr>
      <w:r w:rsidRPr="008261FB">
        <w:t>Following the Woolsey Fire, more than 9,100 individual claimants, nearly 400 subrogation plaintiffs and 19 public entities brought claims against SCE.</w:t>
      </w:r>
      <w:r w:rsidR="00357E08">
        <w:rPr>
          <w:rStyle w:val="FootnoteReference"/>
        </w:rPr>
        <w:footnoteReference w:id="44"/>
      </w:r>
      <w:r w:rsidRPr="008261FB" w:rsidR="00357E08">
        <w:t xml:space="preserve"> </w:t>
      </w:r>
      <w:r w:rsidRPr="008261FB">
        <w:t>SCE settled all but a small number of these claims.</w:t>
      </w:r>
      <w:r w:rsidR="00357E08">
        <w:rPr>
          <w:rStyle w:val="FootnoteReference"/>
        </w:rPr>
        <w:footnoteReference w:id="45"/>
      </w:r>
      <w:r w:rsidRPr="008261FB" w:rsidR="00357E08">
        <w:t xml:space="preserve"> </w:t>
      </w:r>
      <w:r w:rsidRPr="008261FB">
        <w:t xml:space="preserve">In managing and resolving these claims, </w:t>
      </w:r>
      <w:r w:rsidR="00CE0484">
        <w:t xml:space="preserve">the Joint Motion </w:t>
      </w:r>
      <w:r w:rsidR="00F77EFA">
        <w:t xml:space="preserve">for Settlement </w:t>
      </w:r>
      <w:r w:rsidR="00CE0484">
        <w:t xml:space="preserve">states that </w:t>
      </w:r>
      <w:r w:rsidRPr="008261FB">
        <w:t xml:space="preserve">SCE recorded outside </w:t>
      </w:r>
      <w:r w:rsidRPr="008261FB">
        <w:lastRenderedPageBreak/>
        <w:t>legal fees and financing costs, which, together with the claims costs, are eligible to be recorded in SCE</w:t>
      </w:r>
      <w:r w:rsidR="00BE4878">
        <w:t>’</w:t>
      </w:r>
      <w:r w:rsidRPr="008261FB">
        <w:t>s WEMA.</w:t>
      </w:r>
      <w:r w:rsidR="00357E08">
        <w:rPr>
          <w:rStyle w:val="FootnoteReference"/>
        </w:rPr>
        <w:footnoteReference w:id="46"/>
      </w:r>
    </w:p>
    <w:p w:rsidR="00357E08" w:rsidP="00357E08" w:rsidRDefault="008261FB" w14:paraId="7D68DB74" w14:textId="0680312F">
      <w:pPr>
        <w:pStyle w:val="Standard"/>
      </w:pPr>
      <w:r w:rsidRPr="008261FB">
        <w:t>SCE replaced over 1,890 poles and 293 transformers, and replaced 161 miles of damaged electrical conductor with covered conductor.</w:t>
      </w:r>
      <w:r w:rsidR="00CE0484">
        <w:rPr>
          <w:rStyle w:val="FootnoteReference"/>
        </w:rPr>
        <w:footnoteReference w:id="47"/>
      </w:r>
      <w:r w:rsidRPr="008261FB">
        <w:t xml:space="preserve"> </w:t>
      </w:r>
      <w:r w:rsidRPr="008261FB" w:rsidR="531084E0">
        <w:t xml:space="preserve">The Joint Motion for Settlement states that </w:t>
      </w:r>
      <w:r w:rsidRPr="008261FB">
        <w:t>SCE deployed resources to safely and promptly restore service to customers, with</w:t>
      </w:r>
      <w:r w:rsidRPr="00357E08" w:rsidR="00357E08">
        <w:rPr>
          <w:rFonts w:ascii="Times New Roman" w:hAnsi="Times New Roman" w:cs="Times New Roman"/>
          <w:color w:val="000000"/>
          <w:sz w:val="23"/>
          <w:szCs w:val="23"/>
        </w:rPr>
        <w:t xml:space="preserve"> </w:t>
      </w:r>
      <w:r w:rsidRPr="00357E08" w:rsidR="00357E08">
        <w:t>full restoration of service within 40 days of the initial ignition.</w:t>
      </w:r>
      <w:r w:rsidR="00CE0484">
        <w:rPr>
          <w:rStyle w:val="FootnoteReference"/>
        </w:rPr>
        <w:footnoteReference w:id="48"/>
      </w:r>
      <w:r w:rsidRPr="00357E08" w:rsidR="00357E08">
        <w:t xml:space="preserve"> SCE recorded eligible incremental restoration</w:t>
      </w:r>
      <w:r w:rsidR="003B5862">
        <w:noBreakHyphen/>
      </w:r>
      <w:r w:rsidRPr="00357E08" w:rsidR="00357E08">
        <w:t>related costs and expenses associated with the Woolsey Fire to SCE</w:t>
      </w:r>
      <w:r w:rsidR="00BE4878">
        <w:t>’</w:t>
      </w:r>
      <w:r w:rsidRPr="00357E08" w:rsidR="00357E08">
        <w:t>s CEMA.</w:t>
      </w:r>
      <w:r w:rsidR="00CE0484">
        <w:rPr>
          <w:rStyle w:val="FootnoteReference"/>
        </w:rPr>
        <w:footnoteReference w:id="49"/>
      </w:r>
    </w:p>
    <w:p w:rsidR="00E0398B" w:rsidP="00E0398B" w:rsidRDefault="0074071A" w14:paraId="2F117716" w14:textId="0F86B8B5">
      <w:pPr>
        <w:pStyle w:val="Heading2"/>
      </w:pPr>
      <w:bookmarkStart w:name="_Toc217632443" w:id="17"/>
      <w:r>
        <w:t xml:space="preserve">Court </w:t>
      </w:r>
      <w:r w:rsidR="00E0398B">
        <w:t>Litigation</w:t>
      </w:r>
      <w:r>
        <w:t xml:space="preserve"> Resulting from Woolsey Fire</w:t>
      </w:r>
      <w:bookmarkEnd w:id="17"/>
    </w:p>
    <w:p w:rsidRPr="00E0398B" w:rsidR="00E0398B" w:rsidP="00D353E8" w:rsidRDefault="0074071A" w14:paraId="33EC198D" w14:textId="02488C7B">
      <w:pPr>
        <w:pStyle w:val="Standard"/>
      </w:pPr>
      <w:r>
        <w:t xml:space="preserve">In the Application, SCE </w:t>
      </w:r>
      <w:r w:rsidR="00445E58">
        <w:t>provide</w:t>
      </w:r>
      <w:r w:rsidR="00CF0D1D">
        <w:t>d</w:t>
      </w:r>
      <w:r w:rsidR="00445E58">
        <w:t xml:space="preserve"> details of the court litigation and </w:t>
      </w:r>
      <w:r>
        <w:t>state</w:t>
      </w:r>
      <w:r w:rsidR="00CF0D1D">
        <w:t>d</w:t>
      </w:r>
      <w:r>
        <w:t xml:space="preserve"> that, b</w:t>
      </w:r>
      <w:r w:rsidRPr="0074071A">
        <w:t>eginning in November 2018 and continuing into June 2024 (when the last lawsuit was</w:t>
      </w:r>
      <w:r>
        <w:t xml:space="preserve"> </w:t>
      </w:r>
      <w:r w:rsidRPr="0074071A">
        <w:t>filed), 656 lawsuits comprising 9,574 plaintiffs were initiated against SCE in connection with the</w:t>
      </w:r>
      <w:r>
        <w:t xml:space="preserve"> 2018 </w:t>
      </w:r>
      <w:r w:rsidRPr="0074071A">
        <w:t>Woolsey Fire.</w:t>
      </w:r>
      <w:r>
        <w:rPr>
          <w:rStyle w:val="FootnoteReference"/>
        </w:rPr>
        <w:footnoteReference w:id="50"/>
      </w:r>
      <w:r w:rsidRPr="0074071A">
        <w:rPr>
          <w:rFonts w:ascii="TimesNewRomanPSMT" w:hAnsi="TimesNewRomanPSMT" w:cs="TimesNewRomanPSMT"/>
          <w:sz w:val="24"/>
          <w:szCs w:val="24"/>
        </w:rPr>
        <w:t xml:space="preserve"> </w:t>
      </w:r>
      <w:r w:rsidRPr="00185FDD">
        <w:t xml:space="preserve">According to </w:t>
      </w:r>
      <w:r w:rsidR="00445E58">
        <w:t>SCE</w:t>
      </w:r>
      <w:r w:rsidRPr="00185FDD">
        <w:t>, given th</w:t>
      </w:r>
      <w:r w:rsidRPr="00185FDD" w:rsidR="00185FDD">
        <w:t xml:space="preserve">e doctrine of inverse condemnation </w:t>
      </w:r>
      <w:r w:rsidRPr="00185FDD">
        <w:t>and considering</w:t>
      </w:r>
      <w:r w:rsidRPr="0074071A">
        <w:t xml:space="preserve"> the risks and costs of litigation, SCE</w:t>
      </w:r>
      <w:r>
        <w:t xml:space="preserve"> </w:t>
      </w:r>
      <w:r w:rsidRPr="0074071A">
        <w:t>decided to resolve the claims</w:t>
      </w:r>
      <w:r>
        <w:t xml:space="preserve"> through</w:t>
      </w:r>
      <w:r w:rsidRPr="0074071A">
        <w:t xml:space="preserve"> settlement negotiations pursuant to a</w:t>
      </w:r>
      <w:r>
        <w:t xml:space="preserve"> </w:t>
      </w:r>
      <w:r w:rsidRPr="0074071A">
        <w:t>court</w:t>
      </w:r>
      <w:r w:rsidR="003B5862">
        <w:noBreakHyphen/>
      </w:r>
      <w:r w:rsidRPr="0074071A">
        <w:t>approved mediation protocol.</w:t>
      </w:r>
      <w:r>
        <w:rPr>
          <w:rStyle w:val="FootnoteReference"/>
        </w:rPr>
        <w:footnoteReference w:id="51"/>
      </w:r>
      <w:r w:rsidRPr="00185FDD" w:rsidR="00185FDD">
        <w:rPr>
          <w:rFonts w:ascii="TimesNewRomanPSMT" w:hAnsi="TimesNewRomanPSMT" w:cs="TimesNewRomanPSMT"/>
          <w:sz w:val="24"/>
          <w:szCs w:val="24"/>
        </w:rPr>
        <w:t xml:space="preserve"> </w:t>
      </w:r>
      <w:r w:rsidRPr="00185FDD" w:rsidR="00185FDD">
        <w:t xml:space="preserve">As of the date of filing the </w:t>
      </w:r>
      <w:r w:rsidRPr="00185FDD" w:rsidR="00185FDD">
        <w:lastRenderedPageBreak/>
        <w:t xml:space="preserve">Application, on </w:t>
      </w:r>
      <w:r w:rsidR="009453BA">
        <w:t>October </w:t>
      </w:r>
      <w:r w:rsidRPr="00185FDD" w:rsidR="00185FDD">
        <w:t xml:space="preserve">8, 2024, SCE </w:t>
      </w:r>
      <w:r w:rsidR="00445E58">
        <w:t>state</w:t>
      </w:r>
      <w:r w:rsidR="00CF0D1D">
        <w:t>d</w:t>
      </w:r>
      <w:r w:rsidR="00445E58">
        <w:t xml:space="preserve"> it</w:t>
      </w:r>
      <w:r w:rsidRPr="00185FDD" w:rsidR="00185FDD">
        <w:t xml:space="preserve"> resolved </w:t>
      </w:r>
      <w:r w:rsidR="00BE4878">
        <w:t>“</w:t>
      </w:r>
      <w:r w:rsidRPr="00185FDD" w:rsidR="00185FDD">
        <w:t>substantially all third</w:t>
      </w:r>
      <w:r w:rsidR="003B5862">
        <w:noBreakHyphen/>
      </w:r>
      <w:r w:rsidRPr="00185FDD" w:rsidR="00185FDD">
        <w:t>party claims brought against it arising from</w:t>
      </w:r>
      <w:r w:rsidR="00185FDD">
        <w:t xml:space="preserve"> </w:t>
      </w:r>
      <w:r w:rsidRPr="00185FDD" w:rsidR="00185FDD">
        <w:t>the Woolsey Fire, representing approximately 92</w:t>
      </w:r>
      <w:r w:rsidR="00F60904">
        <w:t> percent</w:t>
      </w:r>
      <w:r w:rsidRPr="00185FDD" w:rsidR="00185FDD">
        <w:t xml:space="preserve"> of SCE</w:t>
      </w:r>
      <w:r w:rsidR="00BE4878">
        <w:t>’</w:t>
      </w:r>
      <w:r w:rsidRPr="00185FDD" w:rsidR="00185FDD">
        <w:t>s current best estimate of</w:t>
      </w:r>
      <w:r w:rsidR="00185FDD">
        <w:t xml:space="preserve"> </w:t>
      </w:r>
      <w:r w:rsidRPr="00185FDD" w:rsidR="00185FDD">
        <w:t>liabilities for these litigation matters.</w:t>
      </w:r>
      <w:r w:rsidR="00BE4878">
        <w:t>”</w:t>
      </w:r>
      <w:r w:rsidR="000A6499">
        <w:rPr>
          <w:rStyle w:val="FootnoteReference"/>
        </w:rPr>
        <w:footnoteReference w:id="52"/>
      </w:r>
      <w:r w:rsidRPr="00185FDD" w:rsidR="00185FDD">
        <w:t xml:space="preserve"> SCE </w:t>
      </w:r>
      <w:r w:rsidR="00445E58">
        <w:t>further state</w:t>
      </w:r>
      <w:r w:rsidR="00CF0D1D">
        <w:t>d</w:t>
      </w:r>
      <w:r w:rsidR="00445E58">
        <w:t xml:space="preserve"> it </w:t>
      </w:r>
      <w:r w:rsidRPr="00185FDD" w:rsidR="00185FDD">
        <w:t>recorded the claims costs of these settlements in</w:t>
      </w:r>
      <w:r w:rsidR="000A6499">
        <w:t xml:space="preserve"> </w:t>
      </w:r>
      <w:r w:rsidR="00445E58">
        <w:t xml:space="preserve">the </w:t>
      </w:r>
      <w:r w:rsidRPr="00185FDD" w:rsidR="00185FDD">
        <w:t>WEMA.</w:t>
      </w:r>
      <w:r w:rsidR="000A6499">
        <w:rPr>
          <w:rStyle w:val="FootnoteReference"/>
        </w:rPr>
        <w:footnoteReference w:id="53"/>
      </w:r>
      <w:r w:rsidR="000A6499">
        <w:t xml:space="preserve"> </w:t>
      </w:r>
      <w:r w:rsidR="00445E58">
        <w:t>Regarding any</w:t>
      </w:r>
      <w:r w:rsidR="000A6499">
        <w:t xml:space="preserve"> pending claims</w:t>
      </w:r>
      <w:r w:rsidR="00445E58">
        <w:t>, SCE state</w:t>
      </w:r>
      <w:r w:rsidR="00CF0D1D">
        <w:t>d</w:t>
      </w:r>
      <w:r w:rsidR="00445E58">
        <w:t xml:space="preserve"> it</w:t>
      </w:r>
      <w:r w:rsidR="000A6499">
        <w:t xml:space="preserve"> will </w:t>
      </w:r>
      <w:r w:rsidRPr="000A6499" w:rsidR="000A6499">
        <w:t>address</w:t>
      </w:r>
      <w:r w:rsidR="00445E58">
        <w:t xml:space="preserve"> these</w:t>
      </w:r>
      <w:r w:rsidRPr="000A6499" w:rsidR="000A6499">
        <w:t xml:space="preserve"> by a combination of</w:t>
      </w:r>
      <w:r w:rsidR="000A6499">
        <w:t xml:space="preserve"> </w:t>
      </w:r>
      <w:r w:rsidRPr="000A6499" w:rsidR="000A6499">
        <w:t>the $250</w:t>
      </w:r>
      <w:r w:rsidR="00BE4878">
        <w:t> million</w:t>
      </w:r>
      <w:r w:rsidRPr="000A6499" w:rsidR="000A6499">
        <w:t xml:space="preserve"> A</w:t>
      </w:r>
      <w:r w:rsidR="00445E58">
        <w:t>dministrative Consent Order</w:t>
      </w:r>
      <w:r w:rsidRPr="000A6499" w:rsidR="000A6499">
        <w:t xml:space="preserve"> </w:t>
      </w:r>
      <w:r w:rsidR="00C2514D">
        <w:t xml:space="preserve">(ACO) </w:t>
      </w:r>
      <w:r w:rsidRPr="000A6499" w:rsidR="000A6499">
        <w:t>waiver</w:t>
      </w:r>
      <w:r w:rsidR="00445E58">
        <w:t>, described below,</w:t>
      </w:r>
      <w:r w:rsidRPr="000A6499" w:rsidR="000A6499">
        <w:t xml:space="preserve"> and the</w:t>
      </w:r>
      <w:r w:rsidR="005E2F48">
        <w:t xml:space="preserve"> post</w:t>
      </w:r>
      <w:r w:rsidR="003B5862">
        <w:noBreakHyphen/>
      </w:r>
      <w:r w:rsidR="005E2F48">
        <w:t>decision advice letter</w:t>
      </w:r>
      <w:r w:rsidRPr="000A6499" w:rsidR="000A6499">
        <w:t xml:space="preserve"> process </w:t>
      </w:r>
      <w:r w:rsidR="00445E58">
        <w:t>set forth</w:t>
      </w:r>
      <w:r w:rsidRPr="000A6499" w:rsidR="000A6499">
        <w:t xml:space="preserve"> in SCE</w:t>
      </w:r>
      <w:r w:rsidR="000A6499">
        <w:t xml:space="preserve"> Ex</w:t>
      </w:r>
      <w:r w:rsidR="003B5862">
        <w:noBreakHyphen/>
      </w:r>
      <w:r w:rsidRPr="000A6499" w:rsidR="000A6499">
        <w:t>09.</w:t>
      </w:r>
      <w:r w:rsidR="000A6499">
        <w:rPr>
          <w:rStyle w:val="FootnoteReference"/>
        </w:rPr>
        <w:footnoteReference w:id="54"/>
      </w:r>
      <w:r w:rsidR="000A6499">
        <w:t xml:space="preserve"> </w:t>
      </w:r>
      <w:r w:rsidRPr="00555085" w:rsidR="00555085">
        <w:t xml:space="preserve">After a final decision is issued in this proceeding, SCE proposes to submit a </w:t>
      </w:r>
      <w:r w:rsidR="00FE6B08">
        <w:t>Tier 2</w:t>
      </w:r>
      <w:r w:rsidRPr="00555085" w:rsidR="00555085">
        <w:t xml:space="preserve"> advice</w:t>
      </w:r>
      <w:r w:rsidR="00555085">
        <w:t xml:space="preserve"> </w:t>
      </w:r>
      <w:r w:rsidRPr="00555085" w:rsidR="00555085">
        <w:t xml:space="preserve">letter to the Commission for approval of claims paid that were not already resolved in this Application, including the associated outside legal expenses and financing costs. This </w:t>
      </w:r>
      <w:r w:rsidR="00FE6B08">
        <w:t>Tier 2</w:t>
      </w:r>
      <w:r w:rsidRPr="00555085" w:rsidR="00555085">
        <w:t xml:space="preserve"> advice letter will include reductions consistent with SCE</w:t>
      </w:r>
      <w:r w:rsidR="00BE4878">
        <w:t>’</w:t>
      </w:r>
      <w:r w:rsidRPr="00555085" w:rsidR="00555085">
        <w:t xml:space="preserve">s </w:t>
      </w:r>
      <w:r w:rsidRPr="00357E08" w:rsidR="00555085">
        <w:t xml:space="preserve">Administrative Consent Order </w:t>
      </w:r>
      <w:r w:rsidRPr="00555085" w:rsidR="00555085">
        <w:t>waiver and will propose the mechanism by which SCE seeks to recover these costs in customer rates.</w:t>
      </w:r>
      <w:r w:rsidR="004C287E">
        <w:rPr>
          <w:rStyle w:val="FootnoteReference"/>
        </w:rPr>
        <w:footnoteReference w:id="55"/>
      </w:r>
    </w:p>
    <w:p w:rsidRPr="00357E08" w:rsidR="008D4053" w:rsidP="008D4053" w:rsidRDefault="008D4053" w14:paraId="723371D0" w14:textId="236FB41B">
      <w:pPr>
        <w:pStyle w:val="Heading2"/>
      </w:pPr>
      <w:bookmarkStart w:name="_Toc217632444" w:id="18"/>
      <w:r>
        <w:t>Resolution of Commission</w:t>
      </w:r>
      <w:r w:rsidR="00A66750">
        <w:br/>
      </w:r>
      <w:r>
        <w:t>Enforcement Action</w:t>
      </w:r>
      <w:r w:rsidR="00244CC3">
        <w:t xml:space="preserve"> on </w:t>
      </w:r>
      <w:r w:rsidR="00114FCE">
        <w:t>Woo</w:t>
      </w:r>
      <w:r w:rsidR="00202230">
        <w:t>ls</w:t>
      </w:r>
      <w:r w:rsidR="00114FCE">
        <w:t>ey Fire</w:t>
      </w:r>
      <w:bookmarkEnd w:id="18"/>
    </w:p>
    <w:p w:rsidR="009453BA" w:rsidP="00357E08" w:rsidRDefault="00357E08" w14:paraId="06259F40" w14:textId="6FA5F620">
      <w:pPr>
        <w:pStyle w:val="Standard"/>
      </w:pPr>
      <w:r w:rsidRPr="00357E08">
        <w:t xml:space="preserve">On </w:t>
      </w:r>
      <w:r w:rsidR="009453BA">
        <w:t>October </w:t>
      </w:r>
      <w:r w:rsidRPr="00357E08">
        <w:t>21, 2021, SCE and the Commission</w:t>
      </w:r>
      <w:r w:rsidR="00BE4878">
        <w:t>’</w:t>
      </w:r>
      <w:r w:rsidRPr="00357E08">
        <w:t>s Safety and Enforcement Division executed an Administrative Consent Order to resolve allegations that SCE violated certain rules and regulations with respect to the Woolsey Fire and other fires in 2017</w:t>
      </w:r>
      <w:r w:rsidR="003B5862">
        <w:noBreakHyphen/>
      </w:r>
      <w:r w:rsidR="00114FCE">
        <w:t>20</w:t>
      </w:r>
      <w:r w:rsidRPr="00357E08">
        <w:t>18</w:t>
      </w:r>
      <w:r w:rsidR="009E3FBA">
        <w:t>, including the 2017 Thomas Fire</w:t>
      </w:r>
      <w:r w:rsidRPr="00357E08">
        <w:t>.</w:t>
      </w:r>
      <w:r w:rsidR="009E3FBA">
        <w:rPr>
          <w:rStyle w:val="FootnoteReference"/>
        </w:rPr>
        <w:footnoteReference w:id="56"/>
      </w:r>
      <w:r w:rsidRPr="00357E08">
        <w:t xml:space="preserve"> The Commission </w:t>
      </w:r>
      <w:r w:rsidRPr="00357E08">
        <w:lastRenderedPageBreak/>
        <w:t xml:space="preserve">approved the </w:t>
      </w:r>
      <w:r w:rsidR="009E3FBA">
        <w:t xml:space="preserve">Administrative Consent Order </w:t>
      </w:r>
      <w:r w:rsidRPr="00357E08">
        <w:t xml:space="preserve">in </w:t>
      </w:r>
      <w:r w:rsidR="00CD5B71">
        <w:t xml:space="preserve">CPUC </w:t>
      </w:r>
      <w:r w:rsidR="00F52702">
        <w:t>Resolution </w:t>
      </w:r>
      <w:r w:rsidRPr="00357E08">
        <w:t>SED</w:t>
      </w:r>
      <w:r w:rsidR="003B5862">
        <w:noBreakHyphen/>
      </w:r>
      <w:r w:rsidRPr="00357E08">
        <w:t xml:space="preserve">5 on </w:t>
      </w:r>
      <w:r w:rsidR="009453BA">
        <w:t>December </w:t>
      </w:r>
      <w:r w:rsidRPr="00357E08">
        <w:t>16, 2021</w:t>
      </w:r>
      <w:r w:rsidR="00B830A4">
        <w:t>.</w:t>
      </w:r>
      <w:r w:rsidR="009D634A">
        <w:rPr>
          <w:rStyle w:val="FootnoteReference"/>
        </w:rPr>
        <w:footnoteReference w:id="57"/>
      </w:r>
    </w:p>
    <w:p w:rsidR="009D634A" w:rsidP="00EB5C9E" w:rsidRDefault="009D634A" w14:paraId="4014C1DA" w14:textId="4801BC64">
      <w:pPr>
        <w:pStyle w:val="Standard"/>
      </w:pPr>
      <w:r w:rsidRPr="009D634A">
        <w:t>The A</w:t>
      </w:r>
      <w:r>
        <w:t>dministrative Consent Order</w:t>
      </w:r>
      <w:r w:rsidRPr="009D634A">
        <w:t xml:space="preserve"> stipulated that SCE shall pay $110</w:t>
      </w:r>
      <w:r w:rsidR="00BE4878">
        <w:t> million</w:t>
      </w:r>
      <w:r w:rsidRPr="009D634A">
        <w:t xml:space="preserve"> in fines and allocate $65</w:t>
      </w:r>
      <w:r w:rsidR="00BE4878">
        <w:t> million</w:t>
      </w:r>
      <w:r w:rsidRPr="009D634A">
        <w:t xml:space="preserve"> in</w:t>
      </w:r>
      <w:r>
        <w:t xml:space="preserve"> </w:t>
      </w:r>
      <w:r w:rsidRPr="009D634A">
        <w:t>shareholder funds to wildfire safety measures.</w:t>
      </w:r>
      <w:r>
        <w:rPr>
          <w:rStyle w:val="FootnoteReference"/>
        </w:rPr>
        <w:footnoteReference w:id="58"/>
      </w:r>
      <w:r>
        <w:t xml:space="preserve"> </w:t>
      </w:r>
      <w:r w:rsidRPr="009D634A">
        <w:t>The A</w:t>
      </w:r>
      <w:r>
        <w:t>dministrative Consent Order</w:t>
      </w:r>
      <w:r w:rsidRPr="009D634A">
        <w:t xml:space="preserve"> also stipulated that SCE will not seek</w:t>
      </w:r>
      <w:r>
        <w:t xml:space="preserve"> </w:t>
      </w:r>
      <w:r w:rsidRPr="009D634A">
        <w:t>recovery of $250</w:t>
      </w:r>
      <w:r w:rsidR="00BE4878">
        <w:t> million</w:t>
      </w:r>
      <w:r w:rsidRPr="009D634A">
        <w:t xml:space="preserve"> of third</w:t>
      </w:r>
      <w:r w:rsidR="003B5862">
        <w:noBreakHyphen/>
      </w:r>
      <w:r w:rsidRPr="009D634A">
        <w:t>party claims costs related to the Woolsey Fire.</w:t>
      </w:r>
      <w:r>
        <w:rPr>
          <w:rStyle w:val="FootnoteReference"/>
        </w:rPr>
        <w:footnoteReference w:id="59"/>
      </w:r>
      <w:r w:rsidRPr="009D634A">
        <w:t xml:space="preserve"> </w:t>
      </w:r>
      <w:r w:rsidR="006008BB">
        <w:t xml:space="preserve">According to the </w:t>
      </w:r>
      <w:r w:rsidR="00A5385B">
        <w:t xml:space="preserve">Joint Motion for </w:t>
      </w:r>
      <w:r w:rsidR="006008BB">
        <w:t>Settlement, t</w:t>
      </w:r>
      <w:r w:rsidRPr="009D634A">
        <w:t>he A</w:t>
      </w:r>
      <w:r w:rsidR="006008BB">
        <w:t>dministrative Conse</w:t>
      </w:r>
      <w:r w:rsidR="008B1442">
        <w:t>n</w:t>
      </w:r>
      <w:r w:rsidR="006008BB">
        <w:t xml:space="preserve">t Order </w:t>
      </w:r>
      <w:r w:rsidRPr="009D634A">
        <w:t xml:space="preserve">expressly stated that the </w:t>
      </w:r>
      <w:r w:rsidR="006008BB">
        <w:t xml:space="preserve">underlying </w:t>
      </w:r>
      <w:r w:rsidRPr="009D634A">
        <w:t>agreement may not be deemed an admission or evidence of the validity</w:t>
      </w:r>
      <w:r w:rsidR="006008BB">
        <w:t xml:space="preserve"> </w:t>
      </w:r>
      <w:r w:rsidRPr="009D634A">
        <w:t xml:space="preserve">of any </w:t>
      </w:r>
      <w:r w:rsidR="006008BB">
        <w:t xml:space="preserve">of the </w:t>
      </w:r>
      <w:r w:rsidRPr="009D634A">
        <w:t>S</w:t>
      </w:r>
      <w:r w:rsidR="006008BB">
        <w:t>afety Enforcement Division</w:t>
      </w:r>
      <w:r w:rsidRPr="009D634A">
        <w:t xml:space="preserve"> allegations or claims and is not to be construed as an admission or evidence of any</w:t>
      </w:r>
      <w:r w:rsidR="006008BB">
        <w:t xml:space="preserve"> </w:t>
      </w:r>
      <w:r w:rsidRPr="009D634A">
        <w:t>wrongdoing, fault, omission, negligence, imprudence, or liability on the part of SCE.</w:t>
      </w:r>
      <w:r w:rsidR="006008BB">
        <w:rPr>
          <w:rStyle w:val="FootnoteReference"/>
        </w:rPr>
        <w:footnoteReference w:id="60"/>
      </w:r>
      <w:r w:rsidR="00EB5C9E">
        <w:t xml:space="preserve"> The Joint </w:t>
      </w:r>
      <w:r w:rsidR="00A5385B">
        <w:t xml:space="preserve">Motion for </w:t>
      </w:r>
      <w:r w:rsidR="00EB5C9E">
        <w:t>Settlement</w:t>
      </w:r>
      <w:r w:rsidR="00A5385B">
        <w:t xml:space="preserve"> </w:t>
      </w:r>
      <w:r w:rsidR="00EB5C9E">
        <w:t>states that t</w:t>
      </w:r>
      <w:r w:rsidRPr="009D634A">
        <w:t>h</w:t>
      </w:r>
      <w:r w:rsidR="00EB5C9E">
        <w:t xml:space="preserve">is </w:t>
      </w:r>
      <w:r w:rsidRPr="009D634A">
        <w:t>agreement</w:t>
      </w:r>
      <w:r w:rsidR="00EB5C9E">
        <w:t xml:space="preserve"> </w:t>
      </w:r>
      <w:r w:rsidRPr="009D634A">
        <w:t>constitutes a full resolution of the Commission</w:t>
      </w:r>
      <w:r w:rsidR="00BE4878">
        <w:t>’</w:t>
      </w:r>
      <w:r w:rsidRPr="009D634A">
        <w:t>s claims for</w:t>
      </w:r>
      <w:r w:rsidR="00EB5C9E">
        <w:t xml:space="preserve"> </w:t>
      </w:r>
      <w:r w:rsidRPr="009D634A">
        <w:t>penalties based on SCE</w:t>
      </w:r>
      <w:r w:rsidR="00BE4878">
        <w:t>’</w:t>
      </w:r>
      <w:r w:rsidRPr="009D634A">
        <w:t>s alleged violations of Commission rules and regulations.</w:t>
      </w:r>
      <w:r w:rsidR="00EB5C9E">
        <w:rPr>
          <w:rStyle w:val="FootnoteReference"/>
        </w:rPr>
        <w:footnoteReference w:id="61"/>
      </w:r>
    </w:p>
    <w:p w:rsidR="00613C6F" w:rsidP="00613C6F" w:rsidRDefault="00613C6F" w14:paraId="620A3120" w14:textId="6D8856B0">
      <w:pPr>
        <w:pStyle w:val="Heading2"/>
      </w:pPr>
      <w:bookmarkStart w:name="_Toc217632445" w:id="19"/>
      <w:r>
        <w:lastRenderedPageBreak/>
        <w:t>Description of the Accounts under Review</w:t>
      </w:r>
      <w:bookmarkEnd w:id="19"/>
    </w:p>
    <w:p w:rsidR="009453BA" w:rsidP="00613C6F" w:rsidRDefault="00613C6F" w14:paraId="79788947" w14:textId="77777777">
      <w:pPr>
        <w:pStyle w:val="Standard"/>
      </w:pPr>
      <w:r>
        <w:t>SCE</w:t>
      </w:r>
      <w:r w:rsidR="00BE4878">
        <w:t>’</w:t>
      </w:r>
      <w:r>
        <w:t xml:space="preserve">s Application requested recovery of costs recorded in two accounts. </w:t>
      </w:r>
      <w:r w:rsidR="00303CC8">
        <w:t>A description of the two accounts, the WEMA and CEMA, and t</w:t>
      </w:r>
      <w:r>
        <w:t xml:space="preserve">he amounts recorded by SCE to each account are </w:t>
      </w:r>
      <w:r w:rsidR="00303CC8">
        <w:t>described</w:t>
      </w:r>
      <w:r>
        <w:t xml:space="preserve"> below.</w:t>
      </w:r>
    </w:p>
    <w:p w:rsidR="00613C6F" w:rsidP="00AF0AEB" w:rsidRDefault="00AF0AEB" w14:paraId="7EC39836" w14:textId="6C5AFBBE">
      <w:pPr>
        <w:pStyle w:val="Heading3"/>
      </w:pPr>
      <w:bookmarkStart w:name="_Toc217632446" w:id="20"/>
      <w:r>
        <w:t>WEMA</w:t>
      </w:r>
      <w:bookmarkEnd w:id="20"/>
    </w:p>
    <w:p w:rsidR="00AF0AEB" w:rsidP="00270154" w:rsidRDefault="00AF0AEB" w14:paraId="6736F8DB" w14:textId="6F75423D">
      <w:pPr>
        <w:pStyle w:val="Standard"/>
      </w:pPr>
      <w:r w:rsidRPr="00AF0AEB">
        <w:t xml:space="preserve">On </w:t>
      </w:r>
      <w:r w:rsidR="009453BA">
        <w:t>December </w:t>
      </w:r>
      <w:r w:rsidRPr="00AF0AEB">
        <w:t xml:space="preserve">3, 2018, the Commission approved </w:t>
      </w:r>
      <w:r w:rsidR="00244CC3">
        <w:t>SCE</w:t>
      </w:r>
      <w:r w:rsidR="00BE4878">
        <w:t>’</w:t>
      </w:r>
      <w:r w:rsidR="00244CC3">
        <w:t xml:space="preserve">s </w:t>
      </w:r>
      <w:r w:rsidRPr="00AF0AEB">
        <w:t xml:space="preserve">WEMA effective </w:t>
      </w:r>
      <w:r w:rsidR="009453BA">
        <w:t>April </w:t>
      </w:r>
      <w:r w:rsidRPr="00AF0AEB">
        <w:t>3, 2018,</w:t>
      </w:r>
      <w:r>
        <w:t xml:space="preserve"> </w:t>
      </w:r>
      <w:r w:rsidRPr="00AF0AEB">
        <w:t xml:space="preserve">finding it reasonable to establish a WEMA given the </w:t>
      </w:r>
      <w:r w:rsidR="00BE4878">
        <w:t>“</w:t>
      </w:r>
      <w:r w:rsidRPr="00AF0AEB">
        <w:t>current state law [on utility liability for</w:t>
      </w:r>
      <w:r>
        <w:t xml:space="preserve"> </w:t>
      </w:r>
      <w:r w:rsidRPr="00AF0AEB">
        <w:t>wildfires] and its effect on utilities, coupled with a lack of certainty about how, when, and if it</w:t>
      </w:r>
      <w:r>
        <w:t xml:space="preserve"> </w:t>
      </w:r>
      <w:r w:rsidRPr="00AF0AEB">
        <w:t>might change.</w:t>
      </w:r>
      <w:r w:rsidR="00BE4878">
        <w:t>”</w:t>
      </w:r>
      <w:r w:rsidR="00244CC3">
        <w:rPr>
          <w:rStyle w:val="FootnoteReference"/>
        </w:rPr>
        <w:footnoteReference w:id="62"/>
      </w:r>
      <w:r w:rsidRPr="00AF0AEB">
        <w:t xml:space="preserve"> The WEMA is set forth in SCE</w:t>
      </w:r>
      <w:r w:rsidR="00BE4878">
        <w:t>’</w:t>
      </w:r>
      <w:r w:rsidRPr="00AF0AEB">
        <w:t xml:space="preserve">s Preliminary Statement </w:t>
      </w:r>
      <w:r w:rsidR="00C34288">
        <w:t>Part </w:t>
      </w:r>
      <w:r w:rsidRPr="00AF0AEB">
        <w:t>N, which</w:t>
      </w:r>
      <w:r w:rsidR="00014C21">
        <w:t xml:space="preserve"> </w:t>
      </w:r>
      <w:r w:rsidRPr="00AF0AEB">
        <w:t xml:space="preserve">provides that the purpose of the WEMA is to </w:t>
      </w:r>
      <w:r w:rsidR="00BE4878">
        <w:t>“</w:t>
      </w:r>
      <w:r w:rsidRPr="00AF0AEB">
        <w:t>track all amounts paid by [SCE] that are related to</w:t>
      </w:r>
      <w:r w:rsidR="00014C21">
        <w:t xml:space="preserve"> </w:t>
      </w:r>
      <w:r w:rsidRPr="00AF0AEB">
        <w:t>or are the result of a wildfire, and that were not previously authorized in SCE</w:t>
      </w:r>
      <w:r w:rsidR="00BE4878">
        <w:t>’</w:t>
      </w:r>
      <w:r w:rsidRPr="00AF0AEB">
        <w:t>s General Rate</w:t>
      </w:r>
      <w:r w:rsidR="00014C21">
        <w:t xml:space="preserve"> </w:t>
      </w:r>
      <w:r w:rsidRPr="00AF0AEB">
        <w:t>Case</w:t>
      </w:r>
      <w:r w:rsidR="00303CC8">
        <w:t>…</w:t>
      </w:r>
      <w:r w:rsidR="00C755DC">
        <w:t xml:space="preserve"> </w:t>
      </w:r>
      <w:r w:rsidRPr="00AF0AEB">
        <w:t>including</w:t>
      </w:r>
      <w:r w:rsidR="009453BA">
        <w:t xml:space="preserve">:  </w:t>
      </w:r>
      <w:r w:rsidR="00B4198A">
        <w:t>(1) </w:t>
      </w:r>
      <w:r w:rsidRPr="00AF0AEB">
        <w:t>payments to satisfy Wildfire Claims, including any deductibles, coinsurance,</w:t>
      </w:r>
      <w:r w:rsidR="00014C21">
        <w:t xml:space="preserve"> </w:t>
      </w:r>
      <w:r w:rsidRPr="00AF0AEB">
        <w:t xml:space="preserve">and other insurance expenses paid by SCE; </w:t>
      </w:r>
      <w:r w:rsidR="00B4198A">
        <w:t>(2) </w:t>
      </w:r>
      <w:r w:rsidRPr="00AF0AEB">
        <w:t>outside legal expenses incurred in the</w:t>
      </w:r>
      <w:r w:rsidR="00014C21">
        <w:t xml:space="preserve"> </w:t>
      </w:r>
      <w:r w:rsidRPr="00AF0AEB">
        <w:t xml:space="preserve">defense of wildfire claims; </w:t>
      </w:r>
      <w:r w:rsidR="00B4198A">
        <w:t>(3) </w:t>
      </w:r>
      <w:r w:rsidRPr="00AF0AEB">
        <w:t>payments made for liability and property wildfire insurance and</w:t>
      </w:r>
      <w:r w:rsidR="00014C21">
        <w:t xml:space="preserve"> </w:t>
      </w:r>
      <w:r w:rsidRPr="00AF0AEB">
        <w:t>related risk</w:t>
      </w:r>
      <w:r w:rsidR="003B5862">
        <w:noBreakHyphen/>
      </w:r>
      <w:r w:rsidRPr="00AF0AEB">
        <w:t xml:space="preserve">transfer mechanisms; [and] </w:t>
      </w:r>
      <w:r w:rsidR="00B4198A">
        <w:t>(4) </w:t>
      </w:r>
      <w:r w:rsidRPr="00AF0AEB">
        <w:t>the cost of financing these amounts.</w:t>
      </w:r>
      <w:r w:rsidR="00BE4878">
        <w:t>”</w:t>
      </w:r>
      <w:r w:rsidR="00F55D3E">
        <w:rPr>
          <w:rStyle w:val="FootnoteReference"/>
        </w:rPr>
        <w:footnoteReference w:id="63"/>
      </w:r>
      <w:r w:rsidRPr="00AF0AEB">
        <w:t xml:space="preserve"> In approving</w:t>
      </w:r>
      <w:r w:rsidR="00014C21">
        <w:t xml:space="preserve"> </w:t>
      </w:r>
      <w:r w:rsidRPr="00AF0AEB">
        <w:t xml:space="preserve">the WEMA, the Commission directed that </w:t>
      </w:r>
      <w:r w:rsidR="00BE4878">
        <w:t>“</w:t>
      </w:r>
      <w:r w:rsidRPr="00AF0AEB">
        <w:t>[t]he recovery of costs recorded in the WEMA</w:t>
      </w:r>
      <w:r w:rsidR="00014C21">
        <w:t xml:space="preserve"> </w:t>
      </w:r>
      <w:r w:rsidRPr="00AF0AEB">
        <w:t>should be addressed in separate rate recovery proceedings.</w:t>
      </w:r>
      <w:r w:rsidR="00BE4878">
        <w:t>”</w:t>
      </w:r>
      <w:r w:rsidR="00F55D3E">
        <w:rPr>
          <w:rStyle w:val="FootnoteReference"/>
        </w:rPr>
        <w:footnoteReference w:id="64"/>
      </w:r>
    </w:p>
    <w:p w:rsidR="00AF0AEB" w:rsidP="00AF0AEB" w:rsidRDefault="00AF0AEB" w14:paraId="1E50CA86" w14:textId="438F4C0B">
      <w:pPr>
        <w:pStyle w:val="Heading3"/>
      </w:pPr>
      <w:bookmarkStart w:name="_Toc217632447" w:id="22"/>
      <w:r>
        <w:lastRenderedPageBreak/>
        <w:t>CEMA</w:t>
      </w:r>
      <w:bookmarkEnd w:id="22"/>
    </w:p>
    <w:p w:rsidR="00613C6F" w:rsidP="008154DD" w:rsidRDefault="00E41405" w14:paraId="6A5594BF" w14:textId="23AE01BD">
      <w:pPr>
        <w:pStyle w:val="Standard"/>
      </w:pPr>
      <w:r>
        <w:t>SCE established a CEMA for the Woolsey Fire.</w:t>
      </w:r>
      <w:r w:rsidR="00270154">
        <w:rPr>
          <w:rStyle w:val="FootnoteReference"/>
        </w:rPr>
        <w:footnoteReference w:id="65"/>
      </w:r>
      <w:r>
        <w:t xml:space="preserve"> </w:t>
      </w:r>
      <w:r w:rsidR="00270154">
        <w:t>The framework for CEMA accounts is set forth in statutory law</w:t>
      </w:r>
      <w:r w:rsidR="00210046">
        <w:t xml:space="preserve">, </w:t>
      </w:r>
      <w:r w:rsidR="00CD0DC1">
        <w:t>Pub. Util.</w:t>
      </w:r>
      <w:r w:rsidRPr="00210046" w:rsidR="00210046">
        <w:t xml:space="preserve"> Code </w:t>
      </w:r>
      <w:r w:rsidR="00F4321E">
        <w:t>Section </w:t>
      </w:r>
      <w:r w:rsidRPr="00210046" w:rsidR="00210046">
        <w:t>454.9</w:t>
      </w:r>
      <w:r w:rsidR="00270154">
        <w:t xml:space="preserve">. </w:t>
      </w:r>
      <w:r>
        <w:t xml:space="preserve">The Commission has authorized SCE to establish CEMA accounts and to record in those accounts the costs of </w:t>
      </w:r>
      <w:r w:rsidR="00B4198A">
        <w:t>(1) </w:t>
      </w:r>
      <w:r>
        <w:t xml:space="preserve">restoring utility service to customers; </w:t>
      </w:r>
      <w:r w:rsidR="00B4198A">
        <w:t>(2) </w:t>
      </w:r>
      <w:r>
        <w:t xml:space="preserve">repairing, replacing, or restoring damaged utility facilities; and </w:t>
      </w:r>
      <w:r w:rsidR="00B4198A">
        <w:t>(3) </w:t>
      </w:r>
      <w:r>
        <w:t>complying with governmental agency orders resulting from declared disasters.</w:t>
      </w:r>
      <w:r w:rsidR="00270154">
        <w:rPr>
          <w:rStyle w:val="FootnoteReference"/>
        </w:rPr>
        <w:footnoteReference w:id="66"/>
      </w:r>
      <w:r>
        <w:t xml:space="preserve"> </w:t>
      </w:r>
      <w:r w:rsidR="00210046">
        <w:t>SCE states that o</w:t>
      </w:r>
      <w:r>
        <w:t xml:space="preserve">n </w:t>
      </w:r>
      <w:r w:rsidR="009453BA">
        <w:t>November </w:t>
      </w:r>
      <w:r>
        <w:t>15, 2018, SCE notified the Commission</w:t>
      </w:r>
      <w:r w:rsidR="00BE4878">
        <w:t>’</w:t>
      </w:r>
      <w:r>
        <w:t>s Executive Director that it activated</w:t>
      </w:r>
      <w:r w:rsidR="00210046">
        <w:t xml:space="preserve"> a</w:t>
      </w:r>
      <w:r>
        <w:t xml:space="preserve"> CEMA </w:t>
      </w:r>
      <w:r w:rsidR="00210046">
        <w:t xml:space="preserve">account </w:t>
      </w:r>
      <w:r>
        <w:t>for the Woolsey Fire.</w:t>
      </w:r>
      <w:r w:rsidR="00210046">
        <w:rPr>
          <w:rStyle w:val="FootnoteReference"/>
        </w:rPr>
        <w:footnoteReference w:id="67"/>
      </w:r>
      <w:r w:rsidR="00210046">
        <w:t xml:space="preserve"> </w:t>
      </w:r>
      <w:r>
        <w:t xml:space="preserve">SCE </w:t>
      </w:r>
      <w:r w:rsidR="00210046">
        <w:t xml:space="preserve">states it </w:t>
      </w:r>
      <w:r>
        <w:t xml:space="preserve">recorded in </w:t>
      </w:r>
      <w:r w:rsidR="00210046">
        <w:t xml:space="preserve">this </w:t>
      </w:r>
      <w:r>
        <w:t>CEMA the expenses incurred to restore service to customers and repair or replace facilities damaged in the Woolsey Fire.</w:t>
      </w:r>
      <w:r w:rsidR="00210046">
        <w:rPr>
          <w:rStyle w:val="FootnoteReference"/>
        </w:rPr>
        <w:footnoteReference w:id="68"/>
      </w:r>
    </w:p>
    <w:p w:rsidR="00C8495A" w:rsidP="00B248B1" w:rsidRDefault="00C8495A" w14:paraId="7BBA8688" w14:textId="50FFF0E7">
      <w:pPr>
        <w:pStyle w:val="Heading1"/>
      </w:pPr>
      <w:bookmarkStart w:name="_Toc217632448" w:id="23"/>
      <w:r>
        <w:t>Parties</w:t>
      </w:r>
      <w:r w:rsidR="00BE4878">
        <w:t>’</w:t>
      </w:r>
      <w:r>
        <w:t xml:space="preserve"> </w:t>
      </w:r>
      <w:r w:rsidR="00617427">
        <w:t>Litigation Positions</w:t>
      </w:r>
      <w:r w:rsidR="00D23BDE">
        <w:br/>
      </w:r>
      <w:r w:rsidR="00617427">
        <w:t xml:space="preserve">and </w:t>
      </w:r>
      <w:r w:rsidR="00E07BC0">
        <w:t>Review of SCE Request</w:t>
      </w:r>
      <w:bookmarkEnd w:id="23"/>
    </w:p>
    <w:p w:rsidR="009453BA" w:rsidP="00411347" w:rsidRDefault="003708E7" w14:paraId="07765F64" w14:textId="3C0A0E6E">
      <w:pPr>
        <w:pStyle w:val="Standard"/>
      </w:pPr>
      <w:r>
        <w:t>Cal Advoc</w:t>
      </w:r>
      <w:r w:rsidRPr="009A6F0C" w:rsidR="009A6F0C">
        <w:t xml:space="preserve">ates served extensive discovery on SCE, </w:t>
      </w:r>
      <w:r w:rsidR="00D23BDE">
        <w:t>San </w:t>
      </w:r>
      <w:r w:rsidRPr="009A6F0C" w:rsidR="009A6F0C">
        <w:t>Diego Gas</w:t>
      </w:r>
      <w:r w:rsidR="00D23BDE">
        <w:t xml:space="preserve"> &amp; </w:t>
      </w:r>
      <w:r w:rsidRPr="009A6F0C" w:rsidR="009A6F0C">
        <w:t>Electric Company (SDG&amp;E), and Pacific Gas and Electric Company (PG&amp;E) on issues related to SCE</w:t>
      </w:r>
      <w:r w:rsidR="00BE4878">
        <w:t>’</w:t>
      </w:r>
      <w:r w:rsidRPr="009A6F0C" w:rsidR="009A6F0C">
        <w:t xml:space="preserve">s Application and </w:t>
      </w:r>
      <w:r w:rsidR="00110790">
        <w:t xml:space="preserve">prepared </w:t>
      </w:r>
      <w:r w:rsidRPr="009A6F0C" w:rsidR="009A6F0C">
        <w:t>testimony.</w:t>
      </w:r>
      <w:r w:rsidR="00B02ADC">
        <w:t xml:space="preserve"> </w:t>
      </w:r>
      <w:r w:rsidRPr="005A7621" w:rsidR="005A7621">
        <w:t>In addition to 87</w:t>
      </w:r>
      <w:r w:rsidR="00BF070A">
        <w:t xml:space="preserve"> </w:t>
      </w:r>
      <w:r w:rsidRPr="005A7621" w:rsidR="005A7621">
        <w:t xml:space="preserve">data requests served on SCE, </w:t>
      </w:r>
      <w:r>
        <w:t>Cal Advoc</w:t>
      </w:r>
      <w:r w:rsidRPr="005A7621" w:rsidR="005A7621">
        <w:t xml:space="preserve">ates served </w:t>
      </w:r>
      <w:r w:rsidR="00BF070A">
        <w:t xml:space="preserve">four </w:t>
      </w:r>
      <w:r w:rsidRPr="005A7621" w:rsidR="005A7621">
        <w:t xml:space="preserve">data requests on SDG&amp;E and </w:t>
      </w:r>
      <w:r w:rsidR="00BF070A">
        <w:t>two</w:t>
      </w:r>
      <w:r w:rsidRPr="005A7621" w:rsidR="005A7621">
        <w:t xml:space="preserve"> data requests on PG&amp;E.</w:t>
      </w:r>
      <w:r w:rsidR="001F6927">
        <w:t xml:space="preserve"> </w:t>
      </w:r>
      <w:r w:rsidRPr="009A6F0C" w:rsidR="00411347">
        <w:t xml:space="preserve">On </w:t>
      </w:r>
      <w:r w:rsidR="009453BA">
        <w:t>June </w:t>
      </w:r>
      <w:r w:rsidRPr="009A6F0C" w:rsidR="00411347">
        <w:t xml:space="preserve">3, 2025, </w:t>
      </w:r>
      <w:r>
        <w:t>Cal Advoc</w:t>
      </w:r>
      <w:r w:rsidRPr="009A6F0C" w:rsidR="00411347">
        <w:t xml:space="preserve">ates submitted 11 </w:t>
      </w:r>
      <w:r w:rsidRPr="009A6F0C" w:rsidR="009A6F0C">
        <w:t>chapters of prepared testimony</w:t>
      </w:r>
      <w:r w:rsidR="00BF070A">
        <w:t xml:space="preserve"> that were </w:t>
      </w:r>
      <w:r w:rsidRPr="009A6F0C" w:rsidR="009A6F0C">
        <w:t xml:space="preserve">sponsored by </w:t>
      </w:r>
      <w:r w:rsidR="00BF070A">
        <w:t>eight</w:t>
      </w:r>
      <w:r w:rsidRPr="009A6F0C" w:rsidR="009A6F0C">
        <w:t xml:space="preserve"> witnesses and, together with associated attachments, totaled approximately 4,900 pages. </w:t>
      </w:r>
      <w:r>
        <w:t>Cal Advoc</w:t>
      </w:r>
      <w:r w:rsidRPr="009A6F0C" w:rsidR="009A6F0C">
        <w:t>ates</w:t>
      </w:r>
      <w:r w:rsidR="00BE4878">
        <w:t>’</w:t>
      </w:r>
      <w:r w:rsidRPr="009A6F0C" w:rsidR="009A6F0C">
        <w:t xml:space="preserve"> testimony addressed a wide range of issues related to SCE</w:t>
      </w:r>
      <w:r w:rsidR="00BE4878">
        <w:t>’</w:t>
      </w:r>
      <w:r w:rsidRPr="009A6F0C" w:rsidR="009A6F0C">
        <w:t xml:space="preserve">s Application and </w:t>
      </w:r>
      <w:r w:rsidR="00FB69C8">
        <w:t xml:space="preserve">prepared </w:t>
      </w:r>
      <w:r w:rsidRPr="009A6F0C" w:rsidR="009A6F0C">
        <w:t>testimony</w:t>
      </w:r>
      <w:r w:rsidR="00411347">
        <w:t xml:space="preserve">, with a </w:t>
      </w:r>
      <w:r w:rsidRPr="009A6F0C" w:rsidR="009A6F0C">
        <w:t xml:space="preserve">focus on </w:t>
      </w:r>
      <w:r w:rsidR="006A1A23">
        <w:t xml:space="preserve">considerations </w:t>
      </w:r>
      <w:r w:rsidRPr="009A6F0C" w:rsidR="009A6F0C">
        <w:t xml:space="preserve">SCE </w:t>
      </w:r>
      <w:r w:rsidRPr="009A6F0C" w:rsidR="009A6F0C">
        <w:lastRenderedPageBreak/>
        <w:t>should have made in response to wildfire risk including the history of prior utility</w:t>
      </w:r>
      <w:r w:rsidR="003B5862">
        <w:noBreakHyphen/>
      </w:r>
      <w:r w:rsidRPr="009A6F0C" w:rsidR="009A6F0C">
        <w:t>related wildfires in SCE</w:t>
      </w:r>
      <w:r w:rsidR="00BE4878">
        <w:t>’</w:t>
      </w:r>
      <w:r w:rsidRPr="009A6F0C" w:rsidR="009A6F0C">
        <w:t>s service area during Red Flag conditions; local geography and environmental risk factors in the area where the Woolsey Fire ignited and risk factors specific to the SCE circuit at issue; and situational awareness and wildfire mitigation measures that could have prevented or reduced the risk of wildfires, including more weather stations to support a more robust Public Safety Power Shutoff</w:t>
      </w:r>
      <w:r w:rsidR="0079307F">
        <w:t xml:space="preserve"> </w:t>
      </w:r>
      <w:r w:rsidRPr="0079307F" w:rsidR="0079307F">
        <w:t xml:space="preserve">program </w:t>
      </w:r>
      <w:r w:rsidR="006A1A23">
        <w:t>similar to the program that</w:t>
      </w:r>
      <w:r w:rsidRPr="0079307F" w:rsidR="0079307F">
        <w:t xml:space="preserve"> SDG&amp;E implemented. </w:t>
      </w:r>
      <w:r>
        <w:t>Cal Advoc</w:t>
      </w:r>
      <w:r w:rsidRPr="0079307F" w:rsidR="0079307F">
        <w:t xml:space="preserve">ates stated deficiencies </w:t>
      </w:r>
      <w:r w:rsidR="006A1A23">
        <w:t xml:space="preserve">existed </w:t>
      </w:r>
      <w:r w:rsidRPr="0079307F" w:rsidR="0079307F">
        <w:t>in SCE</w:t>
      </w:r>
      <w:r w:rsidR="00BE4878">
        <w:t>’</w:t>
      </w:r>
      <w:r w:rsidRPr="0079307F" w:rsidR="0079307F">
        <w:t>s design, construction, and inspection practices at the facilities associated with the Woolsey Fire</w:t>
      </w:r>
      <w:r w:rsidR="00BE4878">
        <w:t>’</w:t>
      </w:r>
      <w:r w:rsidRPr="0079307F" w:rsidR="0079307F">
        <w:t>s ignition, specifically in relation to down guy wires and pole loading, and deficiencies in SCE</w:t>
      </w:r>
      <w:r w:rsidR="00BE4878">
        <w:t>’</w:t>
      </w:r>
      <w:r w:rsidRPr="0079307F" w:rsidR="0079307F">
        <w:t>s utility operations, telecommunications operations, asset management, recordkeeping, and system protection practices.</w:t>
      </w:r>
    </w:p>
    <w:p w:rsidR="009453BA" w:rsidP="003A5BAD" w:rsidRDefault="0079307F" w14:paraId="2F2892F4" w14:textId="0E003CC3">
      <w:pPr>
        <w:pStyle w:val="Standard"/>
      </w:pPr>
      <w:r w:rsidRPr="0079307F">
        <w:t>EPUC submitted a chapter of prepared testimony sponsored by an independent expert and, together with associated attachments</w:t>
      </w:r>
      <w:r w:rsidR="001462AD">
        <w:t>,</w:t>
      </w:r>
      <w:r w:rsidR="00666C9E">
        <w:t xml:space="preserve"> EPU</w:t>
      </w:r>
      <w:r w:rsidR="006C7B25">
        <w:t>C</w:t>
      </w:r>
      <w:r w:rsidR="00BE4878">
        <w:t>’</w:t>
      </w:r>
      <w:r w:rsidR="00666C9E">
        <w:t>s</w:t>
      </w:r>
      <w:r w:rsidRPr="0079307F">
        <w:t xml:space="preserve"> </w:t>
      </w:r>
      <w:r w:rsidR="00666C9E">
        <w:t xml:space="preserve">prepared </w:t>
      </w:r>
      <w:r w:rsidRPr="0079307F">
        <w:t>testimony totaled approximately 140 pages. EPUC</w:t>
      </w:r>
      <w:r w:rsidR="00BE4878">
        <w:t>’</w:t>
      </w:r>
      <w:r w:rsidRPr="0079307F">
        <w:t xml:space="preserve">s </w:t>
      </w:r>
      <w:r w:rsidR="006A1A23">
        <w:t xml:space="preserve">prepared </w:t>
      </w:r>
      <w:r w:rsidRPr="0079307F">
        <w:t xml:space="preserve">testimony was supported by alleged findings and conclusions in the Fire Agency Report and the report prepared by the </w:t>
      </w:r>
      <w:r w:rsidR="006F24B8">
        <w:t>Commission</w:t>
      </w:r>
      <w:r w:rsidR="00BE4878">
        <w:t>’</w:t>
      </w:r>
      <w:r w:rsidR="006F24B8">
        <w:t xml:space="preserve">s Safety and Enforcement Division </w:t>
      </w:r>
      <w:r w:rsidRPr="0079307F">
        <w:t>related to the Woolsey Fire, and SCE filed testimony and</w:t>
      </w:r>
      <w:r w:rsidR="004A4558">
        <w:t xml:space="preserve"> r</w:t>
      </w:r>
      <w:r w:rsidRPr="004A4558" w:rsidR="004A4558">
        <w:t xml:space="preserve">esponses to discovery for the referenced reports and testimony. EPUC examined SCE claims and evidence that contrary to the Fire Agency Report and </w:t>
      </w:r>
      <w:r w:rsidR="00855CEA">
        <w:t>the Commission</w:t>
      </w:r>
      <w:r w:rsidR="00BE4878">
        <w:t>’</w:t>
      </w:r>
      <w:r w:rsidR="00855CEA">
        <w:t>s Safety and Enforcement Division</w:t>
      </w:r>
      <w:r w:rsidRPr="004A4558" w:rsidR="004A4558">
        <w:t xml:space="preserve"> report, it complied with </w:t>
      </w:r>
      <w:r w:rsidR="00694A98">
        <w:t>G</w:t>
      </w:r>
      <w:r w:rsidR="00A444A1">
        <w:t xml:space="preserve">eneral </w:t>
      </w:r>
      <w:r w:rsidR="00694A98">
        <w:t>O</w:t>
      </w:r>
      <w:r w:rsidR="00A444A1">
        <w:t>rder</w:t>
      </w:r>
      <w:r w:rsidR="00694A98">
        <w:t> </w:t>
      </w:r>
      <w:r w:rsidRPr="004A4558" w:rsidR="004A4558">
        <w:t xml:space="preserve">95 safety regulations on the infrastructure that was responsible for igniting the Woolsey Fire. </w:t>
      </w:r>
      <w:r w:rsidR="006A1A23">
        <w:t xml:space="preserve">In prepared testimony, </w:t>
      </w:r>
      <w:r w:rsidRPr="004A4558" w:rsidR="004A4558">
        <w:t xml:space="preserve">EPUC argued that evidence and findings demonstrated that SCE failed to comply with </w:t>
      </w:r>
      <w:r w:rsidR="00694A98">
        <w:t>G</w:t>
      </w:r>
      <w:r w:rsidR="00A444A1">
        <w:t xml:space="preserve">eneral </w:t>
      </w:r>
      <w:r w:rsidR="00694A98">
        <w:t>O</w:t>
      </w:r>
      <w:r w:rsidR="00A444A1">
        <w:t>rder</w:t>
      </w:r>
      <w:r w:rsidR="00694A98">
        <w:t> </w:t>
      </w:r>
      <w:r w:rsidRPr="004A4558" w:rsidR="004A4558">
        <w:t>95 regulations and thus it did not satisfy the prudent manager standard. EPUC recommended that the Commission deny SCE</w:t>
      </w:r>
      <w:r w:rsidR="00BE4878">
        <w:t>’</w:t>
      </w:r>
      <w:r w:rsidRPr="004A4558" w:rsidR="004A4558">
        <w:t>s proposed cost recovery in its entirety. EPUC</w:t>
      </w:r>
      <w:r w:rsidR="00BE4878">
        <w:t>’</w:t>
      </w:r>
      <w:r w:rsidRPr="004A4558" w:rsidR="004A4558">
        <w:t xml:space="preserve">s </w:t>
      </w:r>
      <w:r w:rsidR="006A1A23">
        <w:lastRenderedPageBreak/>
        <w:t xml:space="preserve">prepared </w:t>
      </w:r>
      <w:r w:rsidRPr="004A4558" w:rsidR="004A4558">
        <w:t>testimony also responded to SCE</w:t>
      </w:r>
      <w:r w:rsidR="00BE4878">
        <w:t>’</w:t>
      </w:r>
      <w:r w:rsidRPr="004A4558" w:rsidR="004A4558">
        <w:t>s claim that denial of its requested WEMA relief of full cost recovery would harm customers by negatively impacting SCE</w:t>
      </w:r>
      <w:r w:rsidR="00BE4878">
        <w:t>’</w:t>
      </w:r>
      <w:r w:rsidRPr="004A4558" w:rsidR="004A4558">
        <w:t>s credit rating and access to capital. EPUC argued that allowing SCE to recover imprudent costs would harm customers and to the contrary, if recovery of imprudent costs is denied, SCE would be able to restore its financial standing without unjust charges to customers.</w:t>
      </w:r>
      <w:r w:rsidR="003A5BAD">
        <w:t xml:space="preserve"> </w:t>
      </w:r>
      <w:r w:rsidRPr="00F542D9" w:rsidR="00F542D9">
        <w:t xml:space="preserve">EPUC served </w:t>
      </w:r>
      <w:r w:rsidR="00F542D9">
        <w:t xml:space="preserve">prepared </w:t>
      </w:r>
      <w:r w:rsidRPr="00F542D9" w:rsidR="00F542D9">
        <w:t>rebuttal testimony. EPUC</w:t>
      </w:r>
      <w:r w:rsidR="00BE4878">
        <w:t>’</w:t>
      </w:r>
      <w:r w:rsidRPr="00F542D9" w:rsidR="00F542D9">
        <w:t xml:space="preserve">s </w:t>
      </w:r>
      <w:r w:rsidR="00F542D9">
        <w:t xml:space="preserve">prepared rebuttal </w:t>
      </w:r>
      <w:r w:rsidRPr="00F542D9" w:rsidR="00F542D9">
        <w:t xml:space="preserve">testimony reiterated and agreed with portions of </w:t>
      </w:r>
      <w:r w:rsidR="003708E7">
        <w:t>Cal Advoc</w:t>
      </w:r>
      <w:r w:rsidRPr="00F542D9" w:rsidR="00F542D9">
        <w:t>ates</w:t>
      </w:r>
      <w:r w:rsidR="00BE4878">
        <w:t>’</w:t>
      </w:r>
      <w:r w:rsidRPr="00F542D9" w:rsidR="00F542D9">
        <w:t xml:space="preserve"> </w:t>
      </w:r>
      <w:r w:rsidR="00F542D9">
        <w:t xml:space="preserve">prepared </w:t>
      </w:r>
      <w:r w:rsidRPr="00F542D9" w:rsidR="00F542D9">
        <w:t>testimony.</w:t>
      </w:r>
    </w:p>
    <w:p w:rsidR="00F542D9" w:rsidP="006812F1" w:rsidRDefault="003A5BAD" w14:paraId="40CB72E8" w14:textId="633624A4">
      <w:pPr>
        <w:pStyle w:val="Standard"/>
      </w:pPr>
      <w:r>
        <w:t xml:space="preserve">While SBUA did not serve prepared direct testimony, </w:t>
      </w:r>
      <w:r w:rsidRPr="00F542D9" w:rsidR="00F542D9">
        <w:t>SBUA</w:t>
      </w:r>
      <w:r w:rsidR="00F542D9">
        <w:t xml:space="preserve"> served </w:t>
      </w:r>
      <w:r w:rsidR="00B019AD">
        <w:t xml:space="preserve">prepared </w:t>
      </w:r>
      <w:r w:rsidR="00F542D9">
        <w:t>rebuttal testimony</w:t>
      </w:r>
      <w:r w:rsidRPr="00F542D9" w:rsidR="00F542D9">
        <w:t xml:space="preserve"> </w:t>
      </w:r>
      <w:r w:rsidR="00B019AD">
        <w:t xml:space="preserve">and </w:t>
      </w:r>
      <w:r w:rsidRPr="00F542D9" w:rsidR="00F542D9">
        <w:t>disagreed with EPUC and SCE</w:t>
      </w:r>
      <w:r w:rsidR="00BE4878">
        <w:t>’</w:t>
      </w:r>
      <w:r w:rsidRPr="00F542D9" w:rsidR="00F542D9">
        <w:t>s testimony regarding the nature of the prudent manager standard and the assumptions</w:t>
      </w:r>
      <w:r>
        <w:t xml:space="preserve"> </w:t>
      </w:r>
      <w:r w:rsidRPr="003A5BAD">
        <w:t>underlying SCE</w:t>
      </w:r>
      <w:r w:rsidR="00BE4878">
        <w:t>’</w:t>
      </w:r>
      <w:r w:rsidRPr="003A5BAD">
        <w:t>s calculation of estimated annual revenue requirements for recovering the claims amounts, and addressed trailing costs</w:t>
      </w:r>
      <w:r>
        <w:t>.</w:t>
      </w:r>
    </w:p>
    <w:p w:rsidRPr="006A7AA2" w:rsidR="006A7AA2" w:rsidP="006A7AA2" w:rsidRDefault="006A7AA2" w14:paraId="36EE4D61" w14:textId="73CB10D6">
      <w:pPr>
        <w:pStyle w:val="Heading1"/>
      </w:pPr>
      <w:bookmarkStart w:name="_Toc217632449" w:id="24"/>
      <w:r>
        <w:t>Settlement Agreement</w:t>
      </w:r>
      <w:bookmarkEnd w:id="24"/>
    </w:p>
    <w:p w:rsidR="00361E35" w:rsidP="006A7AA2" w:rsidRDefault="00BA5670" w14:paraId="4DD15545" w14:textId="7BD2DB33">
      <w:pPr>
        <w:pStyle w:val="Standard"/>
      </w:pPr>
      <w:r w:rsidRPr="00C412E3">
        <w:t xml:space="preserve">The Settlement Agreement </w:t>
      </w:r>
      <w:r w:rsidR="00303CC8">
        <w:t xml:space="preserve">provides a description of </w:t>
      </w:r>
      <w:r w:rsidRPr="00C412E3">
        <w:t>th</w:t>
      </w:r>
      <w:r w:rsidR="00303CC8">
        <w:t>is</w:t>
      </w:r>
      <w:r w:rsidRPr="00C412E3">
        <w:t xml:space="preserve"> proceeding and the </w:t>
      </w:r>
      <w:r w:rsidRPr="00C412E3" w:rsidR="00A7367B">
        <w:t>negotiation process</w:t>
      </w:r>
      <w:r w:rsidRPr="00C412E3">
        <w:t xml:space="preserve"> between the Settling Parties. It </w:t>
      </w:r>
      <w:r w:rsidR="00303CC8">
        <w:t xml:space="preserve">also </w:t>
      </w:r>
      <w:r w:rsidRPr="00C412E3">
        <w:t xml:space="preserve">includes the procedural history and </w:t>
      </w:r>
      <w:r w:rsidR="00303CC8">
        <w:t xml:space="preserve">details of the </w:t>
      </w:r>
      <w:r w:rsidRPr="00C412E3" w:rsidR="00A7367B">
        <w:t xml:space="preserve">extensive engagement by </w:t>
      </w:r>
      <w:r w:rsidR="003708E7">
        <w:t>Cal Advoc</w:t>
      </w:r>
      <w:r w:rsidRPr="00C412E3">
        <w:t>ates</w:t>
      </w:r>
      <w:r w:rsidRPr="00C412E3" w:rsidR="00A7367B">
        <w:t xml:space="preserve"> and EPUC and</w:t>
      </w:r>
      <w:r w:rsidR="00303CC8">
        <w:t xml:space="preserve"> </w:t>
      </w:r>
      <w:r w:rsidRPr="00C412E3" w:rsidR="00A7367B">
        <w:t>to a less</w:t>
      </w:r>
      <w:r w:rsidRPr="00C412E3" w:rsidR="705C2DA2">
        <w:t>er</w:t>
      </w:r>
      <w:r w:rsidRPr="00C412E3" w:rsidR="00A7367B">
        <w:t xml:space="preserve"> extent</w:t>
      </w:r>
      <w:r w:rsidR="00303CC8">
        <w:t xml:space="preserve"> </w:t>
      </w:r>
      <w:r w:rsidRPr="00C412E3" w:rsidR="00A7367B">
        <w:t>SBUA</w:t>
      </w:r>
      <w:r w:rsidRPr="00C412E3">
        <w:t xml:space="preserve">, along with a description of the </w:t>
      </w:r>
      <w:r w:rsidRPr="00C412E3" w:rsidR="00A7367B">
        <w:t xml:space="preserve">Woolsey </w:t>
      </w:r>
      <w:r w:rsidRPr="00C412E3">
        <w:t xml:space="preserve">Fire. It also includes a summary of </w:t>
      </w:r>
      <w:r w:rsidRPr="00C412E3" w:rsidR="000134DE">
        <w:t xml:space="preserve">prepared </w:t>
      </w:r>
      <w:r w:rsidRPr="00C412E3">
        <w:t>testimony,</w:t>
      </w:r>
      <w:r w:rsidR="008B1442">
        <w:rPr>
          <w:rStyle w:val="FootnoteReference"/>
        </w:rPr>
        <w:footnoteReference w:id="69"/>
      </w:r>
      <w:r w:rsidRPr="00694A98">
        <w:rPr>
          <w:rFonts w:cs="Palatino Linotype"/>
        </w:rPr>
        <w:t xml:space="preserve"> </w:t>
      </w:r>
      <w:r w:rsidRPr="00694A98" w:rsidR="0050187F">
        <w:rPr>
          <w:rFonts w:cs="Palatino Linotype"/>
        </w:rPr>
        <w:t xml:space="preserve">the extensive </w:t>
      </w:r>
      <w:r w:rsidRPr="00694A98" w:rsidR="0050187F">
        <w:rPr>
          <w:rFonts w:cs="Palatino Linotype"/>
        </w:rPr>
        <w:lastRenderedPageBreak/>
        <w:t>discovery,</w:t>
      </w:r>
      <w:r w:rsidRPr="00694A98" w:rsidR="00A804C5">
        <w:rPr>
          <w:rStyle w:val="FootnoteReference"/>
          <w:rFonts w:cs="Palatino Linotype"/>
        </w:rPr>
        <w:footnoteReference w:id="70"/>
      </w:r>
      <w:r w:rsidRPr="00694A98" w:rsidR="0050187F">
        <w:rPr>
          <w:rFonts w:cs="Palatino Linotype"/>
        </w:rPr>
        <w:t xml:space="preserve"> </w:t>
      </w:r>
      <w:r w:rsidRPr="00C412E3">
        <w:t>settlement activit</w:t>
      </w:r>
      <w:r w:rsidRPr="00C412E3" w:rsidR="000134DE">
        <w:t>ies</w:t>
      </w:r>
      <w:r w:rsidRPr="00C412E3">
        <w:t>,</w:t>
      </w:r>
      <w:r w:rsidR="0050187F">
        <w:t xml:space="preserve"> </w:t>
      </w:r>
      <w:r w:rsidRPr="00C412E3">
        <w:t>areas of agreement and disputes regarding the factual record</w:t>
      </w:r>
      <w:r w:rsidRPr="00C412E3" w:rsidR="000134DE">
        <w:t>,</w:t>
      </w:r>
      <w:r w:rsidR="00F13F16">
        <w:rPr>
          <w:rStyle w:val="FootnoteReference"/>
        </w:rPr>
        <w:footnoteReference w:id="71"/>
      </w:r>
      <w:r w:rsidRPr="00C412E3">
        <w:t xml:space="preserve"> the agreed</w:t>
      </w:r>
      <w:r w:rsidR="00303CC8">
        <w:t xml:space="preserve"> upon</w:t>
      </w:r>
      <w:r w:rsidRPr="00C412E3">
        <w:t xml:space="preserve"> resolution of issues, and additional terms. </w:t>
      </w:r>
      <w:r w:rsidRPr="0099551F" w:rsidR="0099551F">
        <w:t xml:space="preserve">SCE and </w:t>
      </w:r>
      <w:r w:rsidR="003708E7">
        <w:t>Cal Advoc</w:t>
      </w:r>
      <w:r w:rsidRPr="0099551F" w:rsidR="0099551F">
        <w:t>ates engaged in earnest, arms</w:t>
      </w:r>
      <w:r w:rsidR="003B5862">
        <w:noBreakHyphen/>
      </w:r>
      <w:r w:rsidRPr="0099551F" w:rsidR="0099551F">
        <w:t>length, and good</w:t>
      </w:r>
      <w:r w:rsidR="003B5862">
        <w:noBreakHyphen/>
      </w:r>
      <w:r w:rsidRPr="0099551F" w:rsidR="0099551F">
        <w:t>faith negotiations over the course of almost three months.</w:t>
      </w:r>
      <w:r w:rsidR="0099551F">
        <w:rPr>
          <w:rStyle w:val="FootnoteReference"/>
        </w:rPr>
        <w:footnoteReference w:id="72"/>
      </w:r>
      <w:r w:rsidRPr="0099551F" w:rsidR="0099551F">
        <w:t xml:space="preserve"> In August 2025, EPUC and SBUA likewise began participating in certain settlement discussions.</w:t>
      </w:r>
      <w:r w:rsidR="0099551F">
        <w:rPr>
          <w:rStyle w:val="FootnoteReference"/>
        </w:rPr>
        <w:footnoteReference w:id="73"/>
      </w:r>
      <w:r w:rsidRPr="0099551F" w:rsidR="0099551F">
        <w:t xml:space="preserve"> </w:t>
      </w:r>
      <w:r w:rsidR="00F16028">
        <w:t>T</w:t>
      </w:r>
      <w:r w:rsidRPr="0099551F" w:rsidR="0099551F">
        <w:t>he Settling Parties thereafter</w:t>
      </w:r>
      <w:r w:rsidR="00F16028">
        <w:t xml:space="preserve"> continued to</w:t>
      </w:r>
      <w:r w:rsidRPr="0099551F" w:rsidR="0099551F">
        <w:t xml:space="preserve"> explore whether a settled outcome could be achieved.</w:t>
      </w:r>
      <w:r w:rsidR="0099551F">
        <w:rPr>
          <w:rStyle w:val="FootnoteReference"/>
        </w:rPr>
        <w:footnoteReference w:id="74"/>
      </w:r>
      <w:r w:rsidRPr="0099551F" w:rsidR="0099551F">
        <w:t xml:space="preserve"> </w:t>
      </w:r>
      <w:r w:rsidR="00361E35">
        <w:t>Regarding this process, t</w:t>
      </w:r>
      <w:r w:rsidR="0050187F">
        <w:t>he Settling Parties state</w:t>
      </w:r>
      <w:r w:rsidR="00361E35">
        <w:t>:</w:t>
      </w:r>
    </w:p>
    <w:p w:rsidR="00361E35" w:rsidP="00694A98" w:rsidRDefault="00361E35" w14:paraId="4D3A02BE" w14:textId="063B0CA9">
      <w:pPr>
        <w:pStyle w:val="BlockQuote0"/>
      </w:pPr>
      <w:r w:rsidRPr="00361E35">
        <w:t>With the benefit of this extensive record, the Settling Parties bargained earnestly and in good faith to reach the resolution reflected in the Settlement Agreement, in order to conserve time, expenses, and the Commission</w:t>
      </w:r>
      <w:r w:rsidR="00BE4878">
        <w:t>’</w:t>
      </w:r>
      <w:r w:rsidRPr="00361E35">
        <w:t>s and parties</w:t>
      </w:r>
      <w:r w:rsidR="00BE4878">
        <w:t>’</w:t>
      </w:r>
      <w:r w:rsidRPr="00361E35">
        <w:t xml:space="preserve"> resources, and to avoid the uncertainty of continued litigation in this proceeding. The Settlement Agreement is the product of arms</w:t>
      </w:r>
      <w:r w:rsidR="003B5862">
        <w:noBreakHyphen/>
      </w:r>
      <w:r w:rsidRPr="00361E35">
        <w:t>length negotiations and reflects a reasonable compromise of the Settling Parties</w:t>
      </w:r>
      <w:r w:rsidR="00BE4878">
        <w:t>’</w:t>
      </w:r>
      <w:r w:rsidRPr="00361E35">
        <w:t xml:space="preserve"> litigation positions on numerous disputed factual </w:t>
      </w:r>
      <w:r w:rsidRPr="00361E35" w:rsidR="00A37A60">
        <w:t>issues</w:t>
      </w:r>
      <w:r w:rsidR="00A37A60">
        <w:t>,</w:t>
      </w:r>
      <w:r w:rsidR="00694A98">
        <w:t xml:space="preserve"> </w:t>
      </w:r>
      <w:r w:rsidRPr="00361E35" w:rsidR="00A37A60">
        <w:t>…</w:t>
      </w:r>
      <w:r w:rsidR="00A37A60">
        <w:t>.</w:t>
      </w:r>
      <w:r>
        <w:rPr>
          <w:rStyle w:val="FootnoteReference"/>
        </w:rPr>
        <w:footnoteReference w:id="75"/>
      </w:r>
    </w:p>
    <w:p w:rsidR="009453BA" w:rsidP="00D9130D" w:rsidRDefault="00BA5670" w14:paraId="365FF34D" w14:textId="77777777">
      <w:pPr>
        <w:pStyle w:val="Standard"/>
      </w:pPr>
      <w:r w:rsidRPr="00C412E3">
        <w:lastRenderedPageBreak/>
        <w:t xml:space="preserve">A brief description of the issues </w:t>
      </w:r>
      <w:r w:rsidR="00756F2D">
        <w:t xml:space="preserve">addressed </w:t>
      </w:r>
      <w:r w:rsidRPr="00C412E3">
        <w:t xml:space="preserve">in the Settlement Agreement </w:t>
      </w:r>
      <w:r w:rsidR="00F16028">
        <w:t>is found below</w:t>
      </w:r>
      <w:r w:rsidRPr="00756F2D">
        <w:t>.</w:t>
      </w:r>
      <w:r w:rsidRPr="00756F2D" w:rsidR="008D3D5A">
        <w:t xml:space="preserve"> </w:t>
      </w:r>
      <w:r w:rsidRPr="00756F2D" w:rsidR="00F16028">
        <w:t>Notably, a</w:t>
      </w:r>
      <w:r w:rsidRPr="00756F2D" w:rsidR="00BC3588">
        <w:t xml:space="preserve">t </w:t>
      </w:r>
      <w:r w:rsidR="00F4321E">
        <w:t>Section </w:t>
      </w:r>
      <w:r w:rsidRPr="001B07F2" w:rsidR="001B4A41">
        <w:t>F of t</w:t>
      </w:r>
      <w:r w:rsidRPr="001B07F2" w:rsidR="00DA16D2">
        <w:t>he Settlement Agreement</w:t>
      </w:r>
      <w:r w:rsidRPr="001B07F2" w:rsidR="00BC3588">
        <w:t xml:space="preserve">, the Settling Parties set </w:t>
      </w:r>
      <w:r w:rsidRPr="001B07F2" w:rsidR="00DA16D2">
        <w:t>forth the key financial terms in th</w:t>
      </w:r>
      <w:r w:rsidRPr="001B07F2" w:rsidR="00BC3588">
        <w:t xml:space="preserve">e </w:t>
      </w:r>
      <w:r w:rsidR="00CF6434">
        <w:t>following</w:t>
      </w:r>
      <w:r w:rsidR="00303CC8">
        <w:t xml:space="preserve"> </w:t>
      </w:r>
      <w:r w:rsidR="00B9708B">
        <w:t xml:space="preserve">three </w:t>
      </w:r>
      <w:r w:rsidRPr="001B07F2" w:rsidR="00DA16D2">
        <w:t>areas:</w:t>
      </w:r>
    </w:p>
    <w:p w:rsidR="009453BA" w:rsidP="00D8321C" w:rsidRDefault="00401350" w14:paraId="665CE065" w14:textId="4AB33FF7">
      <w:pPr>
        <w:pStyle w:val="Heading2"/>
      </w:pPr>
      <w:bookmarkStart w:name="_Toc217632450" w:id="26"/>
      <w:r w:rsidRPr="00D8321C">
        <w:t>C</w:t>
      </w:r>
      <w:r w:rsidRPr="00D8321C" w:rsidR="00DA16D2">
        <w:t xml:space="preserve">ost </w:t>
      </w:r>
      <w:r w:rsidRPr="00D8321C" w:rsidR="00303CC8">
        <w:t>Recovery and Disallowances</w:t>
      </w:r>
      <w:r w:rsidR="006728F8">
        <w:br/>
      </w:r>
      <w:r w:rsidRPr="00D8321C" w:rsidR="004B39DB">
        <w:t xml:space="preserve">for </w:t>
      </w:r>
      <w:r w:rsidRPr="00D8321C" w:rsidR="001B07F2">
        <w:t>WEMA and CEMA</w:t>
      </w:r>
      <w:r w:rsidRPr="00D8321C" w:rsidR="00BC3588">
        <w:t xml:space="preserve"> Woolsey Fire</w:t>
      </w:r>
      <w:bookmarkEnd w:id="26"/>
    </w:p>
    <w:p w:rsidR="009453BA" w:rsidP="008D3D5A" w:rsidRDefault="00756F2D" w14:paraId="317D3FD7" w14:textId="47111FE2">
      <w:pPr>
        <w:pStyle w:val="Standard"/>
      </w:pPr>
      <w:r>
        <w:t>T</w:t>
      </w:r>
      <w:r w:rsidRPr="008D3D5A" w:rsidR="008D3D5A">
        <w:t>he Settlement Agreement sets forth the agreed</w:t>
      </w:r>
      <w:r w:rsidR="003B5862">
        <w:noBreakHyphen/>
      </w:r>
      <w:r w:rsidRPr="008D3D5A" w:rsidR="008D3D5A">
        <w:t>upon cost recovery and permanent disallowances related to the 201</w:t>
      </w:r>
      <w:r w:rsidR="00303CC8">
        <w:t>8</w:t>
      </w:r>
      <w:r w:rsidRPr="008D3D5A" w:rsidR="008D3D5A">
        <w:t xml:space="preserve"> Woolsey Fire </w:t>
      </w:r>
      <w:r w:rsidR="00303CC8">
        <w:t>regarding</w:t>
      </w:r>
      <w:r w:rsidRPr="008D3D5A" w:rsidR="008D3D5A">
        <w:t xml:space="preserve"> SCE</w:t>
      </w:r>
      <w:r w:rsidR="00BE4878">
        <w:t>’</w:t>
      </w:r>
      <w:r w:rsidRPr="008D3D5A" w:rsidR="008D3D5A">
        <w:t>s WEMA</w:t>
      </w:r>
      <w:r w:rsidR="00303CC8">
        <w:t xml:space="preserve"> a</w:t>
      </w:r>
      <w:r w:rsidRPr="008D3D5A" w:rsidR="008D3D5A">
        <w:t>mounts</w:t>
      </w:r>
      <w:r w:rsidR="00303CC8">
        <w:t xml:space="preserve"> </w:t>
      </w:r>
      <w:r w:rsidRPr="008D3D5A" w:rsidR="008D3D5A">
        <w:t xml:space="preserve">and CEMA </w:t>
      </w:r>
      <w:r w:rsidR="00303CC8">
        <w:t>a</w:t>
      </w:r>
      <w:r w:rsidRPr="008D3D5A" w:rsidR="008D3D5A">
        <w:t>mounts, summarized as</w:t>
      </w:r>
      <w:r w:rsidR="0039282B">
        <w:t xml:space="preserve"> described herein.</w:t>
      </w:r>
    </w:p>
    <w:p w:rsidRPr="00D8321C" w:rsidR="004D59F9" w:rsidP="00D8321C" w:rsidRDefault="008D3D5A" w14:paraId="612A97FE" w14:textId="1419812C">
      <w:pPr>
        <w:pStyle w:val="Heading3"/>
      </w:pPr>
      <w:bookmarkStart w:name="_Toc217632451" w:id="27"/>
      <w:r w:rsidRPr="00D8321C">
        <w:t>WEMA Amounts</w:t>
      </w:r>
      <w:bookmarkEnd w:id="27"/>
    </w:p>
    <w:p w:rsidR="009453BA" w:rsidP="00CC3645" w:rsidRDefault="00303CC8" w14:paraId="7BD37D68" w14:textId="3D7D0A9B">
      <w:pPr>
        <w:pStyle w:val="Standard"/>
      </w:pPr>
      <w:r>
        <w:t xml:space="preserve">Under the Settlement Agreement, </w:t>
      </w:r>
      <w:r w:rsidRPr="008D3D5A" w:rsidR="008D3D5A">
        <w:t>SCE recover</w:t>
      </w:r>
      <w:r w:rsidR="008523BC">
        <w:t>s</w:t>
      </w:r>
      <w:r w:rsidRPr="008D3D5A" w:rsidR="008D3D5A">
        <w:t xml:space="preserve"> 35% of the WEMA </w:t>
      </w:r>
      <w:r w:rsidR="008523BC">
        <w:t>a</w:t>
      </w:r>
      <w:r w:rsidRPr="008D3D5A" w:rsidR="008D3D5A">
        <w:t>mounts. Specifically, upon approval of the Settlement Agreement, SCE is authorized to recover 35% of (i)</w:t>
      </w:r>
      <w:r w:rsidR="00464A37">
        <w:t> </w:t>
      </w:r>
      <w:r w:rsidRPr="008D3D5A" w:rsidR="008D3D5A">
        <w:t xml:space="preserve">the approximately </w:t>
      </w:r>
      <w:r w:rsidRPr="001B3379" w:rsidR="008D3D5A">
        <w:t>$5.</w:t>
      </w:r>
      <w:r w:rsidRPr="001B3379" w:rsidR="3D34390B">
        <w:t>6</w:t>
      </w:r>
      <w:r w:rsidR="00F60904">
        <w:t> billion</w:t>
      </w:r>
      <w:r w:rsidRPr="008D3D5A" w:rsidR="008D3D5A">
        <w:t xml:space="preserve"> of WEMA costs set forth in the Application</w:t>
      </w:r>
      <w:r w:rsidR="00464A37">
        <w:t>;</w:t>
      </w:r>
      <w:r w:rsidRPr="008D3D5A" w:rsidR="008D3D5A">
        <w:t xml:space="preserve"> and (ii)</w:t>
      </w:r>
      <w:r w:rsidR="00464A37">
        <w:t> </w:t>
      </w:r>
      <w:r w:rsidRPr="008D3D5A" w:rsidR="008D3D5A">
        <w:t>the approximately $206</w:t>
      </w:r>
      <w:r w:rsidR="00BE4878">
        <w:t> million</w:t>
      </w:r>
      <w:r w:rsidRPr="008D3D5A" w:rsidR="008D3D5A">
        <w:t xml:space="preserve"> update reflecting WEMA claims and associated costs recorded between </w:t>
      </w:r>
      <w:r w:rsidR="009453BA">
        <w:t>August </w:t>
      </w:r>
      <w:r w:rsidRPr="008D3D5A" w:rsidR="008D3D5A">
        <w:t xml:space="preserve">31, 2024, and </w:t>
      </w:r>
      <w:r w:rsidR="009453BA">
        <w:t>May </w:t>
      </w:r>
      <w:r w:rsidRPr="008D3D5A" w:rsidR="008D3D5A">
        <w:t>31, 2025</w:t>
      </w:r>
      <w:r>
        <w:t>.</w:t>
      </w:r>
      <w:r>
        <w:rPr>
          <w:rStyle w:val="FootnoteReference"/>
        </w:rPr>
        <w:footnoteReference w:id="76"/>
      </w:r>
      <w:r>
        <w:t xml:space="preserve"> T</w:t>
      </w:r>
      <w:r w:rsidRPr="008D3D5A" w:rsidR="008D3D5A">
        <w:t xml:space="preserve">he remaining </w:t>
      </w:r>
      <w:r w:rsidR="008523BC">
        <w:t xml:space="preserve">approximately </w:t>
      </w:r>
      <w:r w:rsidRPr="008D3D5A" w:rsidR="008D3D5A">
        <w:t xml:space="preserve">65% of the WEMA </w:t>
      </w:r>
      <w:r w:rsidR="008523BC">
        <w:t>a</w:t>
      </w:r>
      <w:r w:rsidRPr="008D3D5A" w:rsidR="008D3D5A">
        <w:t>mount</w:t>
      </w:r>
      <w:r w:rsidR="00756F2D">
        <w:t xml:space="preserve">s, </w:t>
      </w:r>
      <w:r w:rsidRPr="008D3D5A" w:rsidR="008D3D5A">
        <w:t>approximately $3.7</w:t>
      </w:r>
      <w:r w:rsidR="00F60904">
        <w:t> billion</w:t>
      </w:r>
      <w:r w:rsidR="00756F2D">
        <w:t xml:space="preserve">, </w:t>
      </w:r>
      <w:r w:rsidR="008523BC">
        <w:t xml:space="preserve">is </w:t>
      </w:r>
      <w:r w:rsidRPr="008D3D5A" w:rsidR="008D3D5A">
        <w:t>permanently disallowed.</w:t>
      </w:r>
      <w:r w:rsidR="00D7497B">
        <w:rPr>
          <w:rStyle w:val="FootnoteReference"/>
        </w:rPr>
        <w:footnoteReference w:id="77"/>
      </w:r>
      <w:r w:rsidR="00492F74">
        <w:t xml:space="preserve"> With regards to cost recovery, the Settlement Agreement provides that </w:t>
      </w:r>
      <w:r w:rsidRPr="00492F74" w:rsidR="00492F74">
        <w:t xml:space="preserve">SCE will file a separate application seeking Commission approval to recover the </w:t>
      </w:r>
      <w:r w:rsidR="008523BC">
        <w:t xml:space="preserve">approximately 35% of the </w:t>
      </w:r>
      <w:r w:rsidRPr="00492F74" w:rsidR="00492F74">
        <w:t xml:space="preserve">WEMA through the issuance of recovery bonds, as authorized by </w:t>
      </w:r>
      <w:r w:rsidR="00CD0DC1">
        <w:t>Pub. Util.</w:t>
      </w:r>
      <w:r w:rsidRPr="00492F74" w:rsidR="00492F74">
        <w:t xml:space="preserve"> </w:t>
      </w:r>
      <w:r w:rsidRPr="00492F74" w:rsidR="00492F74">
        <w:lastRenderedPageBreak/>
        <w:t xml:space="preserve">Code </w:t>
      </w:r>
      <w:r w:rsidR="00F4321E">
        <w:t>Sections </w:t>
      </w:r>
      <w:r w:rsidRPr="00492F74" w:rsidR="00492F74">
        <w:t xml:space="preserve">451.2(c) and 850 </w:t>
      </w:r>
      <w:r w:rsidR="005D5DB1">
        <w:rPr>
          <w:i/>
          <w:iCs/>
        </w:rPr>
        <w:t>et seq.</w:t>
      </w:r>
      <w:r w:rsidRPr="7E60AC81" w:rsidR="00492F74">
        <w:rPr>
          <w:i/>
          <w:iCs/>
        </w:rPr>
        <w:t xml:space="preserve"> </w:t>
      </w:r>
      <w:r w:rsidRPr="00492F74" w:rsidR="00492F74">
        <w:t xml:space="preserve">or, in certain circumstances, SCE will recover the WEMA </w:t>
      </w:r>
      <w:r w:rsidR="008523BC">
        <w:t>a</w:t>
      </w:r>
      <w:r w:rsidRPr="00492F74" w:rsidR="00492F74">
        <w:t>mounts over five years, financed using long</w:t>
      </w:r>
      <w:r w:rsidR="003B5862">
        <w:noBreakHyphen/>
      </w:r>
      <w:r w:rsidRPr="00492F74" w:rsidR="00492F74">
        <w:t>term debt.</w:t>
      </w:r>
      <w:r w:rsidR="00492F74">
        <w:rPr>
          <w:rStyle w:val="FootnoteReference"/>
        </w:rPr>
        <w:footnoteReference w:id="78"/>
      </w:r>
    </w:p>
    <w:p w:rsidR="004D59F9" w:rsidP="004D59F9" w:rsidRDefault="004D59F9" w14:paraId="61FB04B3" w14:textId="2D06E031">
      <w:pPr>
        <w:pStyle w:val="Heading3"/>
      </w:pPr>
      <w:bookmarkStart w:name="_Toc217632452" w:id="28"/>
      <w:r w:rsidRPr="004D59F9">
        <w:t>CEMA Amounts</w:t>
      </w:r>
      <w:bookmarkEnd w:id="28"/>
    </w:p>
    <w:p w:rsidR="00D56C10" w:rsidP="002211E5" w:rsidRDefault="008523BC" w14:paraId="2D0D9B25" w14:textId="7700F10C">
      <w:pPr>
        <w:pStyle w:val="Standard"/>
      </w:pPr>
      <w:bookmarkStart w:name="_Hlk211950796" w:id="29"/>
      <w:r>
        <w:t xml:space="preserve">Under the Settlement Agreement, </w:t>
      </w:r>
      <w:r w:rsidR="004D59F9">
        <w:t>SCE recover</w:t>
      </w:r>
      <w:r w:rsidR="00662336">
        <w:t>s</w:t>
      </w:r>
      <w:r w:rsidR="004D59F9">
        <w:t xml:space="preserve"> 85% of </w:t>
      </w:r>
      <w:r>
        <w:t>the</w:t>
      </w:r>
      <w:r w:rsidR="004D59F9">
        <w:t xml:space="preserve"> CEMA costs. Specifically, upon approval of the Settlement Agreement, SCE is authorized to recover 85% of the $83.812</w:t>
      </w:r>
      <w:r w:rsidR="00BE4878">
        <w:t> million</w:t>
      </w:r>
      <w:r w:rsidR="004D59F9">
        <w:t xml:space="preserve"> of CEMA costs set forth in the Application</w:t>
      </w:r>
      <w:r w:rsidR="00BF4AC5">
        <w:t>.</w:t>
      </w:r>
      <w:r w:rsidR="004D59F9">
        <w:t xml:space="preserve"> </w:t>
      </w:r>
      <w:r w:rsidR="00BF4AC5">
        <w:t>The remaining 15% of the CEMA costs</w:t>
      </w:r>
      <w:r>
        <w:t xml:space="preserve"> is</w:t>
      </w:r>
      <w:r w:rsidR="00BF4AC5">
        <w:t xml:space="preserve"> permanently disallowed. </w:t>
      </w:r>
      <w:bookmarkEnd w:id="29"/>
      <w:r w:rsidR="00BF4AC5">
        <w:t xml:space="preserve">With regard to the method of cost recovery, </w:t>
      </w:r>
      <w:r>
        <w:t>SCE will recover the approximately 85% of the</w:t>
      </w:r>
      <w:r w:rsidR="00BF4AC5">
        <w:t xml:space="preserve"> CEMA amounts</w:t>
      </w:r>
      <w:r>
        <w:t xml:space="preserve"> </w:t>
      </w:r>
      <w:r w:rsidR="00BF4AC5">
        <w:t xml:space="preserve">through the </w:t>
      </w:r>
      <w:r w:rsidR="00756F2D">
        <w:t>traditional</w:t>
      </w:r>
      <w:r w:rsidR="00BF4AC5">
        <w:t xml:space="preserve"> course </w:t>
      </w:r>
      <w:r>
        <w:t xml:space="preserve">of </w:t>
      </w:r>
      <w:r w:rsidR="00BF4AC5">
        <w:t xml:space="preserve">recovery </w:t>
      </w:r>
      <w:r>
        <w:t>for</w:t>
      </w:r>
      <w:r w:rsidR="00BF4AC5">
        <w:t xml:space="preserve"> capital expenditures and 12</w:t>
      </w:r>
      <w:r w:rsidR="003B5862">
        <w:noBreakHyphen/>
      </w:r>
      <w:r w:rsidR="00BF4AC5">
        <w:t>month operation</w:t>
      </w:r>
      <w:r w:rsidR="00BE1B3C">
        <w:t>s</w:t>
      </w:r>
      <w:r w:rsidR="00BF4AC5">
        <w:t xml:space="preserve"> and maintenance recovery following submission of a </w:t>
      </w:r>
      <w:r w:rsidR="00FE6B08">
        <w:t>Tier 1</w:t>
      </w:r>
      <w:r w:rsidR="00BF4AC5">
        <w:t xml:space="preserve"> advice letter.</w:t>
      </w:r>
    </w:p>
    <w:p w:rsidR="008D3D5A" w:rsidP="00747BE8" w:rsidRDefault="00D56C10" w14:paraId="5613666C" w14:textId="5968B2D3">
      <w:pPr>
        <w:pStyle w:val="Standard"/>
      </w:pPr>
      <w:r>
        <w:t xml:space="preserve">The table </w:t>
      </w:r>
      <w:r w:rsidR="002211E5">
        <w:t xml:space="preserve">below from the Settlement Agreement </w:t>
      </w:r>
      <w:r>
        <w:t>illustrate</w:t>
      </w:r>
      <w:r w:rsidR="002211E5">
        <w:t>s</w:t>
      </w:r>
      <w:r>
        <w:t xml:space="preserve"> the</w:t>
      </w:r>
      <w:r w:rsidR="002211E5">
        <w:t xml:space="preserve"> WEMA and CEMA</w:t>
      </w:r>
      <w:r>
        <w:t xml:space="preserve"> amounts.</w:t>
      </w:r>
      <w:r>
        <w:rPr>
          <w:rStyle w:val="FootnoteReference"/>
        </w:rPr>
        <w:footnoteReference w:id="79"/>
      </w:r>
    </w:p>
    <w:p w:rsidR="008D3D5A" w:rsidP="00822040" w:rsidRDefault="008D3D5A" w14:paraId="7304FDD2" w14:textId="5EA0D9DC">
      <w:pPr>
        <w:pStyle w:val="Standard"/>
        <w:ind w:firstLine="0"/>
      </w:pPr>
      <w:r w:rsidRPr="008D3D5A">
        <w:rPr>
          <w:noProof/>
        </w:rPr>
        <w:drawing>
          <wp:inline distT="0" distB="0" distL="0" distR="0" wp14:anchorId="74C8D430" wp14:editId="19143C6C">
            <wp:extent cx="5943600" cy="3199130"/>
            <wp:effectExtent l="0" t="0" r="0" b="1270"/>
            <wp:docPr id="329426687"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26687" name="Picture 1" descr="Table&#10;&#10;AI-generated content may be incorrect."/>
                    <pic:cNvPicPr/>
                  </pic:nvPicPr>
                  <pic:blipFill>
                    <a:blip r:embed="rId17"/>
                    <a:stretch>
                      <a:fillRect/>
                    </a:stretch>
                  </pic:blipFill>
                  <pic:spPr>
                    <a:xfrm>
                      <a:off x="0" y="0"/>
                      <a:ext cx="5943600" cy="3199130"/>
                    </a:xfrm>
                    <a:prstGeom prst="rect">
                      <a:avLst/>
                    </a:prstGeom>
                  </pic:spPr>
                </pic:pic>
              </a:graphicData>
            </a:graphic>
          </wp:inline>
        </w:drawing>
      </w:r>
    </w:p>
    <w:p w:rsidR="00B9708B" w:rsidP="00B9708B" w:rsidRDefault="00401350" w14:paraId="5D3EBCD9" w14:textId="105105BB">
      <w:pPr>
        <w:pStyle w:val="Heading2"/>
      </w:pPr>
      <w:bookmarkStart w:name="_Toc217632453" w:id="30"/>
      <w:r>
        <w:lastRenderedPageBreak/>
        <w:t>C</w:t>
      </w:r>
      <w:r w:rsidRPr="001B07F2" w:rsidR="00BC3588">
        <w:t xml:space="preserve">ost </w:t>
      </w:r>
      <w:r w:rsidRPr="001B07F2" w:rsidR="004B39DB">
        <w:t xml:space="preserve">Recovery and Disallowances </w:t>
      </w:r>
      <w:r w:rsidR="004B39DB">
        <w:t>f</w:t>
      </w:r>
      <w:r w:rsidRPr="001B07F2" w:rsidR="004B39DB">
        <w:t xml:space="preserve">or </w:t>
      </w:r>
      <w:r w:rsidR="00ED4542">
        <w:t>Trailing Amounts</w:t>
      </w:r>
      <w:r w:rsidR="004B39DB">
        <w:t>, Costs</w:t>
      </w:r>
      <w:r w:rsidRPr="001B07F2" w:rsidR="004B39DB">
        <w:t xml:space="preserve"> Recorded After </w:t>
      </w:r>
      <w:r w:rsidR="009453BA">
        <w:t>May </w:t>
      </w:r>
      <w:r w:rsidRPr="001B07F2" w:rsidR="004B39DB">
        <w:t>31, 2025</w:t>
      </w:r>
      <w:r w:rsidR="004B39DB">
        <w:t xml:space="preserve">, and </w:t>
      </w:r>
      <w:r w:rsidRPr="001B07F2" w:rsidR="004B39DB">
        <w:t>Advice Letter Process</w:t>
      </w:r>
      <w:bookmarkEnd w:id="30"/>
    </w:p>
    <w:p w:rsidR="00B9708B" w:rsidP="00EF4370" w:rsidRDefault="00810A84" w14:paraId="433C5532" w14:textId="7A2C524A">
      <w:pPr>
        <w:pStyle w:val="Standard"/>
        <w:ind w:firstLine="360"/>
      </w:pPr>
      <w:r>
        <w:t xml:space="preserve">According to the Settlement Agreement, </w:t>
      </w:r>
      <w:r w:rsidRPr="00ED4542" w:rsidR="00ED4542">
        <w:t xml:space="preserve">Trailing Amounts are those WEMA </w:t>
      </w:r>
      <w:r w:rsidR="00BE1B3C">
        <w:t>a</w:t>
      </w:r>
      <w:r w:rsidRPr="00ED4542" w:rsidR="00ED4542">
        <w:t xml:space="preserve">mounts, if any, incurred after </w:t>
      </w:r>
      <w:r w:rsidR="009453BA">
        <w:t>May </w:t>
      </w:r>
      <w:r w:rsidRPr="00ED4542" w:rsidR="00ED4542">
        <w:t>31, 2025, after deducting the remainder of the $250</w:t>
      </w:r>
      <w:r w:rsidR="00BE4878">
        <w:t> million</w:t>
      </w:r>
      <w:r w:rsidRPr="00ED4542" w:rsidR="00ED4542">
        <w:t xml:space="preserve"> A</w:t>
      </w:r>
      <w:r w:rsidR="00335594">
        <w:t>dministrative Consent Order</w:t>
      </w:r>
      <w:r w:rsidRPr="00ED4542" w:rsidR="00ED4542">
        <w:t xml:space="preserve"> amount and associated financing costs</w:t>
      </w:r>
      <w:r w:rsidR="00335594">
        <w:t>.</w:t>
      </w:r>
      <w:r w:rsidR="00335594">
        <w:rPr>
          <w:rStyle w:val="FootnoteReference"/>
        </w:rPr>
        <w:footnoteReference w:id="80"/>
      </w:r>
      <w:r w:rsidR="00335594">
        <w:t xml:space="preserve"> </w:t>
      </w:r>
      <w:r w:rsidRPr="00335594" w:rsidR="00335594">
        <w:t>The final WEMA Trailing Amounts will depend on recorded costs from resolving the remaining Woolsey Fire</w:t>
      </w:r>
      <w:r w:rsidR="003B5862">
        <w:noBreakHyphen/>
      </w:r>
      <w:r w:rsidRPr="00335594" w:rsidR="00335594">
        <w:t>related claims and recoveries.</w:t>
      </w:r>
      <w:r w:rsidR="00335594">
        <w:rPr>
          <w:rStyle w:val="FootnoteReference"/>
        </w:rPr>
        <w:footnoteReference w:id="81"/>
      </w:r>
      <w:r w:rsidRPr="00335594" w:rsidR="00335594">
        <w:t xml:space="preserve"> </w:t>
      </w:r>
      <w:r w:rsidRPr="001A3A66" w:rsidR="001A3A66">
        <w:t>Consistent with the Settling Parties</w:t>
      </w:r>
      <w:r w:rsidR="00BE4878">
        <w:t>’</w:t>
      </w:r>
      <w:r w:rsidRPr="001A3A66" w:rsidR="001A3A66">
        <w:t xml:space="preserve"> agreement regarding the </w:t>
      </w:r>
      <w:r w:rsidR="001A3A66">
        <w:t xml:space="preserve">above </w:t>
      </w:r>
      <w:r w:rsidRPr="001A3A66" w:rsidR="001A3A66">
        <w:t xml:space="preserve">WEMA </w:t>
      </w:r>
      <w:r>
        <w:t>a</w:t>
      </w:r>
      <w:r w:rsidRPr="001A3A66" w:rsidR="001A3A66">
        <w:t>mounts, the Settling Parties agree that SCE will recover 35% of the WEMA Trailing Amounts, if any</w:t>
      </w:r>
      <w:r w:rsidR="001A3A66">
        <w:t>.</w:t>
      </w:r>
      <w:r w:rsidRPr="001A3A66" w:rsidR="001A3A66">
        <w:rPr>
          <w:vertAlign w:val="superscript"/>
        </w:rPr>
        <w:footnoteReference w:id="82"/>
      </w:r>
      <w:r w:rsidR="001A3A66">
        <w:t xml:space="preserve"> </w:t>
      </w:r>
      <w:r>
        <w:t xml:space="preserve">The </w:t>
      </w:r>
      <w:r w:rsidRPr="001A3A66" w:rsidR="003A6F33">
        <w:t xml:space="preserve">Settling Parties </w:t>
      </w:r>
      <w:r w:rsidR="003A6F33">
        <w:t xml:space="preserve">propose that the </w:t>
      </w:r>
      <w:r w:rsidRPr="001A3A66" w:rsidR="001A3A66">
        <w:t xml:space="preserve">WEMA Trailing Amounts, if any, be recovered, once incurred, through the </w:t>
      </w:r>
      <w:r w:rsidR="00FE6B08">
        <w:t>Tier 2</w:t>
      </w:r>
      <w:r w:rsidRPr="001A3A66" w:rsidR="001A3A66">
        <w:t xml:space="preserve"> advice letter process as described in the Settlement Agreement</w:t>
      </w:r>
      <w:r w:rsidR="003A6F33">
        <w:t>, meaning that</w:t>
      </w:r>
      <w:r w:rsidRPr="001A3A66" w:rsidR="001A3A66">
        <w:t xml:space="preserve"> SCE will propose in the </w:t>
      </w:r>
      <w:r w:rsidR="00FE6B08">
        <w:t>Tier 2</w:t>
      </w:r>
      <w:r w:rsidRPr="001A3A66" w:rsidR="001A3A66">
        <w:t xml:space="preserve"> advice letter(s) a method for recovering the specific trailing costs at issue (either conventional </w:t>
      </w:r>
      <w:r>
        <w:t>o</w:t>
      </w:r>
      <w:r w:rsidRPr="001A3A66" w:rsidR="001A3A66">
        <w:t xml:space="preserve">perations and </w:t>
      </w:r>
      <w:r>
        <w:t>m</w:t>
      </w:r>
      <w:r w:rsidRPr="001A3A66" w:rsidR="001A3A66">
        <w:t>aintenance expense recovery or financing through the issuance of recovery bonds</w:t>
      </w:r>
      <w:r w:rsidR="003A6F33">
        <w:t xml:space="preserve"> pursuant to </w:t>
      </w:r>
      <w:r w:rsidR="00CD0DC1">
        <w:t>Pub. Util.</w:t>
      </w:r>
      <w:r w:rsidR="003A6F33">
        <w:t xml:space="preserve"> Code </w:t>
      </w:r>
      <w:r w:rsidR="00F4321E">
        <w:t>Section </w:t>
      </w:r>
      <w:r w:rsidR="003A6F33">
        <w:t xml:space="preserve">850 </w:t>
      </w:r>
      <w:r w:rsidR="005D5DB1">
        <w:rPr>
          <w:i/>
          <w:iCs/>
        </w:rPr>
        <w:t>et seq.</w:t>
      </w:r>
      <w:r w:rsidRPr="001A3A66" w:rsidR="001A3A66">
        <w:t>, depending on the timing and amounts).</w:t>
      </w:r>
    </w:p>
    <w:p w:rsidRPr="00EF4370" w:rsidR="0050187F" w:rsidP="00EF4370" w:rsidRDefault="00B9708B" w14:paraId="63452529" w14:textId="7FC4B08E">
      <w:pPr>
        <w:pStyle w:val="Heading2"/>
      </w:pPr>
      <w:bookmarkStart w:name="_Toc217632454" w:id="31"/>
      <w:r>
        <w:lastRenderedPageBreak/>
        <w:t>W</w:t>
      </w:r>
      <w:r w:rsidRPr="001B07F2" w:rsidR="00BC3588">
        <w:t xml:space="preserve">aiver </w:t>
      </w:r>
      <w:r w:rsidR="004B39DB">
        <w:t>o</w:t>
      </w:r>
      <w:r w:rsidRPr="001B07F2" w:rsidR="004B39DB">
        <w:t xml:space="preserve">f Recovery </w:t>
      </w:r>
      <w:r w:rsidR="00FD1757">
        <w:t>of</w:t>
      </w:r>
      <w:r w:rsidRPr="001B07F2" w:rsidR="004B39DB">
        <w:t xml:space="preserve"> $157</w:t>
      </w:r>
      <w:r w:rsidR="00BE4878">
        <w:t> </w:t>
      </w:r>
      <w:r w:rsidR="00DE1D6F">
        <w:t>M</w:t>
      </w:r>
      <w:r w:rsidR="00BE4878">
        <w:t>illion</w:t>
      </w:r>
      <w:r w:rsidRPr="001B07F2" w:rsidR="004B39DB">
        <w:t xml:space="preserve"> </w:t>
      </w:r>
      <w:r w:rsidR="004B39DB">
        <w:t>i</w:t>
      </w:r>
      <w:r w:rsidRPr="001B07F2" w:rsidR="004B39DB">
        <w:t xml:space="preserve">n </w:t>
      </w:r>
      <w:r w:rsidRPr="001B07F2" w:rsidR="00BC3588">
        <w:t xml:space="preserve">WEMA </w:t>
      </w:r>
      <w:r w:rsidRPr="001B07F2" w:rsidR="004B39DB">
        <w:t>Costs</w:t>
      </w:r>
      <w:r w:rsidR="004B39DB">
        <w:t xml:space="preserve"> and Other </w:t>
      </w:r>
      <w:r w:rsidRPr="004B39DB" w:rsidR="004B39DB">
        <w:t>Pre</w:t>
      </w:r>
      <w:r w:rsidR="003B5862">
        <w:noBreakHyphen/>
      </w:r>
      <w:r w:rsidR="009453BA">
        <w:t>July </w:t>
      </w:r>
      <w:r w:rsidRPr="004B39DB" w:rsidR="004B39DB">
        <w:t xml:space="preserve">12, 2019 </w:t>
      </w:r>
      <w:r w:rsidR="004B39DB">
        <w:t>Costs</w:t>
      </w:r>
      <w:bookmarkEnd w:id="31"/>
    </w:p>
    <w:p w:rsidR="001B4A41" w:rsidP="00D543F4" w:rsidRDefault="005423CC" w14:paraId="465CEC2D" w14:textId="1CB8AD1B">
      <w:pPr>
        <w:pStyle w:val="Standard"/>
        <w:rPr>
          <w:color w:val="1F3864" w:themeColor="accent1" w:themeShade="80"/>
        </w:rPr>
      </w:pPr>
      <w:r w:rsidRPr="00963566">
        <w:t>According to the Settlement</w:t>
      </w:r>
      <w:r w:rsidR="008E292B">
        <w:t xml:space="preserve"> Agreement</w:t>
      </w:r>
      <w:r w:rsidRPr="00963566">
        <w:t>, SCE</w:t>
      </w:r>
      <w:r w:rsidRPr="00963566" w:rsidR="00AD5A1B">
        <w:t xml:space="preserve"> paid or settled approximately $157</w:t>
      </w:r>
      <w:r w:rsidR="00BE4878">
        <w:t> million</w:t>
      </w:r>
      <w:r w:rsidRPr="00963566" w:rsidR="00AD5A1B">
        <w:t xml:space="preserve"> in costs associated with the other </w:t>
      </w:r>
      <w:bookmarkStart w:name="_Hlk212109029" w:id="32"/>
      <w:r w:rsidRPr="00963566" w:rsidR="00AD5A1B">
        <w:t>pre</w:t>
      </w:r>
      <w:r w:rsidR="003B5862">
        <w:noBreakHyphen/>
      </w:r>
      <w:r w:rsidR="009453BA">
        <w:t>July </w:t>
      </w:r>
      <w:r w:rsidRPr="00963566" w:rsidR="00AD5A1B">
        <w:t>12, 2019 wildfires</w:t>
      </w:r>
      <w:bookmarkEnd w:id="32"/>
      <w:r w:rsidRPr="00963566" w:rsidR="00AD5A1B">
        <w:t>, meaning</w:t>
      </w:r>
      <w:r w:rsidRPr="00963566">
        <w:t xml:space="preserve"> </w:t>
      </w:r>
      <w:r w:rsidRPr="00963566" w:rsidR="00AD5A1B">
        <w:t>a</w:t>
      </w:r>
      <w:r w:rsidRPr="00963566" w:rsidR="00125E60">
        <w:t xml:space="preserve">part from the 2017 Thomas </w:t>
      </w:r>
      <w:r w:rsidR="00EA4BA5">
        <w:t>F</w:t>
      </w:r>
      <w:r w:rsidRPr="00963566" w:rsidR="00125E60">
        <w:t xml:space="preserve">ire and </w:t>
      </w:r>
      <w:r w:rsidRPr="00EA4BA5" w:rsidR="00EA4BA5">
        <w:t xml:space="preserve">Montecito debris flow </w:t>
      </w:r>
      <w:r w:rsidR="00EA4BA5">
        <w:t xml:space="preserve">events </w:t>
      </w:r>
      <w:r w:rsidRPr="00963566" w:rsidR="00125E60">
        <w:t>(A.23</w:t>
      </w:r>
      <w:r w:rsidR="003B5862">
        <w:noBreakHyphen/>
      </w:r>
      <w:r w:rsidRPr="00963566" w:rsidR="00125E60">
        <w:t>08</w:t>
      </w:r>
      <w:r w:rsidR="003B5862">
        <w:noBreakHyphen/>
      </w:r>
      <w:r w:rsidRPr="00963566" w:rsidR="00125E60">
        <w:t>013) and the 2018 Woolsey Fire (</w:t>
      </w:r>
      <w:r w:rsidRPr="00963566" w:rsidR="00AD5A1B">
        <w:t>this proceeding</w:t>
      </w:r>
      <w:r w:rsidRPr="00963566" w:rsidR="00125E60">
        <w:t>)</w:t>
      </w:r>
      <w:r w:rsidRPr="00963566" w:rsidR="00AD5A1B">
        <w:t>.</w:t>
      </w:r>
      <w:r w:rsidRPr="00963566" w:rsidR="00AD5A1B">
        <w:rPr>
          <w:rStyle w:val="FootnoteReference"/>
        </w:rPr>
        <w:footnoteReference w:id="83"/>
      </w:r>
      <w:r w:rsidRPr="00963566" w:rsidR="00AD5A1B">
        <w:t xml:space="preserve"> SCE recorded (or will record) this approximately $157</w:t>
      </w:r>
      <w:r w:rsidR="00BE4878">
        <w:t> million</w:t>
      </w:r>
      <w:r w:rsidRPr="00963566" w:rsidR="00AD5A1B">
        <w:t xml:space="preserve"> </w:t>
      </w:r>
      <w:r w:rsidRPr="00963566" w:rsidR="00125E60">
        <w:t xml:space="preserve">in </w:t>
      </w:r>
      <w:r w:rsidR="00CC3605">
        <w:t>the</w:t>
      </w:r>
      <w:r w:rsidRPr="00963566" w:rsidR="00125E60">
        <w:t xml:space="preserve"> WEMA</w:t>
      </w:r>
      <w:r w:rsidRPr="00963566" w:rsidR="347E5C00">
        <w:t>.</w:t>
      </w:r>
      <w:r w:rsidRPr="00963566" w:rsidR="00AD5A1B">
        <w:rPr>
          <w:rStyle w:val="FootnoteReference"/>
        </w:rPr>
        <w:footnoteReference w:id="84"/>
      </w:r>
      <w:r w:rsidRPr="00963566" w:rsidR="00AD5A1B">
        <w:t xml:space="preserve"> However, t</w:t>
      </w:r>
      <w:r w:rsidRPr="00963566" w:rsidR="00125E60">
        <w:t>he Settlement Agreement</w:t>
      </w:r>
      <w:r w:rsidRPr="00963566" w:rsidR="00AD5A1B">
        <w:t xml:space="preserve"> provides that </w:t>
      </w:r>
      <w:r w:rsidRPr="00963566" w:rsidR="00125E60">
        <w:t>SCE waive</w:t>
      </w:r>
      <w:r w:rsidRPr="00963566" w:rsidR="00AD5A1B">
        <w:t>s</w:t>
      </w:r>
      <w:r w:rsidRPr="00963566" w:rsidR="00125E60">
        <w:t xml:space="preserve"> its right to seek rate recovery at the Commission for </w:t>
      </w:r>
      <w:r w:rsidRPr="00963566" w:rsidR="00C6672B">
        <w:t>this $157</w:t>
      </w:r>
      <w:r w:rsidR="00BE4878">
        <w:t> million</w:t>
      </w:r>
      <w:r w:rsidRPr="00963566" w:rsidR="00C6672B">
        <w:t xml:space="preserve"> and any </w:t>
      </w:r>
      <w:r w:rsidRPr="00963566" w:rsidR="00125E60">
        <w:t>associated costs incurred for claims, legal fees and financing costs.</w:t>
      </w:r>
      <w:r w:rsidRPr="00963566" w:rsidR="006F1C5A">
        <w:rPr>
          <w:rStyle w:val="FootnoteReference"/>
        </w:rPr>
        <w:footnoteReference w:id="85"/>
      </w:r>
      <w:r w:rsidRPr="00963566" w:rsidR="00AD5A1B">
        <w:t xml:space="preserve"> </w:t>
      </w:r>
      <w:r w:rsidR="00CC3605">
        <w:t>The Settling Parties state that t</w:t>
      </w:r>
      <w:r w:rsidRPr="00963566" w:rsidR="00AD5A1B">
        <w:t>his waiver is made in order to bring final resolution with respect to cost recovery matters associated with other pre</w:t>
      </w:r>
      <w:r w:rsidR="003B5862">
        <w:noBreakHyphen/>
      </w:r>
      <w:r w:rsidR="009453BA">
        <w:t>July </w:t>
      </w:r>
      <w:r w:rsidRPr="00963566" w:rsidR="00AD5A1B">
        <w:t>12, 2019 wildfires</w:t>
      </w:r>
      <w:r w:rsidRPr="00963566" w:rsidR="00C6672B">
        <w:t>.</w:t>
      </w:r>
      <w:r w:rsidRPr="00963566" w:rsidR="006F1C5A">
        <w:rPr>
          <w:rStyle w:val="FootnoteReference"/>
        </w:rPr>
        <w:footnoteReference w:id="86"/>
      </w:r>
      <w:r w:rsidRPr="00963566" w:rsidR="00125E60">
        <w:t xml:space="preserve"> </w:t>
      </w:r>
      <w:r w:rsidRPr="00963566" w:rsidR="00C6672B">
        <w:t xml:space="preserve">According to the Joint Motion for Settlement, </w:t>
      </w:r>
      <w:r w:rsidRPr="00963566" w:rsidR="00125E60">
        <w:t>SCE</w:t>
      </w:r>
      <w:r w:rsidR="00BE4878">
        <w:t>’</w:t>
      </w:r>
      <w:r w:rsidRPr="00963566" w:rsidR="00125E60">
        <w:t xml:space="preserve">s waiver applies to such costs recorded in its WEMA as of </w:t>
      </w:r>
      <w:r w:rsidR="009453BA">
        <w:t>July </w:t>
      </w:r>
      <w:r w:rsidRPr="00963566" w:rsidR="00125E60">
        <w:t xml:space="preserve">31, 2025 as well as costs subsequently recorded in the WEMA after </w:t>
      </w:r>
      <w:r w:rsidR="009453BA">
        <w:t>July </w:t>
      </w:r>
      <w:r w:rsidRPr="00963566" w:rsidR="00125E60">
        <w:t>31, 2025.</w:t>
      </w:r>
      <w:r w:rsidRPr="00963566" w:rsidR="006F1C5A">
        <w:rPr>
          <w:rStyle w:val="FootnoteReference"/>
        </w:rPr>
        <w:footnoteReference w:id="87"/>
      </w:r>
    </w:p>
    <w:p w:rsidR="00600672" w:rsidP="00BA5670" w:rsidRDefault="00A965B0" w14:paraId="3A8C46AF" w14:textId="04F3A175">
      <w:pPr>
        <w:pStyle w:val="Heading1"/>
      </w:pPr>
      <w:bookmarkStart w:name="_Toc217632455" w:id="33"/>
      <w:r>
        <w:t xml:space="preserve">Wild Tree </w:t>
      </w:r>
      <w:r w:rsidR="00BA2382">
        <w:t>Opposition</w:t>
      </w:r>
      <w:bookmarkEnd w:id="33"/>
    </w:p>
    <w:p w:rsidR="009453BA" w:rsidP="00570BA7" w:rsidRDefault="00EF4370" w14:paraId="50904C29" w14:textId="77777777">
      <w:pPr>
        <w:pStyle w:val="Standard"/>
      </w:pPr>
      <w:r>
        <w:t xml:space="preserve">Wild Tree </w:t>
      </w:r>
      <w:r w:rsidR="0070486A">
        <w:t xml:space="preserve">opposes the </w:t>
      </w:r>
      <w:r w:rsidR="00A5385B">
        <w:t xml:space="preserve">Joint Motion for </w:t>
      </w:r>
      <w:r w:rsidR="00A965B0">
        <w:t>Settlement</w:t>
      </w:r>
      <w:r>
        <w:t>.</w:t>
      </w:r>
      <w:r w:rsidR="00D34042">
        <w:rPr>
          <w:rStyle w:val="FootnoteReference"/>
        </w:rPr>
        <w:footnoteReference w:id="88"/>
      </w:r>
      <w:r>
        <w:t xml:space="preserve"> No other party filed in opposition.</w:t>
      </w:r>
      <w:r w:rsidR="00A965B0">
        <w:t xml:space="preserve"> </w:t>
      </w:r>
      <w:r w:rsidRPr="00BA5670" w:rsidR="00BA5670">
        <w:t>Wild Tree asserts that SCE has not met its burden of proof to show that its conduct was reasonable and prudent.</w:t>
      </w:r>
      <w:r w:rsidR="00EA4BA5">
        <w:rPr>
          <w:rStyle w:val="FootnoteReference"/>
        </w:rPr>
        <w:footnoteReference w:id="89"/>
      </w:r>
      <w:r w:rsidRPr="00BA5670" w:rsidR="00BA5670">
        <w:t xml:space="preserve"> Wild Tree also </w:t>
      </w:r>
      <w:r w:rsidR="0070486A">
        <w:t>states</w:t>
      </w:r>
      <w:r w:rsidRPr="00BA5670" w:rsidR="00BA5670">
        <w:t xml:space="preserve"> the Settlement Agreement is not reasonable in light of the whole record, not </w:t>
      </w:r>
      <w:r w:rsidRPr="00BA5670" w:rsidR="00BA5670">
        <w:lastRenderedPageBreak/>
        <w:t>consistent with the law, and not in the public interest.</w:t>
      </w:r>
      <w:r w:rsidR="00EA4BA5">
        <w:rPr>
          <w:rStyle w:val="FootnoteReference"/>
        </w:rPr>
        <w:footnoteReference w:id="90"/>
      </w:r>
      <w:r w:rsidRPr="00BA5670" w:rsidR="00BA5670">
        <w:t xml:space="preserve"> Wild</w:t>
      </w:r>
      <w:r w:rsidRPr="00694A98" w:rsidR="00BA5670">
        <w:rPr>
          <w:rFonts w:cs="Palatino Linotype"/>
          <w:color w:val="000000"/>
        </w:rPr>
        <w:t xml:space="preserve"> </w:t>
      </w:r>
      <w:r w:rsidRPr="00BA5670" w:rsidR="00BA5670">
        <w:t xml:space="preserve">Tree urges the Commission to deny the </w:t>
      </w:r>
      <w:r w:rsidR="0070486A">
        <w:t>Joint M</w:t>
      </w:r>
      <w:r w:rsidRPr="00BA5670" w:rsidR="00BA5670">
        <w:t>otion for Settlement.</w:t>
      </w:r>
    </w:p>
    <w:p w:rsidR="009453BA" w:rsidP="00570BA7" w:rsidRDefault="00BA5670" w14:paraId="4086EBD5" w14:textId="77777777">
      <w:pPr>
        <w:pStyle w:val="Standard"/>
      </w:pPr>
      <w:r>
        <w:t xml:space="preserve">In replying to the opposition by Wild Tree, </w:t>
      </w:r>
      <w:r w:rsidR="0070486A">
        <w:t xml:space="preserve">the </w:t>
      </w:r>
      <w:r w:rsidRPr="00570BA7" w:rsidR="00570BA7">
        <w:t>Settling Parties</w:t>
      </w:r>
      <w:r w:rsidR="00570BA7">
        <w:t xml:space="preserve"> state they have </w:t>
      </w:r>
      <w:r w:rsidRPr="00570BA7" w:rsidR="00570BA7">
        <w:t>demonstrated that the Settlement Agreement meets the Commission</w:t>
      </w:r>
      <w:r w:rsidR="00BE4878">
        <w:t>’</w:t>
      </w:r>
      <w:r w:rsidRPr="00570BA7" w:rsidR="00570BA7">
        <w:t>s standard for approval because it is reasonable in light of the whole record, consistent with the law, and in the public interest</w:t>
      </w:r>
      <w:r w:rsidR="00570BA7">
        <w:t>.</w:t>
      </w:r>
      <w:r w:rsidR="00570BA7">
        <w:rPr>
          <w:rStyle w:val="FootnoteReference"/>
        </w:rPr>
        <w:footnoteReference w:id="91"/>
      </w:r>
      <w:r w:rsidR="00570BA7">
        <w:t xml:space="preserve"> T</w:t>
      </w:r>
      <w:r>
        <w:t xml:space="preserve">he </w:t>
      </w:r>
      <w:r w:rsidRPr="00BA5670">
        <w:t>Settling Parties argue that Wild Tree misapplies the Commission</w:t>
      </w:r>
      <w:r w:rsidR="00BE4878">
        <w:t>’</w:t>
      </w:r>
      <w:r w:rsidRPr="00BA5670">
        <w:t>s legal standard and precedents for reviewing settlements. The Settling Parties also contend that Wild Tree</w:t>
      </w:r>
      <w:r w:rsidR="00BE4878">
        <w:t>’</w:t>
      </w:r>
      <w:r w:rsidRPr="00BA5670">
        <w:t>s public interest arguments are without merit.</w:t>
      </w:r>
      <w:r w:rsidR="00570BA7">
        <w:rPr>
          <w:rStyle w:val="FootnoteReference"/>
        </w:rPr>
        <w:footnoteReference w:id="92"/>
      </w:r>
      <w:r w:rsidR="00570BA7">
        <w:t xml:space="preserve"> Lastly, according to the Settling Parties, Wild Tree raised similar objections to the </w:t>
      </w:r>
      <w:r w:rsidR="00A5385B">
        <w:t xml:space="preserve">recent </w:t>
      </w:r>
      <w:r w:rsidR="00570BA7">
        <w:t>settlement on SCE</w:t>
      </w:r>
      <w:r w:rsidR="00BE4878">
        <w:t>’</w:t>
      </w:r>
      <w:r w:rsidR="00570BA7">
        <w:t xml:space="preserve">s application for recovery of costs related to the 2017 Thomas Fire and </w:t>
      </w:r>
      <w:bookmarkStart w:name="_Hlk212125470" w:id="34"/>
      <w:r w:rsidR="00570BA7">
        <w:t xml:space="preserve">Montecito debris flow </w:t>
      </w:r>
      <w:bookmarkEnd w:id="34"/>
      <w:r w:rsidR="00570BA7">
        <w:t>events. In that prior case, the Settling Parties state that the Commission rejected Wild Tree</w:t>
      </w:r>
      <w:r w:rsidR="00BE4878">
        <w:t>’</w:t>
      </w:r>
      <w:r w:rsidR="00570BA7">
        <w:t>s assertions.</w:t>
      </w:r>
      <w:r w:rsidR="00570BA7">
        <w:rPr>
          <w:rStyle w:val="FootnoteReference"/>
        </w:rPr>
        <w:footnoteReference w:id="93"/>
      </w:r>
    </w:p>
    <w:p w:rsidR="00600672" w:rsidP="00D543F4" w:rsidRDefault="00A965B0" w14:paraId="585AB307" w14:textId="28C876C5">
      <w:pPr>
        <w:pStyle w:val="Heading1"/>
      </w:pPr>
      <w:bookmarkStart w:name="_Toc217632456" w:id="35"/>
      <w:r>
        <w:t>Analysis</w:t>
      </w:r>
      <w:r w:rsidR="009062FC">
        <w:t xml:space="preserve"> — </w:t>
      </w:r>
      <w:r w:rsidR="00600672">
        <w:t>Approval of Settlement</w:t>
      </w:r>
      <w:r w:rsidR="00A5385B">
        <w:t xml:space="preserve"> Agreement</w:t>
      </w:r>
      <w:bookmarkEnd w:id="35"/>
    </w:p>
    <w:p w:rsidRPr="00600672" w:rsidR="00E05846" w:rsidP="00EF4370" w:rsidRDefault="00E05846" w14:paraId="12341C5C" w14:textId="115DE7AF">
      <w:pPr>
        <w:pStyle w:val="Standard"/>
      </w:pPr>
      <w:r w:rsidRPr="00E05846">
        <w:t>The Commission finds, as fully explained below, that the Settlement Agreement is reasonable in light of the whole record, consistent with law, and in the public interest.</w:t>
      </w:r>
      <w:r w:rsidR="00496358">
        <w:rPr>
          <w:rStyle w:val="FootnoteReference"/>
        </w:rPr>
        <w:footnoteReference w:id="94"/>
      </w:r>
      <w:r w:rsidRPr="00E05846">
        <w:t xml:space="preserve"> </w:t>
      </w:r>
      <w:r>
        <w:t xml:space="preserve">The Commission fully </w:t>
      </w:r>
      <w:r w:rsidRPr="00E05846">
        <w:t>consider</w:t>
      </w:r>
      <w:r w:rsidR="00580E0D">
        <w:t xml:space="preserve">s </w:t>
      </w:r>
      <w:r w:rsidRPr="00E05846">
        <w:t>and analyze</w:t>
      </w:r>
      <w:r w:rsidR="00580E0D">
        <w:t>s</w:t>
      </w:r>
      <w:r w:rsidRPr="00E05846">
        <w:t xml:space="preserve"> all relevant objections and concerns of Wild Tree</w:t>
      </w:r>
      <w:r w:rsidR="00A411FA">
        <w:t xml:space="preserve"> at </w:t>
      </w:r>
      <w:r w:rsidR="00F4321E">
        <w:t>Section </w:t>
      </w:r>
      <w:r w:rsidRPr="00FD1757" w:rsidR="00FD1757">
        <w:t>9.4</w:t>
      </w:r>
      <w:r w:rsidRPr="00FD1757" w:rsidR="00A411FA">
        <w:t>, herein</w:t>
      </w:r>
      <w:r w:rsidRPr="00E05846">
        <w:t xml:space="preserve">. Based on the extensive record, </w:t>
      </w:r>
      <w:r>
        <w:t>the Commission</w:t>
      </w:r>
      <w:r w:rsidRPr="00E05846">
        <w:t xml:space="preserve"> also find</w:t>
      </w:r>
      <w:r>
        <w:t>s</w:t>
      </w:r>
      <w:r w:rsidRPr="00E05846">
        <w:t xml:space="preserve"> that the Settling Parties had a sound and thorough understanding of the </w:t>
      </w:r>
      <w:r w:rsidR="00BE1B3C">
        <w:t>A</w:t>
      </w:r>
      <w:r w:rsidRPr="00E05846">
        <w:t xml:space="preserve">pplication and all underlying assumptions </w:t>
      </w:r>
      <w:r w:rsidRPr="00E05846">
        <w:lastRenderedPageBreak/>
        <w:t xml:space="preserve">and data. </w:t>
      </w:r>
      <w:r>
        <w:t xml:space="preserve">As elaborated below, </w:t>
      </w:r>
      <w:r w:rsidRPr="00E05846">
        <w:t xml:space="preserve">the Commission </w:t>
      </w:r>
      <w:r w:rsidR="00EF4370">
        <w:t xml:space="preserve">addresses the opposition by Wild Tree and </w:t>
      </w:r>
      <w:r w:rsidRPr="00E05846">
        <w:t>adopts the Settlement Agreement</w:t>
      </w:r>
      <w:r>
        <w:t>.</w:t>
      </w:r>
    </w:p>
    <w:p w:rsidRPr="00B757AA" w:rsidR="00B757AA" w:rsidP="00600672" w:rsidRDefault="00B757AA" w14:paraId="76439CC3" w14:textId="77777777">
      <w:pPr>
        <w:pStyle w:val="Heading2"/>
      </w:pPr>
      <w:bookmarkStart w:name="_Toc217632457" w:id="36"/>
      <w:r w:rsidRPr="00B757AA">
        <w:t>Reasonable in Light of the Whole Record</w:t>
      </w:r>
      <w:bookmarkEnd w:id="36"/>
    </w:p>
    <w:p w:rsidRPr="00822040" w:rsidR="00B757AA" w:rsidP="00E109FF" w:rsidRDefault="00B757AA" w14:paraId="1AE1DB9B" w14:textId="2327884A">
      <w:pPr>
        <w:pStyle w:val="Standard"/>
      </w:pPr>
      <w:r w:rsidRPr="00822040">
        <w:t xml:space="preserve">The Commission has consistently reiterated that there is </w:t>
      </w:r>
      <w:r w:rsidR="00BE4878">
        <w:t>“</w:t>
      </w:r>
      <w:r w:rsidRPr="00822040">
        <w:t>a strong public policy favoring settlement of disputes if they are fair and reasonable in light of the whole record.</w:t>
      </w:r>
      <w:r w:rsidR="00BE4878">
        <w:t>”</w:t>
      </w:r>
      <w:r w:rsidRPr="00822040">
        <w:rPr>
          <w:vertAlign w:val="superscript"/>
        </w:rPr>
        <w:footnoteReference w:id="95"/>
      </w:r>
      <w:r w:rsidRPr="00822040">
        <w:t xml:space="preserve"> </w:t>
      </w:r>
      <w:r w:rsidR="00580E0D">
        <w:t>The Commission</w:t>
      </w:r>
      <w:r w:rsidRPr="00822040">
        <w:t xml:space="preserve"> recognize</w:t>
      </w:r>
      <w:r w:rsidR="00580E0D">
        <w:t>s</w:t>
      </w:r>
      <w:r w:rsidRPr="00822040">
        <w:t xml:space="preserve"> that settlement supports a number of worthwhile policy goals including, for example, reducing the expense and uncertainty of litigation and conserving valuable Commission resources.</w:t>
      </w:r>
      <w:r w:rsidRPr="00822040">
        <w:rPr>
          <w:vertAlign w:val="superscript"/>
        </w:rPr>
        <w:footnoteReference w:id="96"/>
      </w:r>
      <w:r w:rsidRPr="00822040">
        <w:t xml:space="preserve"> To these ends, </w:t>
      </w:r>
      <w:r w:rsidR="00580E0D">
        <w:t>the Commission</w:t>
      </w:r>
      <w:r w:rsidRPr="00822040">
        <w:t xml:space="preserve"> ha</w:t>
      </w:r>
      <w:r w:rsidR="00580E0D">
        <w:t>s</w:t>
      </w:r>
      <w:r w:rsidRPr="00822040">
        <w:t xml:space="preserve"> explained:</w:t>
      </w:r>
    </w:p>
    <w:p w:rsidRPr="00FD1757" w:rsidR="00496358" w:rsidP="009062FC" w:rsidRDefault="00B757AA" w14:paraId="2EC16B43" w14:textId="542434B7">
      <w:pPr>
        <w:pStyle w:val="BlockQuote0"/>
      </w:pPr>
      <w:r w:rsidRPr="00822040">
        <w:t>In assessing settlements we consider individual settlement provisions but, in light of strong public policy favoring settlements, we do not base our conclusion on whether any single provision is the optimal result. Rather, we determine whether the settlement as a whole produces a just and reasonable outcome.</w:t>
      </w:r>
      <w:r w:rsidRPr="00822040">
        <w:rPr>
          <w:vertAlign w:val="superscript"/>
        </w:rPr>
        <w:footnoteReference w:id="97"/>
      </w:r>
    </w:p>
    <w:p w:rsidR="009453BA" w:rsidP="00E109FF" w:rsidRDefault="00496358" w14:paraId="376F27C3" w14:textId="593FBB50">
      <w:pPr>
        <w:pStyle w:val="Standard"/>
      </w:pPr>
      <w:r w:rsidRPr="00822040">
        <w:t>In assessing whether a settlement should be approved, the Commission has considered various factors including</w:t>
      </w:r>
      <w:r w:rsidR="009453BA">
        <w:t xml:space="preserve">:  </w:t>
      </w:r>
      <w:r w:rsidR="00B4198A">
        <w:t>(1) </w:t>
      </w:r>
      <w:r w:rsidRPr="00822040">
        <w:t xml:space="preserve">the risk, expense, complexity and likely duration of further litigation; </w:t>
      </w:r>
      <w:r w:rsidR="00B4198A">
        <w:t>(2) </w:t>
      </w:r>
      <w:r w:rsidRPr="00822040">
        <w:t xml:space="preserve">whether the settlement fairly and reasonably resolves the disputed issues and conserves public and private resources; </w:t>
      </w:r>
      <w:r w:rsidR="00B4198A">
        <w:t>(3) </w:t>
      </w:r>
      <w:r w:rsidRPr="00822040">
        <w:t>whether the agreed</w:t>
      </w:r>
      <w:r w:rsidR="003B5862">
        <w:noBreakHyphen/>
      </w:r>
      <w:r w:rsidRPr="00822040">
        <w:t xml:space="preserve">upon terms fall clearly within the range of possible outcomes had the parties fully litigated; </w:t>
      </w:r>
      <w:r w:rsidR="00B4198A">
        <w:t>(4) </w:t>
      </w:r>
      <w:r w:rsidRPr="00822040">
        <w:t>whether the settlement negotiations were at arms</w:t>
      </w:r>
      <w:r w:rsidR="003B5862">
        <w:noBreakHyphen/>
      </w:r>
      <w:r w:rsidRPr="00822040">
        <w:t xml:space="preserve">length and without collusion; </w:t>
      </w:r>
      <w:r w:rsidR="00B4198A">
        <w:t>(5) </w:t>
      </w:r>
      <w:r w:rsidRPr="00822040">
        <w:t>whether major issues were addressed; (6)</w:t>
      </w:r>
      <w:r w:rsidR="00B4198A">
        <w:t> </w:t>
      </w:r>
      <w:r w:rsidRPr="00822040">
        <w:t>the presence of a governmental participant; and (7)</w:t>
      </w:r>
      <w:r w:rsidR="00B4198A">
        <w:t> </w:t>
      </w:r>
      <w:r w:rsidRPr="00822040">
        <w:t xml:space="preserve">whether </w:t>
      </w:r>
      <w:r w:rsidRPr="00822040">
        <w:lastRenderedPageBreak/>
        <w:t>the parties were adequately represented.</w:t>
      </w:r>
      <w:r w:rsidRPr="00822040">
        <w:rPr>
          <w:rStyle w:val="FootnoteReference"/>
        </w:rPr>
        <w:footnoteReference w:id="98"/>
      </w:r>
      <w:r w:rsidRPr="00822040">
        <w:t xml:space="preserve"> In this proceeding and as discussed further below, each of those factors supports approval of the Settlement Agreement</w:t>
      </w:r>
      <w:r w:rsidRPr="00822040" w:rsidR="00B628C5">
        <w:t xml:space="preserve"> as </w:t>
      </w:r>
      <w:r w:rsidRPr="00822040" w:rsidR="00B757AA">
        <w:t>reasonable in light of the whole record.</w:t>
      </w:r>
    </w:p>
    <w:p w:rsidR="009453BA" w:rsidP="00E109FF" w:rsidRDefault="00B628C5" w14:paraId="656BA20E" w14:textId="77777777">
      <w:pPr>
        <w:pStyle w:val="Standard"/>
      </w:pPr>
      <w:r w:rsidRPr="00822040">
        <w:t xml:space="preserve">First, the disputed issues in this proceeding required and produced a record including extensive testimony across a broad range of subject areas and numerous independent experts; </w:t>
      </w:r>
      <w:r w:rsidRPr="00822040" w:rsidR="0088240B">
        <w:t xml:space="preserve">and </w:t>
      </w:r>
      <w:r w:rsidRPr="00822040">
        <w:t xml:space="preserve">further </w:t>
      </w:r>
      <w:r w:rsidRPr="00822040" w:rsidR="0088240B">
        <w:t xml:space="preserve">administrative </w:t>
      </w:r>
      <w:r w:rsidRPr="00822040">
        <w:t xml:space="preserve">litigation, </w:t>
      </w:r>
      <w:r w:rsidRPr="00822040" w:rsidR="0088240B">
        <w:t xml:space="preserve">such as </w:t>
      </w:r>
      <w:r w:rsidRPr="00822040">
        <w:t xml:space="preserve">an evidentiary hearing and subsequent briefing, will necessarily be complex, expensive, and </w:t>
      </w:r>
      <w:r w:rsidRPr="00822040" w:rsidR="0088240B">
        <w:t>time consuming</w:t>
      </w:r>
      <w:r w:rsidRPr="00822040">
        <w:t>, and will require resolution of complicated factual disputes.</w:t>
      </w:r>
    </w:p>
    <w:p w:rsidR="009453BA" w:rsidP="00E109FF" w:rsidRDefault="00B628C5" w14:paraId="21F0805F" w14:textId="77777777">
      <w:pPr>
        <w:pStyle w:val="Standard"/>
      </w:pPr>
      <w:r w:rsidRPr="00822040">
        <w:t>Second, the compromises</w:t>
      </w:r>
      <w:r w:rsidRPr="00822040" w:rsidR="0088240B">
        <w:t xml:space="preserve"> negotiated</w:t>
      </w:r>
      <w:r w:rsidRPr="00822040">
        <w:t xml:space="preserve"> </w:t>
      </w:r>
      <w:r w:rsidRPr="00822040" w:rsidR="0088240B">
        <w:t xml:space="preserve">by </w:t>
      </w:r>
      <w:r w:rsidRPr="00822040">
        <w:t xml:space="preserve">the Settling Parties reflected in the Settlement Agreement reasonably resolve the disputed issues in this proceeding and, by allowing the parties and the Commission to avoid continued complex </w:t>
      </w:r>
      <w:r w:rsidRPr="00822040" w:rsidR="0088240B">
        <w:t xml:space="preserve">administrative </w:t>
      </w:r>
      <w:r w:rsidRPr="00822040">
        <w:t>litigation, the Settlement Agreement conserves public and private resources.</w:t>
      </w:r>
    </w:p>
    <w:p w:rsidR="009453BA" w:rsidP="00E109FF" w:rsidRDefault="00B628C5" w14:paraId="278511B0" w14:textId="77777777">
      <w:pPr>
        <w:pStyle w:val="Standard"/>
      </w:pPr>
      <w:r w:rsidRPr="00822040">
        <w:t>Third, in light of the litigation positions of the Settling Parties and the extensive record developed in this proceeding, the Settlement Agreement also falls within the range of potential outcomes had this proceeding been litigated to conclusion.</w:t>
      </w:r>
    </w:p>
    <w:p w:rsidR="009453BA" w:rsidP="00E109FF" w:rsidRDefault="00BD72F6" w14:paraId="3C698EAD" w14:textId="77777777">
      <w:pPr>
        <w:pStyle w:val="Standard"/>
      </w:pPr>
      <w:r w:rsidRPr="00822040">
        <w:t>Fourth, the Settlement Agreement is a product of extensive good faith negotiations, aggressive bargaining and exchanges of positions grounded in the factual record, and, ultimately, compromise by each Settling Party in order to reach consensus.</w:t>
      </w:r>
    </w:p>
    <w:p w:rsidR="009453BA" w:rsidP="00E109FF" w:rsidRDefault="006F5964" w14:paraId="0766287A" w14:textId="77777777">
      <w:pPr>
        <w:pStyle w:val="Standard"/>
      </w:pPr>
      <w:r w:rsidRPr="00822040">
        <w:t>Fifth, the Settlement Agreement addresses SCE</w:t>
      </w:r>
      <w:r w:rsidR="00BE4878">
        <w:t>’</w:t>
      </w:r>
      <w:r w:rsidRPr="00822040">
        <w:t xml:space="preserve">s request for cost recovery, and resolves </w:t>
      </w:r>
      <w:r w:rsidRPr="00822040" w:rsidR="0088240B">
        <w:t xml:space="preserve">cost recovery </w:t>
      </w:r>
      <w:r w:rsidRPr="00822040">
        <w:t xml:space="preserve">treatment for all WEMA and CEMA costs related to </w:t>
      </w:r>
      <w:r w:rsidRPr="00822040">
        <w:lastRenderedPageBreak/>
        <w:t>the Woolsey Fire. In doing so, the Settlement Agreement engages with, and describes the Settling Parties</w:t>
      </w:r>
      <w:r w:rsidR="00BE4878">
        <w:t>’</w:t>
      </w:r>
      <w:r w:rsidRPr="00822040">
        <w:t xml:space="preserve"> positions on, the numerous issues highlighted in the </w:t>
      </w:r>
      <w:r w:rsidR="00381F1B">
        <w:t>extensive</w:t>
      </w:r>
      <w:r w:rsidRPr="00822040">
        <w:t xml:space="preserve"> record developed in this proceeding.</w:t>
      </w:r>
    </w:p>
    <w:p w:rsidR="009453BA" w:rsidP="00E109FF" w:rsidRDefault="006F5964" w14:paraId="217D3A02" w14:textId="77777777">
      <w:pPr>
        <w:pStyle w:val="Standard"/>
      </w:pPr>
      <w:r w:rsidRPr="00822040">
        <w:t xml:space="preserve">Sixth, one of the Settling Parties, </w:t>
      </w:r>
      <w:r w:rsidR="003708E7">
        <w:t>Cal Advoc</w:t>
      </w:r>
      <w:r w:rsidRPr="00822040">
        <w:t xml:space="preserve">ates, is a governmental organization independently </w:t>
      </w:r>
      <w:r w:rsidRPr="00822040" w:rsidR="0088240B">
        <w:t xml:space="preserve">positioned </w:t>
      </w:r>
      <w:r w:rsidRPr="00822040">
        <w:t>within the Commission and statutorily mandated to advocate on behalf of public utility customers.</w:t>
      </w:r>
    </w:p>
    <w:p w:rsidR="009453BA" w:rsidP="00E109FF" w:rsidRDefault="00822040" w14:paraId="63EC0FCD" w14:textId="5D2D7C02">
      <w:pPr>
        <w:pStyle w:val="Standard"/>
      </w:pPr>
      <w:r>
        <w:t>Finally</w:t>
      </w:r>
      <w:r w:rsidRPr="00822040" w:rsidR="006F5964">
        <w:t>, the Settling Parties</w:t>
      </w:r>
      <w:r w:rsidRPr="00822040" w:rsidR="0088240B">
        <w:t xml:space="preserve"> are each well</w:t>
      </w:r>
      <w:r w:rsidR="003B5862">
        <w:noBreakHyphen/>
      </w:r>
      <w:r w:rsidRPr="00822040" w:rsidR="0088240B">
        <w:t>versed in California regulatory law and</w:t>
      </w:r>
      <w:r w:rsidRPr="00822040" w:rsidR="006F5964">
        <w:t xml:space="preserve"> </w:t>
      </w:r>
      <w:r w:rsidRPr="00822040" w:rsidR="0088240B">
        <w:t>are</w:t>
      </w:r>
      <w:r w:rsidRPr="00822040" w:rsidR="006F5964">
        <w:t xml:space="preserve"> represented by experienced Commission practitioners.</w:t>
      </w:r>
    </w:p>
    <w:p w:rsidR="009453BA" w:rsidP="00E109FF" w:rsidRDefault="00B757AA" w14:paraId="5E7C5A4D" w14:textId="0D58CB66">
      <w:pPr>
        <w:pStyle w:val="Standard"/>
      </w:pPr>
      <w:r>
        <w:t xml:space="preserve">Based on </w:t>
      </w:r>
      <w:r w:rsidR="00822040">
        <w:t xml:space="preserve">the above </w:t>
      </w:r>
      <w:r w:rsidR="00FD1757">
        <w:t>analysis,</w:t>
      </w:r>
      <w:r w:rsidR="00822040">
        <w:t xml:space="preserve"> plus a</w:t>
      </w:r>
      <w:r>
        <w:t xml:space="preserve"> review of the evidence and legal arguments, the Settlement Agreement</w:t>
      </w:r>
      <w:r w:rsidR="00822040">
        <w:t xml:space="preserve"> </w:t>
      </w:r>
      <w:r>
        <w:t xml:space="preserve">will result </w:t>
      </w:r>
      <w:r w:rsidR="00CC3645">
        <w:t>in, among other benefits, a reduction of approximately 65% of the WEMA amount requested, with approximately $3.7</w:t>
      </w:r>
      <w:r w:rsidR="00F60904">
        <w:t> billion</w:t>
      </w:r>
      <w:r w:rsidR="00CC3645">
        <w:t xml:space="preserve"> permanently disallowed, and </w:t>
      </w:r>
      <w:r w:rsidR="002A36AD">
        <w:t>a reduction of</w:t>
      </w:r>
      <w:r w:rsidR="00CC3645">
        <w:t xml:space="preserve"> approximately 15% of the CEMA amount request, with $12.5</w:t>
      </w:r>
      <w:r w:rsidR="00BE4878">
        <w:t> million</w:t>
      </w:r>
      <w:r w:rsidR="00CC3645">
        <w:t xml:space="preserve"> permanently disallowed.</w:t>
      </w:r>
    </w:p>
    <w:p w:rsidRPr="00822040" w:rsidR="00CC3645" w:rsidP="00E109FF" w:rsidRDefault="00822040" w14:paraId="33B27296" w14:textId="72270875">
      <w:pPr>
        <w:pStyle w:val="Standard"/>
        <w:rPr>
          <w:color w:val="1F3864" w:themeColor="accent1" w:themeShade="80"/>
        </w:rPr>
      </w:pPr>
      <w:r>
        <w:t>Accordingly, the Commission finds that, in light of the whole record, t</w:t>
      </w:r>
      <w:r w:rsidR="00CC3645">
        <w:t>his</w:t>
      </w:r>
      <w:r>
        <w:t xml:space="preserve"> </w:t>
      </w:r>
      <w:r w:rsidR="00B757AA">
        <w:t>reduction</w:t>
      </w:r>
      <w:r>
        <w:t xml:space="preserve"> of over $3.7</w:t>
      </w:r>
      <w:r w:rsidR="00F60904">
        <w:t> billion</w:t>
      </w:r>
      <w:r w:rsidR="00CC3645">
        <w:t xml:space="preserve"> </w:t>
      </w:r>
      <w:r w:rsidR="00B757AA">
        <w:t>represents a reasonable compromise between the respective parties</w:t>
      </w:r>
      <w:r w:rsidR="00BE4878">
        <w:t>’</w:t>
      </w:r>
      <w:r w:rsidR="00B757AA">
        <w:t xml:space="preserve"> </w:t>
      </w:r>
      <w:r w:rsidR="002A36AD">
        <w:t xml:space="preserve">litigation </w:t>
      </w:r>
      <w:r w:rsidR="00B757AA">
        <w:t>positions</w:t>
      </w:r>
      <w:r w:rsidR="00CC3645">
        <w:t xml:space="preserve"> and</w:t>
      </w:r>
      <w:r w:rsidR="00B757AA">
        <w:t xml:space="preserve"> will result in a lower rate increase </w:t>
      </w:r>
      <w:r w:rsidR="002A36AD">
        <w:t xml:space="preserve">for customers </w:t>
      </w:r>
      <w:r w:rsidR="00B757AA">
        <w:t>than would be the case under SCE</w:t>
      </w:r>
      <w:r w:rsidR="00BE4878">
        <w:t>’</w:t>
      </w:r>
      <w:r w:rsidR="00B757AA">
        <w:t>s initial request.</w:t>
      </w:r>
    </w:p>
    <w:p w:rsidRPr="00B757AA" w:rsidR="00B757AA" w:rsidP="00444BA2" w:rsidRDefault="00B757AA" w14:paraId="0176FD80" w14:textId="73996921">
      <w:pPr>
        <w:pStyle w:val="Heading2"/>
      </w:pPr>
      <w:bookmarkStart w:name="_Toc198817935" w:id="37"/>
      <w:bookmarkStart w:name="_Toc217632458" w:id="38"/>
      <w:r w:rsidRPr="00B757AA">
        <w:t>Consistent with the Law</w:t>
      </w:r>
      <w:bookmarkEnd w:id="37"/>
      <w:bookmarkEnd w:id="38"/>
    </w:p>
    <w:p w:rsidRPr="0044132F" w:rsidR="00B757AA" w:rsidP="00E109FF" w:rsidRDefault="00B757AA" w14:paraId="4CE7C581" w14:textId="5ADF4158">
      <w:pPr>
        <w:pStyle w:val="Standard"/>
      </w:pPr>
      <w:r w:rsidRPr="0044132F">
        <w:t xml:space="preserve">Based on our review of the Settlement Agreement and the record of this proceeding, the Commission finds that the Settlement Agreement is consistent with the </w:t>
      </w:r>
      <w:r w:rsidR="000F4DE2">
        <w:t xml:space="preserve">Pub. Util. </w:t>
      </w:r>
      <w:r w:rsidRPr="0044132F">
        <w:t>Code, Commission decisions, all other applicable laws</w:t>
      </w:r>
      <w:r w:rsidRPr="0044132F" w:rsidR="00345996">
        <w:t xml:space="preserve"> and promotes state policy goals</w:t>
      </w:r>
      <w:r w:rsidRPr="0044132F">
        <w:t>.</w:t>
      </w:r>
    </w:p>
    <w:p w:rsidR="009453BA" w:rsidP="001C2BE8" w:rsidRDefault="00345996" w14:paraId="06A08566" w14:textId="77777777">
      <w:pPr>
        <w:pStyle w:val="BlockQuote0"/>
      </w:pPr>
      <w:r w:rsidRPr="0044132F">
        <w:t xml:space="preserve">With respect to whether a settlement agreement is consistent with the law, the Commission must be assured that no term of the settlement agreement contravenes statutory provisions or prior Commission decisions. A settlement that implements or </w:t>
      </w:r>
      <w:r w:rsidRPr="0044132F">
        <w:lastRenderedPageBreak/>
        <w:t>promotes state and Commission policy goals embodied in statutes or Commission decisions would be consistent with the law.</w:t>
      </w:r>
      <w:r w:rsidRPr="0044132F">
        <w:rPr>
          <w:rStyle w:val="FootnoteReference"/>
        </w:rPr>
        <w:footnoteReference w:id="99"/>
      </w:r>
    </w:p>
    <w:p w:rsidR="008526CD" w:rsidP="00E109FF" w:rsidRDefault="008526CD" w14:paraId="324BBFF2" w14:textId="227FCCC4">
      <w:pPr>
        <w:pStyle w:val="Standard"/>
        <w:rPr>
          <w:color w:val="1F3864" w:themeColor="accent1" w:themeShade="80"/>
        </w:rPr>
      </w:pPr>
      <w:r w:rsidRPr="0044132F">
        <w:t>The Commission has reviewed and finds that t</w:t>
      </w:r>
      <w:r w:rsidRPr="0044132F" w:rsidR="00B757AA">
        <w:t xml:space="preserve">he costs were tracked and recorded in </w:t>
      </w:r>
      <w:r w:rsidRPr="0044132F">
        <w:t xml:space="preserve">authorized </w:t>
      </w:r>
      <w:r w:rsidRPr="0044132F" w:rsidR="00B757AA">
        <w:t>memorandum accounts</w:t>
      </w:r>
      <w:r w:rsidRPr="0044132F" w:rsidR="00E81217">
        <w:t>, accounts</w:t>
      </w:r>
      <w:r w:rsidRPr="0044132F" w:rsidR="00B757AA">
        <w:t xml:space="preserve"> previously approved by the Commission. </w:t>
      </w:r>
      <w:r w:rsidRPr="0044132F">
        <w:t>The Commission further finds that it is consistent with law to authorize SCE</w:t>
      </w:r>
      <w:r w:rsidR="00BE4878">
        <w:t>’</w:t>
      </w:r>
      <w:r w:rsidRPr="0044132F">
        <w:t xml:space="preserve">s partial recovery of recorded WEMA and CEMA costs and authorizing the related permanent disallowances </w:t>
      </w:r>
      <w:r w:rsidR="00CB0296">
        <w:t>is</w:t>
      </w:r>
      <w:r w:rsidRPr="0044132F">
        <w:t xml:space="preserve"> consistent with the just and reasonable requirements of </w:t>
      </w:r>
      <w:r w:rsidR="00CD0DC1">
        <w:t>Pub. Util.</w:t>
      </w:r>
      <w:r w:rsidRPr="0044132F">
        <w:t xml:space="preserve"> Code </w:t>
      </w:r>
      <w:r w:rsidR="00F4321E">
        <w:t>Section </w:t>
      </w:r>
      <w:r w:rsidRPr="0044132F">
        <w:t xml:space="preserve">451. </w:t>
      </w:r>
      <w:r w:rsidRPr="00854A98" w:rsidR="00854A98">
        <w:t>The Commission also finds that the Settlement</w:t>
      </w:r>
      <w:r w:rsidR="006812F1">
        <w:t xml:space="preserve"> Agreement</w:t>
      </w:r>
      <w:r w:rsidRPr="00854A98" w:rsidR="00854A98">
        <w:t xml:space="preserve"> supports the </w:t>
      </w:r>
      <w:r w:rsidRPr="00854A98">
        <w:t>strong public policy favoring settled outcomes of litigated proceedings</w:t>
      </w:r>
      <w:r w:rsidRPr="00854A98" w:rsidR="00854A98">
        <w:t>, as reflect</w:t>
      </w:r>
      <w:r w:rsidRPr="00854A98" w:rsidR="24AC6292">
        <w:t>ed</w:t>
      </w:r>
      <w:r w:rsidRPr="00854A98" w:rsidR="00854A98">
        <w:t xml:space="preserve"> i</w:t>
      </w:r>
      <w:r w:rsidRPr="00854A98" w:rsidR="04632B53">
        <w:t>n</w:t>
      </w:r>
      <w:r w:rsidRPr="00854A98" w:rsidR="00854A98">
        <w:t xml:space="preserve"> numerous cases</w:t>
      </w:r>
      <w:r w:rsidRPr="00854A98">
        <w:t>.</w:t>
      </w:r>
      <w:r w:rsidRPr="00854A98" w:rsidR="00EE0B7B">
        <w:rPr>
          <w:rStyle w:val="FootnoteReference"/>
        </w:rPr>
        <w:footnoteReference w:id="100"/>
      </w:r>
    </w:p>
    <w:p w:rsidR="009453BA" w:rsidP="00E109FF" w:rsidRDefault="00B757AA" w14:paraId="388BFEAE" w14:textId="3F5A5765">
      <w:pPr>
        <w:pStyle w:val="Standard"/>
      </w:pPr>
      <w:r>
        <w:t xml:space="preserve">Based on the nature of the costs which were tracked in authorized accounts, associated with clear policy goals, </w:t>
      </w:r>
      <w:r w:rsidR="00CB0296">
        <w:t xml:space="preserve">and </w:t>
      </w:r>
      <w:r>
        <w:t>the</w:t>
      </w:r>
      <w:r w:rsidR="00104A89">
        <w:t xml:space="preserve"> over $3.7</w:t>
      </w:r>
      <w:r w:rsidR="00F60904">
        <w:t> billion</w:t>
      </w:r>
      <w:r>
        <w:t xml:space="preserve"> reduction to the amount SCE is requesting, the Settlement </w:t>
      </w:r>
      <w:r w:rsidR="006812F1">
        <w:t xml:space="preserve">Agreement </w:t>
      </w:r>
      <w:r>
        <w:t>is found to be consistent with the la</w:t>
      </w:r>
      <w:r w:rsidR="00104A89">
        <w:t>w.</w:t>
      </w:r>
    </w:p>
    <w:p w:rsidRPr="00B757AA" w:rsidR="00B757AA" w:rsidP="00444BA2" w:rsidRDefault="00B757AA" w14:paraId="0FC54E0D" w14:textId="63A12818">
      <w:pPr>
        <w:pStyle w:val="Heading2"/>
      </w:pPr>
      <w:bookmarkStart w:name="_Toc198817936" w:id="39"/>
      <w:bookmarkStart w:name="_Toc217632459" w:id="40"/>
      <w:r w:rsidRPr="00B757AA">
        <w:t>In the Public Interest</w:t>
      </w:r>
      <w:bookmarkEnd w:id="39"/>
      <w:bookmarkEnd w:id="40"/>
    </w:p>
    <w:p w:rsidRPr="00742CB6" w:rsidR="00B757AA" w:rsidP="00E109FF" w:rsidRDefault="00B757AA" w14:paraId="1F4FF6F5" w14:textId="2A6EBF1F">
      <w:pPr>
        <w:pStyle w:val="Standard"/>
      </w:pPr>
      <w:r w:rsidRPr="00742CB6">
        <w:t xml:space="preserve">Based on our review of the Settlement Agreement and the record of this proceeding, we find the Settlement Agreement is in the public interest. The Commission has previously noted that </w:t>
      </w:r>
      <w:r w:rsidR="00BE4878">
        <w:t>“</w:t>
      </w:r>
      <w:r w:rsidRPr="00742CB6">
        <w:t xml:space="preserve">in order to consider [a] proposed Settlement Agreement… as being in the public interest, we must be convinced </w:t>
      </w:r>
      <w:r w:rsidRPr="00742CB6">
        <w:lastRenderedPageBreak/>
        <w:t>that the parties have a sound and thorough understanding of the application and all the underlying assumptions and data included in the record. This level of understanding of the application and development of an adequate record is necessary to meet our requirements for considering any settlement.</w:t>
      </w:r>
      <w:r w:rsidR="00BE4878">
        <w:t>”</w:t>
      </w:r>
      <w:r w:rsidRPr="00742CB6">
        <w:rPr>
          <w:vertAlign w:val="superscript"/>
        </w:rPr>
        <w:footnoteReference w:id="101"/>
      </w:r>
    </w:p>
    <w:p w:rsidRPr="00742CB6" w:rsidR="00B757AA" w:rsidP="00E109FF" w:rsidRDefault="00B757AA" w14:paraId="59C1CB40" w14:textId="70A6CE12">
      <w:pPr>
        <w:pStyle w:val="Standard"/>
      </w:pPr>
      <w:r w:rsidRPr="00742CB6">
        <w:t>In this instance the Settling Parties are sophisticated parties. SCE</w:t>
      </w:r>
      <w:r w:rsidR="00CB0296">
        <w:t>,</w:t>
      </w:r>
      <w:r w:rsidRPr="00742CB6">
        <w:t xml:space="preserve"> </w:t>
      </w:r>
      <w:r w:rsidR="003708E7">
        <w:t>Cal Advoc</w:t>
      </w:r>
      <w:r w:rsidRPr="00742CB6">
        <w:t>ates</w:t>
      </w:r>
      <w:r w:rsidR="00CB0296">
        <w:t>,</w:t>
      </w:r>
      <w:r w:rsidRPr="00742CB6">
        <w:t xml:space="preserve"> and </w:t>
      </w:r>
      <w:r w:rsidRPr="00742CB6" w:rsidR="00742CB6">
        <w:t>EPUC</w:t>
      </w:r>
      <w:r w:rsidRPr="00742CB6">
        <w:t xml:space="preserve"> have extensive experience and expertise with Commission </w:t>
      </w:r>
      <w:r w:rsidRPr="00742CB6" w:rsidR="00742CB6">
        <w:t xml:space="preserve">cost recovery </w:t>
      </w:r>
      <w:r w:rsidRPr="00742CB6">
        <w:t xml:space="preserve">applications. Indeed, </w:t>
      </w:r>
      <w:r w:rsidR="003708E7">
        <w:t>Cal Advoc</w:t>
      </w:r>
      <w:r w:rsidRPr="00742CB6">
        <w:t xml:space="preserve">ates participates in most large electric utility applications for wildfire cost recovery. The record here is well developed with the proposed Settlement Agreement occurring after development of the evidentiary record with extensive prepared testimony. </w:t>
      </w:r>
      <w:r w:rsidR="00CB0296">
        <w:t xml:space="preserve">The </w:t>
      </w:r>
      <w:r w:rsidRPr="00742CB6">
        <w:t xml:space="preserve">Settling Parties have a sound and thorough understanding of the Application and all the underlying assumptions and data included in the record. The Settling Parties also fairly represent the interests of the public affected by the </w:t>
      </w:r>
      <w:r w:rsidR="00CB0296">
        <w:t>A</w:t>
      </w:r>
      <w:r w:rsidRPr="00742CB6">
        <w:t>pplication.</w:t>
      </w:r>
    </w:p>
    <w:p w:rsidR="009453BA" w:rsidP="00E109FF" w:rsidRDefault="00B757AA" w14:paraId="00899A24" w14:textId="4A3C73C3">
      <w:pPr>
        <w:pStyle w:val="Standard"/>
      </w:pPr>
      <w:r w:rsidRPr="00742CB6">
        <w:t>Substantively, the overall reduction in the revenue requirement is within the public interest as the Settling Parties acknowledge the cost burden on customers of SCE</w:t>
      </w:r>
      <w:r w:rsidR="00BE4878">
        <w:t>’</w:t>
      </w:r>
      <w:r w:rsidRPr="00742CB6">
        <w:t>s initial request. Also, the cause</w:t>
      </w:r>
      <w:r w:rsidR="00CB0296">
        <w:t>s</w:t>
      </w:r>
      <w:r w:rsidRPr="00742CB6">
        <w:t xml:space="preserve"> of much of the costs at issue are related to wildfire mitigation, wildfire impacts, and other issues that impact customers. Advancement of the policy and legal goals that are the genesis of, or related to, the costs at issue is in the public interest. The </w:t>
      </w:r>
      <w:r w:rsidR="006812F1">
        <w:t>Joint Motion for S</w:t>
      </w:r>
      <w:r w:rsidRPr="00742CB6">
        <w:t>ettlement is opposed</w:t>
      </w:r>
      <w:r w:rsidR="002A36AD">
        <w:t xml:space="preserve"> by Wild Tree</w:t>
      </w:r>
      <w:r w:rsidRPr="00742CB6">
        <w:t xml:space="preserve">, and </w:t>
      </w:r>
      <w:r w:rsidRPr="00742CB6" w:rsidR="00742CB6">
        <w:t>the</w:t>
      </w:r>
      <w:r w:rsidRPr="00742CB6">
        <w:t xml:space="preserve"> issues or concerns raised by </w:t>
      </w:r>
      <w:r w:rsidRPr="00742CB6" w:rsidR="00742CB6">
        <w:t>Wild Tree</w:t>
      </w:r>
      <w:r w:rsidRPr="00742CB6">
        <w:t xml:space="preserve"> </w:t>
      </w:r>
      <w:r w:rsidRPr="00742CB6" w:rsidR="00742CB6">
        <w:t>are addressed and disposed of below</w:t>
      </w:r>
      <w:r w:rsidRPr="00742CB6">
        <w:t>.</w:t>
      </w:r>
    </w:p>
    <w:p w:rsidR="009453BA" w:rsidP="00E109FF" w:rsidRDefault="00B757AA" w14:paraId="0A59ABBE" w14:textId="77777777">
      <w:pPr>
        <w:pStyle w:val="Standard"/>
      </w:pPr>
      <w:r w:rsidRPr="00742CB6">
        <w:t>Based on the reduction</w:t>
      </w:r>
      <w:r w:rsidRPr="00742CB6" w:rsidR="00742CB6">
        <w:t xml:space="preserve"> of over $3.7</w:t>
      </w:r>
      <w:r w:rsidR="00F60904">
        <w:t> billion</w:t>
      </w:r>
      <w:r w:rsidRPr="00742CB6">
        <w:t xml:space="preserve"> and the expertise of the Settling Parties, the Commission finds the Settlement Agreement to be in the public interest.</w:t>
      </w:r>
    </w:p>
    <w:p w:rsidR="00742CB6" w:rsidP="00747BE8" w:rsidRDefault="00E96E82" w14:paraId="698C4A9A" w14:textId="39EB138C">
      <w:pPr>
        <w:pStyle w:val="Heading2"/>
      </w:pPr>
      <w:bookmarkStart w:name="_Toc217632460" w:id="41"/>
      <w:r w:rsidRPr="00E96E82">
        <w:lastRenderedPageBreak/>
        <w:t xml:space="preserve">Opposition of Wild Tree </w:t>
      </w:r>
      <w:r w:rsidR="00FD1757">
        <w:t xml:space="preserve">Lacks </w:t>
      </w:r>
      <w:r w:rsidRPr="00E96E82">
        <w:t>Merit</w:t>
      </w:r>
      <w:bookmarkEnd w:id="41"/>
    </w:p>
    <w:p w:rsidR="00E96E82" w:rsidP="00E109FF" w:rsidRDefault="00420303" w14:paraId="39F31A01" w14:textId="2B320345">
      <w:pPr>
        <w:pStyle w:val="Standard"/>
      </w:pPr>
      <w:r>
        <w:t>The below analysis focus</w:t>
      </w:r>
      <w:r w:rsidR="00737DAD">
        <w:t>es</w:t>
      </w:r>
      <w:r>
        <w:t xml:space="preserve"> on three </w:t>
      </w:r>
      <w:r w:rsidR="00D16599">
        <w:t>fatal</w:t>
      </w:r>
      <w:r>
        <w:t xml:space="preserve"> weaknesses </w:t>
      </w:r>
      <w:r w:rsidR="00747BE8">
        <w:t xml:space="preserve">in </w:t>
      </w:r>
      <w:r>
        <w:t>Wild Tree</w:t>
      </w:r>
      <w:r w:rsidR="00BE4878">
        <w:t>’</w:t>
      </w:r>
      <w:r w:rsidR="00747BE8">
        <w:t>s arguments in</w:t>
      </w:r>
      <w:r>
        <w:t xml:space="preserve"> opposition</w:t>
      </w:r>
      <w:r w:rsidR="00747BE8">
        <w:t xml:space="preserve"> to the Settlement Agreement</w:t>
      </w:r>
      <w:r w:rsidR="009453BA">
        <w:t xml:space="preserve">:  </w:t>
      </w:r>
      <w:r w:rsidR="00B4198A">
        <w:t>(1) </w:t>
      </w:r>
      <w:r w:rsidR="00747BE8">
        <w:t xml:space="preserve">Wild Tree </w:t>
      </w:r>
      <w:r w:rsidR="00F37E79">
        <w:t xml:space="preserve">evaluates the Settlement </w:t>
      </w:r>
      <w:r w:rsidR="006812F1">
        <w:t xml:space="preserve">Agreement </w:t>
      </w:r>
      <w:r w:rsidR="00F37E79">
        <w:t>under</w:t>
      </w:r>
      <w:r w:rsidR="00737DAD">
        <w:t xml:space="preserve"> the </w:t>
      </w:r>
      <w:r w:rsidR="00F37E79">
        <w:t>wrong</w:t>
      </w:r>
      <w:r w:rsidR="00737DAD">
        <w:t xml:space="preserve"> standard of review</w:t>
      </w:r>
      <w:r w:rsidR="00B4198A">
        <w:t>; (2) </w:t>
      </w:r>
      <w:r w:rsidR="00747BE8">
        <w:t xml:space="preserve">Wild Tree </w:t>
      </w:r>
      <w:r w:rsidR="00737DAD">
        <w:t xml:space="preserve">fails to </w:t>
      </w:r>
      <w:r w:rsidR="00DD7505">
        <w:t>consider</w:t>
      </w:r>
      <w:r w:rsidR="00737DAD">
        <w:t xml:space="preserve"> the Commission</w:t>
      </w:r>
      <w:r w:rsidR="00BE4878">
        <w:t>’</w:t>
      </w:r>
      <w:r w:rsidR="00737DAD">
        <w:t>s long</w:t>
      </w:r>
      <w:r w:rsidR="003B5862">
        <w:noBreakHyphen/>
      </w:r>
      <w:r w:rsidR="00737DAD">
        <w:t xml:space="preserve">standing policy </w:t>
      </w:r>
      <w:r w:rsidR="00DD7505">
        <w:t>supporting settlement</w:t>
      </w:r>
      <w:r w:rsidR="00B4198A">
        <w:t>; and (3) </w:t>
      </w:r>
      <w:r w:rsidR="00747BE8">
        <w:t xml:space="preserve">Wild Tree relies on </w:t>
      </w:r>
      <w:r w:rsidR="00361383">
        <w:t xml:space="preserve">arguments </w:t>
      </w:r>
      <w:r w:rsidR="00747BE8">
        <w:t xml:space="preserve">recently </w:t>
      </w:r>
      <w:r w:rsidR="00361383">
        <w:t xml:space="preserve">rejected in </w:t>
      </w:r>
      <w:r w:rsidRPr="004F33EC" w:rsidR="004F33EC">
        <w:t>D.25</w:t>
      </w:r>
      <w:r w:rsidR="003B5862">
        <w:noBreakHyphen/>
      </w:r>
      <w:r w:rsidRPr="004F33EC" w:rsidR="004F33EC">
        <w:t>01</w:t>
      </w:r>
      <w:r w:rsidR="003B5862">
        <w:noBreakHyphen/>
      </w:r>
      <w:r w:rsidRPr="004F33EC" w:rsidR="004F33EC">
        <w:t>042</w:t>
      </w:r>
      <w:r w:rsidR="004F33EC">
        <w:t>.</w:t>
      </w:r>
      <w:r w:rsidR="00A34320">
        <w:rPr>
          <w:rStyle w:val="FootnoteReference"/>
        </w:rPr>
        <w:footnoteReference w:id="102"/>
      </w:r>
    </w:p>
    <w:p w:rsidR="009453BA" w:rsidP="00E109FF" w:rsidRDefault="00420303" w14:paraId="008AC4EC" w14:textId="0C31D6FC">
      <w:pPr>
        <w:pStyle w:val="Standard"/>
      </w:pPr>
      <w:r w:rsidRPr="00420303">
        <w:t xml:space="preserve">Wild Tree argues that the </w:t>
      </w:r>
      <w:r w:rsidR="009453BA">
        <w:t>September </w:t>
      </w:r>
      <w:r>
        <w:t>19, 2025 S</w:t>
      </w:r>
      <w:r w:rsidRPr="00420303">
        <w:t>ettlement</w:t>
      </w:r>
      <w:r w:rsidR="006812F1">
        <w:t xml:space="preserve"> Agreement</w:t>
      </w:r>
      <w:r w:rsidRPr="00420303">
        <w:t xml:space="preserve"> should not be approved because </w:t>
      </w:r>
      <w:r w:rsidR="00BE4878">
        <w:t>“</w:t>
      </w:r>
      <w:r w:rsidRPr="00420303">
        <w:t>SCE has not met its burden of proof that its conduct was reasonable and prudent,</w:t>
      </w:r>
      <w:r w:rsidR="00BE4878">
        <w:t>”</w:t>
      </w:r>
      <w:r w:rsidRPr="00420303">
        <w:t xml:space="preserve"> </w:t>
      </w:r>
      <w:r w:rsidRPr="00F60904" w:rsidR="00F60904">
        <w:rPr>
          <w:i/>
          <w:iCs/>
        </w:rPr>
        <w:t>i.e.</w:t>
      </w:r>
      <w:r w:rsidRPr="00420303">
        <w:t>, the burden that SCE would have to meet to prevail on its litigation position had this proceeding been litigated to a conclusion on the merits.</w:t>
      </w:r>
      <w:bookmarkStart w:name="_Hlk211962225" w:id="42"/>
      <w:r>
        <w:rPr>
          <w:rStyle w:val="FootnoteReference"/>
        </w:rPr>
        <w:footnoteReference w:id="103"/>
      </w:r>
      <w:bookmarkEnd w:id="42"/>
      <w:r w:rsidR="00F37E79">
        <w:t xml:space="preserve"> Wild Tree</w:t>
      </w:r>
      <w:r w:rsidR="00BE4878">
        <w:t>’</w:t>
      </w:r>
      <w:r w:rsidR="00F37E79">
        <w:t xml:space="preserve">s conclusion is based on the wrong standard of review. </w:t>
      </w:r>
      <w:r w:rsidR="009C1412">
        <w:t xml:space="preserve">Under </w:t>
      </w:r>
      <w:r w:rsidR="00CD0DC1">
        <w:t>Rule </w:t>
      </w:r>
      <w:r w:rsidR="009C1412">
        <w:t xml:space="preserve">12.1(d), </w:t>
      </w:r>
      <w:r w:rsidRPr="009C1412" w:rsidR="009C1412">
        <w:t xml:space="preserve">the issue presently before the Commission is whether the Settlement Agreement is </w:t>
      </w:r>
      <w:r w:rsidR="00BE4878">
        <w:t>“</w:t>
      </w:r>
      <w:r w:rsidRPr="009C1412" w:rsidR="009C1412">
        <w:t>reasonable in light of the whole record, consistent with law, and in the public interest,</w:t>
      </w:r>
      <w:r w:rsidR="00BE4878">
        <w:t>”</w:t>
      </w:r>
      <w:r w:rsidRPr="009C1412" w:rsidR="009C1412">
        <w:t xml:space="preserve"> not whether SCE has met its burden of proof</w:t>
      </w:r>
      <w:r w:rsidR="00E10902">
        <w:t xml:space="preserve"> under a fully litigated case.</w:t>
      </w:r>
      <w:r w:rsidRPr="009C1412" w:rsidR="009C1412">
        <w:rPr>
          <w:vertAlign w:val="superscript"/>
        </w:rPr>
        <w:footnoteReference w:id="104"/>
      </w:r>
      <w:r w:rsidR="00D106D4">
        <w:t xml:space="preserve"> To this point, the Commission has explained that </w:t>
      </w:r>
      <w:r w:rsidR="00BE4878">
        <w:t>“</w:t>
      </w:r>
      <w:r w:rsidRPr="00E10902" w:rsidR="00E10902">
        <w:t>[W]e do not convert our settlement review into a full scale mini</w:t>
      </w:r>
      <w:r w:rsidR="003B5862">
        <w:noBreakHyphen/>
      </w:r>
      <w:r w:rsidRPr="00E10902" w:rsidR="00E10902">
        <w:t>hearing on the merits of the case.</w:t>
      </w:r>
      <w:r w:rsidR="00BE4878">
        <w:t>”</w:t>
      </w:r>
      <w:r w:rsidR="00E10902">
        <w:rPr>
          <w:rStyle w:val="FootnoteReference"/>
        </w:rPr>
        <w:footnoteReference w:id="105"/>
      </w:r>
      <w:r w:rsidRPr="00E10902" w:rsidR="00E10902">
        <w:t xml:space="preserve"> </w:t>
      </w:r>
      <w:r w:rsidR="00E10902">
        <w:t xml:space="preserve">In addition, </w:t>
      </w:r>
      <w:r w:rsidR="00592462">
        <w:t>t</w:t>
      </w:r>
      <w:r w:rsidRPr="00E10902" w:rsidR="00E10902">
        <w:t>he Commission</w:t>
      </w:r>
      <w:r w:rsidR="00592462">
        <w:t xml:space="preserve"> recently</w:t>
      </w:r>
      <w:r w:rsidRPr="00E10902" w:rsidR="00E10902">
        <w:t xml:space="preserve"> specifically addressed this </w:t>
      </w:r>
      <w:r w:rsidR="00592462">
        <w:t xml:space="preserve">same </w:t>
      </w:r>
      <w:r w:rsidR="00F37E79">
        <w:t>error</w:t>
      </w:r>
      <w:r w:rsidRPr="00E10902" w:rsidR="00E10902">
        <w:t xml:space="preserve"> </w:t>
      </w:r>
      <w:r w:rsidRPr="00E10902" w:rsidR="65BBF825">
        <w:t xml:space="preserve">alleged </w:t>
      </w:r>
      <w:r w:rsidR="00592462">
        <w:t xml:space="preserve">by </w:t>
      </w:r>
      <w:r w:rsidRPr="00E10902" w:rsidR="00E10902">
        <w:t xml:space="preserve">Wild Tree </w:t>
      </w:r>
      <w:r w:rsidR="00592462">
        <w:t xml:space="preserve">when reviewing </w:t>
      </w:r>
      <w:r w:rsidRPr="00E10902" w:rsidR="00E10902">
        <w:t xml:space="preserve">SCE and </w:t>
      </w:r>
      <w:r w:rsidR="003708E7">
        <w:t>Cal Advoc</w:t>
      </w:r>
      <w:r w:rsidRPr="00E10902" w:rsidR="00E10902">
        <w:t>ates</w:t>
      </w:r>
      <w:r w:rsidR="00BE4878">
        <w:t>’</w:t>
      </w:r>
      <w:r w:rsidRPr="00E10902" w:rsidR="00E10902">
        <w:t xml:space="preserve"> settlement of SCE</w:t>
      </w:r>
      <w:r w:rsidR="00BE4878">
        <w:t>’</w:t>
      </w:r>
      <w:r w:rsidRPr="00E10902" w:rsidR="00E10902">
        <w:t xml:space="preserve">s application to recover costs associated with the 2017 Thomas Fire and Montecito debris </w:t>
      </w:r>
      <w:r w:rsidRPr="00E10902" w:rsidR="00E10902">
        <w:lastRenderedPageBreak/>
        <w:t>flows.</w:t>
      </w:r>
      <w:r w:rsidR="00592462">
        <w:rPr>
          <w:rStyle w:val="FootnoteReference"/>
        </w:rPr>
        <w:footnoteReference w:id="106"/>
      </w:r>
      <w:r w:rsidR="00592462">
        <w:t xml:space="preserve"> There, the Commission disagreed with Wild Tree and </w:t>
      </w:r>
      <w:r w:rsidRPr="00E10902" w:rsidR="00592462">
        <w:t>not</w:t>
      </w:r>
      <w:r w:rsidR="00592462">
        <w:t>ed</w:t>
      </w:r>
      <w:r w:rsidRPr="00E10902" w:rsidR="00592462">
        <w:t xml:space="preserve"> </w:t>
      </w:r>
      <w:r w:rsidR="00BE4878">
        <w:t>“</w:t>
      </w:r>
      <w:r w:rsidRPr="00E10902" w:rsidR="00592462">
        <w:t>this is not the standard used by the Commission in our review of proposed settlements</w:t>
      </w:r>
      <w:r w:rsidR="00592462">
        <w:t>.</w:t>
      </w:r>
      <w:r w:rsidR="00BE4878">
        <w:t>”</w:t>
      </w:r>
      <w:r w:rsidRPr="00592462" w:rsidR="00592462">
        <w:rPr>
          <w:vertAlign w:val="superscript"/>
        </w:rPr>
        <w:footnoteReference w:id="107"/>
      </w:r>
      <w:r w:rsidR="00233EDB">
        <w:t xml:space="preserve"> B</w:t>
      </w:r>
      <w:r w:rsidR="009C1412">
        <w:t xml:space="preserve">ecause Wild Tree </w:t>
      </w:r>
      <w:r w:rsidR="007319FD">
        <w:t>applies the incorrect standard of review and, as a result, reaches inaccurate conclusions, Wild Tree</w:t>
      </w:r>
      <w:r w:rsidR="00BE4878">
        <w:t>’</w:t>
      </w:r>
      <w:r w:rsidR="007319FD">
        <w:t>s analysis lacks merit and the Commission</w:t>
      </w:r>
      <w:r w:rsidR="00BE4878">
        <w:t>’</w:t>
      </w:r>
      <w:r w:rsidR="63DC1C0D">
        <w:t>s finding</w:t>
      </w:r>
      <w:r w:rsidR="001F6927">
        <w:t xml:space="preserve"> </w:t>
      </w:r>
      <w:r w:rsidR="009C1412">
        <w:t xml:space="preserve">that </w:t>
      </w:r>
      <w:r w:rsidR="00BE4878">
        <w:t>“</w:t>
      </w:r>
      <w:r w:rsidR="009C1412">
        <w:t>t</w:t>
      </w:r>
      <w:r w:rsidRPr="009C1412" w:rsidR="009C1412">
        <w:t xml:space="preserve">he Joint Motion </w:t>
      </w:r>
      <w:r w:rsidR="009C1412">
        <w:t xml:space="preserve">for Settlement </w:t>
      </w:r>
      <w:r w:rsidRPr="009C1412" w:rsidR="009C1412">
        <w:t>demonstrates that the Settlement Agreement is reasonable in light of the whole record, consistent with the law, and in the public interest,</w:t>
      </w:r>
      <w:r w:rsidR="00BE4878">
        <w:t>”</w:t>
      </w:r>
      <w:r w:rsidR="00737DAD">
        <w:t xml:space="preserve"> </w:t>
      </w:r>
      <w:r w:rsidR="009C1412">
        <w:t>remains unchanged</w:t>
      </w:r>
      <w:r w:rsidRPr="009C1412" w:rsidR="009C1412">
        <w:t>.</w:t>
      </w:r>
    </w:p>
    <w:p w:rsidR="00742CB6" w:rsidP="00E109FF" w:rsidRDefault="00737DAD" w14:paraId="44A4ED4C" w14:textId="6F113E89">
      <w:pPr>
        <w:pStyle w:val="Standard"/>
      </w:pPr>
      <w:r w:rsidRPr="00737DAD">
        <w:t>Wild Tree</w:t>
      </w:r>
      <w:r w:rsidR="000F6072">
        <w:t xml:space="preserve"> also </w:t>
      </w:r>
      <w:r w:rsidRPr="00737DAD">
        <w:t xml:space="preserve">argues that </w:t>
      </w:r>
      <w:r w:rsidR="007319FD">
        <w:t>the Commission</w:t>
      </w:r>
      <w:r w:rsidR="00DF2691">
        <w:t xml:space="preserve"> must fully litigate this matter because resolving this matter through a settlement is</w:t>
      </w:r>
      <w:r w:rsidRPr="00737DAD">
        <w:t xml:space="preserve"> not in the public interest. </w:t>
      </w:r>
      <w:r w:rsidR="000F6072">
        <w:t>Wild Tree</w:t>
      </w:r>
      <w:r w:rsidR="00BE4878">
        <w:t>’</w:t>
      </w:r>
      <w:r w:rsidR="000F6072">
        <w:t xml:space="preserve">s </w:t>
      </w:r>
      <w:r w:rsidRPr="00737DAD">
        <w:t xml:space="preserve">argument </w:t>
      </w:r>
      <w:r w:rsidR="000F6072">
        <w:t xml:space="preserve">lacks </w:t>
      </w:r>
      <w:r w:rsidRPr="00737DAD">
        <w:t>merit.</w:t>
      </w:r>
      <w:r w:rsidR="000F6072">
        <w:t xml:space="preserve"> </w:t>
      </w:r>
      <w:r w:rsidR="00DF2691">
        <w:t>The Commission</w:t>
      </w:r>
      <w:r w:rsidRPr="00DF2691" w:rsidR="00DF2691">
        <w:t xml:space="preserve"> </w:t>
      </w:r>
      <w:r w:rsidR="00DF2691">
        <w:t>has a</w:t>
      </w:r>
      <w:r w:rsidRPr="00DF2691" w:rsidR="00DF2691">
        <w:t xml:space="preserve"> long</w:t>
      </w:r>
      <w:r w:rsidR="003B5862">
        <w:noBreakHyphen/>
      </w:r>
      <w:r w:rsidRPr="00DF2691" w:rsidR="00DF2691">
        <w:t xml:space="preserve">standing policy </w:t>
      </w:r>
      <w:r w:rsidR="00DF2691">
        <w:t xml:space="preserve">of supporting </w:t>
      </w:r>
      <w:r w:rsidRPr="00DF2691" w:rsidR="00DF2691">
        <w:t>settlement</w:t>
      </w:r>
      <w:r w:rsidR="00DF2691">
        <w:t xml:space="preserve"> as a means of resolving disputed matter</w:t>
      </w:r>
      <w:r w:rsidR="00CB0296">
        <w:t>s</w:t>
      </w:r>
      <w:r w:rsidR="00DF2691">
        <w:t xml:space="preserve">. </w:t>
      </w:r>
      <w:r w:rsidR="000F6072">
        <w:t xml:space="preserve">For instance, only recently </w:t>
      </w:r>
      <w:r w:rsidR="008A2B4A">
        <w:t>when</w:t>
      </w:r>
      <w:r w:rsidRPr="000F6072" w:rsidR="000F6072">
        <w:t xml:space="preserve"> approving </w:t>
      </w:r>
      <w:r w:rsidR="00DF2691">
        <w:t>a</w:t>
      </w:r>
      <w:r w:rsidR="000F6072">
        <w:t xml:space="preserve"> </w:t>
      </w:r>
      <w:r w:rsidRPr="00737DAD" w:rsidR="000F6072">
        <w:t>settlement regarding costs associated with the 2017 Thomas Fire and Montecito debris flows, the Commission rejected Wild Tree</w:t>
      </w:r>
      <w:r w:rsidR="00BE4878">
        <w:t>’</w:t>
      </w:r>
      <w:r w:rsidRPr="00737DAD" w:rsidR="000F6072">
        <w:t xml:space="preserve">s </w:t>
      </w:r>
      <w:r w:rsidR="000F6072">
        <w:t xml:space="preserve">similar </w:t>
      </w:r>
      <w:r w:rsidRPr="00737DAD" w:rsidR="000F6072">
        <w:t>argument</w:t>
      </w:r>
      <w:r w:rsidR="000F6072">
        <w:t>.</w:t>
      </w:r>
      <w:r w:rsidR="008A2B4A">
        <w:rPr>
          <w:rStyle w:val="FootnoteReference"/>
        </w:rPr>
        <w:footnoteReference w:id="108"/>
      </w:r>
      <w:r w:rsidRPr="00737DAD" w:rsidR="000F6072">
        <w:t xml:space="preserve"> </w:t>
      </w:r>
      <w:r w:rsidRPr="000F6072" w:rsidR="000F6072">
        <w:t>There, the Commission noted</w:t>
      </w:r>
      <w:r w:rsidR="00DF2691">
        <w:t xml:space="preserve"> certain public benefits, such as that</w:t>
      </w:r>
      <w:r w:rsidRPr="000F6072" w:rsidR="000F6072">
        <w:t xml:space="preserve"> the agreed</w:t>
      </w:r>
      <w:r w:rsidR="003B5862">
        <w:noBreakHyphen/>
      </w:r>
      <w:r w:rsidRPr="000F6072" w:rsidR="000F6072">
        <w:t>upon permanent</w:t>
      </w:r>
      <w:r w:rsidR="000F6072">
        <w:t xml:space="preserve"> </w:t>
      </w:r>
      <w:r w:rsidRPr="00737DAD">
        <w:t xml:space="preserve">disallowance represented a </w:t>
      </w:r>
      <w:r w:rsidR="00BE4878">
        <w:t>“</w:t>
      </w:r>
      <w:r w:rsidRPr="00737DAD">
        <w:t>significant and direct financial benefit to ratepayers</w:t>
      </w:r>
      <w:r w:rsidR="00BE4878">
        <w:t>”</w:t>
      </w:r>
      <w:r w:rsidRPr="00737DAD">
        <w:t xml:space="preserve"> while allowing SCE to partially recover costs that </w:t>
      </w:r>
      <w:r w:rsidR="00BE4878">
        <w:t>“</w:t>
      </w:r>
      <w:r w:rsidRPr="00737DAD">
        <w:t>were incurred by SCE in connection with its provision and restoration of electric service.</w:t>
      </w:r>
      <w:r w:rsidR="00BE4878">
        <w:t>”</w:t>
      </w:r>
      <w:r w:rsidR="00036DA2">
        <w:rPr>
          <w:rStyle w:val="FootnoteReference"/>
        </w:rPr>
        <w:footnoteReference w:id="109"/>
      </w:r>
      <w:r w:rsidR="000F6072">
        <w:t xml:space="preserve"> </w:t>
      </w:r>
      <w:r w:rsidR="00CD57B8">
        <w:t>The Commission</w:t>
      </w:r>
      <w:r w:rsidRPr="00CD57B8" w:rsidR="00CD57B8">
        <w:t xml:space="preserve"> further noted</w:t>
      </w:r>
      <w:r w:rsidR="00DF2691">
        <w:t xml:space="preserve"> additional public benefits,</w:t>
      </w:r>
      <w:r w:rsidRPr="00CD57B8" w:rsidR="00CD57B8">
        <w:t xml:space="preserve"> that resolving the proceeding via settlement</w:t>
      </w:r>
      <w:r w:rsidR="00CD57B8">
        <w:t xml:space="preserve"> </w:t>
      </w:r>
      <w:r w:rsidRPr="00737DAD">
        <w:t xml:space="preserve">minimized the total </w:t>
      </w:r>
      <w:r w:rsidRPr="00737DAD">
        <w:lastRenderedPageBreak/>
        <w:t>amount of financing costs that might otherwise be payable by ratepayers; contributed to SCE</w:t>
      </w:r>
      <w:r w:rsidR="00BE4878">
        <w:t>’</w:t>
      </w:r>
      <w:r w:rsidRPr="00737DAD">
        <w:t xml:space="preserve">s credit metrics and financial health; </w:t>
      </w:r>
      <w:r w:rsidR="00CB0296">
        <w:t xml:space="preserve">and </w:t>
      </w:r>
      <w:r w:rsidRPr="00737DAD">
        <w:t xml:space="preserve">conserved time and resources of the </w:t>
      </w:r>
      <w:r w:rsidR="00CD57B8">
        <w:t>Commission and parties</w:t>
      </w:r>
      <w:r w:rsidR="0092798A">
        <w:t>.</w:t>
      </w:r>
      <w:r w:rsidR="00CD57B8">
        <w:rPr>
          <w:rStyle w:val="FootnoteReference"/>
        </w:rPr>
        <w:footnoteReference w:id="110"/>
      </w:r>
      <w:r w:rsidR="00686F35">
        <w:t xml:space="preserve"> </w:t>
      </w:r>
      <w:r w:rsidR="00DF2691">
        <w:t>A</w:t>
      </w:r>
      <w:r w:rsidR="00686F35">
        <w:t>fter consideration of Wild Tree</w:t>
      </w:r>
      <w:r w:rsidR="00BE4878">
        <w:t>’</w:t>
      </w:r>
      <w:r w:rsidR="00686F35">
        <w:t>s argument that the public interest is not served by adoption of the Settlement Agreement</w:t>
      </w:r>
      <w:r w:rsidR="00DF2691">
        <w:t>, the Commission finds Wild Tree</w:t>
      </w:r>
      <w:r w:rsidR="00BE4878">
        <w:t>’</w:t>
      </w:r>
      <w:r w:rsidR="00DF2691">
        <w:t>s arguments without merit based on the Commission</w:t>
      </w:r>
      <w:r w:rsidR="00BE4878">
        <w:t>’</w:t>
      </w:r>
      <w:r w:rsidR="00DF2691">
        <w:t>s long</w:t>
      </w:r>
      <w:r w:rsidR="003B5862">
        <w:noBreakHyphen/>
      </w:r>
      <w:r w:rsidR="00DF2691">
        <w:t>standing policy of supporting settlement, including those benefits noted above.</w:t>
      </w:r>
    </w:p>
    <w:p w:rsidR="00737DAD" w:rsidP="00E109FF" w:rsidRDefault="00954E8D" w14:paraId="7E3CB54F" w14:textId="0399086E">
      <w:pPr>
        <w:pStyle w:val="Standard"/>
      </w:pPr>
      <w:r>
        <w:t xml:space="preserve">In addition, </w:t>
      </w:r>
      <w:r w:rsidR="0004070C">
        <w:t>Wild Tree presents similar arguments</w:t>
      </w:r>
      <w:r>
        <w:t xml:space="preserve"> in opposition to this Settlement Agreement </w:t>
      </w:r>
      <w:r w:rsidR="58E852E5">
        <w:t>that</w:t>
      </w:r>
      <w:r w:rsidR="0004070C">
        <w:t xml:space="preserve"> the Commission only </w:t>
      </w:r>
      <w:r>
        <w:t>recently considered and rejected in D.25</w:t>
      </w:r>
      <w:r w:rsidR="003B5862">
        <w:noBreakHyphen/>
      </w:r>
      <w:r>
        <w:t>01</w:t>
      </w:r>
      <w:r w:rsidR="003B5862">
        <w:noBreakHyphen/>
      </w:r>
      <w:r>
        <w:t>042,</w:t>
      </w:r>
      <w:r w:rsidR="00510483">
        <w:t xml:space="preserve"> </w:t>
      </w:r>
      <w:r w:rsidRPr="000D64A6">
        <w:t xml:space="preserve">the </w:t>
      </w:r>
      <w:r w:rsidRPr="000D64A6" w:rsidR="00075936">
        <w:t>decision</w:t>
      </w:r>
      <w:r w:rsidRPr="000D64A6">
        <w:t xml:space="preserve"> addressing</w:t>
      </w:r>
      <w:r w:rsidRPr="000D64A6" w:rsidR="001B3379">
        <w:t xml:space="preserve"> costs related to</w:t>
      </w:r>
      <w:r w:rsidRPr="000D64A6">
        <w:t xml:space="preserve"> the 2017 Thomas Fire and Montecito debris flows.</w:t>
      </w:r>
      <w:r w:rsidRPr="000D64A6" w:rsidR="00A34320">
        <w:rPr>
          <w:rStyle w:val="FootnoteReference"/>
        </w:rPr>
        <w:footnoteReference w:id="111"/>
      </w:r>
      <w:r w:rsidRPr="000D64A6">
        <w:t xml:space="preserve"> In presenting </w:t>
      </w:r>
      <w:r w:rsidRPr="000D64A6" w:rsidR="0004070C">
        <w:t>similar</w:t>
      </w:r>
      <w:r w:rsidRPr="000D64A6">
        <w:t xml:space="preserve"> arguments here</w:t>
      </w:r>
      <w:r w:rsidRPr="000D64A6" w:rsidR="00C37B72">
        <w:t>, Wild</w:t>
      </w:r>
      <w:r w:rsidR="00C37B72">
        <w:t xml:space="preserve"> Tree fails to explain why these arguments have merit now. </w:t>
      </w:r>
      <w:r w:rsidR="00926931">
        <w:t xml:space="preserve">In short, Wild Tree </w:t>
      </w:r>
      <w:r w:rsidRPr="00926931" w:rsidR="00926931">
        <w:t>made this same assertion less than a year ago in its opposition to the settlement on SCE</w:t>
      </w:r>
      <w:r w:rsidR="00BE4878">
        <w:t>’</w:t>
      </w:r>
      <w:r w:rsidRPr="00926931" w:rsidR="00926931">
        <w:t xml:space="preserve">s application for recovery of costs related to the 2017 Thomas Fire and Montecito debris flow events, </w:t>
      </w:r>
      <w:r w:rsidR="00CB0296">
        <w:t>and</w:t>
      </w:r>
      <w:r w:rsidRPr="00926931" w:rsidR="00926931">
        <w:t xml:space="preserve"> the Commission rej</w:t>
      </w:r>
      <w:r w:rsidR="00926931">
        <w:t>ected those arguments.</w:t>
      </w:r>
      <w:r w:rsidR="00926931">
        <w:rPr>
          <w:rStyle w:val="FootnoteReference"/>
        </w:rPr>
        <w:footnoteReference w:id="112"/>
      </w:r>
      <w:r w:rsidR="00DB3F5E">
        <w:t xml:space="preserve"> </w:t>
      </w:r>
      <w:r w:rsidR="00C37B72">
        <w:t>Wild Tree points to no changes that might change the prior</w:t>
      </w:r>
      <w:r w:rsidR="00926931">
        <w:t xml:space="preserve"> conclusion </w:t>
      </w:r>
      <w:r w:rsidR="00C37B72">
        <w:t>of the Commission and justify Wild Tree</w:t>
      </w:r>
      <w:r w:rsidR="00BE4878">
        <w:t>’</w:t>
      </w:r>
      <w:r w:rsidR="00C37B72">
        <w:t xml:space="preserve">s </w:t>
      </w:r>
      <w:r w:rsidR="00926931">
        <w:t>previously rejected</w:t>
      </w:r>
      <w:r w:rsidR="00C37B72">
        <w:t xml:space="preserve"> arguments.</w:t>
      </w:r>
    </w:p>
    <w:p w:rsidRPr="00E96E82" w:rsidR="00737DAD" w:rsidP="00E109FF" w:rsidRDefault="00DB3F5E" w14:paraId="1AF1455D" w14:textId="7483D8F1">
      <w:pPr>
        <w:pStyle w:val="Standard"/>
      </w:pPr>
      <w:r>
        <w:t>Therefore, as found in D.25</w:t>
      </w:r>
      <w:r w:rsidR="003B5862">
        <w:noBreakHyphen/>
      </w:r>
      <w:r>
        <w:t>01</w:t>
      </w:r>
      <w:r w:rsidR="003B5862">
        <w:noBreakHyphen/>
      </w:r>
      <w:r>
        <w:t>042, the Commission finds Wild Tree</w:t>
      </w:r>
      <w:r w:rsidR="00BE4878">
        <w:t>’</w:t>
      </w:r>
      <w:r>
        <w:t>s arguments without merit.</w:t>
      </w:r>
    </w:p>
    <w:p w:rsidRPr="00B757AA" w:rsidR="00B757AA" w:rsidP="009349DC" w:rsidRDefault="00B757AA" w14:paraId="4AF01267" w14:textId="77777777">
      <w:pPr>
        <w:pStyle w:val="Heading1"/>
      </w:pPr>
      <w:bookmarkStart w:name="_Toc198817937" w:id="44"/>
      <w:bookmarkStart w:name="_Toc217632461" w:id="45"/>
      <w:r w:rsidRPr="00B757AA">
        <w:lastRenderedPageBreak/>
        <w:t>Implementation</w:t>
      </w:r>
      <w:bookmarkEnd w:id="44"/>
      <w:bookmarkEnd w:id="45"/>
    </w:p>
    <w:p w:rsidR="00884FA2" w:rsidP="00C33073" w:rsidRDefault="00884FA2" w14:paraId="1859EC93" w14:textId="2587445A">
      <w:pPr>
        <w:pStyle w:val="Standard"/>
      </w:pPr>
      <w:r w:rsidRPr="00884FA2">
        <w:t>With regard to the method of recovery</w:t>
      </w:r>
      <w:r w:rsidR="00C33073">
        <w:t xml:space="preserve"> for the WEMA costs</w:t>
      </w:r>
      <w:r w:rsidRPr="00884FA2">
        <w:t xml:space="preserve">, SCE will file a separate application seeking Commission approval to recover the WEMA </w:t>
      </w:r>
      <w:r w:rsidR="007F5F8E">
        <w:t>a</w:t>
      </w:r>
      <w:r w:rsidRPr="00884FA2">
        <w:t xml:space="preserve">mounts through the issuance of recovery bonds under </w:t>
      </w:r>
      <w:r w:rsidR="000F4DE2">
        <w:t xml:space="preserve">Pub. Util. </w:t>
      </w:r>
      <w:r w:rsidRPr="00884FA2">
        <w:t xml:space="preserve">Code </w:t>
      </w:r>
      <w:r w:rsidR="000F4DE2">
        <w:t>S</w:t>
      </w:r>
      <w:r w:rsidRPr="00884FA2">
        <w:t>ection</w:t>
      </w:r>
      <w:r w:rsidR="000F4DE2">
        <w:t> </w:t>
      </w:r>
      <w:r w:rsidRPr="00884FA2">
        <w:t xml:space="preserve">850 </w:t>
      </w:r>
      <w:r w:rsidR="005D5DB1">
        <w:rPr>
          <w:i/>
          <w:iCs/>
        </w:rPr>
        <w:t>et seq.</w:t>
      </w:r>
      <w:r w:rsidRPr="7E60AC81">
        <w:rPr>
          <w:i/>
          <w:iCs/>
        </w:rPr>
        <w:t>,</w:t>
      </w:r>
      <w:r w:rsidRPr="00884FA2">
        <w:t xml:space="preserve"> which would be repaid by customers via a </w:t>
      </w:r>
      <w:proofErr w:type="spellStart"/>
      <w:r w:rsidRPr="00884FA2">
        <w:t>nonbypassable</w:t>
      </w:r>
      <w:proofErr w:type="spellEnd"/>
      <w:r w:rsidRPr="00884FA2">
        <w:t xml:space="preserve"> charge if approved</w:t>
      </w:r>
      <w:r>
        <w:t xml:space="preserve"> by the Commission</w:t>
      </w:r>
      <w:r w:rsidRPr="00884FA2">
        <w:t>.</w:t>
      </w:r>
      <w:r>
        <w:rPr>
          <w:rStyle w:val="FootnoteReference"/>
        </w:rPr>
        <w:footnoteReference w:id="113"/>
      </w:r>
      <w:r w:rsidRPr="00884FA2">
        <w:t xml:space="preserve"> </w:t>
      </w:r>
      <w:r w:rsidR="003708E7">
        <w:t>Cal Advoc</w:t>
      </w:r>
      <w:r w:rsidRPr="00884FA2">
        <w:t xml:space="preserve">ates and EPUC take no position on securitization of the Authorized WEMA </w:t>
      </w:r>
      <w:r w:rsidR="007F5F8E">
        <w:t>a</w:t>
      </w:r>
      <w:r w:rsidRPr="00884FA2">
        <w:t>mounts at this time.</w:t>
      </w:r>
      <w:r w:rsidR="00C33073">
        <w:rPr>
          <w:rStyle w:val="FootnoteReference"/>
        </w:rPr>
        <w:footnoteReference w:id="114"/>
      </w:r>
      <w:r w:rsidRPr="00884FA2">
        <w:t xml:space="preserve"> The Settling Parties reserve the right to take different positions in that proceeding on the appropriate bond recovery period of the securitization.</w:t>
      </w:r>
      <w:r w:rsidR="00C33073">
        <w:rPr>
          <w:rStyle w:val="FootnoteReference"/>
        </w:rPr>
        <w:footnoteReference w:id="115"/>
      </w:r>
      <w:r w:rsidRPr="00884FA2">
        <w:t xml:space="preserve"> </w:t>
      </w:r>
      <w:r w:rsidRPr="00C33073" w:rsidR="00C33073">
        <w:t>The Settling Parties further agree that in the event SCE</w:t>
      </w:r>
      <w:r w:rsidR="00BE4878">
        <w:t>’</w:t>
      </w:r>
      <w:r w:rsidRPr="00C33073" w:rsidR="00C33073">
        <w:t xml:space="preserve">s anticipated application for securitization is denied, the WEMA </w:t>
      </w:r>
      <w:r w:rsidR="007F5F8E">
        <w:t>a</w:t>
      </w:r>
      <w:r w:rsidRPr="00C33073" w:rsidR="00C33073">
        <w:t>mounts will be recovered in rates over five years, financed using long</w:t>
      </w:r>
      <w:r w:rsidR="003B5862">
        <w:noBreakHyphen/>
      </w:r>
      <w:r w:rsidRPr="00C33073" w:rsidR="00C33073">
        <w:t>term debt.</w:t>
      </w:r>
      <w:r w:rsidR="00C33073">
        <w:rPr>
          <w:rStyle w:val="FootnoteReference"/>
        </w:rPr>
        <w:footnoteReference w:id="116"/>
      </w:r>
      <w:r w:rsidRPr="00884FA2" w:rsidR="00C33073">
        <w:t xml:space="preserve"> </w:t>
      </w:r>
      <w:r w:rsidRPr="00C33073" w:rsidR="00C33073">
        <w:t>Under either method of recovery, the Settling Parties agree that recovery will include actual debt financing and the debt will be excluded from SCE</w:t>
      </w:r>
      <w:r w:rsidR="00BE4878">
        <w:t>’</w:t>
      </w:r>
      <w:r w:rsidRPr="00C33073" w:rsidR="00C33073">
        <w:t>s ratemaking costs</w:t>
      </w:r>
      <w:r w:rsidR="00C33073">
        <w:t xml:space="preserve"> </w:t>
      </w:r>
      <w:r w:rsidRPr="00C33073" w:rsidR="00C33073">
        <w:t>capital structure</w:t>
      </w:r>
      <w:r w:rsidR="00C33073">
        <w:t>.</w:t>
      </w:r>
      <w:r w:rsidR="00C33073">
        <w:rPr>
          <w:rStyle w:val="FootnoteReference"/>
        </w:rPr>
        <w:footnoteReference w:id="117"/>
      </w:r>
    </w:p>
    <w:p w:rsidR="009453BA" w:rsidP="00C33073" w:rsidRDefault="00C33073" w14:paraId="3AC44E43" w14:textId="5155F4E1">
      <w:pPr>
        <w:pStyle w:val="Standard"/>
      </w:pPr>
      <w:r>
        <w:t>With regard to the CEMA amount, t</w:t>
      </w:r>
      <w:r w:rsidRPr="00C33073">
        <w:t xml:space="preserve">he Settling Parties agree that the CEMA </w:t>
      </w:r>
      <w:r>
        <w:t xml:space="preserve">amount </w:t>
      </w:r>
      <w:r w:rsidRPr="00C33073">
        <w:t>should be deemed incremental, just, reasonable, and recoverable through rates.</w:t>
      </w:r>
      <w:r>
        <w:rPr>
          <w:rStyle w:val="FootnoteReference"/>
        </w:rPr>
        <w:footnoteReference w:id="118"/>
      </w:r>
      <w:r w:rsidRPr="00C33073">
        <w:t xml:space="preserve"> With regard to the method of recovery, the Settling Parties agree that SCE will recover the CEMA </w:t>
      </w:r>
      <w:r>
        <w:t>a</w:t>
      </w:r>
      <w:r w:rsidRPr="00C33073">
        <w:t>mounts, which are restoration</w:t>
      </w:r>
      <w:r w:rsidR="003B5862">
        <w:noBreakHyphen/>
      </w:r>
      <w:r w:rsidRPr="00C33073">
        <w:t>related capital costs and capital</w:t>
      </w:r>
      <w:r w:rsidR="003B5862">
        <w:noBreakHyphen/>
      </w:r>
      <w:r w:rsidRPr="00C33073">
        <w:t xml:space="preserve">related expenses, through normal course capital expenditure </w:t>
      </w:r>
      <w:r w:rsidRPr="00C33073">
        <w:lastRenderedPageBreak/>
        <w:t>recovery and</w:t>
      </w:r>
      <w:r>
        <w:t xml:space="preserve"> </w:t>
      </w:r>
      <w:r w:rsidRPr="00C33073">
        <w:t>12</w:t>
      </w:r>
      <w:r w:rsidR="003B5862">
        <w:noBreakHyphen/>
      </w:r>
      <w:r w:rsidRPr="00C33073">
        <w:t>month operation</w:t>
      </w:r>
      <w:r w:rsidR="00AC6E56">
        <w:t>s</w:t>
      </w:r>
      <w:r w:rsidRPr="00C33073">
        <w:t xml:space="preserve"> and maintenance recovery.</w:t>
      </w:r>
      <w:r>
        <w:rPr>
          <w:rStyle w:val="FootnoteReference"/>
        </w:rPr>
        <w:footnoteReference w:id="119"/>
      </w:r>
      <w:r w:rsidRPr="00C33073">
        <w:t xml:space="preserve"> SCE will submit a </w:t>
      </w:r>
      <w:r w:rsidR="00FE6B08">
        <w:t>Tier 1</w:t>
      </w:r>
      <w:r w:rsidRPr="00C33073">
        <w:t xml:space="preserve"> advice letter filing after a Commission decision approving the Settlement Agreement.</w:t>
      </w:r>
      <w:r>
        <w:rPr>
          <w:rStyle w:val="FootnoteReference"/>
        </w:rPr>
        <w:footnoteReference w:id="120"/>
      </w:r>
    </w:p>
    <w:p w:rsidR="00974B00" w:rsidP="005F01EB" w:rsidRDefault="00974B00" w14:paraId="330E2CA4" w14:textId="59458668">
      <w:pPr>
        <w:pStyle w:val="Standard"/>
      </w:pPr>
      <w:r w:rsidRPr="00974B00">
        <w:t>Regarding the adopted A</w:t>
      </w:r>
      <w:r w:rsidR="00846865">
        <w:t xml:space="preserve">dministrative </w:t>
      </w:r>
      <w:r w:rsidRPr="00974B00">
        <w:t>C</w:t>
      </w:r>
      <w:r w:rsidR="00846865">
        <w:t xml:space="preserve">onsent </w:t>
      </w:r>
      <w:r w:rsidRPr="00974B00">
        <w:t>O</w:t>
      </w:r>
      <w:r w:rsidR="00846865">
        <w:t>rder</w:t>
      </w:r>
      <w:r w:rsidRPr="00974B00">
        <w:t xml:space="preserve"> in </w:t>
      </w:r>
      <w:r w:rsidR="00F52702">
        <w:t>Resolution </w:t>
      </w:r>
      <w:r w:rsidRPr="00974B00">
        <w:t>SED</w:t>
      </w:r>
      <w:r w:rsidR="003B5862">
        <w:noBreakHyphen/>
      </w:r>
      <w:r w:rsidRPr="00974B00">
        <w:t>05 to permanently waive the right to seek cost recovery of $250</w:t>
      </w:r>
      <w:r w:rsidR="00BE4878">
        <w:t> million</w:t>
      </w:r>
      <w:r w:rsidRPr="00974B00">
        <w:t xml:space="preserve">, </w:t>
      </w:r>
      <w:r w:rsidR="00846865">
        <w:t xml:space="preserve">the Settling Parties state that </w:t>
      </w:r>
      <w:r w:rsidRPr="00974B00">
        <w:t>the $205.9</w:t>
      </w:r>
      <w:r w:rsidR="00BE4878">
        <w:t> million</w:t>
      </w:r>
      <w:r w:rsidRPr="00974B00">
        <w:t xml:space="preserve"> amount</w:t>
      </w:r>
      <w:r w:rsidR="00846865">
        <w:t xml:space="preserve">, as shown at the table at </w:t>
      </w:r>
      <w:r w:rsidR="00F4321E">
        <w:t>Section </w:t>
      </w:r>
      <w:r w:rsidRPr="006B4210" w:rsidR="006B4210">
        <w:t>5.1</w:t>
      </w:r>
      <w:r w:rsidRPr="006B4210" w:rsidR="00846865">
        <w:t>,</w:t>
      </w:r>
      <w:r w:rsidRPr="006B4210" w:rsidR="00FA6195">
        <w:t xml:space="preserve"> herein</w:t>
      </w:r>
      <w:r w:rsidR="00FA6195">
        <w:t>,</w:t>
      </w:r>
      <w:r w:rsidRPr="00974B00">
        <w:t xml:space="preserve"> for WEMA costs incurred from </w:t>
      </w:r>
      <w:r w:rsidR="009453BA">
        <w:t>September </w:t>
      </w:r>
      <w:r w:rsidRPr="00974B00">
        <w:t xml:space="preserve">1, 2024 to </w:t>
      </w:r>
      <w:r w:rsidR="009453BA">
        <w:t>May </w:t>
      </w:r>
      <w:r w:rsidRPr="00974B00">
        <w:t>31, 2025 reflects an exclusion of $56.097</w:t>
      </w:r>
      <w:r w:rsidR="00BE4878">
        <w:t> million</w:t>
      </w:r>
      <w:r w:rsidRPr="00974B00">
        <w:t>.</w:t>
      </w:r>
      <w:r w:rsidR="00846865">
        <w:rPr>
          <w:rStyle w:val="FootnoteReference"/>
        </w:rPr>
        <w:footnoteReference w:id="121"/>
      </w:r>
      <w:r w:rsidRPr="00974B00">
        <w:t xml:space="preserve"> SCE will exclude the remaining $193.9</w:t>
      </w:r>
      <w:r w:rsidR="00BE4878">
        <w:t> million</w:t>
      </w:r>
      <w:r w:rsidRPr="00974B00">
        <w:t xml:space="preserve"> of the A</w:t>
      </w:r>
      <w:r w:rsidR="00A444A1">
        <w:t>dministrative Consent Order</w:t>
      </w:r>
      <w:r w:rsidRPr="00974B00">
        <w:t xml:space="preserve"> amount from WEMA</w:t>
      </w:r>
      <w:r>
        <w:t xml:space="preserve"> </w:t>
      </w:r>
      <w:r w:rsidRPr="00974B00">
        <w:t xml:space="preserve">claim costs incurred after </w:t>
      </w:r>
      <w:r w:rsidR="009453BA">
        <w:t>May </w:t>
      </w:r>
      <w:r w:rsidRPr="00974B00">
        <w:t>31, 2025.</w:t>
      </w:r>
      <w:r w:rsidR="005F01EB">
        <w:rPr>
          <w:rStyle w:val="FootnoteReference"/>
        </w:rPr>
        <w:footnoteReference w:id="122"/>
      </w:r>
      <w:r w:rsidR="005F01EB">
        <w:t xml:space="preserve"> </w:t>
      </w:r>
      <w:r w:rsidRPr="00974B00">
        <w:t>SCE will not seek to recover financing costs for the</w:t>
      </w:r>
      <w:r>
        <w:t xml:space="preserve"> </w:t>
      </w:r>
      <w:r w:rsidRPr="00974B00">
        <w:t>$250</w:t>
      </w:r>
      <w:r w:rsidR="00BE4878">
        <w:t> million</w:t>
      </w:r>
      <w:r w:rsidRPr="00974B00">
        <w:t xml:space="preserve"> in WEMA claims costs that were waived under the A</w:t>
      </w:r>
      <w:r w:rsidR="00A444A1">
        <w:t>dministrative Consent Order</w:t>
      </w:r>
      <w:r w:rsidRPr="00974B00">
        <w:t>.</w:t>
      </w:r>
      <w:r w:rsidR="00E8217D">
        <w:rPr>
          <w:rStyle w:val="FootnoteReference"/>
        </w:rPr>
        <w:footnoteReference w:id="123"/>
      </w:r>
    </w:p>
    <w:p w:rsidR="009453BA" w:rsidP="00A444A1" w:rsidRDefault="00E8217D" w14:paraId="1DA8B4BA" w14:textId="5B4222CA">
      <w:pPr>
        <w:pStyle w:val="Standard"/>
      </w:pPr>
      <w:r>
        <w:t xml:space="preserve">Regarding the WEMA Trailing Amounts, the Settling Parties agree that these amounts, once incurred </w:t>
      </w:r>
      <w:r w:rsidR="005E2F48">
        <w:t>and in excess of the remaining $193.9</w:t>
      </w:r>
      <w:r w:rsidR="00BE4878">
        <w:t> million</w:t>
      </w:r>
      <w:r w:rsidR="005E2F48">
        <w:t xml:space="preserve"> A</w:t>
      </w:r>
      <w:r w:rsidR="00A444A1">
        <w:t>dministrative Consent Order</w:t>
      </w:r>
      <w:r w:rsidR="005E2F48">
        <w:t xml:space="preserve"> exclusion amount </w:t>
      </w:r>
      <w:r>
        <w:t>will be recovered by SCE th</w:t>
      </w:r>
      <w:r w:rsidR="009F341D">
        <w:t>r</w:t>
      </w:r>
      <w:r>
        <w:t xml:space="preserve">ough the </w:t>
      </w:r>
      <w:r w:rsidR="00FE6B08">
        <w:t>Tier 2</w:t>
      </w:r>
      <w:r>
        <w:t xml:space="preserve"> advice letter process, as described in the Settlement </w:t>
      </w:r>
      <w:r>
        <w:lastRenderedPageBreak/>
        <w:t>Agreement.</w:t>
      </w:r>
      <w:r>
        <w:rPr>
          <w:rStyle w:val="FootnoteReference"/>
        </w:rPr>
        <w:footnoteReference w:id="124"/>
      </w:r>
      <w:r w:rsidR="00DD273F">
        <w:t xml:space="preserve"> The Commission estimates this amount to be </w:t>
      </w:r>
      <w:r w:rsidRPr="009450AA" w:rsidR="00DD273F">
        <w:t>approximately $</w:t>
      </w:r>
      <w:r w:rsidRPr="009450AA" w:rsidR="11FF1AD1">
        <w:t>193.9</w:t>
      </w:r>
      <w:r w:rsidR="00BE4878">
        <w:t> million</w:t>
      </w:r>
      <w:r w:rsidRPr="009450AA" w:rsidR="11FF1AD1">
        <w:t>.</w:t>
      </w:r>
      <w:r w:rsidRPr="009450AA">
        <w:rPr>
          <w:rStyle w:val="FootnoteReference"/>
        </w:rPr>
        <w:footnoteReference w:id="125"/>
      </w:r>
    </w:p>
    <w:p w:rsidRPr="0052583F" w:rsidR="0052583F" w:rsidP="00610C74" w:rsidRDefault="0052583F" w14:paraId="7AD3715C" w14:textId="17FB4592">
      <w:pPr>
        <w:pStyle w:val="Heading1"/>
      </w:pPr>
      <w:bookmarkStart w:name="_Toc199342167" w:id="47"/>
      <w:bookmarkStart w:name="_Toc217632462" w:id="48"/>
      <w:r w:rsidRPr="0052583F">
        <w:t>Affordability Metrics</w:t>
      </w:r>
      <w:bookmarkEnd w:id="47"/>
      <w:bookmarkEnd w:id="48"/>
    </w:p>
    <w:p w:rsidR="009453BA" w:rsidP="0052583F" w:rsidRDefault="0052583F" w14:paraId="24C2ED52" w14:textId="44F3BD9A">
      <w:pPr>
        <w:pStyle w:val="Standard"/>
      </w:pPr>
      <w:r w:rsidRPr="0052583F">
        <w:t xml:space="preserve">On </w:t>
      </w:r>
      <w:r w:rsidR="009453BA">
        <w:t>August </w:t>
      </w:r>
      <w:r w:rsidRPr="0052583F">
        <w:t>4, 2022, the Commission adopted D.22</w:t>
      </w:r>
      <w:r w:rsidR="003B5862">
        <w:noBreakHyphen/>
      </w:r>
      <w:r w:rsidRPr="0052583F">
        <w:t>08</w:t>
      </w:r>
      <w:r w:rsidR="003B5862">
        <w:noBreakHyphen/>
      </w:r>
      <w:r w:rsidRPr="0052583F">
        <w:t>023, which directs when and how the affordability metrics adopted in D.20</w:t>
      </w:r>
      <w:r w:rsidR="003B5862">
        <w:noBreakHyphen/>
      </w:r>
      <w:r w:rsidRPr="0052583F">
        <w:t>07</w:t>
      </w:r>
      <w:r w:rsidR="003B5862">
        <w:noBreakHyphen/>
      </w:r>
      <w:r w:rsidRPr="0052583F">
        <w:t>032 will be applied in Commission energy, water, and communications proceedings and further developed the tools and methodologies used to calculate the affordability metrics. D.22</w:t>
      </w:r>
      <w:r w:rsidR="003B5862">
        <w:noBreakHyphen/>
      </w:r>
      <w:r w:rsidRPr="0052583F">
        <w:t>08</w:t>
      </w:r>
      <w:r w:rsidR="003B5862">
        <w:noBreakHyphen/>
      </w:r>
      <w:r w:rsidRPr="0052583F">
        <w:t>023 requires that SCE include the affordability metrics in any initial filing of a proceeding with a revenue increase estimated to exceed one percent of currently authorized revenues systemwide for a single fuel. Because the revenue requirement requested in this Application exceeds one percent of SCE</w:t>
      </w:r>
      <w:r w:rsidR="00BE4878">
        <w:t>’</w:t>
      </w:r>
      <w:r w:rsidRPr="0052583F">
        <w:t>s currently authorized revenues (</w:t>
      </w:r>
      <w:r w:rsidRPr="00F60904" w:rsidR="00F60904">
        <w:rPr>
          <w:i/>
          <w:iCs/>
        </w:rPr>
        <w:t>i.e.</w:t>
      </w:r>
      <w:r w:rsidRPr="0052583F">
        <w:t>, exceeds $178.878</w:t>
      </w:r>
      <w:r w:rsidR="00BE4878">
        <w:t> million</w:t>
      </w:r>
      <w:r w:rsidRPr="0052583F">
        <w:t>), SCE is required to introduce the Affordability Ratio 20 (</w:t>
      </w:r>
      <w:r w:rsidR="00CE6011">
        <w:t>AR </w:t>
      </w:r>
      <w:r w:rsidRPr="0052583F">
        <w:t>20) by climate zone, Affordability Ratio 50 (</w:t>
      </w:r>
      <w:r w:rsidR="00CE6011">
        <w:t>AR </w:t>
      </w:r>
      <w:r w:rsidRPr="0052583F">
        <w:t>50) by climate zone, and Hours</w:t>
      </w:r>
      <w:r w:rsidR="003B5862">
        <w:noBreakHyphen/>
      </w:r>
      <w:r w:rsidRPr="0052583F">
        <w:t>at</w:t>
      </w:r>
      <w:r w:rsidR="003B5862">
        <w:noBreakHyphen/>
      </w:r>
      <w:r w:rsidRPr="0052583F">
        <w:t>Minimum</w:t>
      </w:r>
      <w:r w:rsidR="003B5862">
        <w:noBreakHyphen/>
      </w:r>
      <w:r w:rsidRPr="0052583F">
        <w:t xml:space="preserve">Wage (HM) associated with revenues in effect at the time of the filing. SCE is also required to include essential usage bills by climate zone, underlying the affordability metrics associated with revenues in effect at the time of the filing; average usage bills by climate zone associated with revenues in effect at the time of the filing; and, for climate zones with Areas of Affordability Concern (AAC) as defined in the most recent annual Affordability Report, </w:t>
      </w:r>
      <w:r w:rsidR="00CE6011">
        <w:t>AR </w:t>
      </w:r>
      <w:r w:rsidRPr="0052583F">
        <w:t xml:space="preserve">20 by climate zones subdivided by Public Use Microdata Area. In addition, SCE must introduce the aforementioned metrics along with changes in the </w:t>
      </w:r>
      <w:r w:rsidR="00CE6011">
        <w:t>AR </w:t>
      </w:r>
      <w:r w:rsidRPr="0052583F">
        <w:t xml:space="preserve">20 by climate zone, </w:t>
      </w:r>
      <w:r w:rsidR="00CE6011">
        <w:t>AR </w:t>
      </w:r>
      <w:r w:rsidRPr="0052583F">
        <w:t xml:space="preserve">50 </w:t>
      </w:r>
      <w:r w:rsidRPr="0052583F">
        <w:lastRenderedPageBreak/>
        <w:t>by climate zone, and HM associated with the proposed new revenue requested annually for each year in which the new revenues are proposed. Because the impact of the proposed new revenue is expected to be limited to 2025, SCE only includes metrics associated with that year.</w:t>
      </w:r>
      <w:r w:rsidRPr="0052583F">
        <w:rPr>
          <w:vertAlign w:val="superscript"/>
        </w:rPr>
        <w:footnoteReference w:id="126"/>
      </w:r>
    </w:p>
    <w:p w:rsidR="009453BA" w:rsidP="0052583F" w:rsidRDefault="0052583F" w14:paraId="45A6535F" w14:textId="0641E0DC">
      <w:pPr>
        <w:pStyle w:val="Standard"/>
      </w:pPr>
      <w:r w:rsidRPr="0052583F">
        <w:t>The Commission finds that SCE provides evidence to support the requirements set forth in D.22</w:t>
      </w:r>
      <w:r w:rsidR="003B5862">
        <w:noBreakHyphen/>
      </w:r>
      <w:r w:rsidRPr="0052583F">
        <w:t>08</w:t>
      </w:r>
      <w:r w:rsidR="003B5862">
        <w:noBreakHyphen/>
      </w:r>
      <w:r w:rsidRPr="0052583F">
        <w:t>023.</w:t>
      </w:r>
      <w:r w:rsidRPr="0052583F">
        <w:rPr>
          <w:vertAlign w:val="superscript"/>
        </w:rPr>
        <w:footnoteReference w:id="127"/>
      </w:r>
      <w:r w:rsidRPr="0052583F">
        <w:t xml:space="preserve"> As such, the Commission concludes that SCE has complied with the requirement of D.22</w:t>
      </w:r>
      <w:r w:rsidR="003B5862">
        <w:noBreakHyphen/>
      </w:r>
      <w:r w:rsidRPr="0052583F">
        <w:t>08</w:t>
      </w:r>
      <w:r w:rsidR="003B5862">
        <w:noBreakHyphen/>
      </w:r>
      <w:r w:rsidRPr="0052583F">
        <w:t>023.</w:t>
      </w:r>
    </w:p>
    <w:p w:rsidRPr="0052583F" w:rsidR="0052583F" w:rsidP="00610C74" w:rsidRDefault="0052583F" w14:paraId="0D3EE379" w14:textId="65173057">
      <w:pPr>
        <w:pStyle w:val="Heading1"/>
      </w:pPr>
      <w:bookmarkStart w:name="_Toc199342168" w:id="49"/>
      <w:bookmarkStart w:name="_Toc217632463" w:id="50"/>
      <w:r w:rsidRPr="0052583F">
        <w:t>Summary of Public Comment</w:t>
      </w:r>
      <w:bookmarkEnd w:id="49"/>
      <w:bookmarkEnd w:id="50"/>
    </w:p>
    <w:p w:rsidRPr="0052583F" w:rsidR="0052583F" w:rsidP="0052583F" w:rsidRDefault="00CD0DC1" w14:paraId="40A957F9" w14:textId="2058616C">
      <w:pPr>
        <w:pStyle w:val="Standard"/>
      </w:pPr>
      <w:r>
        <w:t>Rule </w:t>
      </w:r>
      <w:r w:rsidRPr="0052583F" w:rsidR="0052583F">
        <w:t>1.18 of the Commission</w:t>
      </w:r>
      <w:r w:rsidR="00BE4878">
        <w:t>’</w:t>
      </w:r>
      <w:r w:rsidRPr="0052583F" w:rsidR="0052583F">
        <w:t xml:space="preserve">s Rules allows members of the public to submit written comments in a Commission proceeding in a number of different ways, including via the </w:t>
      </w:r>
      <w:r w:rsidRPr="0052583F" w:rsidR="0052583F">
        <w:rPr>
          <w:i/>
          <w:iCs/>
        </w:rPr>
        <w:t>Public Comment</w:t>
      </w:r>
      <w:r w:rsidRPr="0052583F" w:rsidR="0052583F">
        <w:t xml:space="preserve"> tab, which is found at the online </w:t>
      </w:r>
      <w:r w:rsidRPr="0052583F" w:rsidR="0052583F">
        <w:rPr>
          <w:i/>
          <w:iCs/>
        </w:rPr>
        <w:t>Docket Card</w:t>
      </w:r>
      <w:r w:rsidRPr="0052583F" w:rsidR="0052583F">
        <w:t xml:space="preserve"> on the Commission</w:t>
      </w:r>
      <w:r w:rsidR="00BE4878">
        <w:t>’</w:t>
      </w:r>
      <w:r w:rsidRPr="0052583F" w:rsidR="0052583F">
        <w:t xml:space="preserve">s website. </w:t>
      </w:r>
      <w:r>
        <w:t>Rule </w:t>
      </w:r>
      <w:r w:rsidRPr="0052583F" w:rsidR="0052583F">
        <w:t xml:space="preserve">1.18(b) requires that comments by the public submitted in a proceeding be summarized in the decision issued in that proceeding. The public comments submitted in this proceeding were received from customers across </w:t>
      </w:r>
      <w:r w:rsidR="00E05846">
        <w:t>SCE</w:t>
      </w:r>
      <w:r w:rsidR="00BE4878">
        <w:t>’</w:t>
      </w:r>
      <w:r w:rsidRPr="0052583F" w:rsidR="0052583F">
        <w:t>s service territory. These comments generally</w:t>
      </w:r>
      <w:r w:rsidR="00E05846">
        <w:t xml:space="preserve"> addressed the initial request by SCE, rather than the </w:t>
      </w:r>
      <w:r w:rsidR="006812F1">
        <w:t>S</w:t>
      </w:r>
      <w:r w:rsidR="00E05846">
        <w:t>ettlement</w:t>
      </w:r>
      <w:r w:rsidR="006812F1">
        <w:t xml:space="preserve"> Agreement</w:t>
      </w:r>
      <w:r w:rsidR="00E05846">
        <w:t>, and</w:t>
      </w:r>
      <w:r w:rsidRPr="0052583F" w:rsidR="0052583F">
        <w:t xml:space="preserve"> state that the Commission should deny this request based on concerns regarding rate increases, including recent rate increases due to wildfire mitigation and vegetation management, and company profits. More information regarding the public comments is available on the Commission</w:t>
      </w:r>
      <w:r w:rsidR="00BE4878">
        <w:t>’</w:t>
      </w:r>
      <w:r w:rsidRPr="0052583F" w:rsidR="0052583F">
        <w:t>s website.</w:t>
      </w:r>
    </w:p>
    <w:p w:rsidRPr="0052583F" w:rsidR="0052583F" w:rsidP="00610C74" w:rsidRDefault="0052583F" w14:paraId="3BA0BC15" w14:textId="77777777">
      <w:pPr>
        <w:pStyle w:val="Heading1"/>
      </w:pPr>
      <w:bookmarkStart w:name="_Toc199342169" w:id="51"/>
      <w:bookmarkStart w:name="_Toc217632464" w:id="52"/>
      <w:r w:rsidRPr="0052583F">
        <w:t>Procedural Matters</w:t>
      </w:r>
      <w:bookmarkEnd w:id="51"/>
      <w:bookmarkEnd w:id="52"/>
    </w:p>
    <w:p w:rsidR="0052583F" w:rsidP="0052583F" w:rsidRDefault="0052583F" w14:paraId="205C3631" w14:textId="133D8583">
      <w:pPr>
        <w:pStyle w:val="Standard"/>
      </w:pPr>
      <w:r w:rsidRPr="0052583F">
        <w:t xml:space="preserve">This decision affirms the rulings made by the assigned </w:t>
      </w:r>
      <w:r w:rsidR="00C96067">
        <w:t>A</w:t>
      </w:r>
      <w:r w:rsidR="00A444A1">
        <w:t>LJ</w:t>
      </w:r>
      <w:r w:rsidR="00EB4CF3">
        <w:t xml:space="preserve"> </w:t>
      </w:r>
      <w:r w:rsidRPr="00E05846">
        <w:t>and the assigned Commissioner in this proceeding. All motions not ruled on are deemed denied.</w:t>
      </w:r>
    </w:p>
    <w:p w:rsidRPr="00E05846" w:rsidR="005939A5" w:rsidP="005939A5" w:rsidRDefault="005939A5" w14:paraId="53C85DBB" w14:textId="77777777">
      <w:pPr>
        <w:pStyle w:val="Heading1"/>
      </w:pPr>
      <w:bookmarkStart w:name="_Toc8123723" w:id="53"/>
      <w:bookmarkStart w:name="_Toc217632465" w:id="54"/>
      <w:r w:rsidRPr="00E05846">
        <w:lastRenderedPageBreak/>
        <w:t>Comments on Proposed Decision</w:t>
      </w:r>
      <w:bookmarkEnd w:id="53"/>
      <w:bookmarkEnd w:id="54"/>
    </w:p>
    <w:p w:rsidR="009453BA" w:rsidP="009349DC" w:rsidRDefault="005C58FA" w14:paraId="5ECED17D" w14:textId="1A6C26C3">
      <w:pPr>
        <w:pStyle w:val="Standard"/>
      </w:pPr>
      <w:r w:rsidRPr="00E05846">
        <w:t xml:space="preserve">The proposed decision of </w:t>
      </w:r>
      <w:r w:rsidR="00152FE9">
        <w:t>ALJ </w:t>
      </w:r>
      <w:r w:rsidRPr="00E05846" w:rsidR="00E05846">
        <w:t xml:space="preserve">Regina DeAngelis </w:t>
      </w:r>
      <w:r w:rsidRPr="00E05846">
        <w:t>in this matter was mailed to the parties in accordance with</w:t>
      </w:r>
      <w:r>
        <w:t xml:space="preserve"> </w:t>
      </w:r>
      <w:r w:rsidR="00CD0DC1">
        <w:t xml:space="preserve">Pub. Util. Code </w:t>
      </w:r>
      <w:r w:rsidR="00F4321E">
        <w:t>Section </w:t>
      </w:r>
      <w:r>
        <w:t xml:space="preserve">311 and comments were allowed under </w:t>
      </w:r>
      <w:r w:rsidR="00CD0DC1">
        <w:t>Rule </w:t>
      </w:r>
      <w:r>
        <w:t>14.3 of the Commission</w:t>
      </w:r>
      <w:r w:rsidR="00BE4878">
        <w:t>’</w:t>
      </w:r>
      <w:r>
        <w:t xml:space="preserve">s Rules of Practice and Procedure. </w:t>
      </w:r>
      <w:r w:rsidR="001112AB">
        <w:t>No c</w:t>
      </w:r>
      <w:r>
        <w:t>omments were filed</w:t>
      </w:r>
      <w:r w:rsidR="001112AB">
        <w:t>. No revisions are made to the proposed decision.</w:t>
      </w:r>
    </w:p>
    <w:p w:rsidR="005939A5" w:rsidP="005939A5" w:rsidRDefault="005939A5" w14:paraId="3892E83D" w14:textId="18D92E38">
      <w:pPr>
        <w:pStyle w:val="Heading1"/>
      </w:pPr>
      <w:bookmarkStart w:name="_Toc8123724" w:id="55"/>
      <w:bookmarkStart w:name="_Toc217632466" w:id="56"/>
      <w:r>
        <w:t>Assignment of Proceeding</w:t>
      </w:r>
      <w:bookmarkEnd w:id="55"/>
      <w:bookmarkEnd w:id="56"/>
    </w:p>
    <w:p w:rsidR="005939A5" w:rsidP="006E6574" w:rsidRDefault="008F5196" w14:paraId="76E44C84" w14:textId="3A37BC2C">
      <w:pPr>
        <w:pStyle w:val="Standard"/>
      </w:pPr>
      <w:r w:rsidRPr="008F5196">
        <w:t xml:space="preserve">Commissioner Matthew Baker </w:t>
      </w:r>
      <w:r w:rsidR="005939A5">
        <w:t xml:space="preserve">is the assigned Commissioner and </w:t>
      </w:r>
      <w:r>
        <w:t>Regina DeAngelis</w:t>
      </w:r>
      <w:r w:rsidR="005939A5">
        <w:t xml:space="preserve"> is the assigned </w:t>
      </w:r>
      <w:r w:rsidR="00E95FA6">
        <w:t>A</w:t>
      </w:r>
      <w:r w:rsidR="00A444A1">
        <w:t>LJ</w:t>
      </w:r>
      <w:r w:rsidR="005939A5">
        <w:t xml:space="preserve"> in this proceeding.</w:t>
      </w:r>
    </w:p>
    <w:p w:rsidR="005939A5" w:rsidP="00677BEE" w:rsidRDefault="005939A5" w14:paraId="2F58546C" w14:textId="77777777">
      <w:pPr>
        <w:pStyle w:val="Dummy"/>
      </w:pPr>
      <w:bookmarkStart w:name="_Toc8123725" w:id="57"/>
      <w:bookmarkStart w:name="_Toc217632467" w:id="58"/>
      <w:r>
        <w:t>Findings of Fact</w:t>
      </w:r>
      <w:bookmarkEnd w:id="57"/>
      <w:bookmarkEnd w:id="58"/>
    </w:p>
    <w:p w:rsidR="009453BA" w:rsidP="00212A9B" w:rsidRDefault="009E1957" w14:paraId="39507566" w14:textId="77777777">
      <w:pPr>
        <w:pStyle w:val="FoF"/>
      </w:pPr>
      <w:r>
        <w:t>The disputed issues in this proceeding required and produced a record including extensive testimony across a broad range of subject areas and numerous independent experts; and further administrative litigation, such as an evidentiary hearing and subsequent briefing, will necessarily be complex, expensive, and time consuming, and will require resolution of complicated factual disputes.</w:t>
      </w:r>
    </w:p>
    <w:p w:rsidR="009453BA" w:rsidP="009E1957" w:rsidRDefault="009E1957" w14:paraId="54030E39" w14:textId="77777777">
      <w:pPr>
        <w:pStyle w:val="FoF"/>
      </w:pPr>
      <w:r>
        <w:t>The compromises negotiated by the Settling Parties reflected in the Settlement Agreement reasonably resolve the disputed issues in this proceeding and, by allowing the parties and the Commission to avoid continued complex administrative litigation, the Settlement Agreement conserves public and private resources.</w:t>
      </w:r>
    </w:p>
    <w:p w:rsidR="009453BA" w:rsidP="009E1957" w:rsidRDefault="009E1957" w14:paraId="4A528952" w14:textId="77777777">
      <w:pPr>
        <w:pStyle w:val="FoF"/>
      </w:pPr>
      <w:r>
        <w:t>In light of the litigation positions of the Settling Parties and the extensive record developed in this proceeding, the Settlement Agreement also falls within the range of potential outcomes had this proceeding been litigated to conclusion.</w:t>
      </w:r>
    </w:p>
    <w:p w:rsidR="009453BA" w:rsidP="009E1957" w:rsidRDefault="009E1957" w14:paraId="318D6197" w14:textId="77777777">
      <w:pPr>
        <w:pStyle w:val="FoF"/>
      </w:pPr>
      <w:r>
        <w:t xml:space="preserve">The Settlement Agreement is a product of extensive good faith negotiations, aggressive bargaining and exchanges of positions grounded in the </w:t>
      </w:r>
      <w:r>
        <w:lastRenderedPageBreak/>
        <w:t>factual record, and, ultimately, compromise by each Settling Party in order to reach consensus.</w:t>
      </w:r>
    </w:p>
    <w:p w:rsidR="009453BA" w:rsidP="009E1957" w:rsidRDefault="009E1957" w14:paraId="60581545" w14:textId="77777777">
      <w:pPr>
        <w:pStyle w:val="FoF"/>
      </w:pPr>
      <w:r>
        <w:t>The Settlement Agreement addresses SCE</w:t>
      </w:r>
      <w:r w:rsidR="00BE4878">
        <w:t>’</w:t>
      </w:r>
      <w:r>
        <w:t>s request for cost recovery, and resolves cost recovery treatment for all WEMA and CEMA costs related to the Woolsey Fire</w:t>
      </w:r>
      <w:r w:rsidR="00212A9B">
        <w:t xml:space="preserve"> and, as such,</w:t>
      </w:r>
      <w:r>
        <w:t xml:space="preserve"> the Settlement Agreement engages with, and describes the Settling Parties</w:t>
      </w:r>
      <w:r w:rsidR="00BE4878">
        <w:t>’</w:t>
      </w:r>
      <w:r>
        <w:t xml:space="preserve"> positions on, the numerous issues highlighted in the </w:t>
      </w:r>
      <w:r w:rsidR="0029761B">
        <w:t>extensive</w:t>
      </w:r>
      <w:r>
        <w:t xml:space="preserve"> record developed in this proceeding.</w:t>
      </w:r>
    </w:p>
    <w:p w:rsidR="009453BA" w:rsidP="009E1957" w:rsidRDefault="009E1957" w14:paraId="3C7F3648" w14:textId="77777777">
      <w:pPr>
        <w:pStyle w:val="FoF"/>
      </w:pPr>
      <w:r>
        <w:t xml:space="preserve">One of the Settling Parties, </w:t>
      </w:r>
      <w:r w:rsidR="003708E7">
        <w:t>Cal Advoc</w:t>
      </w:r>
      <w:r>
        <w:t>ates, is a governmental organization independently positioned within the Commission and statutorily mandated to advocate on behalf of public utility customers.</w:t>
      </w:r>
    </w:p>
    <w:p w:rsidR="009453BA" w:rsidP="009E1957" w:rsidRDefault="009E1957" w14:paraId="26A14901" w14:textId="6CE38899">
      <w:pPr>
        <w:pStyle w:val="FoF"/>
      </w:pPr>
      <w:r>
        <w:t xml:space="preserve">The Settling Parties, SCE, </w:t>
      </w:r>
      <w:r w:rsidR="003708E7">
        <w:t>Cal Advoc</w:t>
      </w:r>
      <w:r>
        <w:t>ates, EPUC, and SBUA, are each well</w:t>
      </w:r>
      <w:r w:rsidR="003B5862">
        <w:noBreakHyphen/>
      </w:r>
      <w:r>
        <w:t>versed in California regulatory law and are represented by experienced Commission practitioners.</w:t>
      </w:r>
    </w:p>
    <w:p w:rsidR="009453BA" w:rsidP="00D56947" w:rsidRDefault="009E1957" w14:paraId="3944055C" w14:textId="15A29808">
      <w:pPr>
        <w:pStyle w:val="FoF"/>
      </w:pPr>
      <w:r>
        <w:t>Based on review of the evidence and legal arguments, the Settlement Agreement will result in, among other benefits, a reduction of approximately 65% of the WEMA amount requested, with approximately $3.7</w:t>
      </w:r>
      <w:r w:rsidR="00F60904">
        <w:t> billion</w:t>
      </w:r>
      <w:r>
        <w:t xml:space="preserve"> permanently disallowed, and in approximately 15% of the CEMA amount request, with $12.5</w:t>
      </w:r>
      <w:r w:rsidR="00BE4878">
        <w:t> million</w:t>
      </w:r>
      <w:r>
        <w:t xml:space="preserve"> permanently disallowed.</w:t>
      </w:r>
    </w:p>
    <w:p w:rsidR="009453BA" w:rsidP="009E1957" w:rsidRDefault="009E1957" w14:paraId="4FA4D04E" w14:textId="77777777">
      <w:pPr>
        <w:pStyle w:val="FoF"/>
      </w:pPr>
      <w:r>
        <w:t>The costs were tracked and recorded in authorized memorandum accounts, accounts previously approved by the Commission.</w:t>
      </w:r>
    </w:p>
    <w:p w:rsidR="009453BA" w:rsidP="009E1957" w:rsidRDefault="009E1957" w14:paraId="00736AD4" w14:textId="77777777">
      <w:pPr>
        <w:pStyle w:val="FoF"/>
      </w:pPr>
      <w:r>
        <w:t>It is consistent with law to authorize SCE</w:t>
      </w:r>
      <w:r w:rsidR="00BE4878">
        <w:t>’</w:t>
      </w:r>
      <w:r>
        <w:t xml:space="preserve">s partial recovery of recorded WEMA and CEMA costs and, in addition, authorizing the related permanent disallowances are consistent with the just and reasonable requirements of </w:t>
      </w:r>
      <w:r w:rsidR="00CD0DC1">
        <w:t>Pub. Util.</w:t>
      </w:r>
      <w:r>
        <w:t xml:space="preserve"> Code </w:t>
      </w:r>
      <w:r w:rsidR="00F4321E">
        <w:t>Section </w:t>
      </w:r>
      <w:r>
        <w:t>451.</w:t>
      </w:r>
    </w:p>
    <w:p w:rsidR="009E1957" w:rsidP="00D56947" w:rsidRDefault="009E1957" w14:paraId="49645BBF" w14:textId="00D82E43">
      <w:pPr>
        <w:pStyle w:val="FoF"/>
      </w:pPr>
      <w:r>
        <w:t>The Settlement Agreement supports the strong public policy favoring settled outcomes of litigated proceedings, as reflected in numerous cases.</w:t>
      </w:r>
    </w:p>
    <w:p w:rsidR="009E1957" w:rsidP="009E1957" w:rsidRDefault="009E1957" w14:paraId="36C6EDCB" w14:textId="134140A7">
      <w:pPr>
        <w:pStyle w:val="FoF"/>
      </w:pPr>
      <w:r>
        <w:lastRenderedPageBreak/>
        <w:t xml:space="preserve">The Settling Parties are sophisticated parties because, for instance, SCE and </w:t>
      </w:r>
      <w:r w:rsidR="003708E7">
        <w:t>Cal Advoc</w:t>
      </w:r>
      <w:r>
        <w:t xml:space="preserve">ates and EPUC have extensive experience and expertise with Commission cost recovery applications and, in addition, </w:t>
      </w:r>
      <w:r w:rsidR="003708E7">
        <w:t>Cal Advoc</w:t>
      </w:r>
      <w:r>
        <w:t>ates participates in most large electric utility applications for wildfire cost recovery.</w:t>
      </w:r>
    </w:p>
    <w:p w:rsidR="009453BA" w:rsidP="009E1957" w:rsidRDefault="009E1957" w14:paraId="39E93197" w14:textId="77777777">
      <w:pPr>
        <w:pStyle w:val="FoF"/>
      </w:pPr>
      <w:r>
        <w:t>The record here is well developed with the proposed Settlement Agreement occurring after development of the evidentiary record with extensive prepared testimony.</w:t>
      </w:r>
    </w:p>
    <w:p w:rsidR="009453BA" w:rsidP="009E1957" w:rsidRDefault="009E1957" w14:paraId="6D3174E6" w14:textId="77777777">
      <w:pPr>
        <w:pStyle w:val="FoF"/>
      </w:pPr>
      <w:r>
        <w:t xml:space="preserve">The Settling Parties, SCE, </w:t>
      </w:r>
      <w:r w:rsidR="003708E7">
        <w:t>Cal Advoc</w:t>
      </w:r>
      <w:r>
        <w:t>ates, EPUC, and SBUA, have a sound and thorough understanding of the Application and all the underlying assumptions and data included in the record.</w:t>
      </w:r>
    </w:p>
    <w:p w:rsidR="009E1957" w:rsidP="009E1957" w:rsidRDefault="009E1957" w14:paraId="17A45948" w14:textId="42205389">
      <w:pPr>
        <w:pStyle w:val="FoF"/>
      </w:pPr>
      <w:r>
        <w:t xml:space="preserve">The Settling Parties, SCE, </w:t>
      </w:r>
      <w:r w:rsidR="003708E7">
        <w:t>Cal Advoc</w:t>
      </w:r>
      <w:r>
        <w:t>ates, EPUC, and SBUA, also fairly represent the interests of the public affected by the Application.</w:t>
      </w:r>
    </w:p>
    <w:p w:rsidR="009453BA" w:rsidP="008103E6" w:rsidRDefault="009E1957" w14:paraId="51A13230" w14:textId="77777777">
      <w:pPr>
        <w:pStyle w:val="FoF"/>
      </w:pPr>
      <w:r>
        <w:t>The overall reduction in the revenue requirement is in the public interest as the Settling Parties acknowledge the cost burden on customers of SCE</w:t>
      </w:r>
      <w:r w:rsidR="00BE4878">
        <w:t>’</w:t>
      </w:r>
      <w:r>
        <w:t>s initial request.</w:t>
      </w:r>
    </w:p>
    <w:p w:rsidR="00CE205B" w:rsidP="00CE205B" w:rsidRDefault="0020013F" w14:paraId="15E5B2AD" w14:textId="74999F15">
      <w:pPr>
        <w:pStyle w:val="FoF"/>
      </w:pPr>
      <w:r>
        <w:t>Wild Tree</w:t>
      </w:r>
      <w:r w:rsidR="00BE4878">
        <w:t>’</w:t>
      </w:r>
      <w:r>
        <w:t xml:space="preserve">s </w:t>
      </w:r>
      <w:r w:rsidR="00CE205B">
        <w:t xml:space="preserve">opposition to the Settlement Agreement </w:t>
      </w:r>
      <w:r>
        <w:t>has t</w:t>
      </w:r>
      <w:r w:rsidR="00CE205B">
        <w:t>hree fatal weaknesses</w:t>
      </w:r>
      <w:r w:rsidR="009453BA">
        <w:t xml:space="preserve">:  </w:t>
      </w:r>
      <w:r w:rsidR="00B4198A">
        <w:t>(1) </w:t>
      </w:r>
      <w:r w:rsidR="00CE205B">
        <w:t>Wild Tree evaluates the Settlement Agreement under the wrong standard of review</w:t>
      </w:r>
      <w:r w:rsidR="00B4198A">
        <w:t>; (2) </w:t>
      </w:r>
      <w:r w:rsidR="00CE205B">
        <w:t>Wild Tree fails to consider the Commission</w:t>
      </w:r>
      <w:r w:rsidR="00BE4878">
        <w:t>’</w:t>
      </w:r>
      <w:r w:rsidR="00CE205B">
        <w:t>s long</w:t>
      </w:r>
      <w:r w:rsidR="003B5862">
        <w:noBreakHyphen/>
      </w:r>
      <w:r w:rsidR="00CE205B">
        <w:t>standing policy supporting settlement</w:t>
      </w:r>
      <w:r w:rsidR="00B4198A">
        <w:t>; and (3) </w:t>
      </w:r>
      <w:r w:rsidR="00CE205B">
        <w:t xml:space="preserve">Wild Tree relies on arguments recently rejected in </w:t>
      </w:r>
      <w:r w:rsidRPr="004F33EC" w:rsidR="00CE205B">
        <w:t>D.25</w:t>
      </w:r>
      <w:r w:rsidR="003B5862">
        <w:noBreakHyphen/>
      </w:r>
      <w:r w:rsidRPr="004F33EC" w:rsidR="00CE205B">
        <w:t>01</w:t>
      </w:r>
      <w:r w:rsidR="003B5862">
        <w:noBreakHyphen/>
      </w:r>
      <w:r w:rsidRPr="004F33EC" w:rsidR="00CE205B">
        <w:t>042</w:t>
      </w:r>
      <w:r w:rsidR="00CE205B">
        <w:t>.</w:t>
      </w:r>
    </w:p>
    <w:p w:rsidR="009453BA" w:rsidP="00D56947" w:rsidRDefault="00FC3847" w14:paraId="5444C1E7" w14:textId="2C6125F7">
      <w:pPr>
        <w:pStyle w:val="FoF"/>
      </w:pPr>
      <w:r>
        <w:t>SCE provides evidence to support the requirements set forth in D.22</w:t>
      </w:r>
      <w:r w:rsidR="003B5862">
        <w:noBreakHyphen/>
      </w:r>
      <w:r>
        <w:t>08</w:t>
      </w:r>
      <w:r w:rsidR="003B5862">
        <w:noBreakHyphen/>
      </w:r>
      <w:r>
        <w:t>023 (Affordability Metrics).</w:t>
      </w:r>
    </w:p>
    <w:p w:rsidRPr="001E2A62" w:rsidR="00932865" w:rsidP="00677BEE" w:rsidRDefault="005939A5" w14:paraId="79AC0333" w14:textId="300F4131">
      <w:pPr>
        <w:pStyle w:val="Dummy"/>
      </w:pPr>
      <w:bookmarkStart w:name="_Toc8123726" w:id="59"/>
      <w:bookmarkStart w:name="_Toc217632468" w:id="60"/>
      <w:r>
        <w:t>Conclusions of Law</w:t>
      </w:r>
      <w:bookmarkEnd w:id="59"/>
      <w:bookmarkEnd w:id="60"/>
    </w:p>
    <w:p w:rsidRPr="00212A9B" w:rsidR="00212A9B" w:rsidP="00212A9B" w:rsidRDefault="00212A9B" w14:paraId="66DE8766" w14:textId="1FDAD036">
      <w:pPr>
        <w:pStyle w:val="CoL"/>
      </w:pPr>
      <w:r w:rsidRPr="00212A9B">
        <w:t>In light of the whole record, the reduction of over $3.7</w:t>
      </w:r>
      <w:r w:rsidR="00F60904">
        <w:t> billion</w:t>
      </w:r>
      <w:r w:rsidRPr="00212A9B">
        <w:t xml:space="preserve"> represents a reasonable compromise between the respective parties</w:t>
      </w:r>
      <w:r w:rsidR="00BE4878">
        <w:t>’</w:t>
      </w:r>
      <w:r w:rsidRPr="00212A9B">
        <w:t xml:space="preserve"> positions and will result in a lower rate increase than would be the case under SCE</w:t>
      </w:r>
      <w:r w:rsidR="00BE4878">
        <w:t>’</w:t>
      </w:r>
      <w:r w:rsidRPr="00212A9B">
        <w:t>s initial request.</w:t>
      </w:r>
    </w:p>
    <w:p w:rsidR="00932865" w:rsidP="001E2A62" w:rsidRDefault="008103E6" w14:paraId="5703B25D" w14:textId="5FE3F382">
      <w:pPr>
        <w:pStyle w:val="CoL"/>
      </w:pPr>
      <w:r w:rsidRPr="008103E6">
        <w:lastRenderedPageBreak/>
        <w:t>Based on the nature of the costs which SCE tracked in Commission</w:t>
      </w:r>
      <w:r w:rsidR="003B5862">
        <w:noBreakHyphen/>
      </w:r>
      <w:r w:rsidRPr="008103E6">
        <w:t>authorized WEMA and CEMA accounts, costs which were associated with clear policy goals together with the over $3.7</w:t>
      </w:r>
      <w:r w:rsidR="00F60904">
        <w:t> billion</w:t>
      </w:r>
      <w:r w:rsidRPr="008103E6">
        <w:t xml:space="preserve"> reduction to the amount SCE initially requested, the Settlement Agreement is found to be consistent with the </w:t>
      </w:r>
      <w:r w:rsidR="000F4DE2">
        <w:t xml:space="preserve">Pub. Util. </w:t>
      </w:r>
      <w:r w:rsidRPr="008103E6">
        <w:t>Code, Commission decisions, all other applicable laws and promotes state policy goals.</w:t>
      </w:r>
    </w:p>
    <w:p w:rsidR="009453BA" w:rsidP="008103E6" w:rsidRDefault="008103E6" w14:paraId="72038E39" w14:textId="77777777">
      <w:pPr>
        <w:pStyle w:val="CoL"/>
      </w:pPr>
      <w:r>
        <w:t>The advancement of the policy and legal goals that are the genesis of, or related to, the costs at issue in this proceeding is in the public interest.</w:t>
      </w:r>
    </w:p>
    <w:p w:rsidR="008103E6" w:rsidP="008103E6" w:rsidRDefault="008103E6" w14:paraId="5E4239F7" w14:textId="6CCF913C">
      <w:pPr>
        <w:pStyle w:val="CoL"/>
      </w:pPr>
      <w:r>
        <w:t>Based on the reduction of over $3.7</w:t>
      </w:r>
      <w:r w:rsidR="00F60904">
        <w:t> billion</w:t>
      </w:r>
      <w:r>
        <w:t xml:space="preserve"> and the expertise of the Settling Parties, the Settlement is in the public interest</w:t>
      </w:r>
    </w:p>
    <w:p w:rsidR="009453BA" w:rsidP="00212A9B" w:rsidRDefault="00212A9B" w14:paraId="3B58D9CE" w14:textId="19AF23C8">
      <w:pPr>
        <w:pStyle w:val="CoL"/>
      </w:pPr>
      <w:r>
        <w:t>Wild Tree</w:t>
      </w:r>
      <w:r w:rsidR="00BE4878">
        <w:t>’</w:t>
      </w:r>
      <w:r>
        <w:t xml:space="preserve">s argument that </w:t>
      </w:r>
      <w:r w:rsidR="00BE4878">
        <w:t>“</w:t>
      </w:r>
      <w:r>
        <w:t>SCE has not met its burden of proof that its conduct was reasonable and prudent</w:t>
      </w:r>
      <w:r w:rsidR="00BE4878">
        <w:t>”</w:t>
      </w:r>
      <w:r>
        <w:t xml:space="preserve"> is not based on </w:t>
      </w:r>
      <w:r w:rsidR="00CD0DC1">
        <w:t>Rule </w:t>
      </w:r>
      <w:r>
        <w:t xml:space="preserve">12.1(d), the correct standard of review, </w:t>
      </w:r>
      <w:r w:rsidRPr="00F60904" w:rsidR="00F60904">
        <w:rPr>
          <w:i/>
          <w:iCs/>
        </w:rPr>
        <w:t>i.e.</w:t>
      </w:r>
      <w:r>
        <w:t xml:space="preserve">, whether the Settlement Agreement is </w:t>
      </w:r>
      <w:r w:rsidR="00BE4878">
        <w:t>“</w:t>
      </w:r>
      <w:r>
        <w:t>reasonable in light of the whole record, consistent with law, and in the public interest.</w:t>
      </w:r>
      <w:r w:rsidR="00BE4878">
        <w:t>”</w:t>
      </w:r>
    </w:p>
    <w:p w:rsidR="009453BA" w:rsidP="00212A9B" w:rsidRDefault="00212A9B" w14:paraId="0F6F961A" w14:textId="6EFC5DF6">
      <w:pPr>
        <w:pStyle w:val="CoL"/>
      </w:pPr>
      <w:r>
        <w:t>Because Wild Tree applies the incorrect standard of review and, as a result, reaches inaccurate conclusions, Wild Tree</w:t>
      </w:r>
      <w:r w:rsidR="00BE4878">
        <w:t>’</w:t>
      </w:r>
      <w:r>
        <w:t>s analysis lacks merit and the finding that the Settlement Agreement is reasonable in light of the whole record, consistent with law, and in the public interest remains unchanged.</w:t>
      </w:r>
    </w:p>
    <w:p w:rsidR="00212A9B" w:rsidP="00212A9B" w:rsidRDefault="00212A9B" w14:paraId="035E5A1E" w14:textId="7E1589D5">
      <w:pPr>
        <w:pStyle w:val="CoL"/>
      </w:pPr>
      <w:r>
        <w:t>Based on the Commission</w:t>
      </w:r>
      <w:r w:rsidR="00BE4878">
        <w:t>’</w:t>
      </w:r>
      <w:r>
        <w:t>s long</w:t>
      </w:r>
      <w:r w:rsidR="003B5862">
        <w:noBreakHyphen/>
      </w:r>
      <w:r>
        <w:t>standing policy of supporting settlement as a means of resolving disputed matters, Wild Tree</w:t>
      </w:r>
      <w:r w:rsidR="00BE4878">
        <w:t>’</w:t>
      </w:r>
      <w:r>
        <w:t>s argument that the Commission must fully litigate this matter because resolving this matter through the Settlement Agreement is not in the public interest lacks merit.</w:t>
      </w:r>
    </w:p>
    <w:p w:rsidR="008F143D" w:rsidP="00D56947" w:rsidRDefault="00212A9B" w14:paraId="43DE76EC" w14:textId="68758392">
      <w:pPr>
        <w:pStyle w:val="CoL"/>
      </w:pPr>
      <w:r>
        <w:t>Because Wild Tree presents similar arguments in opposition to this Settlement Agreement that the Commission recently considered and rejected in D.25</w:t>
      </w:r>
      <w:r w:rsidR="003B5862">
        <w:noBreakHyphen/>
      </w:r>
      <w:r>
        <w:t>01</w:t>
      </w:r>
      <w:r w:rsidR="003B5862">
        <w:noBreakHyphen/>
      </w:r>
      <w:r>
        <w:t>042 while failing to explain why these arguments have merit now, Wild Tree</w:t>
      </w:r>
      <w:r w:rsidR="00BE4878">
        <w:t>’</w:t>
      </w:r>
      <w:r>
        <w:t>s arguments are without merit.</w:t>
      </w:r>
    </w:p>
    <w:p w:rsidRPr="00FC3847" w:rsidR="00FC3847" w:rsidP="00FC3847" w:rsidRDefault="00FC3847" w14:paraId="0F258A8A" w14:textId="26E555F9">
      <w:pPr>
        <w:pStyle w:val="CoL"/>
      </w:pPr>
      <w:r w:rsidRPr="00FC3847">
        <w:lastRenderedPageBreak/>
        <w:t>SCE has complied with the requirement of D.22</w:t>
      </w:r>
      <w:r w:rsidR="003B5862">
        <w:noBreakHyphen/>
      </w:r>
      <w:r w:rsidRPr="00FC3847">
        <w:t>08</w:t>
      </w:r>
      <w:r w:rsidR="003B5862">
        <w:noBreakHyphen/>
      </w:r>
      <w:r w:rsidRPr="00FC3847">
        <w:t>023 (Affordability Metrics).</w:t>
      </w:r>
    </w:p>
    <w:p w:rsidR="00FC3847" w:rsidP="00D44DB6" w:rsidRDefault="00D56947" w14:paraId="2CA768E3" w14:textId="073AA5B3">
      <w:pPr>
        <w:pStyle w:val="CoL"/>
      </w:pPr>
      <w:r w:rsidRPr="00D56947">
        <w:t xml:space="preserve">All rulings made by the assigned </w:t>
      </w:r>
      <w:r w:rsidR="00227D28">
        <w:t>A</w:t>
      </w:r>
      <w:r w:rsidR="00A444A1">
        <w:t>LJ</w:t>
      </w:r>
      <w:r w:rsidR="00227D28">
        <w:t xml:space="preserve"> </w:t>
      </w:r>
      <w:r w:rsidRPr="00D56947">
        <w:t>and the assigned Commissioner in this proceeding are affirmed. All motions not ruled on are deemed denied</w:t>
      </w:r>
      <w:r>
        <w:t>.</w:t>
      </w:r>
    </w:p>
    <w:p w:rsidRPr="001E2A62" w:rsidR="00D56947" w:rsidP="00D44DB6" w:rsidRDefault="00D56947" w14:paraId="68CF5712" w14:textId="3691F230">
      <w:pPr>
        <w:pStyle w:val="CoL"/>
      </w:pPr>
      <w:r>
        <w:t xml:space="preserve">The Joint </w:t>
      </w:r>
      <w:r w:rsidRPr="0052073A">
        <w:t xml:space="preserve">Motion for Settlement </w:t>
      </w:r>
      <w:r w:rsidR="00AC6E56">
        <w:t>should be</w:t>
      </w:r>
      <w:r w:rsidRPr="0052073A">
        <w:t xml:space="preserve"> granted </w:t>
      </w:r>
      <w:r w:rsidR="00AC6E56">
        <w:t>because</w:t>
      </w:r>
      <w:r w:rsidRPr="0052073A" w:rsidR="0052073A">
        <w:t xml:space="preserve"> the Settlement Agreement is found reasonable in light of the whole record, consistent with law, and in the public interest.</w:t>
      </w:r>
    </w:p>
    <w:p w:rsidRPr="00BD115C" w:rsidR="00BB0243" w:rsidP="00BD115C" w:rsidRDefault="005939A5" w14:paraId="48850D1B" w14:textId="77777777">
      <w:pPr>
        <w:pStyle w:val="Mainex"/>
      </w:pPr>
      <w:bookmarkStart w:name="_Toc217632469" w:id="61"/>
      <w:r>
        <w:t>O</w:t>
      </w:r>
      <w:r w:rsidR="00722850">
        <w:t>RDER</w:t>
      </w:r>
      <w:bookmarkEnd w:id="61"/>
    </w:p>
    <w:p w:rsidR="00BB0243" w:rsidP="008C7666" w:rsidRDefault="00BB0243" w14:paraId="3354A8B0" w14:textId="77777777">
      <w:pPr>
        <w:pStyle w:val="Standard"/>
        <w:keepNext/>
      </w:pPr>
      <w:r w:rsidRPr="008C7666">
        <w:rPr>
          <w:b/>
          <w:bCs/>
        </w:rPr>
        <w:t>IT IS ORDERED</w:t>
      </w:r>
      <w:r>
        <w:t xml:space="preserve"> that:</w:t>
      </w:r>
    </w:p>
    <w:p w:rsidR="009453BA" w:rsidP="001E2A62" w:rsidRDefault="0052073A" w14:paraId="50059A35" w14:textId="1804FD26">
      <w:pPr>
        <w:pStyle w:val="OP"/>
      </w:pPr>
      <w:r w:rsidRPr="00B03F3E">
        <w:t xml:space="preserve">The </w:t>
      </w:r>
      <w:r w:rsidR="009453BA">
        <w:t>September </w:t>
      </w:r>
      <w:r w:rsidRPr="00B03F3E">
        <w:t xml:space="preserve">19, 2025 </w:t>
      </w:r>
      <w:r w:rsidRPr="00B03F3E">
        <w:rPr>
          <w:i/>
          <w:iCs/>
          <w:lang w:val="en-ZW"/>
        </w:rPr>
        <w:t xml:space="preserve">Joint Motion </w:t>
      </w:r>
      <w:r w:rsidRPr="00B03F3E">
        <w:rPr>
          <w:i/>
          <w:iCs/>
        </w:rPr>
        <w:t>by Southern California Edison Company, the Public Advocates Office, Energy Producers and Users Coalition, and Small Business Utility Advocates for Approval of Settlement Agreement Resolving Woolsey Fire Cost Recovery Application</w:t>
      </w:r>
      <w:r w:rsidRPr="00B03F3E">
        <w:t xml:space="preserve"> is granted</w:t>
      </w:r>
      <w:r>
        <w:t xml:space="preserve"> and the terms of the </w:t>
      </w:r>
      <w:r w:rsidRPr="00B03F3E" w:rsidR="00B03F3E">
        <w:rPr>
          <w:i/>
          <w:iCs/>
        </w:rPr>
        <w:t>Settlement Agreement Resolving Woo</w:t>
      </w:r>
      <w:r w:rsidR="00BE1B3C">
        <w:rPr>
          <w:i/>
          <w:iCs/>
        </w:rPr>
        <w:t>ls</w:t>
      </w:r>
      <w:r w:rsidRPr="00B03F3E" w:rsidR="00B03F3E">
        <w:rPr>
          <w:i/>
          <w:iCs/>
        </w:rPr>
        <w:t>ey Fire Cost Recovery Application</w:t>
      </w:r>
      <w:r w:rsidR="00B03F3E">
        <w:rPr>
          <w:i/>
          <w:iCs/>
        </w:rPr>
        <w:t xml:space="preserve">, </w:t>
      </w:r>
      <w:r w:rsidRPr="00B03F3E" w:rsidR="00B03F3E">
        <w:t>attached to the motion</w:t>
      </w:r>
      <w:r w:rsidR="00B03F3E">
        <w:rPr>
          <w:i/>
          <w:iCs/>
        </w:rPr>
        <w:t xml:space="preserve">, </w:t>
      </w:r>
      <w:r>
        <w:t>are authorized.</w:t>
      </w:r>
    </w:p>
    <w:p w:rsidR="00F6397D" w:rsidP="008C7666" w:rsidRDefault="00E23CBB" w14:paraId="711B188E" w14:textId="3825D2B6">
      <w:pPr>
        <w:pStyle w:val="OP"/>
        <w:keepNext/>
      </w:pPr>
      <w:r w:rsidRPr="001E2A62">
        <w:t>Applicatio</w:t>
      </w:r>
      <w:r w:rsidR="0052583F">
        <w:t>n 24</w:t>
      </w:r>
      <w:r w:rsidR="003B5862">
        <w:noBreakHyphen/>
      </w:r>
      <w:r w:rsidR="0052583F">
        <w:t>10</w:t>
      </w:r>
      <w:r w:rsidR="003B5862">
        <w:noBreakHyphen/>
      </w:r>
      <w:r w:rsidR="0052583F">
        <w:t xml:space="preserve">002 </w:t>
      </w:r>
      <w:r w:rsidRPr="001E2A62">
        <w:t>is closed.</w:t>
      </w:r>
    </w:p>
    <w:p w:rsidR="008F0116" w:rsidP="008C7666" w:rsidRDefault="008F0116" w14:paraId="378A0004" w14:textId="77777777">
      <w:pPr>
        <w:pStyle w:val="Standard"/>
        <w:keepNext/>
      </w:pPr>
      <w:r>
        <w:t>This order is effective today.</w:t>
      </w:r>
    </w:p>
    <w:p w:rsidR="00714CF2" w:rsidP="008C7666" w:rsidRDefault="008F0116" w14:paraId="442F59D1" w14:textId="303C97B0">
      <w:pPr>
        <w:pStyle w:val="Standard"/>
        <w:keepNext/>
      </w:pPr>
      <w:r>
        <w:t xml:space="preserve">Dated </w:t>
      </w:r>
      <w:r w:rsidR="00634309">
        <w:t>December 18, 2025</w:t>
      </w:r>
      <w:r>
        <w:t xml:space="preserve">, at </w:t>
      </w:r>
      <w:r w:rsidR="008C7666">
        <w:t>Sacramento</w:t>
      </w:r>
      <w:r>
        <w:t>, California</w:t>
      </w:r>
      <w:r w:rsidR="008C7666">
        <w:t>.</w:t>
      </w:r>
    </w:p>
    <w:p w:rsidRPr="00132251" w:rsidR="005B2667" w:rsidP="005B2667" w:rsidRDefault="005B2667" w14:paraId="30DC06C8" w14:textId="77777777">
      <w:pPr>
        <w:pStyle w:val="SigSpaceBA"/>
      </w:pPr>
      <w:bookmarkStart w:name="_Hlk125015643" w:id="62"/>
    </w:p>
    <w:p w:rsidRPr="00132251" w:rsidR="005B2667" w:rsidP="005B2667" w:rsidRDefault="005B2667" w14:paraId="03FCFB8E" w14:textId="77777777">
      <w:pPr>
        <w:pStyle w:val="SigBlockBA-Cmr"/>
      </w:pPr>
      <w:r w:rsidRPr="00132251">
        <w:t>ALICE REYNOLDS</w:t>
      </w:r>
    </w:p>
    <w:p w:rsidRPr="00132251" w:rsidR="005B2667" w:rsidP="005B2667" w:rsidRDefault="005B2667" w14:paraId="1B4B2259" w14:textId="77777777">
      <w:pPr>
        <w:pStyle w:val="SigBlockBA-Title"/>
      </w:pPr>
      <w:r w:rsidRPr="00132251">
        <w:t>President</w:t>
      </w:r>
    </w:p>
    <w:p w:rsidRPr="00132251" w:rsidR="005B2667" w:rsidP="005B2667" w:rsidRDefault="005B2667" w14:paraId="2C7166CE" w14:textId="77777777">
      <w:pPr>
        <w:pStyle w:val="SigBlockBA-Cmr"/>
      </w:pPr>
      <w:r w:rsidRPr="00132251">
        <w:t>DARCIE L. HOUCK</w:t>
      </w:r>
    </w:p>
    <w:p w:rsidR="005B2667" w:rsidP="005B2667" w:rsidRDefault="005B2667" w14:paraId="1581C8B3" w14:textId="77777777">
      <w:pPr>
        <w:pStyle w:val="SigBlockBA-Cmr"/>
      </w:pPr>
      <w:r w:rsidRPr="00132251">
        <w:t>JOHN REYNOLDS</w:t>
      </w:r>
    </w:p>
    <w:p w:rsidRPr="00132251" w:rsidR="005B2667" w:rsidP="005B2667" w:rsidRDefault="005B2667" w14:paraId="2EFD4907" w14:textId="77777777">
      <w:pPr>
        <w:pStyle w:val="SigBlockBA-Cmr"/>
      </w:pPr>
      <w:r w:rsidRPr="001A0FB9">
        <w:t>KAREN DOUGLAS</w:t>
      </w:r>
    </w:p>
    <w:p w:rsidRPr="00132251" w:rsidR="005B2667" w:rsidP="005B2667" w:rsidRDefault="005B2667" w14:paraId="45E76EC1" w14:textId="77777777">
      <w:pPr>
        <w:pStyle w:val="SigBlockBA-Cmr"/>
      </w:pPr>
      <w:r>
        <w:t>MATTHEW BAKER</w:t>
      </w:r>
    </w:p>
    <w:p w:rsidR="00F931F9" w:rsidP="005B2667" w:rsidRDefault="005B2667" w14:paraId="7E42B5A6" w14:textId="6E53724A">
      <w:pPr>
        <w:pStyle w:val="SigBlockBA-Title"/>
      </w:pPr>
      <w:r w:rsidRPr="00132251">
        <w:t>Commissioners</w:t>
      </w:r>
      <w:bookmarkEnd w:id="62"/>
    </w:p>
    <w:p w:rsidR="004B7EF9" w:rsidP="00816E05" w:rsidRDefault="004B7EF9" w14:paraId="2221D71B" w14:textId="77777777">
      <w:pPr>
        <w:sectPr w:rsidR="004B7EF9" w:rsidSect="00DC029F">
          <w:footerReference w:type="default" r:id="rId18"/>
          <w:pgSz w:w="12240" w:h="15840"/>
          <w:pgMar w:top="1728" w:right="1440" w:bottom="1440" w:left="1440" w:header="720" w:footer="720" w:gutter="0"/>
          <w:pgNumType w:start="2"/>
          <w:cols w:space="720"/>
          <w:docGrid w:linePitch="360"/>
        </w:sectPr>
      </w:pPr>
    </w:p>
    <w:p w:rsidR="004B7EF9" w:rsidP="004B7EF9" w:rsidRDefault="004B7EF9" w14:paraId="36E15623" w14:textId="77777777">
      <w:pPr>
        <w:ind w:firstLine="0"/>
      </w:pPr>
    </w:p>
    <w:p w:rsidR="004B7EF9" w:rsidP="004B7EF9" w:rsidRDefault="004B7EF9" w14:paraId="7DB26071" w14:textId="77777777">
      <w:pPr>
        <w:ind w:firstLine="0"/>
      </w:pPr>
    </w:p>
    <w:p w:rsidR="004B7EF9" w:rsidP="004B7EF9" w:rsidRDefault="004B7EF9" w14:paraId="3F2AC630" w14:textId="77777777">
      <w:pPr>
        <w:ind w:firstLine="0"/>
      </w:pPr>
    </w:p>
    <w:p w:rsidR="004B7EF9" w:rsidP="004B7EF9" w:rsidRDefault="004B7EF9" w14:paraId="6701F215" w14:textId="77777777">
      <w:pPr>
        <w:ind w:firstLine="0"/>
      </w:pPr>
    </w:p>
    <w:p w:rsidR="004B7EF9" w:rsidP="004B7EF9" w:rsidRDefault="004B7EF9" w14:paraId="50B0F6E1" w14:textId="77777777">
      <w:pPr>
        <w:ind w:firstLine="0"/>
      </w:pPr>
    </w:p>
    <w:p w:rsidR="004B7EF9" w:rsidP="004B7EF9" w:rsidRDefault="004B7EF9" w14:paraId="2FFBFB1E" w14:textId="77777777">
      <w:pPr>
        <w:ind w:firstLine="0"/>
      </w:pPr>
    </w:p>
    <w:p w:rsidR="004B7EF9" w:rsidP="004B7EF9" w:rsidRDefault="004B7EF9" w14:paraId="70DD7E85" w14:textId="77777777">
      <w:pPr>
        <w:ind w:firstLine="0"/>
      </w:pPr>
    </w:p>
    <w:p w:rsidR="004B7EF9" w:rsidP="004B7EF9" w:rsidRDefault="004B7EF9" w14:paraId="7C4B9F3C" w14:textId="77777777">
      <w:pPr>
        <w:ind w:firstLine="0"/>
        <w:jc w:val="center"/>
        <w:rPr>
          <w:b/>
          <w:bCs/>
          <w:sz w:val="50"/>
        </w:rPr>
      </w:pPr>
      <w:r>
        <w:rPr>
          <w:b/>
          <w:bCs/>
          <w:sz w:val="50"/>
        </w:rPr>
        <w:t>APPENDIX</w:t>
      </w:r>
    </w:p>
    <w:p w:rsidR="00235CE0" w:rsidP="00235CE0" w:rsidRDefault="00235CE0" w14:paraId="3E374659" w14:textId="77777777">
      <w:pPr>
        <w:ind w:firstLine="0"/>
      </w:pPr>
    </w:p>
    <w:p w:rsidRPr="00F931F9" w:rsidR="00F931F9" w:rsidP="00F931F9" w:rsidRDefault="009453BA" w14:paraId="7FE14612" w14:textId="1ACF41D7">
      <w:pPr>
        <w:spacing w:line="240" w:lineRule="auto"/>
        <w:ind w:firstLine="0"/>
        <w:jc w:val="center"/>
        <w:rPr>
          <w:b/>
          <w:bCs/>
        </w:rPr>
      </w:pPr>
      <w:r>
        <w:rPr>
          <w:b/>
          <w:bCs/>
        </w:rPr>
        <w:t>September </w:t>
      </w:r>
      <w:r w:rsidRPr="00F931F9" w:rsidR="00F931F9">
        <w:rPr>
          <w:b/>
          <w:bCs/>
        </w:rPr>
        <w:t xml:space="preserve">19, 2025 </w:t>
      </w:r>
      <w:r w:rsidRPr="00F931F9" w:rsidR="00F931F9">
        <w:rPr>
          <w:b/>
          <w:bCs/>
          <w:i/>
          <w:iCs/>
          <w:lang w:val="en-ZW"/>
        </w:rPr>
        <w:t xml:space="preserve">Joint Motion </w:t>
      </w:r>
      <w:r w:rsidRPr="00F931F9" w:rsidR="00F931F9">
        <w:rPr>
          <w:b/>
          <w:bCs/>
          <w:i/>
          <w:iCs/>
        </w:rPr>
        <w:t>by Southern California Edison Company, the Public Advocates Office, Energy Producers and Users Coalition, and Small Business Utility Advocates for Approval of Settlement Agreement Resolving Woolsey Fire Cost Recovery Application</w:t>
      </w:r>
      <w:r w:rsidRPr="00F931F9" w:rsidR="00F931F9">
        <w:rPr>
          <w:b/>
          <w:bCs/>
        </w:rPr>
        <w:t xml:space="preserve"> – with attached Settlement Agreement and Appendix 1 Illustrative Authorized WEMA Amount Cost Recovery Scen</w:t>
      </w:r>
      <w:r w:rsidR="00F931F9">
        <w:rPr>
          <w:b/>
          <w:bCs/>
        </w:rPr>
        <w:t>arios</w:t>
      </w:r>
    </w:p>
    <w:sectPr w:rsidRPr="00F931F9" w:rsidR="00F931F9" w:rsidSect="00D0715B">
      <w:footerReference w:type="default" r:id="rId19"/>
      <w:pgSz w:w="12240" w:h="15840"/>
      <w:pgMar w:top="1728" w:right="1440" w:bottom="1440" w:left="1440" w:header="720" w:footer="720" w:gutter="0"/>
      <w:pgNumType w:start="1"/>
      <w:cols w:space="720"/>
      <w:docGrid w:linePitch="360"/>
    </w:sectPr>
    <w:p>
      <w:r>
        <w:t xml:space="preserve"/>
      </w:r>
    </w:p>
    <w:p>
      <w:r>
        <w:t xml:space="preserve">Attachment 1: </w:t>
      </w:r>
    </w:p>
    <w:p>
      <w:hyperlink w:history="true" r:id="R0dc6931c075b45bc">
        <w:r w:rsidRPr="00CB1292">
          <w:rPr>
            <w:rStyle w:val="Hyperlink"/>
            <w:color w:val="2E74B5" w:themeColor="accent1" w:themeShade="BF"/>
            <w:u w:val="single"/>
          </w:rPr>
          <w:t>D2512023 Appendix</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ADCF" w14:textId="77777777" w:rsidR="000F2259" w:rsidRDefault="000F2259" w:rsidP="0098138E">
      <w:pPr>
        <w:spacing w:line="240" w:lineRule="auto"/>
      </w:pPr>
      <w:r>
        <w:separator/>
      </w:r>
    </w:p>
  </w:endnote>
  <w:endnote w:type="continuationSeparator" w:id="0">
    <w:p w14:paraId="6AF9C9F3" w14:textId="77777777" w:rsidR="000F2259" w:rsidRDefault="000F2259"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D82B" w14:textId="5DC515A7" w:rsidR="00F92385" w:rsidRDefault="003B5862" w:rsidP="00DC029F">
    <w:pPr>
      <w:spacing w:line="240" w:lineRule="auto"/>
      <w:ind w:firstLine="0"/>
      <w:jc w:val="center"/>
    </w:pPr>
    <w:r>
      <w:noBreakHyphen/>
    </w:r>
    <w:r w:rsidR="00DC029F">
      <w:t xml:space="preserve"> </w:t>
    </w:r>
    <w:sdt>
      <w:sdtPr>
        <w:id w:val="-1472208903"/>
        <w:docPartObj>
          <w:docPartGallery w:val="Page Numbers (Bottom of Page)"/>
          <w:docPartUnique/>
        </w:docPartObj>
      </w:sdtPr>
      <w:sdtEndPr>
        <w:rPr>
          <w:noProof/>
        </w:rPr>
      </w:sdtEndPr>
      <w:sdtContent>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DC029F">
          <w:rPr>
            <w:noProof/>
          </w:rPr>
          <w:t xml:space="preserve"> </w:t>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B60B" w14:textId="77E94D07" w:rsidR="00632207" w:rsidRDefault="00000000" w:rsidP="00DC029F">
    <w:pPr>
      <w:tabs>
        <w:tab w:val="center" w:pos="4680"/>
      </w:tabs>
      <w:spacing w:line="240" w:lineRule="auto"/>
      <w:ind w:firstLine="0"/>
      <w:rPr>
        <w:noProof/>
      </w:rPr>
    </w:pPr>
    <w:sdt>
      <w:sdtPr>
        <w:id w:val="-1352874971"/>
        <w:docPartObj>
          <w:docPartGallery w:val="Page Numbers (Bottom of Page)"/>
          <w:docPartUnique/>
        </w:docPartObj>
      </w:sdtPr>
      <w:sdtEndPr>
        <w:rPr>
          <w:noProof/>
        </w:rPr>
      </w:sdtEndPr>
      <w:sdtContent>
        <w:r w:rsidR="00F9084A" w:rsidRPr="00F9084A">
          <w:rPr>
            <w:rFonts w:cs="Arial"/>
            <w:sz w:val="16"/>
            <w:szCs w:val="16"/>
          </w:rPr>
          <w:t>592453458</w:t>
        </w:r>
        <w:r w:rsidR="00632207">
          <w:rPr>
            <w:rFonts w:ascii="Arial" w:hAnsi="Arial" w:cs="Arial"/>
            <w:sz w:val="16"/>
            <w:szCs w:val="16"/>
          </w:rPr>
          <w:tab/>
        </w:r>
        <w:r w:rsidR="003B5862">
          <w:noBreakHyphen/>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3B5862">
      <w:rPr>
        <w:noProof/>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06CA" w14:textId="04A51729" w:rsidR="00CD0DC1" w:rsidRDefault="003B5862" w:rsidP="00DC029F">
    <w:pPr>
      <w:spacing w:line="240" w:lineRule="auto"/>
      <w:ind w:firstLine="0"/>
      <w:jc w:val="center"/>
    </w:pPr>
    <w:r>
      <w:noBreakHyphen/>
    </w:r>
    <w:r w:rsidR="00CD0DC1">
      <w:t xml:space="preserve"> </w:t>
    </w:r>
    <w:sdt>
      <w:sdtPr>
        <w:id w:val="1990213566"/>
        <w:docPartObj>
          <w:docPartGallery w:val="Page Numbers (Bottom of Page)"/>
          <w:docPartUnique/>
        </w:docPartObj>
      </w:sdtPr>
      <w:sdtEndPr>
        <w:rPr>
          <w:noProof/>
        </w:rPr>
      </w:sdtEndPr>
      <w:sdtContent>
        <w:r w:rsidR="00CD0DC1">
          <w:fldChar w:fldCharType="begin"/>
        </w:r>
        <w:r w:rsidR="00CD0DC1">
          <w:instrText xml:space="preserve"> PAGE   \* MERGEFORMAT </w:instrText>
        </w:r>
        <w:r w:rsidR="00CD0DC1">
          <w:fldChar w:fldCharType="separate"/>
        </w:r>
        <w:r w:rsidR="00CD0DC1">
          <w:rPr>
            <w:noProof/>
          </w:rPr>
          <w:t>2</w:t>
        </w:r>
        <w:r w:rsidR="00CD0DC1">
          <w:rPr>
            <w:noProof/>
          </w:rPr>
          <w:fldChar w:fldCharType="end"/>
        </w:r>
        <w:r w:rsidR="00CD0DC1">
          <w:rPr>
            <w:noProof/>
          </w:rPr>
          <w:t xml:space="preserve"> </w:t>
        </w:r>
        <w:r>
          <w:rPr>
            <w:noProof/>
          </w:rPr>
          <w:noBreakHyphen/>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8623" w14:textId="4373D816" w:rsidR="00235CE0" w:rsidRDefault="00235CE0" w:rsidP="00235CE0">
    <w:pPr>
      <w:spacing w:line="240" w:lineRule="auto"/>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2C43D" w14:textId="77777777" w:rsidR="000F2259" w:rsidRDefault="000F2259" w:rsidP="00DF58E7">
      <w:pPr>
        <w:spacing w:line="240" w:lineRule="auto"/>
        <w:ind w:firstLine="0"/>
      </w:pPr>
      <w:r>
        <w:separator/>
      </w:r>
    </w:p>
  </w:footnote>
  <w:footnote w:type="continuationSeparator" w:id="0">
    <w:p w14:paraId="78C60832" w14:textId="77777777" w:rsidR="000F2259" w:rsidRDefault="000F2259" w:rsidP="00DF58E7">
      <w:pPr>
        <w:spacing w:line="240" w:lineRule="auto"/>
        <w:ind w:firstLine="0"/>
      </w:pPr>
      <w:r>
        <w:continuationSeparator/>
      </w:r>
    </w:p>
  </w:footnote>
  <w:footnote w:type="continuationNotice" w:id="1">
    <w:p w14:paraId="7CFDE65F" w14:textId="77777777" w:rsidR="000F2259" w:rsidRPr="00DF58E7" w:rsidRDefault="000F2259" w:rsidP="00DF58E7">
      <w:pPr>
        <w:spacing w:line="240" w:lineRule="auto"/>
        <w:ind w:firstLine="0"/>
        <w:jc w:val="right"/>
        <w:rPr>
          <w:i/>
          <w:sz w:val="22"/>
        </w:rPr>
      </w:pPr>
      <w:r w:rsidRPr="00DF58E7">
        <w:rPr>
          <w:i/>
          <w:sz w:val="22"/>
        </w:rPr>
        <w:t>Footnote continued on next page.</w:t>
      </w:r>
    </w:p>
  </w:footnote>
  <w:footnote w:id="2">
    <w:p w14:paraId="5E4BBB7D" w14:textId="611B8269" w:rsidR="001F4D01" w:rsidRPr="001F4D01" w:rsidRDefault="001F4D01">
      <w:pPr>
        <w:pStyle w:val="FootnoteText"/>
        <w:rPr>
          <w:lang w:val="en-ZW"/>
        </w:rPr>
      </w:pPr>
      <w:r>
        <w:rPr>
          <w:rStyle w:val="FootnoteReference"/>
        </w:rPr>
        <w:footnoteRef/>
      </w:r>
      <w:r>
        <w:t xml:space="preserve"> </w:t>
      </w:r>
      <w:r w:rsidRPr="001F4D01">
        <w:rPr>
          <w:lang w:val="en-ZW"/>
        </w:rPr>
        <w:t>All pleadings filed in this proceeding are available on the Commission</w:t>
      </w:r>
      <w:r w:rsidR="00BE4878">
        <w:rPr>
          <w:lang w:val="en-ZW"/>
        </w:rPr>
        <w:t>’</w:t>
      </w:r>
      <w:r w:rsidRPr="001F4D01">
        <w:rPr>
          <w:lang w:val="en-ZW"/>
        </w:rPr>
        <w:t xml:space="preserve">s website at </w:t>
      </w:r>
      <w:r w:rsidRPr="001F4D01">
        <w:rPr>
          <w:i/>
          <w:iCs/>
          <w:lang w:val="en-ZW"/>
        </w:rPr>
        <w:t>Docket Card</w:t>
      </w:r>
      <w:r w:rsidRPr="001F4D01">
        <w:rPr>
          <w:lang w:val="en-ZW"/>
        </w:rPr>
        <w:t xml:space="preserve"> by searching </w:t>
      </w:r>
      <w:r w:rsidRPr="001F4D01">
        <w:rPr>
          <w:i/>
          <w:iCs/>
          <w:lang w:val="en-ZW"/>
        </w:rPr>
        <w:t>A24</w:t>
      </w:r>
      <w:r>
        <w:rPr>
          <w:i/>
          <w:iCs/>
          <w:lang w:val="en-ZW"/>
        </w:rPr>
        <w:t>10002</w:t>
      </w:r>
      <w:r w:rsidRPr="001F4D01">
        <w:rPr>
          <w:lang w:val="en-ZW"/>
        </w:rPr>
        <w:t>.</w:t>
      </w:r>
    </w:p>
  </w:footnote>
  <w:footnote w:id="3">
    <w:p w14:paraId="403018FA" w14:textId="16BFFB12" w:rsidR="001F4D01" w:rsidRPr="001F4D01" w:rsidRDefault="001F4D01">
      <w:pPr>
        <w:pStyle w:val="FootnoteText"/>
        <w:rPr>
          <w:lang w:val="en-ZW"/>
        </w:rPr>
      </w:pPr>
      <w:r>
        <w:rPr>
          <w:rStyle w:val="FootnoteReference"/>
        </w:rPr>
        <w:footnoteRef/>
      </w:r>
      <w:r>
        <w:t xml:space="preserve"> </w:t>
      </w:r>
      <w:r w:rsidRPr="001F4D01">
        <w:t>The prepared testimony submitted by parties is available on the Commission</w:t>
      </w:r>
      <w:r w:rsidR="00BE4878">
        <w:t>’</w:t>
      </w:r>
      <w:r w:rsidRPr="001F4D01">
        <w:t xml:space="preserve">s website at </w:t>
      </w:r>
      <w:r w:rsidRPr="001F4D01">
        <w:rPr>
          <w:i/>
          <w:iCs/>
        </w:rPr>
        <w:t>Commission</w:t>
      </w:r>
      <w:r w:rsidR="00BE4878">
        <w:rPr>
          <w:i/>
          <w:iCs/>
        </w:rPr>
        <w:t>’</w:t>
      </w:r>
      <w:r w:rsidRPr="001F4D01">
        <w:rPr>
          <w:i/>
          <w:iCs/>
        </w:rPr>
        <w:t>s E</w:t>
      </w:r>
      <w:r w:rsidR="003B5862">
        <w:rPr>
          <w:i/>
          <w:iCs/>
        </w:rPr>
        <w:noBreakHyphen/>
      </w:r>
      <w:r w:rsidRPr="001F4D01">
        <w:rPr>
          <w:i/>
          <w:iCs/>
        </w:rPr>
        <w:t xml:space="preserve">Filed Documents Search Form </w:t>
      </w:r>
      <w:r w:rsidRPr="001F4D01">
        <w:t>under the drop</w:t>
      </w:r>
      <w:r w:rsidR="003B5862">
        <w:noBreakHyphen/>
      </w:r>
      <w:r w:rsidRPr="001F4D01">
        <w:t xml:space="preserve">down menu </w:t>
      </w:r>
      <w:r w:rsidRPr="001F4D01">
        <w:rPr>
          <w:i/>
          <w:iCs/>
        </w:rPr>
        <w:t>Supporting Documents</w:t>
      </w:r>
      <w:r w:rsidRPr="001F4D01">
        <w:t>.</w:t>
      </w:r>
    </w:p>
  </w:footnote>
  <w:footnote w:id="4">
    <w:p w14:paraId="162C5E7E" w14:textId="163A4793" w:rsidR="000F7989" w:rsidRPr="000F7989" w:rsidRDefault="000F7989">
      <w:pPr>
        <w:pStyle w:val="FootnoteText"/>
        <w:rPr>
          <w:lang w:val="en-ZW"/>
        </w:rPr>
      </w:pPr>
      <w:r>
        <w:rPr>
          <w:rStyle w:val="FootnoteReference"/>
        </w:rPr>
        <w:footnoteRef/>
      </w:r>
      <w:r>
        <w:t xml:space="preserve"> </w:t>
      </w:r>
      <w:r w:rsidR="0071769F">
        <w:t xml:space="preserve">SCE </w:t>
      </w:r>
      <w:r>
        <w:t>Application</w:t>
      </w:r>
      <w:r w:rsidR="005D5DB1">
        <w:t xml:space="preserve"> at </w:t>
      </w:r>
      <w:r w:rsidR="0088311A">
        <w:t>1</w:t>
      </w:r>
      <w:r>
        <w:t>.</w:t>
      </w:r>
    </w:p>
  </w:footnote>
  <w:footnote w:id="5">
    <w:p w14:paraId="2417ABAE" w14:textId="149FD75E" w:rsidR="00262DD1" w:rsidRPr="00262DD1" w:rsidRDefault="00262DD1">
      <w:pPr>
        <w:pStyle w:val="FootnoteText"/>
        <w:rPr>
          <w:lang w:val="en-ZW"/>
        </w:rPr>
      </w:pPr>
      <w:r>
        <w:rPr>
          <w:rStyle w:val="FootnoteReference"/>
        </w:rPr>
        <w:footnoteRef/>
      </w:r>
      <w:r>
        <w:t xml:space="preserve"> </w:t>
      </w:r>
      <w:r w:rsidR="0071769F">
        <w:t xml:space="preserve">SCE </w:t>
      </w:r>
      <w:r>
        <w:rPr>
          <w:lang w:val="en-ZW"/>
        </w:rPr>
        <w:t>Application</w:t>
      </w:r>
      <w:r w:rsidR="005D5DB1">
        <w:rPr>
          <w:lang w:val="en-ZW"/>
        </w:rPr>
        <w:t xml:space="preserve"> at </w:t>
      </w:r>
      <w:r w:rsidR="0088311A">
        <w:rPr>
          <w:lang w:val="en-ZW"/>
        </w:rPr>
        <w:t>1</w:t>
      </w:r>
      <w:r w:rsidR="003B5862">
        <w:rPr>
          <w:lang w:val="en-ZW"/>
        </w:rPr>
        <w:noBreakHyphen/>
      </w:r>
      <w:r w:rsidR="0088311A">
        <w:rPr>
          <w:lang w:val="en-ZW"/>
        </w:rPr>
        <w:t>2</w:t>
      </w:r>
      <w:r>
        <w:rPr>
          <w:lang w:val="en-ZW"/>
        </w:rPr>
        <w:t>.</w:t>
      </w:r>
    </w:p>
  </w:footnote>
  <w:footnote w:id="6">
    <w:p w14:paraId="5A28A7AF" w14:textId="093B87F3" w:rsidR="006A4502" w:rsidRPr="0088311A" w:rsidRDefault="006A4502" w:rsidP="006A4502">
      <w:pPr>
        <w:pStyle w:val="FootnoteText"/>
      </w:pPr>
      <w:r>
        <w:rPr>
          <w:rStyle w:val="FootnoteReference"/>
        </w:rPr>
        <w:footnoteRef/>
      </w:r>
      <w:r>
        <w:t xml:space="preserve"> </w:t>
      </w:r>
      <w:r w:rsidR="009453BA">
        <w:t>November </w:t>
      </w:r>
      <w:r>
        <w:t xml:space="preserve">11, 2025 </w:t>
      </w:r>
      <w:r w:rsidRPr="00EE54BC">
        <w:rPr>
          <w:i/>
          <w:iCs/>
        </w:rPr>
        <w:t>Wild Tree Foundation Protest</w:t>
      </w:r>
      <w:r w:rsidR="005D5DB1">
        <w:rPr>
          <w:i/>
          <w:iCs/>
        </w:rPr>
        <w:t xml:space="preserve"> at </w:t>
      </w:r>
      <w:r w:rsidR="00AE2BAC" w:rsidRPr="00AE2BAC">
        <w:t>1, stat</w:t>
      </w:r>
      <w:r w:rsidR="00AE2BAC">
        <w:t>es, among other things, that</w:t>
      </w:r>
      <w:r w:rsidR="00AE2BAC">
        <w:rPr>
          <w:i/>
          <w:iCs/>
        </w:rPr>
        <w:t xml:space="preserve"> </w:t>
      </w:r>
      <w:r w:rsidR="00BE4878">
        <w:t>“</w:t>
      </w:r>
      <w:r w:rsidR="00AE2BAC" w:rsidRPr="00AE2BAC">
        <w:t>Wild Tree Foundation is a 501(c)(3) non</w:t>
      </w:r>
      <w:r w:rsidR="003B5862">
        <w:noBreakHyphen/>
      </w:r>
      <w:r w:rsidR="00AE2BAC" w:rsidRPr="00AE2BAC">
        <w:t>profit organization dedicated to protection of our environment, climate, and wildlife. Wild Tree advocates that our future is dependent upon a transition away from fossil fueled and utility</w:t>
      </w:r>
      <w:r w:rsidR="003B5862">
        <w:noBreakHyphen/>
      </w:r>
      <w:r w:rsidR="00AE2BAC" w:rsidRPr="00AE2BAC">
        <w:t>scale energy reliant upon lengthy transmission systems and for</w:t>
      </w:r>
      <w:r w:rsidR="003B5862">
        <w:noBreakHyphen/>
      </w:r>
      <w:r w:rsidR="00AE2BAC" w:rsidRPr="00AE2BAC">
        <w:t>profit, investor owned utilities to a system based upon local, distributed, publicly and cooperatively owned renewable resources.</w:t>
      </w:r>
      <w:r w:rsidR="00BE4878">
        <w:t>”</w:t>
      </w:r>
    </w:p>
  </w:footnote>
  <w:footnote w:id="7">
    <w:p w14:paraId="6D89A917" w14:textId="34B4B3DF" w:rsidR="006A4502" w:rsidRPr="0088311A" w:rsidRDefault="006A4502" w:rsidP="00EE54BC">
      <w:pPr>
        <w:pStyle w:val="FootnoteText"/>
      </w:pPr>
      <w:r>
        <w:rPr>
          <w:rStyle w:val="FootnoteReference"/>
        </w:rPr>
        <w:footnoteRef/>
      </w:r>
      <w:r>
        <w:t xml:space="preserve"> </w:t>
      </w:r>
      <w:r w:rsidR="009453BA">
        <w:t>November </w:t>
      </w:r>
      <w:r>
        <w:t xml:space="preserve">12, </w:t>
      </w:r>
      <w:r w:rsidR="00EE54BC">
        <w:t xml:space="preserve">2024 </w:t>
      </w:r>
      <w:r w:rsidR="00EE54BC" w:rsidRPr="00EE54BC">
        <w:rPr>
          <w:i/>
          <w:iCs/>
        </w:rPr>
        <w:t>Protest of The Utility Reform Network</w:t>
      </w:r>
      <w:r w:rsidR="00EE54BC" w:rsidRPr="00EE54BC">
        <w:t xml:space="preserve">, </w:t>
      </w:r>
      <w:r w:rsidR="009453BA">
        <w:t>November </w:t>
      </w:r>
      <w:r w:rsidR="00EE54BC" w:rsidRPr="00EE54BC">
        <w:t>12, 202</w:t>
      </w:r>
      <w:r w:rsidR="002B746E">
        <w:t xml:space="preserve">4 </w:t>
      </w:r>
      <w:r w:rsidR="00EE54BC" w:rsidRPr="00EE54BC">
        <w:rPr>
          <w:i/>
          <w:iCs/>
        </w:rPr>
        <w:t>Protest of the Public Advocates Office to the Application of Southern California Edison Company to Recover Costs Related to the 2018 Woolsey Fire.</w:t>
      </w:r>
    </w:p>
  </w:footnote>
  <w:footnote w:id="8">
    <w:p w14:paraId="624CB40C" w14:textId="2E0AD3AA" w:rsidR="00207C4E" w:rsidRPr="002B746E" w:rsidRDefault="00207C4E" w:rsidP="002B746E">
      <w:pPr>
        <w:pStyle w:val="FootnoteText"/>
        <w:rPr>
          <w:i/>
          <w:iCs/>
        </w:rPr>
      </w:pPr>
      <w:r>
        <w:rPr>
          <w:rStyle w:val="FootnoteReference"/>
        </w:rPr>
        <w:footnoteRef/>
      </w:r>
      <w:r>
        <w:t xml:space="preserve"> </w:t>
      </w:r>
      <w:r w:rsidR="009453BA">
        <w:rPr>
          <w:lang w:val="en-ZW"/>
        </w:rPr>
        <w:t>November </w:t>
      </w:r>
      <w:r w:rsidR="002B746E">
        <w:rPr>
          <w:lang w:val="en-ZW"/>
        </w:rPr>
        <w:t xml:space="preserve">21, 2024 </w:t>
      </w:r>
      <w:r w:rsidR="002B746E" w:rsidRPr="002B746E">
        <w:rPr>
          <w:i/>
          <w:iCs/>
        </w:rPr>
        <w:t>Southern California Edison Company</w:t>
      </w:r>
      <w:r w:rsidR="00BE4878">
        <w:rPr>
          <w:i/>
          <w:iCs/>
        </w:rPr>
        <w:t>’</w:t>
      </w:r>
      <w:r w:rsidR="002B746E" w:rsidRPr="002B746E">
        <w:rPr>
          <w:i/>
          <w:iCs/>
        </w:rPr>
        <w:t xml:space="preserve">s Reply </w:t>
      </w:r>
      <w:r w:rsidR="002B746E">
        <w:rPr>
          <w:i/>
          <w:iCs/>
        </w:rPr>
        <w:t>t</w:t>
      </w:r>
      <w:r w:rsidR="002B746E" w:rsidRPr="002B746E">
        <w:rPr>
          <w:i/>
          <w:iCs/>
        </w:rPr>
        <w:t xml:space="preserve">o Protest </w:t>
      </w:r>
      <w:r w:rsidR="002B746E">
        <w:rPr>
          <w:i/>
          <w:iCs/>
        </w:rPr>
        <w:t>a</w:t>
      </w:r>
      <w:r w:rsidR="002B746E" w:rsidRPr="002B746E">
        <w:rPr>
          <w:i/>
          <w:iCs/>
        </w:rPr>
        <w:t>nd Responses</w:t>
      </w:r>
      <w:r w:rsidR="002B746E">
        <w:rPr>
          <w:i/>
          <w:iCs/>
        </w:rPr>
        <w:t>.</w:t>
      </w:r>
    </w:p>
  </w:footnote>
  <w:footnote w:id="9">
    <w:p w14:paraId="291CB02E" w14:textId="1EE522B2" w:rsidR="00207C4E" w:rsidRPr="00207C4E" w:rsidRDefault="00207C4E">
      <w:pPr>
        <w:pStyle w:val="FootnoteText"/>
        <w:rPr>
          <w:lang w:val="en-ZW"/>
        </w:rPr>
      </w:pPr>
      <w:r>
        <w:rPr>
          <w:rStyle w:val="FootnoteReference"/>
        </w:rPr>
        <w:footnoteRef/>
      </w:r>
      <w:r>
        <w:t xml:space="preserve"> </w:t>
      </w:r>
      <w:r w:rsidR="009453BA">
        <w:t>December </w:t>
      </w:r>
      <w:r w:rsidR="00C21EBF">
        <w:t xml:space="preserve">3, 2024 </w:t>
      </w:r>
      <w:r w:rsidR="00C21EBF" w:rsidRPr="00C21EBF">
        <w:rPr>
          <w:i/>
          <w:iCs/>
          <w:lang w:val="en-ZW"/>
        </w:rPr>
        <w:t>Small Business Utility Advocates</w:t>
      </w:r>
      <w:r w:rsidR="00BE4878">
        <w:rPr>
          <w:i/>
          <w:iCs/>
          <w:lang w:val="en-ZW"/>
        </w:rPr>
        <w:t>’</w:t>
      </w:r>
      <w:r w:rsidR="00C21EBF" w:rsidRPr="00C21EBF">
        <w:rPr>
          <w:i/>
          <w:iCs/>
          <w:lang w:val="en-ZW"/>
        </w:rPr>
        <w:t xml:space="preserve"> Motion for Party Status</w:t>
      </w:r>
      <w:r>
        <w:rPr>
          <w:lang w:val="en-ZW"/>
        </w:rPr>
        <w:t>.</w:t>
      </w:r>
    </w:p>
  </w:footnote>
  <w:footnote w:id="10">
    <w:p w14:paraId="7322498C" w14:textId="304FF5F4" w:rsidR="00E43F3F" w:rsidRPr="00207C4E" w:rsidRDefault="00E43F3F" w:rsidP="00E43F3F">
      <w:pPr>
        <w:pStyle w:val="FootnoteText"/>
        <w:rPr>
          <w:lang w:val="en-ZW"/>
        </w:rPr>
      </w:pPr>
      <w:r>
        <w:rPr>
          <w:rStyle w:val="FootnoteReference"/>
        </w:rPr>
        <w:footnoteRef/>
      </w:r>
      <w:r>
        <w:t xml:space="preserve"> </w:t>
      </w:r>
      <w:r w:rsidR="009453BA">
        <w:t>December </w:t>
      </w:r>
      <w:r>
        <w:t xml:space="preserve">3, 2024 </w:t>
      </w:r>
      <w:r w:rsidRPr="00C21EBF">
        <w:rPr>
          <w:i/>
          <w:iCs/>
          <w:lang w:val="en-ZW"/>
        </w:rPr>
        <w:t>Small Business Utility Advocates</w:t>
      </w:r>
      <w:r w:rsidR="00BE4878">
        <w:rPr>
          <w:i/>
          <w:iCs/>
          <w:lang w:val="en-ZW"/>
        </w:rPr>
        <w:t>’</w:t>
      </w:r>
      <w:r w:rsidRPr="00C21EBF">
        <w:rPr>
          <w:i/>
          <w:iCs/>
          <w:lang w:val="en-ZW"/>
        </w:rPr>
        <w:t xml:space="preserve"> Motion for Party Status</w:t>
      </w:r>
      <w:r w:rsidR="005D5DB1">
        <w:rPr>
          <w:lang w:val="en-ZW"/>
        </w:rPr>
        <w:t xml:space="preserve"> at </w:t>
      </w:r>
      <w:r>
        <w:rPr>
          <w:lang w:val="en-ZW"/>
        </w:rPr>
        <w:t>2.</w:t>
      </w:r>
    </w:p>
  </w:footnote>
  <w:footnote w:id="11">
    <w:p w14:paraId="2D58625B" w14:textId="02D201E5" w:rsidR="009E625D" w:rsidRPr="009E625D" w:rsidRDefault="009E625D">
      <w:pPr>
        <w:pStyle w:val="FootnoteText"/>
        <w:rPr>
          <w:lang w:val="en-ZW"/>
        </w:rPr>
      </w:pPr>
      <w:r>
        <w:rPr>
          <w:rStyle w:val="FootnoteReference"/>
        </w:rPr>
        <w:footnoteRef/>
      </w:r>
      <w:r>
        <w:t xml:space="preserve"> </w:t>
      </w:r>
      <w:r w:rsidR="009453BA">
        <w:t>January </w:t>
      </w:r>
      <w:r>
        <w:t xml:space="preserve">30, 2025 </w:t>
      </w:r>
      <w:r w:rsidRPr="009E625D">
        <w:rPr>
          <w:i/>
          <w:iCs/>
        </w:rPr>
        <w:t>Joint Motion of the Public Advocates Office and The Utility Reform Network to Exclude Cost</w:t>
      </w:r>
      <w:r w:rsidR="003B5862">
        <w:rPr>
          <w:i/>
          <w:iCs/>
        </w:rPr>
        <w:noBreakHyphen/>
      </w:r>
      <w:r w:rsidRPr="009E625D">
        <w:rPr>
          <w:i/>
          <w:iCs/>
        </w:rPr>
        <w:t>of</w:t>
      </w:r>
      <w:r w:rsidR="003B5862">
        <w:rPr>
          <w:i/>
          <w:iCs/>
        </w:rPr>
        <w:noBreakHyphen/>
      </w:r>
      <w:r w:rsidRPr="009E625D">
        <w:rPr>
          <w:i/>
          <w:iCs/>
        </w:rPr>
        <w:t xml:space="preserve">Capital Issues </w:t>
      </w:r>
      <w:r w:rsidR="00A03028" w:rsidRPr="009E625D">
        <w:rPr>
          <w:i/>
          <w:iCs/>
        </w:rPr>
        <w:t>from</w:t>
      </w:r>
      <w:r w:rsidRPr="009E625D">
        <w:rPr>
          <w:i/>
          <w:iCs/>
        </w:rPr>
        <w:t xml:space="preserve"> the Scope of the Proceeding.</w:t>
      </w:r>
    </w:p>
  </w:footnote>
  <w:footnote w:id="12">
    <w:p w14:paraId="4A55F870" w14:textId="637A549B" w:rsidR="003E3356" w:rsidRPr="003E3356" w:rsidRDefault="003E3356">
      <w:pPr>
        <w:pStyle w:val="FootnoteText"/>
        <w:rPr>
          <w:lang w:val="en-ZW"/>
        </w:rPr>
      </w:pPr>
      <w:r>
        <w:rPr>
          <w:rStyle w:val="FootnoteReference"/>
        </w:rPr>
        <w:footnoteRef/>
      </w:r>
      <w:r>
        <w:t xml:space="preserve"> </w:t>
      </w:r>
      <w:r w:rsidR="009453BA">
        <w:t>February </w:t>
      </w:r>
      <w:r>
        <w:t xml:space="preserve">7, 2025 </w:t>
      </w:r>
      <w:r w:rsidRPr="003E3356">
        <w:rPr>
          <w:i/>
          <w:iCs/>
        </w:rPr>
        <w:t>Response of Southern California Edison Company to Joint Motion of the Public Advocates Office and The Utility Reform Network to Exclude Cost</w:t>
      </w:r>
      <w:r w:rsidR="003B5862">
        <w:rPr>
          <w:i/>
          <w:iCs/>
        </w:rPr>
        <w:noBreakHyphen/>
      </w:r>
      <w:r w:rsidRPr="003E3356">
        <w:rPr>
          <w:i/>
          <w:iCs/>
        </w:rPr>
        <w:t>of</w:t>
      </w:r>
      <w:r w:rsidR="003B5862">
        <w:rPr>
          <w:i/>
          <w:iCs/>
        </w:rPr>
        <w:noBreakHyphen/>
      </w:r>
      <w:r w:rsidRPr="003E3356">
        <w:rPr>
          <w:i/>
          <w:iCs/>
        </w:rPr>
        <w:t>Capital Issues from the Scope of the Proceeding.</w:t>
      </w:r>
    </w:p>
  </w:footnote>
  <w:footnote w:id="13">
    <w:p w14:paraId="30EDC8E1" w14:textId="380821E9" w:rsidR="003E3356" w:rsidRPr="003E3356" w:rsidRDefault="003E3356">
      <w:pPr>
        <w:pStyle w:val="FootnoteText"/>
        <w:rPr>
          <w:lang w:val="en-ZW"/>
        </w:rPr>
      </w:pPr>
      <w:r>
        <w:rPr>
          <w:rStyle w:val="FootnoteReference"/>
        </w:rPr>
        <w:footnoteRef/>
      </w:r>
      <w:r>
        <w:t xml:space="preserve"> </w:t>
      </w:r>
      <w:r w:rsidR="009453BA">
        <w:t>February </w:t>
      </w:r>
      <w:r>
        <w:t xml:space="preserve">18, 2025 </w:t>
      </w:r>
      <w:r w:rsidRPr="003E3356">
        <w:rPr>
          <w:i/>
          <w:iCs/>
        </w:rPr>
        <w:t>Reply of the Public Advocates Office and The Utility Reform Network to Southern California Edison</w:t>
      </w:r>
      <w:r w:rsidR="00BE4878">
        <w:rPr>
          <w:i/>
          <w:iCs/>
        </w:rPr>
        <w:t>’</w:t>
      </w:r>
      <w:r w:rsidRPr="003E3356">
        <w:rPr>
          <w:i/>
          <w:iCs/>
        </w:rPr>
        <w:t>s Response to Joint Motion to Exclude Cost</w:t>
      </w:r>
      <w:r w:rsidR="003B5862">
        <w:rPr>
          <w:i/>
          <w:iCs/>
        </w:rPr>
        <w:noBreakHyphen/>
      </w:r>
      <w:r w:rsidRPr="003E3356">
        <w:rPr>
          <w:i/>
          <w:iCs/>
        </w:rPr>
        <w:t>of</w:t>
      </w:r>
      <w:r w:rsidR="003B5862">
        <w:rPr>
          <w:i/>
          <w:iCs/>
        </w:rPr>
        <w:noBreakHyphen/>
      </w:r>
      <w:r w:rsidRPr="003E3356">
        <w:rPr>
          <w:i/>
          <w:iCs/>
        </w:rPr>
        <w:t>Capital Issues.</w:t>
      </w:r>
    </w:p>
  </w:footnote>
  <w:footnote w:id="14">
    <w:p w14:paraId="68B50826" w14:textId="101BA607" w:rsidR="00AE2BAC" w:rsidRPr="00182B54" w:rsidRDefault="00AE2BAC" w:rsidP="00AE2BAC">
      <w:pPr>
        <w:pStyle w:val="FootnoteText"/>
      </w:pPr>
      <w:r>
        <w:rPr>
          <w:rStyle w:val="FootnoteReference"/>
        </w:rPr>
        <w:footnoteRef/>
      </w:r>
      <w:r>
        <w:t xml:space="preserve"> </w:t>
      </w:r>
      <w:r w:rsidR="009453BA">
        <w:t>March </w:t>
      </w:r>
      <w:r w:rsidRPr="00182B54">
        <w:t>10, 2025</w:t>
      </w:r>
      <w:r>
        <w:rPr>
          <w:b/>
          <w:bCs/>
        </w:rPr>
        <w:t xml:space="preserve"> </w:t>
      </w:r>
      <w:r w:rsidRPr="00182B54">
        <w:rPr>
          <w:i/>
          <w:iCs/>
        </w:rPr>
        <w:t>Assigned Commissioner</w:t>
      </w:r>
      <w:r w:rsidR="00BE4878">
        <w:rPr>
          <w:i/>
          <w:iCs/>
        </w:rPr>
        <w:t>’</w:t>
      </w:r>
      <w:r w:rsidRPr="00182B54">
        <w:rPr>
          <w:i/>
          <w:iCs/>
        </w:rPr>
        <w:t xml:space="preserve">s Scoping Memo </w:t>
      </w:r>
      <w:r>
        <w:rPr>
          <w:i/>
          <w:iCs/>
        </w:rPr>
        <w:t>a</w:t>
      </w:r>
      <w:r w:rsidRPr="00182B54">
        <w:rPr>
          <w:i/>
          <w:iCs/>
        </w:rPr>
        <w:t>nd Ruling</w:t>
      </w:r>
      <w:r w:rsidR="005D5DB1">
        <w:rPr>
          <w:b/>
          <w:bCs/>
        </w:rPr>
        <w:t xml:space="preserve"> </w:t>
      </w:r>
      <w:r w:rsidR="005D5DB1" w:rsidRPr="00227D28">
        <w:t>at</w:t>
      </w:r>
      <w:r w:rsidR="005D5DB1">
        <w:rPr>
          <w:b/>
          <w:bCs/>
        </w:rPr>
        <w:t> </w:t>
      </w:r>
      <w:r>
        <w:rPr>
          <w:lang w:val="en-ZW"/>
        </w:rPr>
        <w:t>4.</w:t>
      </w:r>
    </w:p>
  </w:footnote>
  <w:footnote w:id="15">
    <w:p w14:paraId="61E81816" w14:textId="636DC060" w:rsidR="00207C4E" w:rsidRPr="00182B54" w:rsidRDefault="00207C4E" w:rsidP="00182B54">
      <w:pPr>
        <w:pStyle w:val="FootnoteText"/>
      </w:pPr>
      <w:r>
        <w:rPr>
          <w:rStyle w:val="FootnoteReference"/>
        </w:rPr>
        <w:footnoteRef/>
      </w:r>
      <w:r>
        <w:t xml:space="preserve"> </w:t>
      </w:r>
      <w:r w:rsidR="009453BA">
        <w:t>March </w:t>
      </w:r>
      <w:r w:rsidR="00182B54" w:rsidRPr="00182B54">
        <w:t>10, 2025</w:t>
      </w:r>
      <w:r w:rsidR="00182B54">
        <w:rPr>
          <w:b/>
          <w:bCs/>
        </w:rPr>
        <w:t xml:space="preserve"> </w:t>
      </w:r>
      <w:r w:rsidR="00182B54" w:rsidRPr="00182B54">
        <w:rPr>
          <w:i/>
          <w:iCs/>
        </w:rPr>
        <w:t>Assigned Commissioner</w:t>
      </w:r>
      <w:r w:rsidR="00BE4878">
        <w:rPr>
          <w:i/>
          <w:iCs/>
        </w:rPr>
        <w:t>’</w:t>
      </w:r>
      <w:r w:rsidR="00182B54" w:rsidRPr="00182B54">
        <w:rPr>
          <w:i/>
          <w:iCs/>
        </w:rPr>
        <w:t xml:space="preserve">s Scoping Memo </w:t>
      </w:r>
      <w:r w:rsidR="00182B54">
        <w:rPr>
          <w:i/>
          <w:iCs/>
        </w:rPr>
        <w:t>a</w:t>
      </w:r>
      <w:r w:rsidR="00182B54" w:rsidRPr="00182B54">
        <w:rPr>
          <w:i/>
          <w:iCs/>
        </w:rPr>
        <w:t>nd Ruling</w:t>
      </w:r>
      <w:r w:rsidR="005D5DB1">
        <w:rPr>
          <w:b/>
          <w:bCs/>
        </w:rPr>
        <w:t xml:space="preserve"> </w:t>
      </w:r>
      <w:r w:rsidR="005D5DB1" w:rsidRPr="00227D28">
        <w:t>at</w:t>
      </w:r>
      <w:r w:rsidR="005D5DB1">
        <w:rPr>
          <w:b/>
          <w:bCs/>
        </w:rPr>
        <w:t> </w:t>
      </w:r>
      <w:r w:rsidR="00AE2BAC">
        <w:rPr>
          <w:lang w:val="en-ZW"/>
        </w:rPr>
        <w:t>4, 5</w:t>
      </w:r>
      <w:r w:rsidR="004A220A">
        <w:rPr>
          <w:lang w:val="en-ZW"/>
        </w:rPr>
        <w:t>,</w:t>
      </w:r>
      <w:r w:rsidR="00AE2BAC">
        <w:rPr>
          <w:lang w:val="en-ZW"/>
        </w:rPr>
        <w:t xml:space="preserve"> and 12</w:t>
      </w:r>
      <w:r>
        <w:rPr>
          <w:lang w:val="en-ZW"/>
        </w:rPr>
        <w:t>.</w:t>
      </w:r>
    </w:p>
  </w:footnote>
  <w:footnote w:id="16">
    <w:p w14:paraId="51B7161C" w14:textId="127048E4" w:rsidR="00872D48" w:rsidRPr="00872D48" w:rsidRDefault="00872D48">
      <w:pPr>
        <w:pStyle w:val="FootnoteText"/>
        <w:rPr>
          <w:lang w:val="en-ZW"/>
        </w:rPr>
      </w:pPr>
      <w:r>
        <w:rPr>
          <w:rStyle w:val="FootnoteReference"/>
        </w:rPr>
        <w:footnoteRef/>
      </w:r>
      <w:r>
        <w:t xml:space="preserve"> </w:t>
      </w:r>
      <w:r w:rsidR="009453BA">
        <w:t>April </w:t>
      </w:r>
      <w:r>
        <w:t>25, 202</w:t>
      </w:r>
      <w:r w:rsidR="00401FED">
        <w:t>5</w:t>
      </w:r>
      <w:r>
        <w:t xml:space="preserve"> </w:t>
      </w:r>
      <w:r w:rsidRPr="00872D48">
        <w:rPr>
          <w:i/>
          <w:iCs/>
        </w:rPr>
        <w:t xml:space="preserve">Energy Producers and Users Coalition Motion </w:t>
      </w:r>
      <w:r>
        <w:rPr>
          <w:i/>
          <w:iCs/>
        </w:rPr>
        <w:t>t</w:t>
      </w:r>
      <w:r w:rsidRPr="00872D48">
        <w:rPr>
          <w:i/>
          <w:iCs/>
        </w:rPr>
        <w:t xml:space="preserve">o Become </w:t>
      </w:r>
      <w:r>
        <w:rPr>
          <w:i/>
          <w:iCs/>
        </w:rPr>
        <w:t>a</w:t>
      </w:r>
      <w:r w:rsidRPr="00872D48">
        <w:rPr>
          <w:i/>
          <w:iCs/>
        </w:rPr>
        <w:t xml:space="preserve"> Party</w:t>
      </w:r>
      <w:r w:rsidR="005D5DB1">
        <w:t xml:space="preserve"> at </w:t>
      </w:r>
      <w:r>
        <w:t>1 (</w:t>
      </w:r>
      <w:r w:rsidR="00F4321E">
        <w:t>f</w:t>
      </w:r>
      <w:r>
        <w:t>n.</w:t>
      </w:r>
      <w:r w:rsidR="00F4321E">
        <w:t> </w:t>
      </w:r>
      <w:r>
        <w:t>1)</w:t>
      </w:r>
      <w:r w:rsidR="009453BA">
        <w:t xml:space="preserve">:  </w:t>
      </w:r>
      <w:r w:rsidR="00BE4878">
        <w:t>“</w:t>
      </w:r>
      <w:r w:rsidRPr="00872D48">
        <w:t>EPUC represents the electricity end</w:t>
      </w:r>
      <w:r w:rsidR="003B5862">
        <w:noBreakHyphen/>
      </w:r>
      <w:r w:rsidRPr="00872D48">
        <w:t>use interests of the following companies in this proceeding</w:t>
      </w:r>
      <w:r w:rsidR="009453BA">
        <w:t xml:space="preserve">:  </w:t>
      </w:r>
      <w:r w:rsidRPr="00872D48">
        <w:t xml:space="preserve">California Resources Corp., Chevron U.S.A. Inc., PBF Holding Company, </w:t>
      </w:r>
      <w:r w:rsidR="00F01DE1">
        <w:t>Phillips </w:t>
      </w:r>
      <w:r w:rsidRPr="00872D48">
        <w:t>66 Company, and Tesoro Refining</w:t>
      </w:r>
      <w:r w:rsidR="00252F7D">
        <w:t xml:space="preserve"> &amp; </w:t>
      </w:r>
      <w:r w:rsidRPr="00872D48">
        <w:t>Marketing Company LLC.</w:t>
      </w:r>
      <w:r w:rsidR="00BE4878">
        <w:t>”</w:t>
      </w:r>
    </w:p>
  </w:footnote>
  <w:footnote w:id="17">
    <w:p w14:paraId="2A8DBCC8" w14:textId="55304772" w:rsidR="004C4857" w:rsidRPr="008261FB" w:rsidRDefault="004C4857" w:rsidP="004C4857">
      <w:pPr>
        <w:pStyle w:val="FootnoteText"/>
        <w:rPr>
          <w:lang w:val="en-ZW"/>
        </w:rPr>
      </w:pPr>
      <w:r>
        <w:rPr>
          <w:rStyle w:val="FootnoteReference"/>
        </w:rPr>
        <w:footnoteRef/>
      </w:r>
      <w:r>
        <w:t xml:space="preserve"> </w:t>
      </w:r>
      <w:r w:rsidR="00262B2D">
        <w:t>SCE Ex</w:t>
      </w:r>
      <w:r w:rsidR="003B5862">
        <w:noBreakHyphen/>
      </w:r>
      <w:r w:rsidR="00262B2D">
        <w:t>14 (</w:t>
      </w:r>
      <w:r w:rsidR="0071769F">
        <w:t xml:space="preserve">Rebuttal </w:t>
      </w:r>
      <w:r w:rsidR="00262B2D">
        <w:t xml:space="preserve">Cost Recovery Update Testimony) </w:t>
      </w:r>
      <w:r w:rsidR="009453BA">
        <w:t>July </w:t>
      </w:r>
      <w:r w:rsidR="00262B2D">
        <w:t>15, 2025</w:t>
      </w:r>
      <w:r>
        <w:rPr>
          <w:lang w:val="en-ZW"/>
        </w:rPr>
        <w:t>.</w:t>
      </w:r>
    </w:p>
  </w:footnote>
  <w:footnote w:id="18">
    <w:p w14:paraId="5BE725E6" w14:textId="1EA6D023" w:rsidR="00014C6E" w:rsidRPr="00014C6E" w:rsidRDefault="00014C6E">
      <w:pPr>
        <w:pStyle w:val="FootnoteText"/>
        <w:rPr>
          <w:lang w:val="en-ZW"/>
        </w:rPr>
      </w:pPr>
      <w:r>
        <w:rPr>
          <w:rStyle w:val="FootnoteReference"/>
        </w:rPr>
        <w:footnoteRef/>
      </w:r>
      <w:r>
        <w:t xml:space="preserve"> </w:t>
      </w:r>
      <w:bookmarkStart w:id="7" w:name="_Hlk212635573"/>
      <w:r w:rsidR="009453BA">
        <w:t>September </w:t>
      </w:r>
      <w:r>
        <w:t xml:space="preserve">19, 2025 </w:t>
      </w:r>
      <w:r w:rsidRPr="00014C6E">
        <w:rPr>
          <w:i/>
          <w:iCs/>
          <w:lang w:val="en-ZW"/>
        </w:rPr>
        <w:t xml:space="preserve">Joint Motion </w:t>
      </w:r>
      <w:r w:rsidRPr="00014C6E">
        <w:rPr>
          <w:i/>
          <w:iCs/>
        </w:rPr>
        <w:t>by Southern California Edison Company, the Public Advocates Office, Energy Producers and Users Coalition, and Small Business Utility Advocates for Approval of Settlement Agreement Resolving Woolsey Fire Cost Recovery Application</w:t>
      </w:r>
      <w:r>
        <w:t>.</w:t>
      </w:r>
      <w:bookmarkEnd w:id="7"/>
    </w:p>
  </w:footnote>
  <w:footnote w:id="19">
    <w:p w14:paraId="762DA5DB" w14:textId="200BFB7D" w:rsidR="00E84E98" w:rsidRPr="00E326A7" w:rsidRDefault="00E84E98" w:rsidP="00E84E98">
      <w:pPr>
        <w:pStyle w:val="FootnoteText"/>
        <w:rPr>
          <w:i/>
          <w:iCs/>
        </w:rPr>
      </w:pPr>
      <w:r>
        <w:rPr>
          <w:rStyle w:val="FootnoteReference"/>
        </w:rPr>
        <w:footnoteRef/>
      </w:r>
      <w:r>
        <w:t xml:space="preserve"> </w:t>
      </w:r>
      <w:r>
        <w:rPr>
          <w:lang w:val="en-ZW"/>
        </w:rPr>
        <w:t>Joint Motion</w:t>
      </w:r>
      <w:r w:rsidR="0071769F">
        <w:rPr>
          <w:lang w:val="en-ZW"/>
        </w:rPr>
        <w:t xml:space="preserve"> for Settlement</w:t>
      </w:r>
      <w:r w:rsidR="005D5DB1">
        <w:rPr>
          <w:lang w:val="en-ZW"/>
        </w:rPr>
        <w:t xml:space="preserve"> at </w:t>
      </w:r>
      <w:r>
        <w:rPr>
          <w:lang w:val="en-ZW"/>
        </w:rPr>
        <w:t>1 (</w:t>
      </w:r>
      <w:r w:rsidR="00D410B4">
        <w:rPr>
          <w:lang w:val="en-ZW"/>
        </w:rPr>
        <w:t>fn. </w:t>
      </w:r>
      <w:r>
        <w:rPr>
          <w:lang w:val="en-ZW"/>
        </w:rPr>
        <w:t>1).</w:t>
      </w:r>
    </w:p>
  </w:footnote>
  <w:footnote w:id="20">
    <w:p w14:paraId="1FA47969" w14:textId="457FCF83" w:rsidR="0070404D" w:rsidRPr="00B11A06" w:rsidRDefault="0070404D" w:rsidP="00B11A06">
      <w:pPr>
        <w:pStyle w:val="FootnoteText"/>
        <w:rPr>
          <w:b/>
          <w:bCs/>
        </w:rPr>
      </w:pPr>
      <w:r>
        <w:rPr>
          <w:rStyle w:val="FootnoteReference"/>
        </w:rPr>
        <w:footnoteRef/>
      </w:r>
      <w:r>
        <w:t xml:space="preserve"> </w:t>
      </w:r>
      <w:r w:rsidR="009453BA">
        <w:t>September </w:t>
      </w:r>
      <w:r w:rsidR="00B11A06">
        <w:t>19</w:t>
      </w:r>
      <w:r>
        <w:t xml:space="preserve">, 2025 </w:t>
      </w:r>
      <w:r w:rsidRPr="0070404D">
        <w:rPr>
          <w:i/>
          <w:iCs/>
        </w:rPr>
        <w:t xml:space="preserve">Motion of Southern California Edison Company </w:t>
      </w:r>
      <w:r>
        <w:rPr>
          <w:i/>
          <w:iCs/>
        </w:rPr>
        <w:t>t</w:t>
      </w:r>
      <w:r w:rsidRPr="0070404D">
        <w:rPr>
          <w:i/>
          <w:iCs/>
        </w:rPr>
        <w:t xml:space="preserve">o Seal </w:t>
      </w:r>
      <w:r>
        <w:rPr>
          <w:i/>
          <w:iCs/>
        </w:rPr>
        <w:t>a</w:t>
      </w:r>
      <w:r w:rsidRPr="0070404D">
        <w:rPr>
          <w:i/>
          <w:iCs/>
        </w:rPr>
        <w:t xml:space="preserve"> Portion </w:t>
      </w:r>
      <w:r>
        <w:rPr>
          <w:i/>
          <w:iCs/>
        </w:rPr>
        <w:t>o</w:t>
      </w:r>
      <w:r w:rsidRPr="0070404D">
        <w:rPr>
          <w:i/>
          <w:iCs/>
        </w:rPr>
        <w:t xml:space="preserve">f </w:t>
      </w:r>
      <w:r>
        <w:rPr>
          <w:i/>
          <w:iCs/>
        </w:rPr>
        <w:t>t</w:t>
      </w:r>
      <w:r w:rsidRPr="0070404D">
        <w:rPr>
          <w:i/>
          <w:iCs/>
        </w:rPr>
        <w:t>he Evidentiary Record</w:t>
      </w:r>
      <w:r w:rsidR="00B11A06">
        <w:rPr>
          <w:i/>
          <w:iCs/>
        </w:rPr>
        <w:t xml:space="preserve"> </w:t>
      </w:r>
      <w:r w:rsidR="00B11A06" w:rsidRPr="00B11A06">
        <w:t xml:space="preserve">and </w:t>
      </w:r>
      <w:r w:rsidR="009453BA">
        <w:t>September </w:t>
      </w:r>
      <w:r w:rsidR="00B11A06" w:rsidRPr="00B11A06">
        <w:t>19, 2025</w:t>
      </w:r>
      <w:r w:rsidR="00B11A06">
        <w:t xml:space="preserve"> </w:t>
      </w:r>
      <w:r w:rsidR="00B11A06" w:rsidRPr="00B11A06">
        <w:rPr>
          <w:i/>
          <w:iCs/>
        </w:rPr>
        <w:t>Joint Motion of Southern California Edison Company, the Public Advocates Office, Energy Producers and Users Coalition, and Small Business Utility Advocates to Offer Prepared Exhibits into Evidence</w:t>
      </w:r>
      <w:r w:rsidR="00B11A06">
        <w:t>.</w:t>
      </w:r>
    </w:p>
  </w:footnote>
  <w:footnote w:id="21">
    <w:p w14:paraId="4C10A909" w14:textId="59F5DC57" w:rsidR="00794516" w:rsidRPr="00794516" w:rsidRDefault="00794516">
      <w:pPr>
        <w:pStyle w:val="FootnoteText"/>
        <w:rPr>
          <w:lang w:val="en-ZW"/>
        </w:rPr>
      </w:pPr>
      <w:r>
        <w:rPr>
          <w:rStyle w:val="FootnoteReference"/>
        </w:rPr>
        <w:footnoteRef/>
      </w:r>
      <w:r>
        <w:t xml:space="preserve"> </w:t>
      </w:r>
      <w:r w:rsidR="009453BA">
        <w:t>October </w:t>
      </w:r>
      <w:r>
        <w:t xml:space="preserve">3, 2025 </w:t>
      </w:r>
      <w:r w:rsidRPr="00794516">
        <w:rPr>
          <w:i/>
          <w:iCs/>
        </w:rPr>
        <w:t xml:space="preserve">Wild Tree Foundation Comments </w:t>
      </w:r>
      <w:r>
        <w:rPr>
          <w:i/>
          <w:iCs/>
        </w:rPr>
        <w:t>i</w:t>
      </w:r>
      <w:r w:rsidRPr="00794516">
        <w:rPr>
          <w:i/>
          <w:iCs/>
        </w:rPr>
        <w:t xml:space="preserve">n Opposition </w:t>
      </w:r>
      <w:r>
        <w:rPr>
          <w:i/>
          <w:iCs/>
        </w:rPr>
        <w:t>t</w:t>
      </w:r>
      <w:r w:rsidRPr="00794516">
        <w:rPr>
          <w:i/>
          <w:iCs/>
        </w:rPr>
        <w:t>o Proposed Settlement</w:t>
      </w:r>
      <w:r>
        <w:rPr>
          <w:i/>
          <w:iCs/>
        </w:rPr>
        <w:t>.</w:t>
      </w:r>
    </w:p>
  </w:footnote>
  <w:footnote w:id="22">
    <w:p w14:paraId="79AF29E6" w14:textId="178CF8FB" w:rsidR="00DD3B9B" w:rsidRPr="00570BA7" w:rsidRDefault="00DD3B9B" w:rsidP="00DD3B9B">
      <w:pPr>
        <w:pStyle w:val="FootnoteText"/>
        <w:rPr>
          <w:i/>
          <w:iCs/>
        </w:rPr>
      </w:pPr>
      <w:r>
        <w:rPr>
          <w:rStyle w:val="FootnoteReference"/>
        </w:rPr>
        <w:footnoteRef/>
      </w:r>
      <w:r>
        <w:t xml:space="preserve"> </w:t>
      </w:r>
      <w:r w:rsidR="009453BA">
        <w:t>October </w:t>
      </w:r>
      <w:r>
        <w:t xml:space="preserve">10, 2025 </w:t>
      </w:r>
      <w:r w:rsidRPr="00570BA7">
        <w:rPr>
          <w:i/>
          <w:iCs/>
        </w:rPr>
        <w:t xml:space="preserve">Joint Reply Comments </w:t>
      </w:r>
      <w:r w:rsidR="00570BA7" w:rsidRPr="00570BA7">
        <w:rPr>
          <w:i/>
          <w:iCs/>
        </w:rPr>
        <w:t>o</w:t>
      </w:r>
      <w:r w:rsidRPr="00570BA7">
        <w:rPr>
          <w:i/>
          <w:iCs/>
        </w:rPr>
        <w:t xml:space="preserve">f Southern California Edison Company, </w:t>
      </w:r>
      <w:r w:rsidR="00570BA7" w:rsidRPr="00570BA7">
        <w:rPr>
          <w:i/>
          <w:iCs/>
        </w:rPr>
        <w:t>t</w:t>
      </w:r>
      <w:r w:rsidRPr="00570BA7">
        <w:rPr>
          <w:i/>
          <w:iCs/>
        </w:rPr>
        <w:t xml:space="preserve">he Public Advocates Office, Energy Producers </w:t>
      </w:r>
      <w:r w:rsidR="00570BA7" w:rsidRPr="00570BA7">
        <w:rPr>
          <w:i/>
          <w:iCs/>
        </w:rPr>
        <w:t>a</w:t>
      </w:r>
      <w:r w:rsidRPr="00570BA7">
        <w:rPr>
          <w:i/>
          <w:iCs/>
        </w:rPr>
        <w:t xml:space="preserve">nd Users Coalition, </w:t>
      </w:r>
      <w:r w:rsidR="00570BA7" w:rsidRPr="00570BA7">
        <w:rPr>
          <w:i/>
          <w:iCs/>
        </w:rPr>
        <w:t>a</w:t>
      </w:r>
      <w:r w:rsidRPr="00570BA7">
        <w:rPr>
          <w:i/>
          <w:iCs/>
        </w:rPr>
        <w:t>nd Small Business Utility Advocates</w:t>
      </w:r>
      <w:r w:rsidR="00570BA7" w:rsidRPr="00570BA7">
        <w:rPr>
          <w:i/>
          <w:iCs/>
        </w:rPr>
        <w:t xml:space="preserve"> i</w:t>
      </w:r>
      <w:r w:rsidRPr="00570BA7">
        <w:rPr>
          <w:i/>
          <w:iCs/>
        </w:rPr>
        <w:t xml:space="preserve">n </w:t>
      </w:r>
      <w:bookmarkStart w:id="8" w:name="_Hlk211698892"/>
      <w:r w:rsidRPr="00570BA7">
        <w:rPr>
          <w:i/>
          <w:iCs/>
        </w:rPr>
        <w:t xml:space="preserve">Support </w:t>
      </w:r>
      <w:r w:rsidR="00570BA7" w:rsidRPr="00570BA7">
        <w:rPr>
          <w:i/>
          <w:iCs/>
        </w:rPr>
        <w:t>o</w:t>
      </w:r>
      <w:r w:rsidRPr="00570BA7">
        <w:rPr>
          <w:i/>
          <w:iCs/>
        </w:rPr>
        <w:t xml:space="preserve">f </w:t>
      </w:r>
      <w:r w:rsidR="00570BA7" w:rsidRPr="00570BA7">
        <w:rPr>
          <w:i/>
          <w:iCs/>
        </w:rPr>
        <w:t>t</w:t>
      </w:r>
      <w:r w:rsidRPr="00570BA7">
        <w:rPr>
          <w:i/>
          <w:iCs/>
        </w:rPr>
        <w:t xml:space="preserve">he Motion </w:t>
      </w:r>
      <w:r w:rsidR="00570BA7" w:rsidRPr="00570BA7">
        <w:rPr>
          <w:i/>
          <w:iCs/>
        </w:rPr>
        <w:t>f</w:t>
      </w:r>
      <w:r w:rsidRPr="00570BA7">
        <w:rPr>
          <w:i/>
          <w:iCs/>
        </w:rPr>
        <w:t xml:space="preserve">or Approval </w:t>
      </w:r>
      <w:r w:rsidR="00570BA7" w:rsidRPr="00570BA7">
        <w:rPr>
          <w:i/>
          <w:iCs/>
        </w:rPr>
        <w:t>o</w:t>
      </w:r>
      <w:r w:rsidRPr="00570BA7">
        <w:rPr>
          <w:i/>
          <w:iCs/>
        </w:rPr>
        <w:t>f Settlement Agreement Resolving Woolsey Fire Cost Recovery Applicatio</w:t>
      </w:r>
      <w:r w:rsidR="00570BA7" w:rsidRPr="00570BA7">
        <w:rPr>
          <w:i/>
          <w:iCs/>
        </w:rPr>
        <w:t>n.</w:t>
      </w:r>
    </w:p>
    <w:bookmarkEnd w:id="8"/>
  </w:footnote>
  <w:footnote w:id="23">
    <w:p w14:paraId="250B5ED7" w14:textId="686D0A22" w:rsidR="0052583F" w:rsidRPr="00C2761E" w:rsidRDefault="0052583F" w:rsidP="0052583F">
      <w:pPr>
        <w:pStyle w:val="FootnoteText"/>
        <w:rPr>
          <w:lang w:val="en-ZW"/>
        </w:rPr>
      </w:pPr>
      <w:r>
        <w:rPr>
          <w:rStyle w:val="FootnoteReference"/>
        </w:rPr>
        <w:footnoteRef/>
      </w:r>
      <w:r>
        <w:t xml:space="preserve"> </w:t>
      </w:r>
      <w:r w:rsidR="00CD0DC1">
        <w:rPr>
          <w:lang w:val="en-ZW"/>
        </w:rPr>
        <w:t>Rule </w:t>
      </w:r>
      <w:r>
        <w:rPr>
          <w:lang w:val="en-ZW"/>
        </w:rPr>
        <w:t>12.1(d) of the Commission</w:t>
      </w:r>
      <w:r w:rsidR="00BE4878">
        <w:rPr>
          <w:lang w:val="en-ZW"/>
        </w:rPr>
        <w:t>’</w:t>
      </w:r>
      <w:r>
        <w:rPr>
          <w:lang w:val="en-ZW"/>
        </w:rPr>
        <w:t>s Rules of Practice and Procedure.</w:t>
      </w:r>
    </w:p>
  </w:footnote>
  <w:footnote w:id="24">
    <w:p w14:paraId="404226B6" w14:textId="6BA40596" w:rsidR="0052583F" w:rsidRPr="00E81727" w:rsidRDefault="0052583F" w:rsidP="0052583F">
      <w:pPr>
        <w:pStyle w:val="FootnoteText"/>
        <w:rPr>
          <w:lang w:val="en-ZW"/>
        </w:rPr>
      </w:pPr>
      <w:r>
        <w:rPr>
          <w:rStyle w:val="FootnoteReference"/>
        </w:rPr>
        <w:footnoteRef/>
      </w:r>
      <w:r>
        <w:t xml:space="preserve"> </w:t>
      </w:r>
      <w:r w:rsidRPr="00E81727">
        <w:t>D.23</w:t>
      </w:r>
      <w:r w:rsidR="003B5862">
        <w:noBreakHyphen/>
      </w:r>
      <w:r w:rsidRPr="00E81727">
        <w:t>02</w:t>
      </w:r>
      <w:r w:rsidR="003B5862">
        <w:noBreakHyphen/>
      </w:r>
      <w:r w:rsidRPr="00E81727">
        <w:t xml:space="preserve">017, </w:t>
      </w:r>
      <w:r w:rsidRPr="00E81727">
        <w:rPr>
          <w:i/>
          <w:iCs/>
        </w:rPr>
        <w:t>Decision Approving Settlement [PG&amp;E]</w:t>
      </w:r>
      <w:r w:rsidRPr="00E81727">
        <w:t xml:space="preserve"> (</w:t>
      </w:r>
      <w:r w:rsidR="009453BA">
        <w:t>February </w:t>
      </w:r>
      <w:r w:rsidRPr="00E81727">
        <w:t>2, 2023)</w:t>
      </w:r>
      <w:r w:rsidR="005D5DB1">
        <w:t xml:space="preserve"> at </w:t>
      </w:r>
      <w:r w:rsidRPr="00E81727">
        <w:t>1</w:t>
      </w:r>
      <w:r>
        <w:t>6</w:t>
      </w:r>
      <w:r w:rsidRPr="00E81727">
        <w:t>.</w:t>
      </w:r>
    </w:p>
  </w:footnote>
  <w:footnote w:id="25">
    <w:p w14:paraId="44D3EE55" w14:textId="0CF1136B" w:rsidR="0052583F" w:rsidRPr="00222030" w:rsidRDefault="0052583F" w:rsidP="0052583F">
      <w:pPr>
        <w:pStyle w:val="FootnoteText"/>
      </w:pPr>
      <w:r>
        <w:rPr>
          <w:rStyle w:val="FootnoteReference"/>
        </w:rPr>
        <w:footnoteRef/>
      </w:r>
      <w:r>
        <w:t xml:space="preserve"> </w:t>
      </w:r>
      <w:r w:rsidRPr="00222030">
        <w:t>D.25</w:t>
      </w:r>
      <w:r w:rsidR="003B5862">
        <w:noBreakHyphen/>
      </w:r>
      <w:r w:rsidRPr="00222030">
        <w:t>01</w:t>
      </w:r>
      <w:r w:rsidR="003B5862">
        <w:noBreakHyphen/>
      </w:r>
      <w:r w:rsidRPr="00222030">
        <w:t xml:space="preserve">042, </w:t>
      </w:r>
      <w:r w:rsidRPr="00222030">
        <w:rPr>
          <w:i/>
          <w:iCs/>
        </w:rPr>
        <w:t>Decision Regarding Settlement Agreement Authorizing [SCE]</w:t>
      </w:r>
      <w:r>
        <w:rPr>
          <w:i/>
          <w:iCs/>
        </w:rPr>
        <w:t xml:space="preserve"> </w:t>
      </w:r>
      <w:r w:rsidRPr="00222030">
        <w:rPr>
          <w:i/>
          <w:iCs/>
        </w:rPr>
        <w:t>Cost Recovery for 2017 Thomas Fire and 2018 Montecito Debris Flow</w:t>
      </w:r>
      <w:r w:rsidRPr="00222030">
        <w:t xml:space="preserve"> (</w:t>
      </w:r>
      <w:r w:rsidR="009453BA">
        <w:t>January </w:t>
      </w:r>
      <w:r w:rsidRPr="00222030">
        <w:t>30, 2025)</w:t>
      </w:r>
      <w:r w:rsidR="005D5DB1">
        <w:t xml:space="preserve"> at </w:t>
      </w:r>
      <w:r>
        <w:t xml:space="preserve">9, </w:t>
      </w:r>
      <w:r w:rsidRPr="00222030">
        <w:rPr>
          <w:i/>
          <w:iCs/>
        </w:rPr>
        <w:t>citing to</w:t>
      </w:r>
      <w:r>
        <w:t xml:space="preserve"> </w:t>
      </w:r>
      <w:r w:rsidR="00CD0DC1">
        <w:t>Pub. Util.</w:t>
      </w:r>
      <w:r w:rsidRPr="00222030">
        <w:t xml:space="preserve"> Code </w:t>
      </w:r>
      <w:r w:rsidR="00F4321E">
        <w:t>Section </w:t>
      </w:r>
      <w:r w:rsidRPr="00222030">
        <w:t xml:space="preserve">451 </w:t>
      </w:r>
      <w:r>
        <w:t xml:space="preserve">which </w:t>
      </w:r>
      <w:r w:rsidRPr="00222030">
        <w:t xml:space="preserve">requires that all public utility charges </w:t>
      </w:r>
      <w:r w:rsidR="00BE4878">
        <w:t>“</w:t>
      </w:r>
      <w:r w:rsidRPr="00222030">
        <w:t>shall be just and reasonable</w:t>
      </w:r>
      <w:r w:rsidR="00BE4878">
        <w:t>”</w:t>
      </w:r>
      <w:r w:rsidRPr="00222030">
        <w:t xml:space="preserve"> and that every </w:t>
      </w:r>
      <w:r w:rsidR="00BE4878">
        <w:t>“</w:t>
      </w:r>
      <w:r w:rsidRPr="00222030">
        <w:t>unjust and unreasonable charge…</w:t>
      </w:r>
      <w:r>
        <w:t xml:space="preserve"> </w:t>
      </w:r>
      <w:r w:rsidRPr="00222030">
        <w:t>is unlawful.</w:t>
      </w:r>
      <w:r w:rsidR="00BE4878">
        <w:t>”</w:t>
      </w:r>
    </w:p>
  </w:footnote>
  <w:footnote w:id="26">
    <w:p w14:paraId="116B0108" w14:textId="210E738C" w:rsidR="0052583F" w:rsidRPr="000B6BA9" w:rsidRDefault="0052583F" w:rsidP="0052583F">
      <w:pPr>
        <w:pStyle w:val="FootnoteText"/>
        <w:rPr>
          <w:lang w:val="en-ZW"/>
        </w:rPr>
      </w:pPr>
      <w:r>
        <w:rPr>
          <w:rStyle w:val="FootnoteReference"/>
        </w:rPr>
        <w:footnoteRef/>
      </w:r>
      <w:r>
        <w:t xml:space="preserve"> </w:t>
      </w:r>
      <w:r w:rsidRPr="00222030">
        <w:t>D.25</w:t>
      </w:r>
      <w:r w:rsidR="003B5862">
        <w:noBreakHyphen/>
      </w:r>
      <w:r w:rsidRPr="00222030">
        <w:t>01</w:t>
      </w:r>
      <w:r w:rsidR="003B5862">
        <w:noBreakHyphen/>
      </w:r>
      <w:r w:rsidRPr="00222030">
        <w:t xml:space="preserve">042, </w:t>
      </w:r>
      <w:r w:rsidRPr="00222030">
        <w:rPr>
          <w:i/>
          <w:iCs/>
        </w:rPr>
        <w:t>Decision Regarding Settlement Agreement Authorizing [SCE]</w:t>
      </w:r>
      <w:r>
        <w:rPr>
          <w:i/>
          <w:iCs/>
        </w:rPr>
        <w:t xml:space="preserve"> </w:t>
      </w:r>
      <w:r w:rsidRPr="00222030">
        <w:rPr>
          <w:i/>
          <w:iCs/>
        </w:rPr>
        <w:t>Cost Recovery for 2017 Thomas Fire and 2018 Montecito Debris Flow</w:t>
      </w:r>
      <w:r w:rsidRPr="00222030">
        <w:t xml:space="preserve"> (</w:t>
      </w:r>
      <w:r w:rsidR="009453BA">
        <w:t>January </w:t>
      </w:r>
      <w:r w:rsidRPr="00222030">
        <w:t>30, 2025)</w:t>
      </w:r>
      <w:r w:rsidR="005D5DB1">
        <w:t xml:space="preserve"> at </w:t>
      </w:r>
      <w:r>
        <w:t xml:space="preserve">9; </w:t>
      </w:r>
      <w:r w:rsidRPr="000B6BA9">
        <w:t>D.12</w:t>
      </w:r>
      <w:r w:rsidR="003B5862">
        <w:noBreakHyphen/>
      </w:r>
      <w:r w:rsidRPr="000B6BA9">
        <w:t>03</w:t>
      </w:r>
      <w:r w:rsidR="003B5862">
        <w:noBreakHyphen/>
      </w:r>
      <w:r w:rsidRPr="000B6BA9">
        <w:t>015</w:t>
      </w:r>
      <w:r w:rsidR="00A14542">
        <w:t>,</w:t>
      </w:r>
      <w:r w:rsidR="00A14542" w:rsidRPr="00A14542">
        <w:rPr>
          <w:sz w:val="26"/>
          <w:szCs w:val="22"/>
        </w:rPr>
        <w:t xml:space="preserve"> </w:t>
      </w:r>
      <w:r w:rsidR="00A14542" w:rsidRPr="00A14542">
        <w:rPr>
          <w:i/>
          <w:iCs/>
        </w:rPr>
        <w:t>Decision Approving Settlement Regarding Pacific Gas and Electric Company Revised Customer Energy Statement</w:t>
      </w:r>
      <w:r w:rsidR="00A14542">
        <w:t xml:space="preserve"> (</w:t>
      </w:r>
      <w:r w:rsidR="009453BA">
        <w:t>March </w:t>
      </w:r>
      <w:r w:rsidR="00A14542">
        <w:t>8, 2012)</w:t>
      </w:r>
      <w:r w:rsidR="005D5DB1">
        <w:t xml:space="preserve"> at </w:t>
      </w:r>
      <w:r w:rsidRPr="000B6BA9">
        <w:t>19.</w:t>
      </w:r>
    </w:p>
  </w:footnote>
  <w:footnote w:id="27">
    <w:p w14:paraId="511354B1" w14:textId="66B62461" w:rsidR="0052583F" w:rsidRPr="0062757D" w:rsidRDefault="0052583F" w:rsidP="0052583F">
      <w:pPr>
        <w:pStyle w:val="FootnoteText"/>
        <w:rPr>
          <w:lang w:val="en-ZW"/>
        </w:rPr>
      </w:pPr>
      <w:r>
        <w:rPr>
          <w:rStyle w:val="FootnoteReference"/>
        </w:rPr>
        <w:footnoteRef/>
      </w:r>
      <w:r>
        <w:t xml:space="preserve"> D.23</w:t>
      </w:r>
      <w:r w:rsidR="003B5862">
        <w:noBreakHyphen/>
      </w:r>
      <w:r>
        <w:t>02</w:t>
      </w:r>
      <w:r w:rsidR="003B5862">
        <w:noBreakHyphen/>
      </w:r>
      <w:r>
        <w:t xml:space="preserve">017, </w:t>
      </w:r>
      <w:r w:rsidRPr="006D4CF3">
        <w:rPr>
          <w:i/>
          <w:iCs/>
        </w:rPr>
        <w:t>Decision Approving Settlement [PG&amp;E]</w:t>
      </w:r>
      <w:r>
        <w:t xml:space="preserve"> (</w:t>
      </w:r>
      <w:r w:rsidR="009453BA">
        <w:t>February </w:t>
      </w:r>
      <w:r>
        <w:t>2, 2023)</w:t>
      </w:r>
      <w:r w:rsidR="005D5DB1">
        <w:t xml:space="preserve"> at </w:t>
      </w:r>
      <w:r>
        <w:t>17.</w:t>
      </w:r>
    </w:p>
  </w:footnote>
  <w:footnote w:id="28">
    <w:p w14:paraId="6DA4DA66" w14:textId="13DFB6AA" w:rsidR="0052583F" w:rsidRPr="00C2761E" w:rsidRDefault="0052583F" w:rsidP="0052583F">
      <w:pPr>
        <w:pStyle w:val="FootnoteText"/>
        <w:rPr>
          <w:lang w:val="en-ZW"/>
        </w:rPr>
      </w:pPr>
      <w:r>
        <w:rPr>
          <w:rStyle w:val="FootnoteReference"/>
        </w:rPr>
        <w:footnoteRef/>
      </w:r>
      <w:r>
        <w:t xml:space="preserve"> D.25</w:t>
      </w:r>
      <w:r w:rsidR="003B5862">
        <w:noBreakHyphen/>
      </w:r>
      <w:r>
        <w:t>01</w:t>
      </w:r>
      <w:r w:rsidR="003B5862">
        <w:noBreakHyphen/>
      </w:r>
      <w:r>
        <w:t>042</w:t>
      </w:r>
      <w:r>
        <w:rPr>
          <w:sz w:val="26"/>
          <w:szCs w:val="22"/>
        </w:rPr>
        <w:t xml:space="preserve">, </w:t>
      </w:r>
      <w:r w:rsidRPr="00037AB4">
        <w:rPr>
          <w:i/>
          <w:iCs/>
        </w:rPr>
        <w:t xml:space="preserve">Decision Regarding Settlement Agreement Authorizing </w:t>
      </w:r>
      <w:r>
        <w:rPr>
          <w:i/>
          <w:iCs/>
        </w:rPr>
        <w:t xml:space="preserve">[SCE] </w:t>
      </w:r>
      <w:r w:rsidRPr="00037AB4">
        <w:rPr>
          <w:i/>
          <w:iCs/>
        </w:rPr>
        <w:t xml:space="preserve">Cost Recovery </w:t>
      </w:r>
      <w:r>
        <w:rPr>
          <w:i/>
          <w:iCs/>
        </w:rPr>
        <w:t>f</w:t>
      </w:r>
      <w:r w:rsidRPr="00037AB4">
        <w:rPr>
          <w:i/>
          <w:iCs/>
        </w:rPr>
        <w:t xml:space="preserve">or 2017 Thomas Fire </w:t>
      </w:r>
      <w:r>
        <w:rPr>
          <w:i/>
          <w:iCs/>
        </w:rPr>
        <w:t>a</w:t>
      </w:r>
      <w:r w:rsidRPr="00037AB4">
        <w:rPr>
          <w:i/>
          <w:iCs/>
        </w:rPr>
        <w:t>nd 2018 Montecito Debris Flow</w:t>
      </w:r>
      <w:r w:rsidRPr="00037AB4">
        <w:t xml:space="preserve"> </w:t>
      </w:r>
      <w:r>
        <w:t>(</w:t>
      </w:r>
      <w:r w:rsidR="009453BA">
        <w:t>January </w:t>
      </w:r>
      <w:r>
        <w:t>30, 2025)</w:t>
      </w:r>
      <w:r w:rsidR="005D5DB1">
        <w:t xml:space="preserve"> at </w:t>
      </w:r>
      <w:r>
        <w:t xml:space="preserve">10, </w:t>
      </w:r>
      <w:r w:rsidRPr="00037AB4">
        <w:rPr>
          <w:i/>
          <w:iCs/>
        </w:rPr>
        <w:t>citing to</w:t>
      </w:r>
      <w:r>
        <w:t xml:space="preserve"> </w:t>
      </w:r>
      <w:r w:rsidRPr="00B6793C">
        <w:t>D.23</w:t>
      </w:r>
      <w:r w:rsidR="003B5862">
        <w:noBreakHyphen/>
      </w:r>
      <w:r w:rsidRPr="00B6793C">
        <w:t>11</w:t>
      </w:r>
      <w:r w:rsidR="003B5862">
        <w:noBreakHyphen/>
      </w:r>
      <w:r w:rsidRPr="00B6793C">
        <w:t>069</w:t>
      </w:r>
      <w:r w:rsidR="005D5DB1">
        <w:t xml:space="preserve"> at </w:t>
      </w:r>
      <w:r w:rsidRPr="00B6793C">
        <w:t>752</w:t>
      </w:r>
      <w:r w:rsidR="003B5862">
        <w:noBreakHyphen/>
      </w:r>
      <w:r w:rsidRPr="00B6793C">
        <w:t>753.</w:t>
      </w:r>
    </w:p>
  </w:footnote>
  <w:footnote w:id="29">
    <w:p w14:paraId="0D3E42FA" w14:textId="32D0D583" w:rsidR="007B57E3" w:rsidRPr="00244CC3" w:rsidRDefault="007B57E3">
      <w:pPr>
        <w:pStyle w:val="FootnoteText"/>
        <w:rPr>
          <w:lang w:val="en-ZW"/>
        </w:rPr>
      </w:pPr>
      <w:r>
        <w:rPr>
          <w:rStyle w:val="FootnoteReference"/>
        </w:rPr>
        <w:footnoteRef/>
      </w:r>
      <w:r>
        <w:t xml:space="preserve"> </w:t>
      </w:r>
      <w:r w:rsidR="009453BA">
        <w:t>March </w:t>
      </w:r>
      <w:r w:rsidR="00B5485E">
        <w:t xml:space="preserve">10, 2025 </w:t>
      </w:r>
      <w:r w:rsidRPr="007B57E3">
        <w:rPr>
          <w:bCs/>
          <w:i/>
          <w:iCs/>
        </w:rPr>
        <w:t>Assigned Commissioner</w:t>
      </w:r>
      <w:r w:rsidR="00BE4878">
        <w:rPr>
          <w:bCs/>
          <w:i/>
          <w:iCs/>
        </w:rPr>
        <w:t>’</w:t>
      </w:r>
      <w:r w:rsidRPr="007B57E3">
        <w:rPr>
          <w:bCs/>
          <w:i/>
          <w:iCs/>
        </w:rPr>
        <w:t xml:space="preserve">s </w:t>
      </w:r>
      <w:r w:rsidRPr="007B57E3">
        <w:rPr>
          <w:i/>
          <w:iCs/>
        </w:rPr>
        <w:t>Scoping Memo and Ruling</w:t>
      </w:r>
      <w:r w:rsidR="005D5DB1">
        <w:rPr>
          <w:i/>
          <w:iCs/>
        </w:rPr>
        <w:t xml:space="preserve"> </w:t>
      </w:r>
      <w:r w:rsidR="005D5DB1" w:rsidRPr="00703292">
        <w:t>at</w:t>
      </w:r>
      <w:r w:rsidR="005D5DB1">
        <w:rPr>
          <w:i/>
          <w:iCs/>
        </w:rPr>
        <w:t> </w:t>
      </w:r>
      <w:r w:rsidR="00705715" w:rsidRPr="00244CC3">
        <w:t>5</w:t>
      </w:r>
      <w:r w:rsidRPr="00244CC3">
        <w:t>.</w:t>
      </w:r>
    </w:p>
  </w:footnote>
  <w:footnote w:id="30">
    <w:p w14:paraId="4E66A293" w14:textId="421D0AE8" w:rsidR="005B0F2F" w:rsidRPr="005B0F2F" w:rsidRDefault="005B0F2F" w:rsidP="005B0F2F">
      <w:pPr>
        <w:pStyle w:val="FootnoteText"/>
      </w:pPr>
      <w:r>
        <w:rPr>
          <w:rStyle w:val="FootnoteReference"/>
        </w:rPr>
        <w:footnoteRef/>
      </w:r>
      <w:r>
        <w:t xml:space="preserve"> </w:t>
      </w:r>
      <w:r w:rsidRPr="005B0F2F">
        <w:t>SCE Application</w:t>
      </w:r>
      <w:r w:rsidR="005D5DB1">
        <w:t xml:space="preserve"> at </w:t>
      </w:r>
      <w:r w:rsidRPr="005B0F2F">
        <w:t>1</w:t>
      </w:r>
      <w:r w:rsidR="003B5862">
        <w:noBreakHyphen/>
      </w:r>
      <w:r w:rsidRPr="005B0F2F">
        <w:t>2.</w:t>
      </w:r>
    </w:p>
  </w:footnote>
  <w:footnote w:id="31">
    <w:p w14:paraId="4B52057E" w14:textId="5B851C7E" w:rsidR="005B0F2F" w:rsidRPr="005B0F2F" w:rsidRDefault="005B0F2F" w:rsidP="005B0F2F">
      <w:pPr>
        <w:pStyle w:val="FootnoteText"/>
      </w:pPr>
      <w:r>
        <w:rPr>
          <w:rStyle w:val="FootnoteReference"/>
        </w:rPr>
        <w:footnoteRef/>
      </w:r>
      <w:r>
        <w:t xml:space="preserve"> </w:t>
      </w:r>
      <w:r w:rsidRPr="005B0F2F">
        <w:t>SCE Application</w:t>
      </w:r>
      <w:r w:rsidR="005D5DB1">
        <w:t xml:space="preserve"> at </w:t>
      </w:r>
      <w:r w:rsidRPr="005B0F2F">
        <w:t>1 and 32.</w:t>
      </w:r>
    </w:p>
  </w:footnote>
  <w:footnote w:id="32">
    <w:p w14:paraId="4B4FD1DD" w14:textId="341D1B5C" w:rsidR="00A2376D" w:rsidRPr="00A2376D" w:rsidRDefault="00A2376D">
      <w:pPr>
        <w:pStyle w:val="FootnoteText"/>
        <w:rPr>
          <w:lang w:val="en-ZW"/>
        </w:rPr>
      </w:pPr>
      <w:r>
        <w:rPr>
          <w:rStyle w:val="FootnoteReference"/>
        </w:rPr>
        <w:footnoteRef/>
      </w:r>
      <w:r>
        <w:t xml:space="preserve"> </w:t>
      </w:r>
      <w:r>
        <w:rPr>
          <w:lang w:val="en-ZW"/>
        </w:rPr>
        <w:t>Joint Motion for Settlemen</w:t>
      </w:r>
      <w:r w:rsidR="008B1442">
        <w:rPr>
          <w:lang w:val="en-ZW"/>
        </w:rPr>
        <w:t>t, Attachment</w:t>
      </w:r>
      <w:r w:rsidR="003B5862">
        <w:rPr>
          <w:lang w:val="en-ZW"/>
        </w:rPr>
        <w:noBreakHyphen/>
      </w:r>
      <w:r w:rsidR="008B1442">
        <w:rPr>
          <w:lang w:val="en-ZW"/>
        </w:rPr>
        <w:t xml:space="preserve">Settlement </w:t>
      </w:r>
      <w:r w:rsidR="004B39DB">
        <w:rPr>
          <w:lang w:val="en-ZW"/>
        </w:rPr>
        <w:t>Agreement</w:t>
      </w:r>
      <w:r w:rsidR="005D5DB1">
        <w:rPr>
          <w:lang w:val="en-ZW"/>
        </w:rPr>
        <w:t xml:space="preserve"> at </w:t>
      </w:r>
      <w:r>
        <w:rPr>
          <w:lang w:val="en-ZW"/>
        </w:rPr>
        <w:t>A</w:t>
      </w:r>
      <w:r w:rsidR="003B5862">
        <w:rPr>
          <w:lang w:val="en-ZW"/>
        </w:rPr>
        <w:noBreakHyphen/>
      </w:r>
      <w:r>
        <w:rPr>
          <w:lang w:val="en-ZW"/>
        </w:rPr>
        <w:t>7.</w:t>
      </w:r>
    </w:p>
  </w:footnote>
  <w:footnote w:id="33">
    <w:p w14:paraId="19EEAA69" w14:textId="71B728ED" w:rsidR="00C3205F" w:rsidRPr="00C3205F" w:rsidRDefault="00C3205F" w:rsidP="00C3205F">
      <w:pPr>
        <w:pStyle w:val="FootnoteText"/>
      </w:pPr>
      <w:r>
        <w:rPr>
          <w:rStyle w:val="FootnoteReference"/>
        </w:rPr>
        <w:footnoteRef/>
      </w:r>
      <w:r>
        <w:t xml:space="preserve"> </w:t>
      </w:r>
      <w:r w:rsidRPr="00C3205F">
        <w:t>SCE Application</w:t>
      </w:r>
      <w:r w:rsidR="005D5DB1">
        <w:t xml:space="preserve"> at </w:t>
      </w:r>
      <w:r w:rsidRPr="00C3205F">
        <w:t>17.</w:t>
      </w:r>
    </w:p>
  </w:footnote>
  <w:footnote w:id="34">
    <w:p w14:paraId="541E456D" w14:textId="089B383E" w:rsidR="00C3205F" w:rsidRPr="00C3205F" w:rsidRDefault="00C3205F" w:rsidP="00C3205F">
      <w:pPr>
        <w:pStyle w:val="FootnoteText"/>
      </w:pPr>
      <w:r>
        <w:rPr>
          <w:rStyle w:val="FootnoteReference"/>
        </w:rPr>
        <w:footnoteRef/>
      </w:r>
      <w:r>
        <w:t xml:space="preserve"> </w:t>
      </w:r>
      <w:r w:rsidRPr="00C3205F">
        <w:t>SCE Ex</w:t>
      </w:r>
      <w:r w:rsidR="003B5862">
        <w:noBreakHyphen/>
      </w:r>
      <w:r w:rsidRPr="00C3205F">
        <w:t>09</w:t>
      </w:r>
      <w:r w:rsidR="005D5DB1">
        <w:t xml:space="preserve"> at </w:t>
      </w:r>
      <w:r w:rsidRPr="00C3205F">
        <w:t>17.</w:t>
      </w:r>
    </w:p>
  </w:footnote>
  <w:footnote w:id="35">
    <w:p w14:paraId="35A5DC5D" w14:textId="55A7CA2F" w:rsidR="00F00CED" w:rsidRPr="00F00CED" w:rsidRDefault="00F00CED" w:rsidP="00F00CED">
      <w:pPr>
        <w:pStyle w:val="FootnoteText"/>
      </w:pPr>
      <w:r>
        <w:rPr>
          <w:rStyle w:val="FootnoteReference"/>
        </w:rPr>
        <w:footnoteRef/>
      </w:r>
      <w:r>
        <w:t xml:space="preserve"> </w:t>
      </w:r>
      <w:r w:rsidRPr="00F00CED">
        <w:t>SCE Application</w:t>
      </w:r>
      <w:r w:rsidR="005D5DB1">
        <w:t xml:space="preserve"> at </w:t>
      </w:r>
      <w:r w:rsidRPr="00F00CED">
        <w:t>14</w:t>
      </w:r>
      <w:r w:rsidR="003B5862">
        <w:noBreakHyphen/>
      </w:r>
      <w:r w:rsidRPr="00F00CED">
        <w:t>15.</w:t>
      </w:r>
    </w:p>
  </w:footnote>
  <w:footnote w:id="36">
    <w:p w14:paraId="605C882F" w14:textId="3C2FB009" w:rsidR="00F00CED" w:rsidRPr="00F00CED" w:rsidRDefault="00F00CED">
      <w:pPr>
        <w:pStyle w:val="FootnoteText"/>
        <w:rPr>
          <w:lang w:val="en-ZW"/>
        </w:rPr>
      </w:pPr>
      <w:r>
        <w:rPr>
          <w:rStyle w:val="FootnoteReference"/>
        </w:rPr>
        <w:footnoteRef/>
      </w:r>
      <w:r>
        <w:t xml:space="preserve"> </w:t>
      </w:r>
      <w:r w:rsidRPr="00F00CED">
        <w:t>SCE Application</w:t>
      </w:r>
      <w:r w:rsidR="005D5DB1">
        <w:t xml:space="preserve"> at </w:t>
      </w:r>
      <w:r w:rsidRPr="00F00CED">
        <w:t>17.</w:t>
      </w:r>
    </w:p>
  </w:footnote>
  <w:footnote w:id="37">
    <w:p w14:paraId="515F8B22" w14:textId="4E04FF2F" w:rsidR="7E60AC81" w:rsidRDefault="7E60AC81" w:rsidP="00095158">
      <w:pPr>
        <w:pStyle w:val="FootnoteText"/>
      </w:pPr>
      <w:r w:rsidRPr="7E60AC81">
        <w:rPr>
          <w:rStyle w:val="FootnoteReference"/>
        </w:rPr>
        <w:footnoteRef/>
      </w:r>
      <w:r>
        <w:t xml:space="preserve"> SCE Ex</w:t>
      </w:r>
      <w:r w:rsidR="003B5862">
        <w:noBreakHyphen/>
      </w:r>
      <w:r>
        <w:t>14</w:t>
      </w:r>
      <w:r w:rsidR="005D5DB1">
        <w:t xml:space="preserve"> at </w:t>
      </w:r>
      <w:r>
        <w:t>2</w:t>
      </w:r>
      <w:r w:rsidR="00095158">
        <w:t>.</w:t>
      </w:r>
    </w:p>
  </w:footnote>
  <w:footnote w:id="38">
    <w:p w14:paraId="276278FF" w14:textId="1970C22C" w:rsidR="00357E08" w:rsidRPr="00357E08" w:rsidRDefault="00357E08">
      <w:pPr>
        <w:pStyle w:val="FootnoteText"/>
        <w:rPr>
          <w:lang w:val="en-ZW"/>
        </w:rPr>
      </w:pPr>
      <w:r>
        <w:rPr>
          <w:rStyle w:val="FootnoteReference"/>
        </w:rPr>
        <w:footnoteRef/>
      </w:r>
      <w:r>
        <w:t xml:space="preserve"> </w:t>
      </w:r>
      <w:r w:rsidR="00BA51A4">
        <w:t xml:space="preserve">Joint </w:t>
      </w:r>
      <w:r>
        <w:rPr>
          <w:lang w:val="en-ZW"/>
        </w:rPr>
        <w:t>Motion</w:t>
      </w:r>
      <w:r w:rsidR="00F00CED">
        <w:rPr>
          <w:lang w:val="en-ZW"/>
        </w:rPr>
        <w:t xml:space="preserve"> for Settlement</w:t>
      </w:r>
      <w:r w:rsidR="005D5DB1">
        <w:rPr>
          <w:lang w:val="en-ZW"/>
        </w:rPr>
        <w:t xml:space="preserve"> at </w:t>
      </w:r>
      <w:r>
        <w:rPr>
          <w:lang w:val="en-ZW"/>
        </w:rPr>
        <w:t>5</w:t>
      </w:r>
      <w:r w:rsidR="003B5862">
        <w:rPr>
          <w:lang w:val="en-ZW"/>
        </w:rPr>
        <w:noBreakHyphen/>
      </w:r>
      <w:r>
        <w:rPr>
          <w:lang w:val="en-ZW"/>
        </w:rPr>
        <w:t>6.</w:t>
      </w:r>
    </w:p>
  </w:footnote>
  <w:footnote w:id="39">
    <w:p w14:paraId="35C5CB60" w14:textId="477A9537" w:rsidR="00357E08" w:rsidRPr="00357E08" w:rsidRDefault="00357E08" w:rsidP="00357E08">
      <w:pPr>
        <w:pStyle w:val="FootnoteText"/>
        <w:rPr>
          <w:lang w:val="en-ZW"/>
        </w:rPr>
      </w:pPr>
      <w:r>
        <w:rPr>
          <w:rStyle w:val="FootnoteReference"/>
        </w:rPr>
        <w:footnoteRef/>
      </w:r>
      <w:r>
        <w:t xml:space="preserve"> </w:t>
      </w:r>
      <w:r w:rsidR="00BA51A4">
        <w:t xml:space="preserve">Joint </w:t>
      </w:r>
      <w:r>
        <w:rPr>
          <w:lang w:val="en-ZW"/>
        </w:rPr>
        <w:t xml:space="preserve">Motion </w:t>
      </w:r>
      <w:r w:rsidR="00F00CED">
        <w:rPr>
          <w:lang w:val="en-ZW"/>
        </w:rPr>
        <w:t>for Settlement</w:t>
      </w:r>
      <w:r w:rsidR="005D5DB1">
        <w:rPr>
          <w:lang w:val="en-ZW"/>
        </w:rPr>
        <w:t xml:space="preserve"> at </w:t>
      </w:r>
      <w:r>
        <w:rPr>
          <w:lang w:val="en-ZW"/>
        </w:rPr>
        <w:t>5</w:t>
      </w:r>
      <w:r w:rsidR="003B5862">
        <w:rPr>
          <w:lang w:val="en-ZW"/>
        </w:rPr>
        <w:noBreakHyphen/>
      </w:r>
      <w:r>
        <w:rPr>
          <w:lang w:val="en-ZW"/>
        </w:rPr>
        <w:t>6.</w:t>
      </w:r>
    </w:p>
  </w:footnote>
  <w:footnote w:id="40">
    <w:p w14:paraId="5C7C0267" w14:textId="6028E34F" w:rsidR="00357E08" w:rsidRPr="00357E08" w:rsidRDefault="00357E08" w:rsidP="00357E08">
      <w:pPr>
        <w:pStyle w:val="FootnoteText"/>
        <w:rPr>
          <w:lang w:val="en-ZW"/>
        </w:rPr>
      </w:pPr>
      <w:r>
        <w:rPr>
          <w:rStyle w:val="FootnoteReference"/>
        </w:rPr>
        <w:footnoteRef/>
      </w:r>
      <w:r>
        <w:t xml:space="preserve"> </w:t>
      </w:r>
      <w:r w:rsidR="00BA51A4">
        <w:t xml:space="preserve">Joint </w:t>
      </w:r>
      <w:r>
        <w:rPr>
          <w:lang w:val="en-ZW"/>
        </w:rPr>
        <w:t xml:space="preserve">Motion </w:t>
      </w:r>
      <w:r w:rsidR="00F00CED">
        <w:rPr>
          <w:lang w:val="en-ZW"/>
        </w:rPr>
        <w:t>for Settlement</w:t>
      </w:r>
      <w:r w:rsidR="005D5DB1">
        <w:rPr>
          <w:lang w:val="en-ZW"/>
        </w:rPr>
        <w:t xml:space="preserve"> at </w:t>
      </w:r>
      <w:r>
        <w:rPr>
          <w:lang w:val="en-ZW"/>
        </w:rPr>
        <w:t>5</w:t>
      </w:r>
      <w:r w:rsidR="003B5862">
        <w:rPr>
          <w:lang w:val="en-ZW"/>
        </w:rPr>
        <w:noBreakHyphen/>
      </w:r>
      <w:r>
        <w:rPr>
          <w:lang w:val="en-ZW"/>
        </w:rPr>
        <w:t>6.</w:t>
      </w:r>
    </w:p>
  </w:footnote>
  <w:footnote w:id="41">
    <w:p w14:paraId="4C560815" w14:textId="2CF5A7C2" w:rsidR="00357E08" w:rsidRPr="00357E08" w:rsidRDefault="00357E08" w:rsidP="00357E08">
      <w:pPr>
        <w:pStyle w:val="FootnoteText"/>
        <w:rPr>
          <w:lang w:val="en-ZW"/>
        </w:rPr>
      </w:pPr>
      <w:r>
        <w:rPr>
          <w:rStyle w:val="FootnoteReference"/>
        </w:rPr>
        <w:footnoteRef/>
      </w:r>
      <w:r>
        <w:t xml:space="preserve"> </w:t>
      </w:r>
      <w:r w:rsidR="00BA51A4">
        <w:t xml:space="preserve">Joint </w:t>
      </w:r>
      <w:r>
        <w:rPr>
          <w:lang w:val="en-ZW"/>
        </w:rPr>
        <w:t xml:space="preserve">Motion </w:t>
      </w:r>
      <w:r w:rsidR="00F00CED">
        <w:rPr>
          <w:lang w:val="en-ZW"/>
        </w:rPr>
        <w:t>for Settlement</w:t>
      </w:r>
      <w:r w:rsidR="005D5DB1">
        <w:rPr>
          <w:lang w:val="en-ZW"/>
        </w:rPr>
        <w:t xml:space="preserve"> at </w:t>
      </w:r>
      <w:r>
        <w:rPr>
          <w:lang w:val="en-ZW"/>
        </w:rPr>
        <w:t>5</w:t>
      </w:r>
      <w:r w:rsidR="003B5862">
        <w:rPr>
          <w:lang w:val="en-ZW"/>
        </w:rPr>
        <w:noBreakHyphen/>
      </w:r>
      <w:r>
        <w:rPr>
          <w:lang w:val="en-ZW"/>
        </w:rPr>
        <w:t>6.</w:t>
      </w:r>
    </w:p>
  </w:footnote>
  <w:footnote w:id="42">
    <w:p w14:paraId="13CF6DD1" w14:textId="73D1B83E" w:rsidR="00357E08" w:rsidRPr="00357E08" w:rsidRDefault="00357E08" w:rsidP="00357E08">
      <w:pPr>
        <w:pStyle w:val="FootnoteText"/>
        <w:rPr>
          <w:lang w:val="en-ZW"/>
        </w:rPr>
      </w:pPr>
      <w:r>
        <w:rPr>
          <w:rStyle w:val="FootnoteReference"/>
        </w:rPr>
        <w:footnoteRef/>
      </w:r>
      <w:r>
        <w:t xml:space="preserve"> </w:t>
      </w:r>
      <w:r w:rsidR="00BA51A4">
        <w:t xml:space="preserve">Joint </w:t>
      </w:r>
      <w:r>
        <w:rPr>
          <w:lang w:val="en-ZW"/>
        </w:rPr>
        <w:t xml:space="preserve">Motion </w:t>
      </w:r>
      <w:r w:rsidR="00F77EFA">
        <w:rPr>
          <w:lang w:val="en-ZW"/>
        </w:rPr>
        <w:t>for Settlement</w:t>
      </w:r>
      <w:r w:rsidR="005D5DB1">
        <w:rPr>
          <w:lang w:val="en-ZW"/>
        </w:rPr>
        <w:t xml:space="preserve"> at </w:t>
      </w:r>
      <w:r>
        <w:rPr>
          <w:lang w:val="en-ZW"/>
        </w:rPr>
        <w:t>5</w:t>
      </w:r>
      <w:r w:rsidR="003B5862">
        <w:rPr>
          <w:lang w:val="en-ZW"/>
        </w:rPr>
        <w:noBreakHyphen/>
      </w:r>
      <w:r>
        <w:rPr>
          <w:lang w:val="en-ZW"/>
        </w:rPr>
        <w:t>6.</w:t>
      </w:r>
    </w:p>
  </w:footnote>
  <w:footnote w:id="43">
    <w:p w14:paraId="430997F8" w14:textId="4C57BB8F" w:rsidR="00357E08" w:rsidRPr="00357E08" w:rsidRDefault="00357E08" w:rsidP="00357E08">
      <w:pPr>
        <w:pStyle w:val="FootnoteText"/>
        <w:rPr>
          <w:lang w:val="en-ZW"/>
        </w:rPr>
      </w:pPr>
      <w:r>
        <w:rPr>
          <w:rStyle w:val="FootnoteReference"/>
        </w:rPr>
        <w:footnoteRef/>
      </w:r>
      <w:r>
        <w:t xml:space="preserve"> </w:t>
      </w:r>
      <w:r w:rsidR="00BA51A4">
        <w:t xml:space="preserve">Joint </w:t>
      </w:r>
      <w:r>
        <w:rPr>
          <w:lang w:val="en-ZW"/>
        </w:rPr>
        <w:t xml:space="preserve">Motion </w:t>
      </w:r>
      <w:r w:rsidR="00F77EFA">
        <w:rPr>
          <w:lang w:val="en-ZW"/>
        </w:rPr>
        <w:t>for Settlement</w:t>
      </w:r>
      <w:r w:rsidR="005D5DB1">
        <w:rPr>
          <w:lang w:val="en-ZW"/>
        </w:rPr>
        <w:t xml:space="preserve"> at </w:t>
      </w:r>
      <w:r>
        <w:rPr>
          <w:lang w:val="en-ZW"/>
        </w:rPr>
        <w:t>5</w:t>
      </w:r>
      <w:r w:rsidR="003B5862">
        <w:rPr>
          <w:lang w:val="en-ZW"/>
        </w:rPr>
        <w:noBreakHyphen/>
      </w:r>
      <w:r>
        <w:rPr>
          <w:lang w:val="en-ZW"/>
        </w:rPr>
        <w:t>6.</w:t>
      </w:r>
    </w:p>
  </w:footnote>
  <w:footnote w:id="44">
    <w:p w14:paraId="7B9F27CD" w14:textId="46D4E3AB" w:rsidR="00357E08" w:rsidRPr="00357E08" w:rsidRDefault="00357E08" w:rsidP="00357E08">
      <w:pPr>
        <w:pStyle w:val="FootnoteText"/>
        <w:rPr>
          <w:lang w:val="en-ZW"/>
        </w:rPr>
      </w:pPr>
      <w:r>
        <w:rPr>
          <w:rStyle w:val="FootnoteReference"/>
        </w:rPr>
        <w:footnoteRef/>
      </w:r>
      <w:r>
        <w:t xml:space="preserve"> </w:t>
      </w:r>
      <w:r w:rsidR="00BA51A4">
        <w:t xml:space="preserve">Joint </w:t>
      </w:r>
      <w:r>
        <w:rPr>
          <w:lang w:val="en-ZW"/>
        </w:rPr>
        <w:t xml:space="preserve">Motion </w:t>
      </w:r>
      <w:r w:rsidR="00F77EFA">
        <w:rPr>
          <w:lang w:val="en-ZW"/>
        </w:rPr>
        <w:t>for Settlement</w:t>
      </w:r>
      <w:r w:rsidR="005D5DB1">
        <w:rPr>
          <w:lang w:val="en-ZW"/>
        </w:rPr>
        <w:t xml:space="preserve"> at </w:t>
      </w:r>
      <w:r>
        <w:rPr>
          <w:lang w:val="en-ZW"/>
        </w:rPr>
        <w:t>5</w:t>
      </w:r>
      <w:r w:rsidR="003B5862">
        <w:rPr>
          <w:lang w:val="en-ZW"/>
        </w:rPr>
        <w:noBreakHyphen/>
      </w:r>
      <w:r>
        <w:rPr>
          <w:lang w:val="en-ZW"/>
        </w:rPr>
        <w:t>6.</w:t>
      </w:r>
    </w:p>
  </w:footnote>
  <w:footnote w:id="45">
    <w:p w14:paraId="55180ACD" w14:textId="5499B6A2" w:rsidR="00357E08" w:rsidRPr="00357E08" w:rsidRDefault="00357E08" w:rsidP="00357E08">
      <w:pPr>
        <w:pStyle w:val="FootnoteText"/>
        <w:rPr>
          <w:lang w:val="en-ZW"/>
        </w:rPr>
      </w:pPr>
      <w:r>
        <w:rPr>
          <w:rStyle w:val="FootnoteReference"/>
        </w:rPr>
        <w:footnoteRef/>
      </w:r>
      <w:r>
        <w:t xml:space="preserve"> </w:t>
      </w:r>
      <w:r w:rsidR="00BA51A4">
        <w:t xml:space="preserve">Joint </w:t>
      </w:r>
      <w:r>
        <w:rPr>
          <w:lang w:val="en-ZW"/>
        </w:rPr>
        <w:t xml:space="preserve">Motion </w:t>
      </w:r>
      <w:r w:rsidR="00F77EFA">
        <w:rPr>
          <w:lang w:val="en-ZW"/>
        </w:rPr>
        <w:t>for Settlement</w:t>
      </w:r>
      <w:r w:rsidR="005D5DB1">
        <w:rPr>
          <w:lang w:val="en-ZW"/>
        </w:rPr>
        <w:t xml:space="preserve"> at </w:t>
      </w:r>
      <w:r>
        <w:rPr>
          <w:lang w:val="en-ZW"/>
        </w:rPr>
        <w:t>5</w:t>
      </w:r>
      <w:r w:rsidR="003B5862">
        <w:rPr>
          <w:lang w:val="en-ZW"/>
        </w:rPr>
        <w:noBreakHyphen/>
      </w:r>
      <w:r>
        <w:rPr>
          <w:lang w:val="en-ZW"/>
        </w:rPr>
        <w:t>6.</w:t>
      </w:r>
    </w:p>
  </w:footnote>
  <w:footnote w:id="46">
    <w:p w14:paraId="35C9C805" w14:textId="543CFDDE" w:rsidR="00357E08" w:rsidRPr="00357E08" w:rsidRDefault="00357E08" w:rsidP="00357E08">
      <w:pPr>
        <w:pStyle w:val="FootnoteText"/>
        <w:rPr>
          <w:lang w:val="en-ZW"/>
        </w:rPr>
      </w:pPr>
      <w:r>
        <w:rPr>
          <w:rStyle w:val="FootnoteReference"/>
        </w:rPr>
        <w:footnoteRef/>
      </w:r>
      <w:r>
        <w:t xml:space="preserve"> </w:t>
      </w:r>
      <w:r w:rsidR="00F77EFA">
        <w:t xml:space="preserve">Joint </w:t>
      </w:r>
      <w:r>
        <w:rPr>
          <w:lang w:val="en-ZW"/>
        </w:rPr>
        <w:t xml:space="preserve">Motion </w:t>
      </w:r>
      <w:r w:rsidR="00F77EFA">
        <w:rPr>
          <w:lang w:val="en-ZW"/>
        </w:rPr>
        <w:t>for Settlement</w:t>
      </w:r>
      <w:r w:rsidR="005D5DB1">
        <w:rPr>
          <w:lang w:val="en-ZW"/>
        </w:rPr>
        <w:t xml:space="preserve"> at </w:t>
      </w:r>
      <w:r>
        <w:rPr>
          <w:lang w:val="en-ZW"/>
        </w:rPr>
        <w:t>5</w:t>
      </w:r>
      <w:r w:rsidR="003B5862">
        <w:rPr>
          <w:lang w:val="en-ZW"/>
        </w:rPr>
        <w:noBreakHyphen/>
      </w:r>
      <w:r>
        <w:rPr>
          <w:lang w:val="en-ZW"/>
        </w:rPr>
        <w:t>6</w:t>
      </w:r>
      <w:r w:rsidR="00D353E8">
        <w:rPr>
          <w:lang w:val="en-ZW"/>
        </w:rPr>
        <w:t xml:space="preserve"> and</w:t>
      </w:r>
      <w:r>
        <w:rPr>
          <w:lang w:val="en-ZW"/>
        </w:rPr>
        <w:t xml:space="preserve"> </w:t>
      </w:r>
      <w:r w:rsidR="00D410B4">
        <w:rPr>
          <w:lang w:val="en-ZW"/>
        </w:rPr>
        <w:t>fn. </w:t>
      </w:r>
      <w:r>
        <w:rPr>
          <w:lang w:val="en-ZW"/>
        </w:rPr>
        <w:t xml:space="preserve">5, </w:t>
      </w:r>
      <w:r w:rsidRPr="00F77EFA">
        <w:rPr>
          <w:i/>
          <w:iCs/>
          <w:lang w:val="en-ZW"/>
        </w:rPr>
        <w:t>citing to</w:t>
      </w:r>
      <w:r w:rsidR="00F77EFA">
        <w:rPr>
          <w:lang w:val="en-ZW"/>
        </w:rPr>
        <w:t xml:space="preserve"> </w:t>
      </w:r>
      <w:r w:rsidRPr="00357E08">
        <w:t>D.18</w:t>
      </w:r>
      <w:r w:rsidR="003B5862">
        <w:noBreakHyphen/>
      </w:r>
      <w:r w:rsidRPr="00357E08">
        <w:t>04</w:t>
      </w:r>
      <w:r w:rsidR="003B5862">
        <w:noBreakHyphen/>
      </w:r>
      <w:r w:rsidRPr="00357E08">
        <w:t xml:space="preserve">001, </w:t>
      </w:r>
      <w:r w:rsidRPr="00357E08">
        <w:rPr>
          <w:i/>
          <w:iCs/>
        </w:rPr>
        <w:t>Decision Authorizing Southern California Edison Company to Establish a Wildfire Expense Memorandum Account</w:t>
      </w:r>
      <w:r w:rsidR="00100B83">
        <w:rPr>
          <w:i/>
          <w:iCs/>
        </w:rPr>
        <w:t xml:space="preserve"> (</w:t>
      </w:r>
      <w:r w:rsidR="009453BA">
        <w:t>April </w:t>
      </w:r>
      <w:r w:rsidRPr="00357E08">
        <w:t>4,</w:t>
      </w:r>
      <w:r w:rsidR="00F77EFA">
        <w:t xml:space="preserve"> 2018</w:t>
      </w:r>
      <w:r w:rsidR="00100B83">
        <w:t>)</w:t>
      </w:r>
      <w:r w:rsidR="005D5DB1">
        <w:t xml:space="preserve"> at </w:t>
      </w:r>
      <w:r w:rsidRPr="00357E08">
        <w:t>10.</w:t>
      </w:r>
    </w:p>
  </w:footnote>
  <w:footnote w:id="47">
    <w:p w14:paraId="05453068" w14:textId="4287067E" w:rsidR="00CE0484" w:rsidRPr="00357E08" w:rsidRDefault="00CE0484" w:rsidP="00CE0484">
      <w:pPr>
        <w:pStyle w:val="FootnoteText"/>
        <w:rPr>
          <w:lang w:val="en-ZW"/>
        </w:rPr>
      </w:pPr>
      <w:r>
        <w:rPr>
          <w:rStyle w:val="FootnoteReference"/>
        </w:rPr>
        <w:footnoteRef/>
      </w:r>
      <w:r>
        <w:t xml:space="preserve"> </w:t>
      </w:r>
      <w:r w:rsidR="00BA51A4">
        <w:t xml:space="preserve">Joint </w:t>
      </w:r>
      <w:r>
        <w:rPr>
          <w:lang w:val="en-ZW"/>
        </w:rPr>
        <w:t xml:space="preserve">Motion </w:t>
      </w:r>
      <w:r w:rsidR="00F77EFA">
        <w:rPr>
          <w:lang w:val="en-ZW"/>
        </w:rPr>
        <w:t>for Settlement</w:t>
      </w:r>
      <w:r w:rsidR="005D5DB1">
        <w:rPr>
          <w:lang w:val="en-ZW"/>
        </w:rPr>
        <w:t xml:space="preserve"> at </w:t>
      </w:r>
      <w:r>
        <w:rPr>
          <w:lang w:val="en-ZW"/>
        </w:rPr>
        <w:t>5</w:t>
      </w:r>
      <w:r w:rsidR="003B5862">
        <w:rPr>
          <w:lang w:val="en-ZW"/>
        </w:rPr>
        <w:noBreakHyphen/>
      </w:r>
      <w:r>
        <w:rPr>
          <w:lang w:val="en-ZW"/>
        </w:rPr>
        <w:t>6</w:t>
      </w:r>
      <w:r w:rsidRPr="00357E08">
        <w:t>.</w:t>
      </w:r>
    </w:p>
  </w:footnote>
  <w:footnote w:id="48">
    <w:p w14:paraId="714CA023" w14:textId="130CA49F" w:rsidR="00CE0484" w:rsidRPr="00357E08" w:rsidRDefault="00CE0484" w:rsidP="00CE0484">
      <w:pPr>
        <w:pStyle w:val="FootnoteText"/>
        <w:rPr>
          <w:lang w:val="en-ZW"/>
        </w:rPr>
      </w:pPr>
      <w:r>
        <w:rPr>
          <w:rStyle w:val="FootnoteReference"/>
        </w:rPr>
        <w:footnoteRef/>
      </w:r>
      <w:r>
        <w:t xml:space="preserve"> </w:t>
      </w:r>
      <w:r w:rsidR="00BA51A4">
        <w:t xml:space="preserve">Joint </w:t>
      </w:r>
      <w:r>
        <w:rPr>
          <w:lang w:val="en-ZW"/>
        </w:rPr>
        <w:t xml:space="preserve">Motion </w:t>
      </w:r>
      <w:r w:rsidR="00F77EFA">
        <w:rPr>
          <w:lang w:val="en-ZW"/>
        </w:rPr>
        <w:t>for Settlement</w:t>
      </w:r>
      <w:r w:rsidR="005D5DB1">
        <w:rPr>
          <w:lang w:val="en-ZW"/>
        </w:rPr>
        <w:t xml:space="preserve"> at </w:t>
      </w:r>
      <w:r>
        <w:rPr>
          <w:lang w:val="en-ZW"/>
        </w:rPr>
        <w:t>5</w:t>
      </w:r>
      <w:r w:rsidR="003B5862">
        <w:rPr>
          <w:lang w:val="en-ZW"/>
        </w:rPr>
        <w:noBreakHyphen/>
      </w:r>
      <w:r>
        <w:rPr>
          <w:lang w:val="en-ZW"/>
        </w:rPr>
        <w:t>6</w:t>
      </w:r>
      <w:r w:rsidRPr="00357E08">
        <w:t>.</w:t>
      </w:r>
    </w:p>
  </w:footnote>
  <w:footnote w:id="49">
    <w:p w14:paraId="16ACAEAF" w14:textId="58C83B33" w:rsidR="00CE0484" w:rsidRPr="00357E08" w:rsidRDefault="00CE0484" w:rsidP="00CE0484">
      <w:pPr>
        <w:pStyle w:val="FootnoteText"/>
        <w:rPr>
          <w:lang w:val="en-ZW"/>
        </w:rPr>
      </w:pPr>
      <w:r>
        <w:rPr>
          <w:rStyle w:val="FootnoteReference"/>
        </w:rPr>
        <w:footnoteRef/>
      </w:r>
      <w:r>
        <w:t xml:space="preserve"> </w:t>
      </w:r>
      <w:r w:rsidR="00BA51A4">
        <w:t xml:space="preserve">Joint </w:t>
      </w:r>
      <w:r>
        <w:rPr>
          <w:lang w:val="en-ZW"/>
        </w:rPr>
        <w:t>Motion</w:t>
      </w:r>
      <w:r w:rsidR="00100B83">
        <w:rPr>
          <w:lang w:val="en-ZW"/>
        </w:rPr>
        <w:t xml:space="preserve"> for Settlement</w:t>
      </w:r>
      <w:r w:rsidR="005D5DB1">
        <w:rPr>
          <w:lang w:val="en-ZW"/>
        </w:rPr>
        <w:t xml:space="preserve"> at </w:t>
      </w:r>
      <w:r>
        <w:rPr>
          <w:lang w:val="en-ZW"/>
        </w:rPr>
        <w:t>5</w:t>
      </w:r>
      <w:r w:rsidR="003B5862">
        <w:rPr>
          <w:lang w:val="en-ZW"/>
        </w:rPr>
        <w:noBreakHyphen/>
      </w:r>
      <w:r>
        <w:rPr>
          <w:lang w:val="en-ZW"/>
        </w:rPr>
        <w:t>6</w:t>
      </w:r>
      <w:r w:rsidR="00100B83">
        <w:t xml:space="preserve">, </w:t>
      </w:r>
      <w:r w:rsidR="00100B83" w:rsidRPr="00100B83">
        <w:rPr>
          <w:i/>
          <w:iCs/>
        </w:rPr>
        <w:t>citing to</w:t>
      </w:r>
      <w:r w:rsidR="00100B83">
        <w:t xml:space="preserve"> </w:t>
      </w:r>
      <w:r w:rsidRPr="00CE0484">
        <w:t>C</w:t>
      </w:r>
      <w:r w:rsidR="00D8321C">
        <w:t>PUC</w:t>
      </w:r>
      <w:r w:rsidRPr="00CE0484">
        <w:t xml:space="preserve"> </w:t>
      </w:r>
      <w:r w:rsidR="00F52702">
        <w:t>Resolution </w:t>
      </w:r>
      <w:r w:rsidRPr="00CE0484">
        <w:t>E</w:t>
      </w:r>
      <w:r w:rsidR="003B5862">
        <w:noBreakHyphen/>
      </w:r>
      <w:r w:rsidRPr="00CE0484">
        <w:t xml:space="preserve">3238, </w:t>
      </w:r>
      <w:r w:rsidRPr="00CE0484">
        <w:rPr>
          <w:i/>
          <w:iCs/>
        </w:rPr>
        <w:t>Order Authorizing All Utilities to Establish Catastrophic Event Memorandum Accounts, as Defined, to Record Costs Resulting from Declared Disasters</w:t>
      </w:r>
      <w:r w:rsidR="00613C6F">
        <w:t xml:space="preserve"> (</w:t>
      </w:r>
      <w:r w:rsidR="009453BA">
        <w:t>July </w:t>
      </w:r>
      <w:r w:rsidRPr="00CE0484">
        <w:t>24, 1991</w:t>
      </w:r>
      <w:r w:rsidR="00613C6F">
        <w:t>)</w:t>
      </w:r>
      <w:r w:rsidR="005D5DB1">
        <w:t xml:space="preserve"> at </w:t>
      </w:r>
      <w:r w:rsidRPr="00CE0484">
        <w:t>1.</w:t>
      </w:r>
    </w:p>
  </w:footnote>
  <w:footnote w:id="50">
    <w:p w14:paraId="100F80CF" w14:textId="0DCBD55F" w:rsidR="0074071A" w:rsidRPr="0074071A" w:rsidRDefault="0074071A">
      <w:pPr>
        <w:pStyle w:val="FootnoteText"/>
        <w:rPr>
          <w:lang w:val="en-ZW"/>
        </w:rPr>
      </w:pPr>
      <w:r>
        <w:rPr>
          <w:rStyle w:val="FootnoteReference"/>
        </w:rPr>
        <w:footnoteRef/>
      </w:r>
      <w:r>
        <w:t xml:space="preserve"> </w:t>
      </w:r>
      <w:r>
        <w:rPr>
          <w:lang w:val="en-ZW"/>
        </w:rPr>
        <w:t>SCE Application</w:t>
      </w:r>
      <w:r w:rsidR="005D5DB1">
        <w:rPr>
          <w:lang w:val="en-ZW"/>
        </w:rPr>
        <w:t xml:space="preserve"> at </w:t>
      </w:r>
      <w:r>
        <w:rPr>
          <w:lang w:val="en-ZW"/>
        </w:rPr>
        <w:t>6.</w:t>
      </w:r>
    </w:p>
  </w:footnote>
  <w:footnote w:id="51">
    <w:p w14:paraId="4DE64639" w14:textId="46BB8D98" w:rsidR="0074071A" w:rsidRPr="000A6499" w:rsidRDefault="0074071A" w:rsidP="000A6499">
      <w:pPr>
        <w:pStyle w:val="FootnoteText"/>
      </w:pPr>
      <w:r>
        <w:rPr>
          <w:rStyle w:val="FootnoteReference"/>
        </w:rPr>
        <w:footnoteRef/>
      </w:r>
      <w:r>
        <w:t xml:space="preserve"> </w:t>
      </w:r>
      <w:r>
        <w:rPr>
          <w:lang w:val="en-ZW"/>
        </w:rPr>
        <w:t>SCE Application</w:t>
      </w:r>
      <w:r w:rsidR="005D5DB1">
        <w:rPr>
          <w:lang w:val="en-ZW"/>
        </w:rPr>
        <w:t xml:space="preserve"> at </w:t>
      </w:r>
      <w:r>
        <w:rPr>
          <w:lang w:val="en-ZW"/>
        </w:rPr>
        <w:t>6</w:t>
      </w:r>
      <w:r w:rsidRPr="0074071A">
        <w:rPr>
          <w:lang w:val="en-ZW"/>
        </w:rPr>
        <w:t>,</w:t>
      </w:r>
      <w:r w:rsidRPr="0074071A">
        <w:rPr>
          <w:i/>
          <w:iCs/>
          <w:lang w:val="en-ZW"/>
        </w:rPr>
        <w:t xml:space="preserve"> citing to</w:t>
      </w:r>
      <w:r>
        <w:rPr>
          <w:lang w:val="en-ZW"/>
        </w:rPr>
        <w:t xml:space="preserve"> </w:t>
      </w:r>
      <w:r w:rsidRPr="0074071A">
        <w:t>SCE</w:t>
      </w:r>
      <w:r>
        <w:t xml:space="preserve"> Ex</w:t>
      </w:r>
      <w:r w:rsidR="003B5862">
        <w:noBreakHyphen/>
      </w:r>
      <w:r w:rsidRPr="0074071A">
        <w:t>06</w:t>
      </w:r>
      <w:r w:rsidR="000A6499">
        <w:t>; SCE Application</w:t>
      </w:r>
      <w:r w:rsidR="005D5DB1">
        <w:t xml:space="preserve"> at </w:t>
      </w:r>
      <w:r w:rsidR="000A6499">
        <w:t xml:space="preserve">7, stating </w:t>
      </w:r>
      <w:r w:rsidR="00BE4878">
        <w:t>“</w:t>
      </w:r>
      <w:r w:rsidR="000A6499" w:rsidRPr="000A6499">
        <w:t>SCE believes the doctrine of inverse condemnation has been misapplied by California</w:t>
      </w:r>
      <w:r w:rsidR="000A6499">
        <w:t xml:space="preserve"> </w:t>
      </w:r>
      <w:r w:rsidR="000A6499" w:rsidRPr="000A6499">
        <w:t>courts, and SCE continues to contest the application of that doctrine to investor</w:t>
      </w:r>
      <w:r w:rsidR="003B5862">
        <w:noBreakHyphen/>
      </w:r>
      <w:r w:rsidR="000A6499" w:rsidRPr="000A6499">
        <w:t>owned utilities.</w:t>
      </w:r>
      <w:r w:rsidR="000A6499">
        <w:t xml:space="preserve"> </w:t>
      </w:r>
      <w:r w:rsidR="000A6499" w:rsidRPr="000A6499">
        <w:t>Nevertheless, up to now, the courts have elected not to limit inverse condemnation claims</w:t>
      </w:r>
      <w:r w:rsidR="000A6499">
        <w:t xml:space="preserve"> (f</w:t>
      </w:r>
      <w:r w:rsidR="00D8321C">
        <w:t>n.</w:t>
      </w:r>
      <w:r w:rsidR="000A6499">
        <w:t xml:space="preserve"> omitted)</w:t>
      </w:r>
      <w:r w:rsidR="000A6499" w:rsidRPr="000A6499">
        <w:t>,</w:t>
      </w:r>
      <w:r w:rsidR="000A6499">
        <w:t xml:space="preserve"> </w:t>
      </w:r>
      <w:r w:rsidR="000A6499" w:rsidRPr="000A6499">
        <w:t>compelling SCE to address claims arising from the Woolsey Fire under the prevailing standard.</w:t>
      </w:r>
      <w:r w:rsidR="00BE4878">
        <w:t>”</w:t>
      </w:r>
    </w:p>
  </w:footnote>
  <w:footnote w:id="52">
    <w:p w14:paraId="10207322" w14:textId="71E59E47" w:rsidR="000A6499" w:rsidRPr="000A6499" w:rsidRDefault="000A6499">
      <w:pPr>
        <w:pStyle w:val="FootnoteText"/>
        <w:rPr>
          <w:lang w:val="en-ZW"/>
        </w:rPr>
      </w:pPr>
      <w:r>
        <w:rPr>
          <w:rStyle w:val="FootnoteReference"/>
        </w:rPr>
        <w:footnoteRef/>
      </w:r>
      <w:r>
        <w:t xml:space="preserve"> </w:t>
      </w:r>
      <w:r>
        <w:rPr>
          <w:lang w:val="en-ZW"/>
        </w:rPr>
        <w:t>SCE Application</w:t>
      </w:r>
      <w:r w:rsidR="005D5DB1">
        <w:rPr>
          <w:lang w:val="en-ZW"/>
        </w:rPr>
        <w:t xml:space="preserve"> at </w:t>
      </w:r>
      <w:r>
        <w:rPr>
          <w:lang w:val="en-ZW"/>
        </w:rPr>
        <w:t>6.</w:t>
      </w:r>
    </w:p>
  </w:footnote>
  <w:footnote w:id="53">
    <w:p w14:paraId="4EE462AC" w14:textId="474F6B63" w:rsidR="000A6499" w:rsidRPr="000A6499" w:rsidRDefault="000A6499">
      <w:pPr>
        <w:pStyle w:val="FootnoteText"/>
        <w:rPr>
          <w:lang w:val="en-ZW"/>
        </w:rPr>
      </w:pPr>
      <w:r>
        <w:rPr>
          <w:rStyle w:val="FootnoteReference"/>
        </w:rPr>
        <w:footnoteRef/>
      </w:r>
      <w:r>
        <w:t xml:space="preserve"> </w:t>
      </w:r>
      <w:r>
        <w:rPr>
          <w:lang w:val="en-ZW"/>
        </w:rPr>
        <w:t>SCE Application</w:t>
      </w:r>
      <w:r w:rsidR="005D5DB1">
        <w:rPr>
          <w:lang w:val="en-ZW"/>
        </w:rPr>
        <w:t xml:space="preserve"> at </w:t>
      </w:r>
      <w:r>
        <w:rPr>
          <w:lang w:val="en-ZW"/>
        </w:rPr>
        <w:t>6.</w:t>
      </w:r>
    </w:p>
  </w:footnote>
  <w:footnote w:id="54">
    <w:p w14:paraId="2A764107" w14:textId="0515606F" w:rsidR="000A6499" w:rsidRPr="000A6499" w:rsidRDefault="000A6499">
      <w:pPr>
        <w:pStyle w:val="FootnoteText"/>
        <w:rPr>
          <w:lang w:val="en-ZW"/>
        </w:rPr>
      </w:pPr>
      <w:r>
        <w:rPr>
          <w:rStyle w:val="FootnoteReference"/>
        </w:rPr>
        <w:footnoteRef/>
      </w:r>
      <w:r>
        <w:t xml:space="preserve"> </w:t>
      </w:r>
      <w:r w:rsidRPr="000A6499">
        <w:rPr>
          <w:lang w:val="en-ZW"/>
        </w:rPr>
        <w:t>SCE Application</w:t>
      </w:r>
      <w:r w:rsidR="005D5DB1">
        <w:rPr>
          <w:lang w:val="en-ZW"/>
        </w:rPr>
        <w:t xml:space="preserve"> at </w:t>
      </w:r>
      <w:r>
        <w:rPr>
          <w:lang w:val="en-ZW"/>
        </w:rPr>
        <w:t>7.</w:t>
      </w:r>
    </w:p>
  </w:footnote>
  <w:footnote w:id="55">
    <w:p w14:paraId="051E5585" w14:textId="34C0AF28" w:rsidR="004C287E" w:rsidRPr="004C287E" w:rsidRDefault="004C287E">
      <w:pPr>
        <w:pStyle w:val="FootnoteText"/>
        <w:rPr>
          <w:lang w:val="en-ZW"/>
        </w:rPr>
      </w:pPr>
      <w:r>
        <w:rPr>
          <w:rStyle w:val="FootnoteReference"/>
        </w:rPr>
        <w:footnoteRef/>
      </w:r>
      <w:r>
        <w:t xml:space="preserve"> </w:t>
      </w:r>
      <w:r>
        <w:rPr>
          <w:lang w:val="en-ZW"/>
        </w:rPr>
        <w:t>SCE Ex</w:t>
      </w:r>
      <w:r w:rsidR="003B5862">
        <w:rPr>
          <w:lang w:val="en-ZW"/>
        </w:rPr>
        <w:noBreakHyphen/>
      </w:r>
      <w:r>
        <w:rPr>
          <w:lang w:val="en-ZW"/>
        </w:rPr>
        <w:t>09</w:t>
      </w:r>
      <w:r w:rsidR="005D5DB1">
        <w:rPr>
          <w:lang w:val="en-ZW"/>
        </w:rPr>
        <w:t xml:space="preserve"> at </w:t>
      </w:r>
      <w:r>
        <w:rPr>
          <w:lang w:val="en-ZW"/>
        </w:rPr>
        <w:t>16.</w:t>
      </w:r>
    </w:p>
  </w:footnote>
  <w:footnote w:id="56">
    <w:p w14:paraId="69952F06" w14:textId="7694BA51" w:rsidR="009E3FBA" w:rsidRPr="009E3FBA" w:rsidRDefault="009E3FBA">
      <w:pPr>
        <w:pStyle w:val="FootnoteText"/>
        <w:rPr>
          <w:lang w:val="en-ZW"/>
        </w:rPr>
      </w:pPr>
      <w:r>
        <w:rPr>
          <w:rStyle w:val="FootnoteReference"/>
        </w:rPr>
        <w:footnoteRef/>
      </w:r>
      <w:r>
        <w:t xml:space="preserve"> </w:t>
      </w:r>
      <w:r>
        <w:rPr>
          <w:lang w:val="en-ZW"/>
        </w:rPr>
        <w:t>Joint Motion for Settlement</w:t>
      </w:r>
      <w:r w:rsidR="005D5DB1">
        <w:rPr>
          <w:lang w:val="en-ZW"/>
        </w:rPr>
        <w:t xml:space="preserve"> at </w:t>
      </w:r>
      <w:r>
        <w:rPr>
          <w:lang w:val="en-ZW"/>
        </w:rPr>
        <w:t>5.</w:t>
      </w:r>
    </w:p>
  </w:footnote>
  <w:footnote w:id="57">
    <w:p w14:paraId="7CF35FFB" w14:textId="59F02659" w:rsidR="009D634A" w:rsidRPr="009D634A" w:rsidRDefault="009D634A">
      <w:pPr>
        <w:pStyle w:val="FootnoteText"/>
      </w:pPr>
      <w:r>
        <w:rPr>
          <w:rStyle w:val="FootnoteReference"/>
        </w:rPr>
        <w:footnoteRef/>
      </w:r>
      <w:r>
        <w:t xml:space="preserve"> </w:t>
      </w:r>
      <w:r w:rsidRPr="009D634A">
        <w:t xml:space="preserve">Following limited rehearing, a revised resolution, </w:t>
      </w:r>
      <w:r w:rsidR="00D8321C">
        <w:t xml:space="preserve">CPUC </w:t>
      </w:r>
      <w:r w:rsidRPr="009D634A">
        <w:t>Resolution</w:t>
      </w:r>
      <w:r w:rsidR="00F52702">
        <w:t> </w:t>
      </w:r>
      <w:r w:rsidRPr="009D634A">
        <w:t>SED</w:t>
      </w:r>
      <w:r w:rsidR="003B5862">
        <w:noBreakHyphen/>
      </w:r>
      <w:r w:rsidRPr="009D634A">
        <w:t xml:space="preserve">5A, was approved by the Commission on </w:t>
      </w:r>
      <w:r w:rsidR="009453BA">
        <w:t>July </w:t>
      </w:r>
      <w:r w:rsidRPr="009D634A">
        <w:t>15, 2022.</w:t>
      </w:r>
      <w:r>
        <w:t xml:space="preserve"> On rehearing, the Commission incorporated the analysis of the Penalty Assessment Methodology. </w:t>
      </w:r>
      <w:r w:rsidRPr="009D634A">
        <w:rPr>
          <w:i/>
          <w:iCs/>
        </w:rPr>
        <w:t>See</w:t>
      </w:r>
      <w:r>
        <w:t>, D.22</w:t>
      </w:r>
      <w:r w:rsidR="003B5862">
        <w:noBreakHyphen/>
      </w:r>
      <w:r>
        <w:t>04</w:t>
      </w:r>
      <w:r w:rsidR="003B5862">
        <w:noBreakHyphen/>
      </w:r>
      <w:r>
        <w:t>057</w:t>
      </w:r>
      <w:r w:rsidR="00241AE9">
        <w:t xml:space="preserve">, </w:t>
      </w:r>
      <w:r w:rsidR="00241AE9" w:rsidRPr="00241AE9">
        <w:rPr>
          <w:i/>
          <w:iCs/>
        </w:rPr>
        <w:t xml:space="preserve">Order Granting Application for Rehearing </w:t>
      </w:r>
      <w:r w:rsidR="00241AE9">
        <w:rPr>
          <w:i/>
          <w:iCs/>
        </w:rPr>
        <w:t>o</w:t>
      </w:r>
      <w:r w:rsidR="00241AE9" w:rsidRPr="00241AE9">
        <w:rPr>
          <w:i/>
          <w:iCs/>
        </w:rPr>
        <w:t xml:space="preserve">f </w:t>
      </w:r>
      <w:r w:rsidR="00F52702">
        <w:rPr>
          <w:i/>
          <w:iCs/>
        </w:rPr>
        <w:t>Resolution </w:t>
      </w:r>
      <w:r w:rsidR="00241AE9" w:rsidRPr="00241AE9">
        <w:rPr>
          <w:i/>
          <w:iCs/>
        </w:rPr>
        <w:t>S</w:t>
      </w:r>
      <w:r w:rsidR="00241AE9">
        <w:rPr>
          <w:i/>
          <w:iCs/>
        </w:rPr>
        <w:t>ED</w:t>
      </w:r>
      <w:r w:rsidR="003B5862">
        <w:rPr>
          <w:i/>
          <w:iCs/>
        </w:rPr>
        <w:noBreakHyphen/>
      </w:r>
      <w:r w:rsidR="00241AE9" w:rsidRPr="00241AE9">
        <w:rPr>
          <w:i/>
          <w:iCs/>
        </w:rPr>
        <w:t xml:space="preserve">5 </w:t>
      </w:r>
      <w:r w:rsidR="00241AE9">
        <w:rPr>
          <w:i/>
          <w:iCs/>
        </w:rPr>
        <w:t>f</w:t>
      </w:r>
      <w:r w:rsidR="00241AE9" w:rsidRPr="00241AE9">
        <w:rPr>
          <w:i/>
          <w:iCs/>
        </w:rPr>
        <w:t xml:space="preserve">or </w:t>
      </w:r>
      <w:r w:rsidR="00241AE9">
        <w:rPr>
          <w:i/>
          <w:iCs/>
        </w:rPr>
        <w:t>t</w:t>
      </w:r>
      <w:r w:rsidR="00241AE9" w:rsidRPr="00241AE9">
        <w:rPr>
          <w:i/>
          <w:iCs/>
        </w:rPr>
        <w:t xml:space="preserve">he Limited Purpose </w:t>
      </w:r>
      <w:r w:rsidR="00241AE9">
        <w:rPr>
          <w:i/>
          <w:iCs/>
        </w:rPr>
        <w:t>o</w:t>
      </w:r>
      <w:r w:rsidR="00241AE9" w:rsidRPr="00241AE9">
        <w:rPr>
          <w:i/>
          <w:iCs/>
        </w:rPr>
        <w:t xml:space="preserve">f Including </w:t>
      </w:r>
      <w:r w:rsidR="00241AE9">
        <w:rPr>
          <w:i/>
          <w:iCs/>
        </w:rPr>
        <w:t>t</w:t>
      </w:r>
      <w:r w:rsidR="00241AE9" w:rsidRPr="00241AE9">
        <w:rPr>
          <w:i/>
          <w:iCs/>
        </w:rPr>
        <w:t>he Penalty Assessment Methodology,</w:t>
      </w:r>
      <w:r w:rsidR="00241AE9">
        <w:rPr>
          <w:i/>
          <w:iCs/>
        </w:rPr>
        <w:t xml:space="preserve"> a</w:t>
      </w:r>
      <w:r w:rsidR="00241AE9" w:rsidRPr="00241AE9">
        <w:rPr>
          <w:i/>
          <w:iCs/>
        </w:rPr>
        <w:t xml:space="preserve">nd Denying Rehearing </w:t>
      </w:r>
      <w:r w:rsidR="00241AE9">
        <w:rPr>
          <w:i/>
          <w:iCs/>
        </w:rPr>
        <w:t>o</w:t>
      </w:r>
      <w:r w:rsidR="00241AE9" w:rsidRPr="00241AE9">
        <w:rPr>
          <w:i/>
          <w:iCs/>
        </w:rPr>
        <w:t>n All Other Grounds</w:t>
      </w:r>
      <w:r w:rsidR="00241AE9">
        <w:t xml:space="preserve"> (</w:t>
      </w:r>
      <w:r w:rsidR="009453BA">
        <w:t>April </w:t>
      </w:r>
      <w:r w:rsidR="00241AE9">
        <w:t xml:space="preserve">21, 2022) </w:t>
      </w:r>
      <w:r>
        <w:t>at Ordering Paragraphs</w:t>
      </w:r>
      <w:r w:rsidR="00C755DC">
        <w:t> </w:t>
      </w:r>
      <w:r>
        <w:t>1 and 3.</w:t>
      </w:r>
    </w:p>
  </w:footnote>
  <w:footnote w:id="58">
    <w:p w14:paraId="7F610A76" w14:textId="60DDE99B" w:rsidR="009D634A" w:rsidRPr="009D634A" w:rsidRDefault="009D634A">
      <w:pPr>
        <w:pStyle w:val="FootnoteText"/>
        <w:rPr>
          <w:lang w:val="en-ZW"/>
        </w:rPr>
      </w:pPr>
      <w:r>
        <w:rPr>
          <w:rStyle w:val="FootnoteReference"/>
        </w:rPr>
        <w:footnoteRef/>
      </w:r>
      <w:r>
        <w:t xml:space="preserve"> </w:t>
      </w:r>
      <w:r w:rsidRPr="009D634A">
        <w:rPr>
          <w:lang w:val="en-ZW"/>
        </w:rPr>
        <w:t>Joint Motion for Settlement</w:t>
      </w:r>
      <w:r w:rsidR="005D5DB1">
        <w:rPr>
          <w:lang w:val="en-ZW"/>
        </w:rPr>
        <w:t xml:space="preserve"> at </w:t>
      </w:r>
      <w:r w:rsidRPr="009D634A">
        <w:rPr>
          <w:lang w:val="en-ZW"/>
        </w:rPr>
        <w:t>5</w:t>
      </w:r>
      <w:r>
        <w:rPr>
          <w:lang w:val="en-ZW"/>
        </w:rPr>
        <w:t xml:space="preserve">, </w:t>
      </w:r>
      <w:r w:rsidRPr="009D634A">
        <w:rPr>
          <w:i/>
          <w:iCs/>
          <w:lang w:val="en-ZW"/>
        </w:rPr>
        <w:t>citing to</w:t>
      </w:r>
      <w:r>
        <w:rPr>
          <w:lang w:val="en-ZW"/>
        </w:rPr>
        <w:t xml:space="preserve"> Administrative Consent Order</w:t>
      </w:r>
      <w:r w:rsidR="005D5DB1">
        <w:rPr>
          <w:lang w:val="en-ZW"/>
        </w:rPr>
        <w:t xml:space="preserve"> at </w:t>
      </w:r>
      <w:r>
        <w:rPr>
          <w:lang w:val="en-ZW"/>
        </w:rPr>
        <w:t>4.</w:t>
      </w:r>
    </w:p>
  </w:footnote>
  <w:footnote w:id="59">
    <w:p w14:paraId="5A50D85D" w14:textId="5F9E6825" w:rsidR="009D634A" w:rsidRPr="009D634A" w:rsidRDefault="009D634A">
      <w:pPr>
        <w:pStyle w:val="FootnoteText"/>
        <w:rPr>
          <w:lang w:val="en-ZW"/>
        </w:rPr>
      </w:pPr>
      <w:r>
        <w:rPr>
          <w:rStyle w:val="FootnoteReference"/>
        </w:rPr>
        <w:footnoteRef/>
      </w:r>
      <w:r>
        <w:t xml:space="preserve"> </w:t>
      </w:r>
      <w:r w:rsidRPr="009D634A">
        <w:rPr>
          <w:lang w:val="en-ZW"/>
        </w:rPr>
        <w:t>Joint Motion for Settlement</w:t>
      </w:r>
      <w:r w:rsidR="005D5DB1">
        <w:rPr>
          <w:lang w:val="en-ZW"/>
        </w:rPr>
        <w:t xml:space="preserve"> at </w:t>
      </w:r>
      <w:r w:rsidRPr="009D634A">
        <w:rPr>
          <w:lang w:val="en-ZW"/>
        </w:rPr>
        <w:t xml:space="preserve">5, </w:t>
      </w:r>
      <w:r w:rsidRPr="009D634A">
        <w:rPr>
          <w:i/>
          <w:iCs/>
          <w:lang w:val="en-ZW"/>
        </w:rPr>
        <w:t>citing to</w:t>
      </w:r>
      <w:r w:rsidRPr="009D634A">
        <w:rPr>
          <w:lang w:val="en-ZW"/>
        </w:rPr>
        <w:t xml:space="preserve"> Administrative Consent Order</w:t>
      </w:r>
      <w:r w:rsidR="005D5DB1">
        <w:rPr>
          <w:lang w:val="en-ZW"/>
        </w:rPr>
        <w:t xml:space="preserve"> at </w:t>
      </w:r>
      <w:r>
        <w:rPr>
          <w:lang w:val="en-ZW"/>
        </w:rPr>
        <w:t>5</w:t>
      </w:r>
      <w:r w:rsidRPr="009D634A">
        <w:rPr>
          <w:lang w:val="en-ZW"/>
        </w:rPr>
        <w:t>.</w:t>
      </w:r>
    </w:p>
  </w:footnote>
  <w:footnote w:id="60">
    <w:p w14:paraId="09C5E497" w14:textId="6FBD66E8" w:rsidR="006008BB" w:rsidRPr="006008BB" w:rsidRDefault="006008BB">
      <w:pPr>
        <w:pStyle w:val="FootnoteText"/>
        <w:rPr>
          <w:lang w:val="en-ZW"/>
        </w:rPr>
      </w:pPr>
      <w:r>
        <w:rPr>
          <w:rStyle w:val="FootnoteReference"/>
        </w:rPr>
        <w:footnoteRef/>
      </w:r>
      <w:r>
        <w:t xml:space="preserve"> </w:t>
      </w:r>
      <w:r w:rsidRPr="009D634A">
        <w:rPr>
          <w:lang w:val="en-ZW"/>
        </w:rPr>
        <w:t>Joint Motion for Settlement</w:t>
      </w:r>
      <w:r w:rsidR="005D5DB1">
        <w:rPr>
          <w:lang w:val="en-ZW"/>
        </w:rPr>
        <w:t xml:space="preserve"> at </w:t>
      </w:r>
      <w:r w:rsidRPr="009D634A">
        <w:rPr>
          <w:lang w:val="en-ZW"/>
        </w:rPr>
        <w:t xml:space="preserve">5, </w:t>
      </w:r>
      <w:r w:rsidRPr="009D634A">
        <w:rPr>
          <w:i/>
          <w:iCs/>
          <w:lang w:val="en-ZW"/>
        </w:rPr>
        <w:t>citing to</w:t>
      </w:r>
      <w:r w:rsidRPr="009D634A">
        <w:rPr>
          <w:lang w:val="en-ZW"/>
        </w:rPr>
        <w:t xml:space="preserve"> Administrative Consent Order</w:t>
      </w:r>
      <w:r w:rsidR="005D5DB1">
        <w:rPr>
          <w:lang w:val="en-ZW"/>
        </w:rPr>
        <w:t xml:space="preserve"> at </w:t>
      </w:r>
      <w:r>
        <w:rPr>
          <w:lang w:val="en-ZW"/>
        </w:rPr>
        <w:t>2</w:t>
      </w:r>
      <w:r w:rsidR="003B5862">
        <w:rPr>
          <w:lang w:val="en-ZW"/>
        </w:rPr>
        <w:noBreakHyphen/>
      </w:r>
      <w:r>
        <w:rPr>
          <w:lang w:val="en-ZW"/>
        </w:rPr>
        <w:t>3.</w:t>
      </w:r>
    </w:p>
  </w:footnote>
  <w:footnote w:id="61">
    <w:p w14:paraId="631C687A" w14:textId="17F83C32" w:rsidR="00EB5C9E" w:rsidRPr="00EB5C9E" w:rsidRDefault="00EB5C9E">
      <w:pPr>
        <w:pStyle w:val="FootnoteText"/>
        <w:rPr>
          <w:lang w:val="en-ZW"/>
        </w:rPr>
      </w:pPr>
      <w:r>
        <w:rPr>
          <w:rStyle w:val="FootnoteReference"/>
        </w:rPr>
        <w:footnoteRef/>
      </w:r>
      <w:r>
        <w:t xml:space="preserve"> </w:t>
      </w:r>
      <w:r w:rsidRPr="00EB5C9E">
        <w:rPr>
          <w:lang w:val="en-ZW"/>
        </w:rPr>
        <w:t>Joint Motion for Settlement</w:t>
      </w:r>
      <w:r w:rsidR="005D5DB1">
        <w:rPr>
          <w:lang w:val="en-ZW"/>
        </w:rPr>
        <w:t xml:space="preserve"> at </w:t>
      </w:r>
      <w:r w:rsidRPr="00EB5C9E">
        <w:rPr>
          <w:lang w:val="en-ZW"/>
        </w:rPr>
        <w:t xml:space="preserve">5, </w:t>
      </w:r>
      <w:r w:rsidRPr="00EB5C9E">
        <w:rPr>
          <w:i/>
          <w:iCs/>
          <w:lang w:val="en-ZW"/>
        </w:rPr>
        <w:t>citing to</w:t>
      </w:r>
      <w:r w:rsidRPr="00EB5C9E">
        <w:rPr>
          <w:lang w:val="en-ZW"/>
        </w:rPr>
        <w:t xml:space="preserve"> Administrative Consent Order</w:t>
      </w:r>
      <w:r w:rsidR="005D5DB1">
        <w:rPr>
          <w:lang w:val="en-ZW"/>
        </w:rPr>
        <w:t xml:space="preserve"> at </w:t>
      </w:r>
      <w:r w:rsidRPr="00EB5C9E">
        <w:t xml:space="preserve">9; </w:t>
      </w:r>
      <w:r w:rsidR="004B39DB">
        <w:t xml:space="preserve">CPUC </w:t>
      </w:r>
      <w:r w:rsidR="00F52702">
        <w:t>Resolution </w:t>
      </w:r>
      <w:r w:rsidRPr="00EB5C9E">
        <w:t>SED</w:t>
      </w:r>
      <w:r w:rsidR="003B5862">
        <w:noBreakHyphen/>
      </w:r>
      <w:r w:rsidRPr="00EB5C9E">
        <w:t>5</w:t>
      </w:r>
      <w:r w:rsidR="005D5DB1">
        <w:t xml:space="preserve"> at </w:t>
      </w:r>
      <w:r w:rsidRPr="00EB5C9E">
        <w:t>2</w:t>
      </w:r>
      <w:r>
        <w:t>.</w:t>
      </w:r>
    </w:p>
  </w:footnote>
  <w:footnote w:id="62">
    <w:p w14:paraId="5887AFD4" w14:textId="571BA1AA" w:rsidR="00244CC3" w:rsidRPr="00244CC3" w:rsidRDefault="00244CC3">
      <w:pPr>
        <w:pStyle w:val="FootnoteText"/>
        <w:rPr>
          <w:lang w:val="en-ZW"/>
        </w:rPr>
      </w:pPr>
      <w:r>
        <w:rPr>
          <w:rStyle w:val="FootnoteReference"/>
        </w:rPr>
        <w:footnoteRef/>
      </w:r>
      <w:r>
        <w:t xml:space="preserve"> </w:t>
      </w:r>
      <w:r>
        <w:rPr>
          <w:lang w:val="en-ZW"/>
        </w:rPr>
        <w:t>SCE Application</w:t>
      </w:r>
      <w:r w:rsidR="005D5DB1">
        <w:rPr>
          <w:lang w:val="en-ZW"/>
        </w:rPr>
        <w:t xml:space="preserve"> at </w:t>
      </w:r>
      <w:r>
        <w:rPr>
          <w:lang w:val="en-ZW"/>
        </w:rPr>
        <w:t xml:space="preserve">9, </w:t>
      </w:r>
      <w:r w:rsidRPr="00244CC3">
        <w:rPr>
          <w:i/>
          <w:iCs/>
          <w:lang w:val="en-ZW"/>
        </w:rPr>
        <w:t>citing to</w:t>
      </w:r>
      <w:r>
        <w:rPr>
          <w:lang w:val="en-ZW"/>
        </w:rPr>
        <w:t xml:space="preserve"> </w:t>
      </w:r>
      <w:r w:rsidRPr="00244CC3">
        <w:t>D.18</w:t>
      </w:r>
      <w:r w:rsidR="003B5862">
        <w:noBreakHyphen/>
      </w:r>
      <w:r w:rsidRPr="00244CC3">
        <w:t>11</w:t>
      </w:r>
      <w:r w:rsidR="003B5862">
        <w:noBreakHyphen/>
      </w:r>
      <w:r w:rsidRPr="00244CC3">
        <w:t>051</w:t>
      </w:r>
      <w:r w:rsidR="00442770">
        <w:t xml:space="preserve">, </w:t>
      </w:r>
      <w:bookmarkStart w:id="21" w:name="_Hlk212561731"/>
      <w:r w:rsidR="00442770" w:rsidRPr="00442770">
        <w:rPr>
          <w:i/>
          <w:iCs/>
        </w:rPr>
        <w:t>Decision Authorizing Southern California Edison Company to Establish a Wildfire Expense Memorandum Account</w:t>
      </w:r>
      <w:r w:rsidR="00442770">
        <w:t xml:space="preserve"> (</w:t>
      </w:r>
      <w:r w:rsidR="009453BA">
        <w:t>November </w:t>
      </w:r>
      <w:r w:rsidR="00442770">
        <w:t>29, 2018)</w:t>
      </w:r>
      <w:bookmarkEnd w:id="21"/>
      <w:r w:rsidR="005D5DB1">
        <w:t xml:space="preserve"> at </w:t>
      </w:r>
      <w:r w:rsidRPr="00244CC3">
        <w:t>7 (brackets in original).</w:t>
      </w:r>
    </w:p>
  </w:footnote>
  <w:footnote w:id="63">
    <w:p w14:paraId="5F8E0F2A" w14:textId="13ADDB36" w:rsidR="00F55D3E" w:rsidRPr="00F55D3E" w:rsidRDefault="00F55D3E">
      <w:pPr>
        <w:pStyle w:val="FootnoteText"/>
        <w:rPr>
          <w:lang w:val="en-ZW"/>
        </w:rPr>
      </w:pPr>
      <w:r>
        <w:rPr>
          <w:rStyle w:val="FootnoteReference"/>
        </w:rPr>
        <w:footnoteRef/>
      </w:r>
      <w:r>
        <w:t xml:space="preserve"> </w:t>
      </w:r>
      <w:r>
        <w:rPr>
          <w:lang w:val="en-ZW"/>
        </w:rPr>
        <w:t>SCE Application</w:t>
      </w:r>
      <w:r w:rsidR="005D5DB1">
        <w:rPr>
          <w:lang w:val="en-ZW"/>
        </w:rPr>
        <w:t xml:space="preserve"> at </w:t>
      </w:r>
      <w:r>
        <w:rPr>
          <w:lang w:val="en-ZW"/>
        </w:rPr>
        <w:t xml:space="preserve">9, </w:t>
      </w:r>
      <w:r w:rsidRPr="00F55D3E">
        <w:rPr>
          <w:i/>
          <w:iCs/>
          <w:lang w:val="en-ZW"/>
        </w:rPr>
        <w:t>citing to</w:t>
      </w:r>
      <w:r>
        <w:rPr>
          <w:lang w:val="en-ZW"/>
        </w:rPr>
        <w:t xml:space="preserve"> </w:t>
      </w:r>
      <w:r w:rsidRPr="00F55D3E">
        <w:t xml:space="preserve">SCE Tariff Preliminary Statement </w:t>
      </w:r>
      <w:r w:rsidR="00C34288">
        <w:t>Part </w:t>
      </w:r>
      <w:r w:rsidRPr="00F55D3E">
        <w:t xml:space="preserve">N.52.a; Advice </w:t>
      </w:r>
      <w:r w:rsidR="00C34288">
        <w:t>Letter </w:t>
      </w:r>
      <w:r w:rsidRPr="00F55D3E">
        <w:t>3913</w:t>
      </w:r>
      <w:r w:rsidR="003B5862">
        <w:noBreakHyphen/>
      </w:r>
      <w:r w:rsidRPr="00F55D3E">
        <w:t>E.</w:t>
      </w:r>
    </w:p>
  </w:footnote>
  <w:footnote w:id="64">
    <w:p w14:paraId="616ACBB7" w14:textId="3CE16605" w:rsidR="00F55D3E" w:rsidRPr="00F55D3E" w:rsidRDefault="00F55D3E">
      <w:pPr>
        <w:pStyle w:val="FootnoteText"/>
        <w:rPr>
          <w:lang w:val="en-ZW"/>
        </w:rPr>
      </w:pPr>
      <w:r>
        <w:rPr>
          <w:rStyle w:val="FootnoteReference"/>
        </w:rPr>
        <w:footnoteRef/>
      </w:r>
      <w:r>
        <w:t xml:space="preserve"> SCE Application</w:t>
      </w:r>
      <w:r w:rsidR="005D5DB1">
        <w:t xml:space="preserve"> at </w:t>
      </w:r>
      <w:r>
        <w:t xml:space="preserve">9, </w:t>
      </w:r>
      <w:r w:rsidRPr="00F55D3E">
        <w:rPr>
          <w:i/>
          <w:iCs/>
        </w:rPr>
        <w:t>citing to</w:t>
      </w:r>
      <w:r>
        <w:t xml:space="preserve"> </w:t>
      </w:r>
      <w:r w:rsidRPr="00F55D3E">
        <w:t>D.18</w:t>
      </w:r>
      <w:r w:rsidR="003B5862">
        <w:noBreakHyphen/>
      </w:r>
      <w:r w:rsidRPr="00F55D3E">
        <w:t>11</w:t>
      </w:r>
      <w:r w:rsidR="003B5862">
        <w:noBreakHyphen/>
      </w:r>
      <w:r w:rsidRPr="00F55D3E">
        <w:t xml:space="preserve">051, </w:t>
      </w:r>
      <w:r w:rsidR="00442770" w:rsidRPr="00442770">
        <w:rPr>
          <w:i/>
          <w:iCs/>
        </w:rPr>
        <w:t>Decision Authorizing Southern California Edison Company to Establish a Wildfire Expense Memorandum Account</w:t>
      </w:r>
      <w:r w:rsidR="00442770" w:rsidRPr="00442770">
        <w:t xml:space="preserve"> (</w:t>
      </w:r>
      <w:r w:rsidR="009453BA">
        <w:t>November </w:t>
      </w:r>
      <w:r w:rsidR="00442770" w:rsidRPr="00442770">
        <w:t xml:space="preserve">29, 2018) </w:t>
      </w:r>
      <w:r w:rsidR="00442770">
        <w:t xml:space="preserve">at </w:t>
      </w:r>
      <w:r w:rsidRPr="00F55D3E">
        <w:t xml:space="preserve">Conclusion </w:t>
      </w:r>
      <w:r w:rsidR="00EB2020">
        <w:t>of Law </w:t>
      </w:r>
      <w:r w:rsidRPr="00F55D3E">
        <w:t>4.</w:t>
      </w:r>
    </w:p>
  </w:footnote>
  <w:footnote w:id="65">
    <w:p w14:paraId="7EC3EA11" w14:textId="3FA6F126" w:rsidR="00270154" w:rsidRPr="00270154" w:rsidRDefault="00270154">
      <w:pPr>
        <w:pStyle w:val="FootnoteText"/>
        <w:rPr>
          <w:lang w:val="en-ZW"/>
        </w:rPr>
      </w:pPr>
      <w:r>
        <w:rPr>
          <w:rStyle w:val="FootnoteReference"/>
        </w:rPr>
        <w:footnoteRef/>
      </w:r>
      <w:r>
        <w:t xml:space="preserve"> SCE Application</w:t>
      </w:r>
      <w:r w:rsidR="005D5DB1">
        <w:t xml:space="preserve"> at </w:t>
      </w:r>
      <w:r>
        <w:t>9.</w:t>
      </w:r>
    </w:p>
  </w:footnote>
  <w:footnote w:id="66">
    <w:p w14:paraId="282093B3" w14:textId="3917340A" w:rsidR="00270154" w:rsidRPr="00210046" w:rsidRDefault="00270154">
      <w:pPr>
        <w:pStyle w:val="FootnoteText"/>
        <w:rPr>
          <w:szCs w:val="22"/>
          <w:lang w:val="en-ZW"/>
        </w:rPr>
      </w:pPr>
      <w:r>
        <w:rPr>
          <w:rStyle w:val="FootnoteReference"/>
        </w:rPr>
        <w:footnoteRef/>
      </w:r>
      <w:r>
        <w:t xml:space="preserve"> </w:t>
      </w:r>
      <w:r w:rsidRPr="00270154">
        <w:t>SCE Application</w:t>
      </w:r>
      <w:r w:rsidR="005D5DB1">
        <w:t xml:space="preserve"> at </w:t>
      </w:r>
      <w:r w:rsidRPr="00270154">
        <w:t>9</w:t>
      </w:r>
      <w:r>
        <w:t xml:space="preserve">, </w:t>
      </w:r>
      <w:r w:rsidRPr="00270154">
        <w:rPr>
          <w:i/>
          <w:iCs/>
        </w:rPr>
        <w:t>citing to</w:t>
      </w:r>
      <w:r>
        <w:t xml:space="preserve"> CPUC </w:t>
      </w:r>
      <w:r w:rsidR="00F52702">
        <w:t>Resolution </w:t>
      </w:r>
      <w:r w:rsidRPr="00270154">
        <w:t>E</w:t>
      </w:r>
      <w:r w:rsidR="003B5862">
        <w:noBreakHyphen/>
      </w:r>
      <w:r w:rsidRPr="00270154">
        <w:t>3238.</w:t>
      </w:r>
      <w:r w:rsidR="00210046" w:rsidRPr="00210046">
        <w:rPr>
          <w:sz w:val="26"/>
          <w:szCs w:val="22"/>
        </w:rPr>
        <w:t xml:space="preserve"> </w:t>
      </w:r>
      <w:r w:rsidR="00210046" w:rsidRPr="00210046">
        <w:rPr>
          <w:i/>
          <w:iCs/>
          <w:szCs w:val="22"/>
        </w:rPr>
        <w:t>See, also,</w:t>
      </w:r>
      <w:r w:rsidR="00210046" w:rsidRPr="00210046">
        <w:rPr>
          <w:szCs w:val="22"/>
        </w:rPr>
        <w:t xml:space="preserve"> </w:t>
      </w:r>
      <w:r w:rsidR="00CD0DC1">
        <w:rPr>
          <w:szCs w:val="22"/>
        </w:rPr>
        <w:t>Pub. Util.</w:t>
      </w:r>
      <w:r w:rsidR="00210046" w:rsidRPr="00210046">
        <w:rPr>
          <w:szCs w:val="22"/>
        </w:rPr>
        <w:t xml:space="preserve"> Code </w:t>
      </w:r>
      <w:r w:rsidR="00F4321E">
        <w:rPr>
          <w:szCs w:val="22"/>
        </w:rPr>
        <w:t>Section </w:t>
      </w:r>
      <w:r w:rsidR="00210046" w:rsidRPr="00210046">
        <w:rPr>
          <w:szCs w:val="22"/>
        </w:rPr>
        <w:t>454.9</w:t>
      </w:r>
      <w:r w:rsidR="00210046">
        <w:rPr>
          <w:szCs w:val="22"/>
        </w:rPr>
        <w:t>.</w:t>
      </w:r>
    </w:p>
  </w:footnote>
  <w:footnote w:id="67">
    <w:p w14:paraId="3451E086" w14:textId="4F07EC13" w:rsidR="00210046" w:rsidRPr="00270154" w:rsidRDefault="00210046" w:rsidP="00210046">
      <w:pPr>
        <w:pStyle w:val="FootnoteText"/>
        <w:rPr>
          <w:lang w:val="en-ZW"/>
        </w:rPr>
      </w:pPr>
      <w:r>
        <w:rPr>
          <w:rStyle w:val="FootnoteReference"/>
        </w:rPr>
        <w:footnoteRef/>
      </w:r>
      <w:r>
        <w:t xml:space="preserve"> </w:t>
      </w:r>
      <w:r w:rsidRPr="00270154">
        <w:t>SCE Application</w:t>
      </w:r>
      <w:r w:rsidR="005D5DB1">
        <w:t xml:space="preserve"> at </w:t>
      </w:r>
      <w:r w:rsidRPr="00270154">
        <w:t>9.</w:t>
      </w:r>
    </w:p>
  </w:footnote>
  <w:footnote w:id="68">
    <w:p w14:paraId="3394641C" w14:textId="3F0DBD13" w:rsidR="00210046" w:rsidRPr="00270154" w:rsidRDefault="00210046" w:rsidP="00210046">
      <w:pPr>
        <w:pStyle w:val="FootnoteText"/>
        <w:rPr>
          <w:lang w:val="en-ZW"/>
        </w:rPr>
      </w:pPr>
      <w:r>
        <w:rPr>
          <w:rStyle w:val="FootnoteReference"/>
        </w:rPr>
        <w:footnoteRef/>
      </w:r>
      <w:r>
        <w:t xml:space="preserve"> </w:t>
      </w:r>
      <w:r w:rsidRPr="00270154">
        <w:t>SCE Application</w:t>
      </w:r>
      <w:r w:rsidR="005D5DB1">
        <w:t xml:space="preserve"> at </w:t>
      </w:r>
      <w:r w:rsidRPr="00270154">
        <w:t>9.</w:t>
      </w:r>
    </w:p>
  </w:footnote>
  <w:footnote w:id="69">
    <w:p w14:paraId="02ECEC2F" w14:textId="22323D18" w:rsidR="008B1442" w:rsidRPr="008B1442" w:rsidRDefault="008B1442" w:rsidP="00703292">
      <w:pPr>
        <w:pStyle w:val="FootnoteText"/>
      </w:pPr>
      <w:r>
        <w:rPr>
          <w:rStyle w:val="FootnoteReference"/>
        </w:rPr>
        <w:footnoteRef/>
      </w:r>
      <w:r>
        <w:t xml:space="preserve"> </w:t>
      </w:r>
      <w:r w:rsidRPr="008B1442">
        <w:t>Joint Motion for Settlement, Attachment</w:t>
      </w:r>
      <w:r w:rsidR="003B5862">
        <w:noBreakHyphen/>
      </w:r>
      <w:r w:rsidRPr="008B1442">
        <w:t>Settlement Agreement</w:t>
      </w:r>
      <w:r w:rsidR="005D5DB1">
        <w:t xml:space="preserve"> at </w:t>
      </w:r>
      <w:r w:rsidRPr="008B1442">
        <w:t>A</w:t>
      </w:r>
      <w:r w:rsidR="003B5862">
        <w:noBreakHyphen/>
      </w:r>
      <w:r>
        <w:t>11</w:t>
      </w:r>
      <w:r w:rsidRPr="008B1442">
        <w:t xml:space="preserve">, </w:t>
      </w:r>
      <w:r>
        <w:t>for example, the extensive prepared testimony is describe</w:t>
      </w:r>
      <w:r w:rsidR="001B07F2">
        <w:t>d</w:t>
      </w:r>
      <w:r>
        <w:t>, in part, as follows</w:t>
      </w:r>
      <w:r w:rsidR="009453BA">
        <w:t>:</w:t>
      </w:r>
      <w:r w:rsidR="00703292">
        <w:t xml:space="preserve"> “</w:t>
      </w:r>
      <w:r w:rsidR="003708E7">
        <w:t>Cal Advoc</w:t>
      </w:r>
      <w:r w:rsidRPr="008B1442">
        <w:t xml:space="preserve">ates served 11 chapters of testimony totaling approximately 4,900 pages. </w:t>
      </w:r>
      <w:r w:rsidR="003708E7">
        <w:t>Cal Advoc</w:t>
      </w:r>
      <w:r w:rsidRPr="008B1442">
        <w:t>ates</w:t>
      </w:r>
      <w:r w:rsidR="00BE4878">
        <w:t>’</w:t>
      </w:r>
      <w:r w:rsidRPr="008B1442">
        <w:t xml:space="preserve"> testimony addressed a wide range of issues related to SCE</w:t>
      </w:r>
      <w:r w:rsidR="00BE4878">
        <w:t>’</w:t>
      </w:r>
      <w:r w:rsidRPr="008B1442">
        <w:t>s Application and testimony, including chapters focused on considerations SCE should have made in response to wildfire risk including the history of prior utility</w:t>
      </w:r>
      <w:r w:rsidR="003B5862">
        <w:noBreakHyphen/>
      </w:r>
      <w:r w:rsidRPr="008B1442">
        <w:t>related wildfires in SCE</w:t>
      </w:r>
      <w:r w:rsidR="00BE4878">
        <w:t>’</w:t>
      </w:r>
      <w:r w:rsidRPr="008B1442">
        <w:t>s service area during Red Flag Warning conditions; local geography and environmental risk factors in the area where the Woolsey Fire ignited and risk factors specific to the SCE circuit at issue; situational awareness and wildfire mitigation measures that could have prevented or reduced the risk of wildfires, including more weather stations to support a more robust Public Safety Power Shutoff (PSPS) program like the one SDG&amp;E had implemented; the deficiencies in SCE</w:t>
      </w:r>
      <w:r w:rsidR="00BE4878">
        <w:t>’</w:t>
      </w:r>
      <w:r w:rsidRPr="008B1442">
        <w:t>s design, construction, and inspection practices at the facilities associated with the Woolsey Fire</w:t>
      </w:r>
      <w:r w:rsidR="00BE4878">
        <w:t>’</w:t>
      </w:r>
      <w:r w:rsidRPr="008B1442">
        <w:t>s ignition, specifically in relation to down guy wires and pole loading, and deficiencies in SCE</w:t>
      </w:r>
      <w:r w:rsidR="00BE4878">
        <w:t>’</w:t>
      </w:r>
      <w:r w:rsidRPr="008B1442">
        <w:t>s utility operations, telecommunications operations, asset management, recordkeeping, and system protection practices.</w:t>
      </w:r>
      <w:r w:rsidR="00703292">
        <w:t>”</w:t>
      </w:r>
    </w:p>
  </w:footnote>
  <w:footnote w:id="70">
    <w:p w14:paraId="53B5A743" w14:textId="78A8FB23" w:rsidR="00A804C5" w:rsidRPr="005F2199" w:rsidRDefault="00A804C5" w:rsidP="00703292">
      <w:pPr>
        <w:pStyle w:val="FootnoteText"/>
      </w:pPr>
      <w:r>
        <w:rPr>
          <w:rStyle w:val="FootnoteReference"/>
        </w:rPr>
        <w:footnoteRef/>
      </w:r>
      <w:r>
        <w:t xml:space="preserve"> Joint Motion for Settlement, Attachment</w:t>
      </w:r>
      <w:r w:rsidR="003B5862">
        <w:noBreakHyphen/>
      </w:r>
      <w:r>
        <w:t>Settlement Agreement</w:t>
      </w:r>
      <w:r w:rsidR="005D5DB1">
        <w:t xml:space="preserve"> at </w:t>
      </w:r>
      <w:r>
        <w:t>A</w:t>
      </w:r>
      <w:r w:rsidR="003B5862">
        <w:noBreakHyphen/>
      </w:r>
      <w:r>
        <w:t xml:space="preserve">5, </w:t>
      </w:r>
      <w:r w:rsidR="008B1442">
        <w:t xml:space="preserve">for example, </w:t>
      </w:r>
      <w:r>
        <w:t xml:space="preserve">the extensive discovery by </w:t>
      </w:r>
      <w:r w:rsidR="003708E7">
        <w:t>Cal Advoc</w:t>
      </w:r>
      <w:r>
        <w:t>ates is describe</w:t>
      </w:r>
      <w:r w:rsidR="00BE1B3C">
        <w:t>d</w:t>
      </w:r>
      <w:r>
        <w:t xml:space="preserve"> as follows</w:t>
      </w:r>
      <w:r w:rsidR="009453BA">
        <w:t>:</w:t>
      </w:r>
      <w:r w:rsidR="00703292">
        <w:t xml:space="preserve"> “</w:t>
      </w:r>
      <w:r w:rsidR="003708E7">
        <w:t>Cal Advoc</w:t>
      </w:r>
      <w:r w:rsidRPr="00A804C5">
        <w:t>ates propounded 9 data requests addressing a range of issues, including but not limited to SCE</w:t>
      </w:r>
      <w:r w:rsidR="00BE4878">
        <w:t>’</w:t>
      </w:r>
      <w:r w:rsidRPr="00A804C5">
        <w:t>s vegetation management, SCE</w:t>
      </w:r>
      <w:r w:rsidR="00BE4878">
        <w:t>’</w:t>
      </w:r>
      <w:r w:rsidRPr="00A804C5">
        <w:t>s routine patrol and overhead detailed inspections, SCE</w:t>
      </w:r>
      <w:r w:rsidR="00BE4878">
        <w:t>’</w:t>
      </w:r>
      <w:r w:rsidRPr="00A804C5">
        <w:t>s quality control program, SCE</w:t>
      </w:r>
      <w:r w:rsidR="00BE4878">
        <w:t>’</w:t>
      </w:r>
      <w:r w:rsidRPr="00A804C5">
        <w:t>s pole and telecommunication line inspections, the local environmental risk factors, SCE</w:t>
      </w:r>
      <w:r w:rsidR="00BE4878">
        <w:t>’</w:t>
      </w:r>
      <w:r w:rsidRPr="00A804C5">
        <w:t>s weather stations, and the cause and ignition of the Woolsey Fire.</w:t>
      </w:r>
      <w:r w:rsidR="00703292">
        <w:t>”</w:t>
      </w:r>
    </w:p>
  </w:footnote>
  <w:footnote w:id="71">
    <w:p w14:paraId="36BE9B6D" w14:textId="5B47BE8A" w:rsidR="00F13F16" w:rsidRPr="00F13F16" w:rsidRDefault="00F13F16">
      <w:pPr>
        <w:pStyle w:val="FootnoteText"/>
        <w:rPr>
          <w:lang w:val="en-ZW"/>
        </w:rPr>
      </w:pPr>
      <w:r>
        <w:rPr>
          <w:rStyle w:val="FootnoteReference"/>
        </w:rPr>
        <w:footnoteRef/>
      </w:r>
      <w:r>
        <w:t xml:space="preserve"> </w:t>
      </w:r>
      <w:r w:rsidRPr="00F13F16">
        <w:t>Joint Motion for Settlement, Attachment</w:t>
      </w:r>
      <w:r w:rsidR="003B5862">
        <w:noBreakHyphen/>
      </w:r>
      <w:r w:rsidRPr="00F13F16">
        <w:t>Settlement Agreement</w:t>
      </w:r>
      <w:r w:rsidR="005D5DB1">
        <w:t xml:space="preserve"> at </w:t>
      </w:r>
      <w:r w:rsidRPr="00F13F16">
        <w:t>A</w:t>
      </w:r>
      <w:r w:rsidR="003B5862">
        <w:noBreakHyphen/>
      </w:r>
      <w:r>
        <w:t>23 to A</w:t>
      </w:r>
      <w:r w:rsidR="003B5862">
        <w:noBreakHyphen/>
      </w:r>
      <w:r>
        <w:t>30.</w:t>
      </w:r>
    </w:p>
  </w:footnote>
  <w:footnote w:id="72">
    <w:p w14:paraId="04425692" w14:textId="59A1C5FA" w:rsidR="0099551F" w:rsidRPr="0099551F" w:rsidRDefault="0099551F">
      <w:pPr>
        <w:pStyle w:val="FootnoteText"/>
        <w:rPr>
          <w:lang w:val="en-ZW"/>
        </w:rPr>
      </w:pPr>
      <w:r>
        <w:rPr>
          <w:rStyle w:val="FootnoteReference"/>
        </w:rPr>
        <w:footnoteRef/>
      </w:r>
      <w:r>
        <w:t xml:space="preserve"> </w:t>
      </w:r>
      <w:r w:rsidRPr="0099551F">
        <w:t xml:space="preserve">Joint </w:t>
      </w:r>
      <w:r w:rsidRPr="0099551F">
        <w:rPr>
          <w:lang w:val="en-ZW"/>
        </w:rPr>
        <w:t>Motion for Settlement</w:t>
      </w:r>
      <w:r w:rsidR="005D5DB1">
        <w:rPr>
          <w:lang w:val="en-ZW"/>
        </w:rPr>
        <w:t xml:space="preserve"> at </w:t>
      </w:r>
      <w:r>
        <w:rPr>
          <w:lang w:val="en-ZW"/>
        </w:rPr>
        <w:t>12</w:t>
      </w:r>
      <w:r w:rsidRPr="0099551F">
        <w:rPr>
          <w:lang w:val="en-ZW"/>
        </w:rPr>
        <w:t>.</w:t>
      </w:r>
    </w:p>
  </w:footnote>
  <w:footnote w:id="73">
    <w:p w14:paraId="3F815627" w14:textId="3CD34CCD" w:rsidR="0099551F" w:rsidRPr="0099551F" w:rsidRDefault="0099551F" w:rsidP="0099551F">
      <w:pPr>
        <w:pStyle w:val="FootnoteText"/>
        <w:rPr>
          <w:lang w:val="en-ZW"/>
        </w:rPr>
      </w:pPr>
      <w:r>
        <w:rPr>
          <w:rStyle w:val="FootnoteReference"/>
        </w:rPr>
        <w:footnoteRef/>
      </w:r>
      <w:r>
        <w:t xml:space="preserve"> </w:t>
      </w:r>
      <w:r w:rsidRPr="0099551F">
        <w:t xml:space="preserve">Joint </w:t>
      </w:r>
      <w:r w:rsidRPr="0099551F">
        <w:rPr>
          <w:lang w:val="en-ZW"/>
        </w:rPr>
        <w:t>Motion for Settlement</w:t>
      </w:r>
      <w:r w:rsidR="005D5DB1">
        <w:rPr>
          <w:lang w:val="en-ZW"/>
        </w:rPr>
        <w:t xml:space="preserve"> at </w:t>
      </w:r>
      <w:r>
        <w:rPr>
          <w:lang w:val="en-ZW"/>
        </w:rPr>
        <w:t>12</w:t>
      </w:r>
      <w:r w:rsidRPr="0099551F">
        <w:rPr>
          <w:lang w:val="en-ZW"/>
        </w:rPr>
        <w:t>.</w:t>
      </w:r>
    </w:p>
  </w:footnote>
  <w:footnote w:id="74">
    <w:p w14:paraId="2609E823" w14:textId="660EAB12" w:rsidR="0099551F" w:rsidRPr="0099551F" w:rsidRDefault="0099551F" w:rsidP="0099551F">
      <w:pPr>
        <w:pStyle w:val="FootnoteText"/>
        <w:rPr>
          <w:lang w:val="en-ZW"/>
        </w:rPr>
      </w:pPr>
      <w:r>
        <w:rPr>
          <w:rStyle w:val="FootnoteReference"/>
        </w:rPr>
        <w:footnoteRef/>
      </w:r>
      <w:r>
        <w:t xml:space="preserve"> </w:t>
      </w:r>
      <w:r w:rsidRPr="0099551F">
        <w:t xml:space="preserve">Joint </w:t>
      </w:r>
      <w:r w:rsidRPr="0099551F">
        <w:rPr>
          <w:lang w:val="en-ZW"/>
        </w:rPr>
        <w:t>Motion for Settlement</w:t>
      </w:r>
      <w:r w:rsidR="005D5DB1">
        <w:rPr>
          <w:lang w:val="en-ZW"/>
        </w:rPr>
        <w:t xml:space="preserve"> at </w:t>
      </w:r>
      <w:r>
        <w:rPr>
          <w:lang w:val="en-ZW"/>
        </w:rPr>
        <w:t>12</w:t>
      </w:r>
      <w:r w:rsidRPr="0099551F">
        <w:rPr>
          <w:lang w:val="en-ZW"/>
        </w:rPr>
        <w:t>.</w:t>
      </w:r>
    </w:p>
  </w:footnote>
  <w:footnote w:id="75">
    <w:p w14:paraId="6130EDCB" w14:textId="4ABF493A" w:rsidR="00361E35" w:rsidRPr="00361E35" w:rsidRDefault="00361E35">
      <w:pPr>
        <w:pStyle w:val="FootnoteText"/>
        <w:rPr>
          <w:lang w:val="en-ZW"/>
        </w:rPr>
      </w:pPr>
      <w:r>
        <w:rPr>
          <w:rStyle w:val="FootnoteReference"/>
        </w:rPr>
        <w:footnoteRef/>
      </w:r>
      <w:r>
        <w:t xml:space="preserve"> </w:t>
      </w:r>
      <w:bookmarkStart w:id="25" w:name="_Hlk211855357"/>
      <w:r>
        <w:t xml:space="preserve">Joint </w:t>
      </w:r>
      <w:r>
        <w:rPr>
          <w:lang w:val="en-ZW"/>
        </w:rPr>
        <w:t>Motion for Settlement</w:t>
      </w:r>
      <w:r w:rsidR="005D5DB1">
        <w:rPr>
          <w:lang w:val="en-ZW"/>
        </w:rPr>
        <w:t xml:space="preserve"> at </w:t>
      </w:r>
      <w:r>
        <w:rPr>
          <w:lang w:val="en-ZW"/>
        </w:rPr>
        <w:t>3.</w:t>
      </w:r>
    </w:p>
    <w:bookmarkEnd w:id="25"/>
  </w:footnote>
  <w:footnote w:id="76">
    <w:p w14:paraId="2A53A276" w14:textId="0554C6A8" w:rsidR="00303CC8" w:rsidRPr="00303CC8" w:rsidRDefault="00303CC8">
      <w:pPr>
        <w:pStyle w:val="FootnoteText"/>
        <w:rPr>
          <w:lang w:val="en-ZW"/>
        </w:rPr>
      </w:pPr>
      <w:r>
        <w:rPr>
          <w:rStyle w:val="FootnoteReference"/>
        </w:rPr>
        <w:footnoteRef/>
      </w:r>
      <w:r>
        <w:t xml:space="preserve"> Joint </w:t>
      </w:r>
      <w:r>
        <w:rPr>
          <w:lang w:val="en-ZW"/>
        </w:rPr>
        <w:t>Motion for Settlement</w:t>
      </w:r>
      <w:r w:rsidR="005D5DB1">
        <w:rPr>
          <w:lang w:val="en-ZW"/>
        </w:rPr>
        <w:t xml:space="preserve"> at </w:t>
      </w:r>
      <w:r>
        <w:rPr>
          <w:lang w:val="en-ZW"/>
        </w:rPr>
        <w:t>13</w:t>
      </w:r>
      <w:r w:rsidR="003B5862">
        <w:rPr>
          <w:lang w:val="en-ZW"/>
        </w:rPr>
        <w:noBreakHyphen/>
      </w:r>
      <w:r>
        <w:rPr>
          <w:lang w:val="en-ZW"/>
        </w:rPr>
        <w:t>14.</w:t>
      </w:r>
    </w:p>
  </w:footnote>
  <w:footnote w:id="77">
    <w:p w14:paraId="256E1CD8" w14:textId="3CB08914" w:rsidR="00D7497B" w:rsidRPr="00703292" w:rsidRDefault="00D7497B" w:rsidP="00703292">
      <w:pPr>
        <w:pStyle w:val="FootnoteText"/>
      </w:pPr>
      <w:r>
        <w:rPr>
          <w:rStyle w:val="FootnoteReference"/>
        </w:rPr>
        <w:footnoteRef/>
      </w:r>
      <w:r>
        <w:t xml:space="preserve"> Joint </w:t>
      </w:r>
      <w:r>
        <w:rPr>
          <w:lang w:val="en-ZW"/>
        </w:rPr>
        <w:t>Motion for Settlement</w:t>
      </w:r>
      <w:r w:rsidR="005D5DB1">
        <w:rPr>
          <w:lang w:val="en-ZW"/>
        </w:rPr>
        <w:t xml:space="preserve"> at </w:t>
      </w:r>
      <w:r>
        <w:rPr>
          <w:lang w:val="en-ZW"/>
        </w:rPr>
        <w:t>13</w:t>
      </w:r>
      <w:r w:rsidR="003B5862">
        <w:rPr>
          <w:lang w:val="en-ZW"/>
        </w:rPr>
        <w:noBreakHyphen/>
      </w:r>
      <w:r>
        <w:rPr>
          <w:lang w:val="en-ZW"/>
        </w:rPr>
        <w:t xml:space="preserve">14. Regarding </w:t>
      </w:r>
      <w:r w:rsidRPr="00D7497B">
        <w:t xml:space="preserve">ratemaking capital structure </w:t>
      </w:r>
      <w:r w:rsidR="00BE1B3C">
        <w:t xml:space="preserve">for </w:t>
      </w:r>
      <w:r w:rsidRPr="00D7497B">
        <w:t>the debt issued to finance these amounts and the associated after</w:t>
      </w:r>
      <w:r w:rsidR="003B5862">
        <w:noBreakHyphen/>
      </w:r>
      <w:r w:rsidRPr="00D7497B">
        <w:t>tax charges to equity</w:t>
      </w:r>
      <w:r>
        <w:t>, the Settlement Agreement provides</w:t>
      </w:r>
      <w:r w:rsidR="009453BA">
        <w:t>:</w:t>
      </w:r>
      <w:r w:rsidR="00703292">
        <w:t xml:space="preserve"> “</w:t>
      </w:r>
      <w:r w:rsidRPr="00D7497B">
        <w:t>In connection with the agreed</w:t>
      </w:r>
      <w:r w:rsidR="003B5862">
        <w:noBreakHyphen/>
      </w:r>
      <w:r w:rsidRPr="00D7497B">
        <w:t>upon permanent disallowance of WEMA costs, the Settling Parties have agreed that SCE should be permitted to, and upon Commission approval of the Settlement Agreement, will be authorized to, permanently exclude from its ratemaking capital structure the debt issued to finance these amounts and the associated after</w:t>
      </w:r>
      <w:r w:rsidR="003B5862">
        <w:noBreakHyphen/>
      </w:r>
      <w:r w:rsidRPr="00D7497B">
        <w:t>tax charges to equity. This relief would make permanent the temporary capital structure waiver granted in D.23</w:t>
      </w:r>
      <w:r w:rsidR="003B5862">
        <w:noBreakHyphen/>
      </w:r>
      <w:r w:rsidRPr="00D7497B">
        <w:t>08</w:t>
      </w:r>
      <w:r w:rsidR="003B5862">
        <w:noBreakHyphen/>
      </w:r>
      <w:r w:rsidRPr="00D7497B">
        <w:t>031 and at issue in A.25</w:t>
      </w:r>
      <w:r w:rsidR="003B5862">
        <w:noBreakHyphen/>
      </w:r>
      <w:r w:rsidRPr="00D7497B">
        <w:t>08</w:t>
      </w:r>
      <w:r w:rsidR="003B5862">
        <w:noBreakHyphen/>
      </w:r>
      <w:r w:rsidRPr="00D7497B">
        <w:t>003 as applied to the WEMA costs permanently disallowed under this Settlement Agreement</w:t>
      </w:r>
      <w:r>
        <w:t>.</w:t>
      </w:r>
      <w:r w:rsidR="00703292">
        <w:t>”</w:t>
      </w:r>
    </w:p>
  </w:footnote>
  <w:footnote w:id="78">
    <w:p w14:paraId="1B88BD2B" w14:textId="6D704E71" w:rsidR="00492F74" w:rsidRPr="00492F74" w:rsidRDefault="00492F74">
      <w:pPr>
        <w:pStyle w:val="FootnoteText"/>
        <w:rPr>
          <w:lang w:val="en-ZW"/>
        </w:rPr>
      </w:pPr>
      <w:r>
        <w:rPr>
          <w:rStyle w:val="FootnoteReference"/>
        </w:rPr>
        <w:footnoteRef/>
      </w:r>
      <w:r>
        <w:t xml:space="preserve"> </w:t>
      </w:r>
      <w:r w:rsidRPr="00492F74">
        <w:t xml:space="preserve">Joint </w:t>
      </w:r>
      <w:r w:rsidRPr="00492F74">
        <w:rPr>
          <w:lang w:val="en-ZW"/>
        </w:rPr>
        <w:t>Motion for Settlement</w:t>
      </w:r>
      <w:r w:rsidR="005D5DB1">
        <w:rPr>
          <w:lang w:val="en-ZW"/>
        </w:rPr>
        <w:t xml:space="preserve"> at </w:t>
      </w:r>
      <w:r w:rsidRPr="00492F74">
        <w:rPr>
          <w:lang w:val="en-ZW"/>
        </w:rPr>
        <w:t>14.</w:t>
      </w:r>
    </w:p>
  </w:footnote>
  <w:footnote w:id="79">
    <w:p w14:paraId="3A0D74E9" w14:textId="6C11A45D" w:rsidR="00D56C10" w:rsidRPr="00D56C10" w:rsidRDefault="00D56C10">
      <w:pPr>
        <w:pStyle w:val="FootnoteText"/>
        <w:rPr>
          <w:lang w:val="en-ZW"/>
        </w:rPr>
      </w:pPr>
      <w:r>
        <w:rPr>
          <w:rStyle w:val="FootnoteReference"/>
        </w:rPr>
        <w:footnoteRef/>
      </w:r>
      <w:r>
        <w:t xml:space="preserve"> </w:t>
      </w:r>
      <w:r w:rsidRPr="00492F74">
        <w:t xml:space="preserve">Joint </w:t>
      </w:r>
      <w:r w:rsidRPr="00492F74">
        <w:rPr>
          <w:lang w:val="en-ZW"/>
        </w:rPr>
        <w:t xml:space="preserve">Motion for Settlement </w:t>
      </w:r>
      <w:r w:rsidR="00A749C9">
        <w:rPr>
          <w:lang w:val="en-ZW"/>
        </w:rPr>
        <w:t xml:space="preserve">at </w:t>
      </w:r>
      <w:r w:rsidR="00442770">
        <w:rPr>
          <w:lang w:val="en-ZW"/>
        </w:rPr>
        <w:t>Attachment</w:t>
      </w:r>
      <w:r w:rsidR="003B5862">
        <w:rPr>
          <w:lang w:val="en-ZW"/>
        </w:rPr>
        <w:noBreakHyphen/>
      </w:r>
      <w:r w:rsidR="00A749C9">
        <w:rPr>
          <w:lang w:val="en-ZW"/>
        </w:rPr>
        <w:t>Settlement Agreement</w:t>
      </w:r>
      <w:r w:rsidR="005D5DB1">
        <w:rPr>
          <w:lang w:val="en-ZW"/>
        </w:rPr>
        <w:t xml:space="preserve"> at </w:t>
      </w:r>
      <w:r w:rsidR="00A749C9">
        <w:rPr>
          <w:lang w:val="en-ZW"/>
        </w:rPr>
        <w:t>A</w:t>
      </w:r>
      <w:r w:rsidR="003B5862">
        <w:rPr>
          <w:lang w:val="en-ZW"/>
        </w:rPr>
        <w:noBreakHyphen/>
      </w:r>
      <w:r w:rsidR="00A749C9">
        <w:rPr>
          <w:lang w:val="en-ZW"/>
        </w:rPr>
        <w:t>28.</w:t>
      </w:r>
    </w:p>
  </w:footnote>
  <w:footnote w:id="80">
    <w:p w14:paraId="6F373AB8" w14:textId="5D9EF08F" w:rsidR="00335594" w:rsidRPr="00335594" w:rsidRDefault="00335594" w:rsidP="00A444A1">
      <w:pPr>
        <w:pStyle w:val="FootnoteText"/>
        <w:rPr>
          <w:lang w:val="en-ZW"/>
        </w:rPr>
      </w:pPr>
      <w:r>
        <w:rPr>
          <w:rStyle w:val="FootnoteReference"/>
        </w:rPr>
        <w:footnoteRef/>
      </w:r>
      <w:r>
        <w:t xml:space="preserve"> </w:t>
      </w:r>
      <w:r>
        <w:rPr>
          <w:lang w:val="en-ZW"/>
        </w:rPr>
        <w:t>Joint Motion for Settlement</w:t>
      </w:r>
      <w:r w:rsidR="005D5DB1">
        <w:rPr>
          <w:lang w:val="en-ZW"/>
        </w:rPr>
        <w:t xml:space="preserve"> at </w:t>
      </w:r>
      <w:r>
        <w:rPr>
          <w:lang w:val="en-ZW"/>
        </w:rPr>
        <w:t>16, stating</w:t>
      </w:r>
      <w:r w:rsidR="009453BA">
        <w:rPr>
          <w:lang w:val="en-ZW"/>
        </w:rPr>
        <w:t>:</w:t>
      </w:r>
      <w:r w:rsidR="00A444A1">
        <w:rPr>
          <w:lang w:val="en-ZW"/>
        </w:rPr>
        <w:t xml:space="preserve"> “</w:t>
      </w:r>
      <w:r w:rsidRPr="00335594">
        <w:t>As of the date of its rebuttal testimony, SCE</w:t>
      </w:r>
      <w:r w:rsidR="00BE4878">
        <w:t>’</w:t>
      </w:r>
      <w:r w:rsidRPr="00335594">
        <w:t>s best estimate of its trailing costs equaled the remainder of the $250</w:t>
      </w:r>
      <w:r w:rsidR="00BE4878">
        <w:t> million</w:t>
      </w:r>
      <w:r w:rsidRPr="00335594">
        <w:t xml:space="preserve"> ACO</w:t>
      </w:r>
      <w:r w:rsidR="00A444A1">
        <w:t xml:space="preserve"> [Administrative Consent Order]</w:t>
      </w:r>
      <w:r w:rsidRPr="00335594">
        <w:t xml:space="preserve"> amount not already excluded from SCE</w:t>
      </w:r>
      <w:r w:rsidR="00BE4878">
        <w:t>’</w:t>
      </w:r>
      <w:r w:rsidRPr="00335594">
        <w:t>s Application. In the event that CPUC</w:t>
      </w:r>
      <w:r w:rsidR="003B5862">
        <w:noBreakHyphen/>
      </w:r>
      <w:r w:rsidRPr="00335594">
        <w:t xml:space="preserve">jurisdictional amount of WEMA claims costs incurred after </w:t>
      </w:r>
      <w:r w:rsidR="009453BA">
        <w:t>May </w:t>
      </w:r>
      <w:r w:rsidRPr="00335594">
        <w:t>31, 2025, does not exceed the remainder of the $250</w:t>
      </w:r>
      <w:r w:rsidR="00BE4878">
        <w:t> million</w:t>
      </w:r>
      <w:r w:rsidRPr="00335594">
        <w:t xml:space="preserve"> in WEMA claims costs waived under the ACO, SCE will ensure that the full $250</w:t>
      </w:r>
      <w:r w:rsidR="00BE4878">
        <w:t> million</w:t>
      </w:r>
      <w:r w:rsidRPr="00335594">
        <w:t xml:space="preserve"> is given effect, through a refund to customers if necessary. </w:t>
      </w:r>
      <w:r w:rsidRPr="00335594">
        <w:rPr>
          <w:i/>
          <w:iCs/>
        </w:rPr>
        <w:t xml:space="preserve">See </w:t>
      </w:r>
      <w:r w:rsidRPr="00335594">
        <w:t xml:space="preserve">Settlement Agreement, </w:t>
      </w:r>
      <w:r w:rsidR="00F4321E">
        <w:t>§ </w:t>
      </w:r>
      <w:r w:rsidRPr="00335594">
        <w:t>F.2. SCE will confirm application of the $250</w:t>
      </w:r>
      <w:r w:rsidR="00BE4878">
        <w:t> million</w:t>
      </w:r>
      <w:r w:rsidRPr="00335594">
        <w:t xml:space="preserve"> ACO amount through this </w:t>
      </w:r>
      <w:r w:rsidR="00FE6B08">
        <w:t>Tier 2</w:t>
      </w:r>
      <w:r w:rsidRPr="00335594">
        <w:t xml:space="preserve"> advice letter process. </w:t>
      </w:r>
      <w:r w:rsidRPr="00335594">
        <w:rPr>
          <w:i/>
          <w:iCs/>
        </w:rPr>
        <w:t xml:space="preserve">See </w:t>
      </w:r>
      <w:r w:rsidRPr="00335594">
        <w:t xml:space="preserve">Settlement Agreement, </w:t>
      </w:r>
      <w:r w:rsidR="00F4321E">
        <w:t>§ </w:t>
      </w:r>
      <w:r w:rsidRPr="00335594">
        <w:t>F.2.</w:t>
      </w:r>
      <w:r w:rsidR="00A444A1">
        <w:t>”</w:t>
      </w:r>
    </w:p>
  </w:footnote>
  <w:footnote w:id="81">
    <w:p w14:paraId="79584521" w14:textId="7D6896EF" w:rsidR="00335594" w:rsidRPr="00335594" w:rsidRDefault="00335594">
      <w:pPr>
        <w:pStyle w:val="FootnoteText"/>
        <w:rPr>
          <w:lang w:val="en-ZW"/>
        </w:rPr>
      </w:pPr>
      <w:r>
        <w:rPr>
          <w:rStyle w:val="FootnoteReference"/>
        </w:rPr>
        <w:footnoteRef/>
      </w:r>
      <w:r>
        <w:t xml:space="preserve"> </w:t>
      </w:r>
      <w:r w:rsidRPr="00335594">
        <w:rPr>
          <w:lang w:val="en-ZW"/>
        </w:rPr>
        <w:t>Joint Motion for Settlement</w:t>
      </w:r>
      <w:r w:rsidR="005D5DB1">
        <w:rPr>
          <w:lang w:val="en-ZW"/>
        </w:rPr>
        <w:t xml:space="preserve"> at </w:t>
      </w:r>
      <w:r w:rsidRPr="00335594">
        <w:rPr>
          <w:lang w:val="en-ZW"/>
        </w:rPr>
        <w:t>16</w:t>
      </w:r>
      <w:r w:rsidR="001A3A66">
        <w:rPr>
          <w:lang w:val="en-ZW"/>
        </w:rPr>
        <w:t xml:space="preserve"> (</w:t>
      </w:r>
      <w:r w:rsidR="00D410B4">
        <w:rPr>
          <w:lang w:val="en-ZW"/>
        </w:rPr>
        <w:t>fn. </w:t>
      </w:r>
      <w:r w:rsidR="001A3A66">
        <w:rPr>
          <w:lang w:val="en-ZW"/>
        </w:rPr>
        <w:t>19)</w:t>
      </w:r>
      <w:r w:rsidR="00747BE8">
        <w:rPr>
          <w:lang w:val="en-ZW"/>
        </w:rPr>
        <w:t>.</w:t>
      </w:r>
    </w:p>
  </w:footnote>
  <w:footnote w:id="82">
    <w:p w14:paraId="511188DA" w14:textId="4FA37435" w:rsidR="001A3A66" w:rsidRPr="00335594" w:rsidRDefault="001A3A66" w:rsidP="001A3A66">
      <w:pPr>
        <w:pStyle w:val="FootnoteText"/>
        <w:rPr>
          <w:lang w:val="en-ZW"/>
        </w:rPr>
      </w:pPr>
      <w:r>
        <w:rPr>
          <w:rStyle w:val="FootnoteReference"/>
        </w:rPr>
        <w:footnoteRef/>
      </w:r>
      <w:r>
        <w:t xml:space="preserve"> </w:t>
      </w:r>
      <w:r w:rsidRPr="00335594">
        <w:rPr>
          <w:lang w:val="en-ZW"/>
        </w:rPr>
        <w:t>Joint Motion for Settlement</w:t>
      </w:r>
      <w:r w:rsidR="005D5DB1">
        <w:rPr>
          <w:lang w:val="en-ZW"/>
        </w:rPr>
        <w:t xml:space="preserve"> at </w:t>
      </w:r>
      <w:r w:rsidRPr="00335594">
        <w:rPr>
          <w:lang w:val="en-ZW"/>
        </w:rPr>
        <w:t>16</w:t>
      </w:r>
      <w:r>
        <w:rPr>
          <w:lang w:val="en-ZW"/>
        </w:rPr>
        <w:t xml:space="preserve"> (</w:t>
      </w:r>
      <w:r w:rsidR="00D410B4">
        <w:rPr>
          <w:lang w:val="en-ZW"/>
        </w:rPr>
        <w:t>fn. </w:t>
      </w:r>
      <w:r>
        <w:rPr>
          <w:lang w:val="en-ZW"/>
        </w:rPr>
        <w:t>19)</w:t>
      </w:r>
      <w:r w:rsidR="00747BE8">
        <w:rPr>
          <w:lang w:val="en-ZW"/>
        </w:rPr>
        <w:t>.</w:t>
      </w:r>
    </w:p>
  </w:footnote>
  <w:footnote w:id="83">
    <w:p w14:paraId="1B01DE8B" w14:textId="48BA11E1" w:rsidR="00AD5A1B" w:rsidRPr="00AD5A1B" w:rsidRDefault="00AD5A1B" w:rsidP="00AD5A1B">
      <w:pPr>
        <w:pStyle w:val="FootnoteText"/>
        <w:rPr>
          <w:lang w:val="en-ZW"/>
        </w:rPr>
      </w:pPr>
      <w:r>
        <w:rPr>
          <w:rStyle w:val="FootnoteReference"/>
        </w:rPr>
        <w:footnoteRef/>
      </w:r>
      <w:r>
        <w:t xml:space="preserve"> </w:t>
      </w:r>
      <w:r w:rsidRPr="00335594">
        <w:rPr>
          <w:lang w:val="en-ZW"/>
        </w:rPr>
        <w:t>Joint Motion for Settlement</w:t>
      </w:r>
      <w:r w:rsidR="005D5DB1">
        <w:rPr>
          <w:lang w:val="en-ZW"/>
        </w:rPr>
        <w:t xml:space="preserve"> at </w:t>
      </w:r>
      <w:r w:rsidRPr="00335594">
        <w:rPr>
          <w:lang w:val="en-ZW"/>
        </w:rPr>
        <w:t>1</w:t>
      </w:r>
      <w:r>
        <w:rPr>
          <w:lang w:val="en-ZW"/>
        </w:rPr>
        <w:t>7.</w:t>
      </w:r>
    </w:p>
  </w:footnote>
  <w:footnote w:id="84">
    <w:p w14:paraId="32FD711D" w14:textId="0EAD891E" w:rsidR="00AD5A1B" w:rsidRPr="00AD5A1B" w:rsidRDefault="00AD5A1B">
      <w:pPr>
        <w:pStyle w:val="FootnoteText"/>
        <w:rPr>
          <w:lang w:val="en-ZW"/>
        </w:rPr>
      </w:pPr>
      <w:r>
        <w:rPr>
          <w:rStyle w:val="FootnoteReference"/>
        </w:rPr>
        <w:footnoteRef/>
      </w:r>
      <w:r>
        <w:t xml:space="preserve"> </w:t>
      </w:r>
      <w:r w:rsidRPr="00335594">
        <w:rPr>
          <w:lang w:val="en-ZW"/>
        </w:rPr>
        <w:t>Joint Motion for Settlement</w:t>
      </w:r>
      <w:r w:rsidR="005D5DB1">
        <w:rPr>
          <w:lang w:val="en-ZW"/>
        </w:rPr>
        <w:t xml:space="preserve"> at </w:t>
      </w:r>
      <w:r w:rsidRPr="00335594">
        <w:rPr>
          <w:lang w:val="en-ZW"/>
        </w:rPr>
        <w:t>1</w:t>
      </w:r>
      <w:r>
        <w:rPr>
          <w:lang w:val="en-ZW"/>
        </w:rPr>
        <w:t>7.</w:t>
      </w:r>
    </w:p>
  </w:footnote>
  <w:footnote w:id="85">
    <w:p w14:paraId="7E44DEE0" w14:textId="5BD530E5" w:rsidR="006F1C5A" w:rsidRPr="00AD5A1B" w:rsidRDefault="006F1C5A" w:rsidP="006F1C5A">
      <w:pPr>
        <w:pStyle w:val="FootnoteText"/>
        <w:rPr>
          <w:lang w:val="en-ZW"/>
        </w:rPr>
      </w:pPr>
      <w:r>
        <w:rPr>
          <w:rStyle w:val="FootnoteReference"/>
        </w:rPr>
        <w:footnoteRef/>
      </w:r>
      <w:r>
        <w:t xml:space="preserve"> </w:t>
      </w:r>
      <w:r w:rsidRPr="00335594">
        <w:rPr>
          <w:lang w:val="en-ZW"/>
        </w:rPr>
        <w:t>Joint Motion for Settlement</w:t>
      </w:r>
      <w:r w:rsidR="005D5DB1">
        <w:rPr>
          <w:lang w:val="en-ZW"/>
        </w:rPr>
        <w:t xml:space="preserve"> at </w:t>
      </w:r>
      <w:r w:rsidRPr="00335594">
        <w:rPr>
          <w:lang w:val="en-ZW"/>
        </w:rPr>
        <w:t>1</w:t>
      </w:r>
      <w:r>
        <w:rPr>
          <w:lang w:val="en-ZW"/>
        </w:rPr>
        <w:t>7.</w:t>
      </w:r>
    </w:p>
  </w:footnote>
  <w:footnote w:id="86">
    <w:p w14:paraId="198C3A4D" w14:textId="4D705088" w:rsidR="006F1C5A" w:rsidRPr="00AD5A1B" w:rsidRDefault="006F1C5A" w:rsidP="006F1C5A">
      <w:pPr>
        <w:pStyle w:val="FootnoteText"/>
        <w:rPr>
          <w:lang w:val="en-ZW"/>
        </w:rPr>
      </w:pPr>
      <w:r>
        <w:rPr>
          <w:rStyle w:val="FootnoteReference"/>
        </w:rPr>
        <w:footnoteRef/>
      </w:r>
      <w:r>
        <w:t xml:space="preserve"> </w:t>
      </w:r>
      <w:r w:rsidRPr="00335594">
        <w:rPr>
          <w:lang w:val="en-ZW"/>
        </w:rPr>
        <w:t>Joint Motion for Settlement</w:t>
      </w:r>
      <w:r w:rsidR="005D5DB1">
        <w:rPr>
          <w:lang w:val="en-ZW"/>
        </w:rPr>
        <w:t xml:space="preserve"> at </w:t>
      </w:r>
      <w:r w:rsidRPr="00335594">
        <w:rPr>
          <w:lang w:val="en-ZW"/>
        </w:rPr>
        <w:t>1</w:t>
      </w:r>
      <w:r>
        <w:rPr>
          <w:lang w:val="en-ZW"/>
        </w:rPr>
        <w:t>7.</w:t>
      </w:r>
    </w:p>
  </w:footnote>
  <w:footnote w:id="87">
    <w:p w14:paraId="65CBAFDD" w14:textId="4C7469B5" w:rsidR="006F1C5A" w:rsidRPr="00AD5A1B" w:rsidRDefault="006F1C5A" w:rsidP="006F1C5A">
      <w:pPr>
        <w:pStyle w:val="FootnoteText"/>
        <w:rPr>
          <w:lang w:val="en-ZW"/>
        </w:rPr>
      </w:pPr>
      <w:r>
        <w:rPr>
          <w:rStyle w:val="FootnoteReference"/>
        </w:rPr>
        <w:footnoteRef/>
      </w:r>
      <w:r>
        <w:t xml:space="preserve"> </w:t>
      </w:r>
      <w:r w:rsidRPr="00335594">
        <w:rPr>
          <w:lang w:val="en-ZW"/>
        </w:rPr>
        <w:t>Joint Motion for Settlement</w:t>
      </w:r>
      <w:r w:rsidR="005D5DB1">
        <w:rPr>
          <w:lang w:val="en-ZW"/>
        </w:rPr>
        <w:t xml:space="preserve"> at </w:t>
      </w:r>
      <w:r w:rsidRPr="00335594">
        <w:rPr>
          <w:lang w:val="en-ZW"/>
        </w:rPr>
        <w:t>1</w:t>
      </w:r>
      <w:r>
        <w:rPr>
          <w:lang w:val="en-ZW"/>
        </w:rPr>
        <w:t>7.</w:t>
      </w:r>
    </w:p>
  </w:footnote>
  <w:footnote w:id="88">
    <w:p w14:paraId="3E0BDCA2" w14:textId="0FE28CBD" w:rsidR="00D34042" w:rsidRPr="00D34042" w:rsidRDefault="00D34042" w:rsidP="00D34042">
      <w:pPr>
        <w:pStyle w:val="FootnoteText"/>
      </w:pPr>
      <w:r>
        <w:rPr>
          <w:rStyle w:val="FootnoteReference"/>
        </w:rPr>
        <w:footnoteRef/>
      </w:r>
      <w:r>
        <w:t xml:space="preserve"> </w:t>
      </w:r>
      <w:r w:rsidR="009453BA">
        <w:t>October </w:t>
      </w:r>
      <w:r>
        <w:t xml:space="preserve">3, 2025 </w:t>
      </w:r>
      <w:r w:rsidRPr="00D34042">
        <w:rPr>
          <w:i/>
          <w:iCs/>
        </w:rPr>
        <w:t>Wild Tree Foundation Comments in Opposition to Proposed Settlement</w:t>
      </w:r>
      <w:r>
        <w:rPr>
          <w:i/>
          <w:iCs/>
        </w:rPr>
        <w:t>.</w:t>
      </w:r>
    </w:p>
  </w:footnote>
  <w:footnote w:id="89">
    <w:p w14:paraId="6BF32637" w14:textId="36232F0F" w:rsidR="00EA4BA5" w:rsidRPr="00EA4BA5" w:rsidRDefault="00EA4BA5">
      <w:pPr>
        <w:pStyle w:val="FootnoteText"/>
        <w:rPr>
          <w:lang w:val="en-ZW"/>
        </w:rPr>
      </w:pPr>
      <w:r>
        <w:rPr>
          <w:rStyle w:val="FootnoteReference"/>
        </w:rPr>
        <w:footnoteRef/>
      </w:r>
      <w:r>
        <w:t xml:space="preserve"> </w:t>
      </w:r>
      <w:r w:rsidR="009453BA">
        <w:t>October </w:t>
      </w:r>
      <w:r w:rsidR="00D34042">
        <w:t xml:space="preserve">3, 2025 </w:t>
      </w:r>
      <w:r w:rsidR="00D34042" w:rsidRPr="00D34042">
        <w:rPr>
          <w:i/>
          <w:iCs/>
        </w:rPr>
        <w:t>Wild Tree Foundation Comments in Opposition to Proposed Settlement</w:t>
      </w:r>
      <w:r w:rsidR="005D5DB1">
        <w:rPr>
          <w:i/>
          <w:iCs/>
        </w:rPr>
        <w:t xml:space="preserve"> at </w:t>
      </w:r>
      <w:r w:rsidR="00EE1056" w:rsidRPr="00EE1056">
        <w:t>2</w:t>
      </w:r>
      <w:r w:rsidR="003B5862">
        <w:noBreakHyphen/>
      </w:r>
      <w:r w:rsidR="00A51563">
        <w:t>7</w:t>
      </w:r>
      <w:r w:rsidR="00EE1056" w:rsidRPr="00EE1056">
        <w:t>.</w:t>
      </w:r>
    </w:p>
  </w:footnote>
  <w:footnote w:id="90">
    <w:p w14:paraId="67636D41" w14:textId="36416B39" w:rsidR="00EA4BA5" w:rsidRPr="00EA4BA5" w:rsidRDefault="00EA4BA5">
      <w:pPr>
        <w:pStyle w:val="FootnoteText"/>
        <w:rPr>
          <w:lang w:val="en-ZW"/>
        </w:rPr>
      </w:pPr>
      <w:r>
        <w:rPr>
          <w:rStyle w:val="FootnoteReference"/>
        </w:rPr>
        <w:footnoteRef/>
      </w:r>
      <w:r>
        <w:t xml:space="preserve"> </w:t>
      </w:r>
      <w:r w:rsidR="009453BA">
        <w:t>October </w:t>
      </w:r>
      <w:r w:rsidR="00A51563" w:rsidRPr="00A51563">
        <w:t xml:space="preserve">3, 2025 </w:t>
      </w:r>
      <w:r w:rsidR="00A51563" w:rsidRPr="00A51563">
        <w:rPr>
          <w:i/>
          <w:iCs/>
        </w:rPr>
        <w:t>Wild Tree Foundation Comments in Opposition to Proposed Settlement</w:t>
      </w:r>
      <w:r w:rsidR="005D5DB1">
        <w:rPr>
          <w:i/>
          <w:iCs/>
        </w:rPr>
        <w:t xml:space="preserve"> at </w:t>
      </w:r>
      <w:r w:rsidR="00A51563">
        <w:t>7</w:t>
      </w:r>
      <w:r w:rsidR="003B5862">
        <w:noBreakHyphen/>
      </w:r>
      <w:r w:rsidR="00A51563">
        <w:t>9.</w:t>
      </w:r>
    </w:p>
  </w:footnote>
  <w:footnote w:id="91">
    <w:p w14:paraId="7D4A1D1D" w14:textId="59BC1C4A" w:rsidR="00570BA7" w:rsidRPr="00570BA7" w:rsidRDefault="00570BA7">
      <w:pPr>
        <w:pStyle w:val="FootnoteText"/>
        <w:rPr>
          <w:lang w:val="en-ZW"/>
        </w:rPr>
      </w:pPr>
      <w:r>
        <w:rPr>
          <w:rStyle w:val="FootnoteReference"/>
        </w:rPr>
        <w:footnoteRef/>
      </w:r>
      <w:r>
        <w:t xml:space="preserve"> </w:t>
      </w:r>
      <w:r w:rsidR="009453BA">
        <w:t>October </w:t>
      </w:r>
      <w:r w:rsidR="00BF40AD">
        <w:t xml:space="preserve">10, 2025 </w:t>
      </w:r>
      <w:r w:rsidR="00BA51A4">
        <w:t xml:space="preserve">Joint </w:t>
      </w:r>
      <w:r>
        <w:t>Reply</w:t>
      </w:r>
      <w:r w:rsidR="005D5DB1">
        <w:t xml:space="preserve"> at </w:t>
      </w:r>
      <w:r>
        <w:rPr>
          <w:lang w:val="en-ZW"/>
        </w:rPr>
        <w:t>2.</w:t>
      </w:r>
    </w:p>
  </w:footnote>
  <w:footnote w:id="92">
    <w:p w14:paraId="27DE0E3C" w14:textId="39B078B1" w:rsidR="00570BA7" w:rsidRPr="00570BA7" w:rsidRDefault="00570BA7">
      <w:pPr>
        <w:pStyle w:val="FootnoteText"/>
        <w:rPr>
          <w:lang w:val="en-ZW"/>
        </w:rPr>
      </w:pPr>
      <w:r>
        <w:rPr>
          <w:rStyle w:val="FootnoteReference"/>
        </w:rPr>
        <w:footnoteRef/>
      </w:r>
      <w:r>
        <w:t xml:space="preserve"> </w:t>
      </w:r>
      <w:r w:rsidR="009453BA">
        <w:t>October </w:t>
      </w:r>
      <w:r w:rsidR="0003698C">
        <w:t xml:space="preserve">10, 2025 </w:t>
      </w:r>
      <w:r w:rsidR="00BA51A4">
        <w:t xml:space="preserve">Joint </w:t>
      </w:r>
      <w:r>
        <w:t>Reply</w:t>
      </w:r>
      <w:r w:rsidR="005D5DB1">
        <w:t xml:space="preserve"> at </w:t>
      </w:r>
      <w:r>
        <w:t>1</w:t>
      </w:r>
      <w:r w:rsidR="003B5862">
        <w:noBreakHyphen/>
      </w:r>
      <w:r>
        <w:t>3.</w:t>
      </w:r>
    </w:p>
  </w:footnote>
  <w:footnote w:id="93">
    <w:p w14:paraId="6CECC76D" w14:textId="69DAF05F" w:rsidR="00570BA7" w:rsidRPr="00570BA7" w:rsidRDefault="00570BA7">
      <w:pPr>
        <w:pStyle w:val="FootnoteText"/>
        <w:rPr>
          <w:lang w:val="en-ZW"/>
        </w:rPr>
      </w:pPr>
      <w:r>
        <w:rPr>
          <w:rStyle w:val="FootnoteReference"/>
        </w:rPr>
        <w:footnoteRef/>
      </w:r>
      <w:r>
        <w:t xml:space="preserve"> </w:t>
      </w:r>
      <w:r w:rsidR="009453BA">
        <w:t>October </w:t>
      </w:r>
      <w:r w:rsidR="0003698C">
        <w:t xml:space="preserve">10, 2025 </w:t>
      </w:r>
      <w:r w:rsidR="00BA51A4">
        <w:t xml:space="preserve">Joint </w:t>
      </w:r>
      <w:r>
        <w:rPr>
          <w:lang w:val="en-ZW"/>
        </w:rPr>
        <w:t>Reply</w:t>
      </w:r>
      <w:r w:rsidR="005D5DB1">
        <w:rPr>
          <w:lang w:val="en-ZW"/>
        </w:rPr>
        <w:t xml:space="preserve"> at </w:t>
      </w:r>
      <w:r>
        <w:rPr>
          <w:lang w:val="en-ZW"/>
        </w:rPr>
        <w:t>2.</w:t>
      </w:r>
    </w:p>
  </w:footnote>
  <w:footnote w:id="94">
    <w:p w14:paraId="64A0AD8B" w14:textId="2C9BFFD0" w:rsidR="00496358" w:rsidRPr="00496358" w:rsidRDefault="00496358">
      <w:pPr>
        <w:pStyle w:val="FootnoteText"/>
        <w:rPr>
          <w:lang w:val="en-ZW"/>
        </w:rPr>
      </w:pPr>
      <w:r>
        <w:rPr>
          <w:rStyle w:val="FootnoteReference"/>
        </w:rPr>
        <w:footnoteRef/>
      </w:r>
      <w:r>
        <w:t xml:space="preserve"> </w:t>
      </w:r>
      <w:r w:rsidR="00CD0DC1">
        <w:t>Rule </w:t>
      </w:r>
      <w:r>
        <w:t>12.1(d) of the Commission</w:t>
      </w:r>
      <w:r w:rsidR="00BE4878">
        <w:t>’</w:t>
      </w:r>
      <w:r>
        <w:t>s Rules of Practice and Procedure.</w:t>
      </w:r>
    </w:p>
  </w:footnote>
  <w:footnote w:id="95">
    <w:p w14:paraId="76FED5A7" w14:textId="4E92BF95" w:rsidR="00B757AA" w:rsidRPr="00AC059F" w:rsidRDefault="00B757AA" w:rsidP="00B757AA">
      <w:pPr>
        <w:pStyle w:val="FootnoteText"/>
        <w:rPr>
          <w:lang w:val="en-ZW"/>
        </w:rPr>
      </w:pPr>
      <w:r>
        <w:rPr>
          <w:rStyle w:val="FootnoteReference"/>
        </w:rPr>
        <w:footnoteRef/>
      </w:r>
      <w:r>
        <w:t xml:space="preserve"> </w:t>
      </w:r>
      <w:r w:rsidRPr="009C7626">
        <w:rPr>
          <w:i/>
          <w:iCs/>
        </w:rPr>
        <w:t>See</w:t>
      </w:r>
      <w:r>
        <w:t xml:space="preserve">, </w:t>
      </w:r>
      <w:r w:rsidR="00F60904" w:rsidRPr="00F60904">
        <w:rPr>
          <w:i/>
          <w:iCs/>
        </w:rPr>
        <w:t>e.g.</w:t>
      </w:r>
      <w:r>
        <w:t>, D.07</w:t>
      </w:r>
      <w:r w:rsidR="003B5862">
        <w:noBreakHyphen/>
      </w:r>
      <w:r>
        <w:t>11</w:t>
      </w:r>
      <w:r w:rsidR="003B5862">
        <w:noBreakHyphen/>
      </w:r>
      <w:r>
        <w:t>018</w:t>
      </w:r>
      <w:r w:rsidR="005D5DB1">
        <w:t xml:space="preserve"> at </w:t>
      </w:r>
      <w:r>
        <w:t>6 (original italics omitted, citations omitted).</w:t>
      </w:r>
    </w:p>
  </w:footnote>
  <w:footnote w:id="96">
    <w:p w14:paraId="29575883" w14:textId="3C800489" w:rsidR="00B757AA" w:rsidRPr="00AC059F" w:rsidRDefault="00B757AA" w:rsidP="00B757AA">
      <w:pPr>
        <w:pStyle w:val="FootnoteText"/>
        <w:rPr>
          <w:lang w:val="en-ZW"/>
        </w:rPr>
      </w:pPr>
      <w:r>
        <w:rPr>
          <w:rStyle w:val="FootnoteReference"/>
        </w:rPr>
        <w:footnoteRef/>
      </w:r>
      <w:r>
        <w:t xml:space="preserve"> </w:t>
      </w:r>
      <w:r w:rsidRPr="009C7626">
        <w:rPr>
          <w:i/>
          <w:iCs/>
        </w:rPr>
        <w:t>See</w:t>
      </w:r>
      <w:r w:rsidRPr="00AC059F">
        <w:t xml:space="preserve">, </w:t>
      </w:r>
      <w:r w:rsidR="00F60904" w:rsidRPr="00F60904">
        <w:rPr>
          <w:i/>
          <w:iCs/>
        </w:rPr>
        <w:t>e.g.</w:t>
      </w:r>
      <w:r w:rsidRPr="00AC059F">
        <w:t>, D.19</w:t>
      </w:r>
      <w:r w:rsidR="003B5862">
        <w:noBreakHyphen/>
      </w:r>
      <w:r w:rsidRPr="00AC059F">
        <w:t>10</w:t>
      </w:r>
      <w:r w:rsidR="003B5862">
        <w:noBreakHyphen/>
      </w:r>
      <w:r w:rsidRPr="00AC059F">
        <w:t>003</w:t>
      </w:r>
      <w:r w:rsidR="005D5DB1">
        <w:t xml:space="preserve"> at </w:t>
      </w:r>
      <w:r w:rsidRPr="00AC059F">
        <w:t>6, D.14</w:t>
      </w:r>
      <w:r w:rsidR="003B5862">
        <w:noBreakHyphen/>
      </w:r>
      <w:r w:rsidRPr="00AC059F">
        <w:t>11</w:t>
      </w:r>
      <w:r w:rsidR="003B5862">
        <w:noBreakHyphen/>
      </w:r>
      <w:r w:rsidRPr="00AC059F">
        <w:t>040</w:t>
      </w:r>
      <w:r w:rsidR="005D5DB1">
        <w:t xml:space="preserve"> at </w:t>
      </w:r>
      <w:r w:rsidRPr="00AC059F">
        <w:t>21</w:t>
      </w:r>
      <w:r w:rsidR="003B5862">
        <w:noBreakHyphen/>
      </w:r>
      <w:r w:rsidRPr="00AC059F">
        <w:t>22.</w:t>
      </w:r>
    </w:p>
  </w:footnote>
  <w:footnote w:id="97">
    <w:p w14:paraId="16EB6259" w14:textId="66A0BBB1" w:rsidR="00B757AA" w:rsidRPr="004D5FD9" w:rsidRDefault="00B757AA" w:rsidP="00B757AA">
      <w:pPr>
        <w:pStyle w:val="BlockQuote"/>
        <w:ind w:left="0"/>
        <w:rPr>
          <w:lang w:val="en-ZW"/>
        </w:rPr>
      </w:pPr>
      <w:r w:rsidRPr="009C7626">
        <w:rPr>
          <w:rStyle w:val="FootnoteReference"/>
          <w:sz w:val="22"/>
        </w:rPr>
        <w:footnoteRef/>
      </w:r>
      <w:r w:rsidRPr="009C7626">
        <w:rPr>
          <w:sz w:val="22"/>
        </w:rPr>
        <w:t xml:space="preserve"> D.10</w:t>
      </w:r>
      <w:r w:rsidR="003B5862">
        <w:rPr>
          <w:sz w:val="22"/>
        </w:rPr>
        <w:noBreakHyphen/>
      </w:r>
      <w:r w:rsidRPr="009C7626">
        <w:rPr>
          <w:sz w:val="22"/>
        </w:rPr>
        <w:t>04</w:t>
      </w:r>
      <w:r w:rsidR="003B5862">
        <w:rPr>
          <w:sz w:val="22"/>
        </w:rPr>
        <w:noBreakHyphen/>
      </w:r>
      <w:r w:rsidRPr="009C7626">
        <w:rPr>
          <w:sz w:val="22"/>
        </w:rPr>
        <w:t>033</w:t>
      </w:r>
      <w:r w:rsidR="005D5DB1">
        <w:rPr>
          <w:sz w:val="22"/>
        </w:rPr>
        <w:t xml:space="preserve"> at </w:t>
      </w:r>
      <w:r w:rsidRPr="009C7626">
        <w:rPr>
          <w:sz w:val="22"/>
        </w:rPr>
        <w:t>9.</w:t>
      </w:r>
    </w:p>
  </w:footnote>
  <w:footnote w:id="98">
    <w:p w14:paraId="3D31A3E2" w14:textId="16C78863" w:rsidR="00496358" w:rsidRPr="00496358" w:rsidRDefault="00496358">
      <w:pPr>
        <w:pStyle w:val="FootnoteText"/>
        <w:rPr>
          <w:lang w:val="en-ZW"/>
        </w:rPr>
      </w:pPr>
      <w:r>
        <w:rPr>
          <w:rStyle w:val="FootnoteReference"/>
        </w:rPr>
        <w:footnoteRef/>
      </w:r>
      <w:r>
        <w:t xml:space="preserve"> </w:t>
      </w:r>
      <w:r w:rsidRPr="00496358">
        <w:rPr>
          <w:i/>
          <w:iCs/>
        </w:rPr>
        <w:t xml:space="preserve">See, </w:t>
      </w:r>
      <w:r w:rsidR="00F60904" w:rsidRPr="00F60904">
        <w:rPr>
          <w:i/>
          <w:iCs/>
        </w:rPr>
        <w:t>e.g.</w:t>
      </w:r>
      <w:r w:rsidRPr="00496358">
        <w:t>, D.00</w:t>
      </w:r>
      <w:r w:rsidR="003B5862">
        <w:noBreakHyphen/>
      </w:r>
      <w:r w:rsidRPr="00496358">
        <w:t>11</w:t>
      </w:r>
      <w:r w:rsidR="003B5862">
        <w:noBreakHyphen/>
      </w:r>
      <w:r w:rsidRPr="00496358">
        <w:t>041</w:t>
      </w:r>
      <w:r w:rsidR="005D5DB1">
        <w:t xml:space="preserve"> at </w:t>
      </w:r>
      <w:r w:rsidRPr="00496358">
        <w:t>6; D.96</w:t>
      </w:r>
      <w:r w:rsidR="003B5862">
        <w:noBreakHyphen/>
      </w:r>
      <w:r w:rsidRPr="00496358">
        <w:t>05</w:t>
      </w:r>
      <w:r w:rsidR="003B5862">
        <w:noBreakHyphen/>
      </w:r>
      <w:r w:rsidRPr="00496358">
        <w:t>070 (66</w:t>
      </w:r>
      <w:r w:rsidR="00F8640F">
        <w:t> CPUC 2d</w:t>
      </w:r>
      <w:r w:rsidRPr="00496358">
        <w:t xml:space="preserve"> 314, 317); D.91</w:t>
      </w:r>
      <w:r w:rsidR="003B5862">
        <w:noBreakHyphen/>
      </w:r>
      <w:r w:rsidRPr="00496358">
        <w:t>05</w:t>
      </w:r>
      <w:r w:rsidR="003B5862">
        <w:noBreakHyphen/>
      </w:r>
      <w:r w:rsidRPr="00496358">
        <w:t>029 (40</w:t>
      </w:r>
      <w:r w:rsidR="00F8640F">
        <w:t> CPUC 2d</w:t>
      </w:r>
      <w:r w:rsidRPr="00496358">
        <w:t xml:space="preserve"> 301, 326); D.88</w:t>
      </w:r>
      <w:r w:rsidR="003B5862">
        <w:noBreakHyphen/>
      </w:r>
      <w:r w:rsidRPr="00496358">
        <w:t>12</w:t>
      </w:r>
      <w:r w:rsidR="003B5862">
        <w:noBreakHyphen/>
      </w:r>
      <w:r w:rsidRPr="00496358">
        <w:t>083 (30</w:t>
      </w:r>
      <w:r w:rsidR="00F8640F">
        <w:t> CPUC 2d</w:t>
      </w:r>
      <w:r w:rsidRPr="00496358">
        <w:t xml:space="preserve"> 189, 221</w:t>
      </w:r>
      <w:r w:rsidR="003B5862">
        <w:noBreakHyphen/>
      </w:r>
      <w:r w:rsidRPr="00496358">
        <w:t>223).</w:t>
      </w:r>
    </w:p>
  </w:footnote>
  <w:footnote w:id="99">
    <w:p w14:paraId="026B9D3F" w14:textId="2399D6F0" w:rsidR="00345996" w:rsidRPr="00345996" w:rsidRDefault="00345996">
      <w:pPr>
        <w:pStyle w:val="FootnoteText"/>
        <w:rPr>
          <w:lang w:val="en-ZW"/>
        </w:rPr>
      </w:pPr>
      <w:r>
        <w:rPr>
          <w:rStyle w:val="FootnoteReference"/>
        </w:rPr>
        <w:footnoteRef/>
      </w:r>
      <w:r>
        <w:t xml:space="preserve"> </w:t>
      </w:r>
      <w:r w:rsidRPr="00345996">
        <w:t>D.10</w:t>
      </w:r>
      <w:r w:rsidR="003B5862">
        <w:noBreakHyphen/>
      </w:r>
      <w:r w:rsidRPr="00345996">
        <w:t>12</w:t>
      </w:r>
      <w:r w:rsidR="003B5862">
        <w:noBreakHyphen/>
      </w:r>
      <w:r w:rsidRPr="00345996">
        <w:t>035</w:t>
      </w:r>
      <w:r w:rsidR="005D5DB1">
        <w:t xml:space="preserve"> at </w:t>
      </w:r>
      <w:r w:rsidRPr="00345996">
        <w:t>26</w:t>
      </w:r>
      <w:r>
        <w:t xml:space="preserve">; </w:t>
      </w:r>
      <w:r w:rsidRPr="00345996">
        <w:rPr>
          <w:i/>
          <w:iCs/>
        </w:rPr>
        <w:t xml:space="preserve">see also, </w:t>
      </w:r>
      <w:r w:rsidR="00F60904" w:rsidRPr="00F60904">
        <w:rPr>
          <w:i/>
          <w:iCs/>
        </w:rPr>
        <w:t>e.g.</w:t>
      </w:r>
      <w:r w:rsidRPr="00345996">
        <w:t>, D.12</w:t>
      </w:r>
      <w:r w:rsidR="003B5862">
        <w:noBreakHyphen/>
      </w:r>
      <w:r w:rsidRPr="00345996">
        <w:t>03</w:t>
      </w:r>
      <w:r w:rsidR="003B5862">
        <w:noBreakHyphen/>
      </w:r>
      <w:r w:rsidRPr="00345996">
        <w:t>015</w:t>
      </w:r>
      <w:r w:rsidR="005D5DB1">
        <w:t xml:space="preserve"> at </w:t>
      </w:r>
      <w:r w:rsidRPr="00345996">
        <w:t>19</w:t>
      </w:r>
      <w:r w:rsidR="003B5862">
        <w:noBreakHyphen/>
      </w:r>
      <w:r w:rsidRPr="00345996">
        <w:t>20.</w:t>
      </w:r>
    </w:p>
  </w:footnote>
  <w:footnote w:id="100">
    <w:p w14:paraId="6EE1CCE9" w14:textId="123FB5A1" w:rsidR="00EE0B7B" w:rsidRPr="00EE0B7B" w:rsidRDefault="00EE0B7B" w:rsidP="00EE0B7B">
      <w:pPr>
        <w:pStyle w:val="FootnoteText"/>
      </w:pPr>
      <w:r>
        <w:rPr>
          <w:rStyle w:val="FootnoteReference"/>
        </w:rPr>
        <w:footnoteRef/>
      </w:r>
      <w:r>
        <w:t xml:space="preserve"> </w:t>
      </w:r>
      <w:r w:rsidRPr="00EE0B7B">
        <w:t>D.11</w:t>
      </w:r>
      <w:r w:rsidR="003B5862">
        <w:noBreakHyphen/>
      </w:r>
      <w:r w:rsidRPr="00EE0B7B">
        <w:t>05</w:t>
      </w:r>
      <w:r w:rsidR="003B5862">
        <w:noBreakHyphen/>
      </w:r>
      <w:r w:rsidRPr="00EE0B7B">
        <w:t>008</w:t>
      </w:r>
      <w:r w:rsidR="005D5DB1">
        <w:t xml:space="preserve"> at </w:t>
      </w:r>
      <w:r w:rsidRPr="00EE0B7B">
        <w:t xml:space="preserve">14; </w:t>
      </w:r>
      <w:r w:rsidRPr="00EE0B7B">
        <w:rPr>
          <w:i/>
          <w:iCs/>
        </w:rPr>
        <w:t xml:space="preserve">see also, </w:t>
      </w:r>
      <w:r w:rsidR="00F60904" w:rsidRPr="00F60904">
        <w:rPr>
          <w:i/>
          <w:iCs/>
        </w:rPr>
        <w:t>e.g.</w:t>
      </w:r>
      <w:r w:rsidRPr="00EE0B7B">
        <w:t>, D.15</w:t>
      </w:r>
      <w:r w:rsidR="003B5862">
        <w:noBreakHyphen/>
      </w:r>
      <w:r w:rsidRPr="00EE0B7B">
        <w:t>04</w:t>
      </w:r>
      <w:r w:rsidR="003B5862">
        <w:noBreakHyphen/>
      </w:r>
      <w:r w:rsidRPr="00EE0B7B">
        <w:t>006</w:t>
      </w:r>
      <w:r w:rsidR="005D5DB1">
        <w:t xml:space="preserve"> at </w:t>
      </w:r>
      <w:r w:rsidRPr="00EE0B7B">
        <w:t>8</w:t>
      </w:r>
      <w:r w:rsidR="003B5862">
        <w:noBreakHyphen/>
      </w:r>
      <w:r w:rsidRPr="00EE0B7B">
        <w:t>9 (</w:t>
      </w:r>
      <w:r w:rsidR="00BE4878">
        <w:t>“</w:t>
      </w:r>
      <w:r w:rsidRPr="00EE0B7B">
        <w:t>Commission decisions on settlements</w:t>
      </w:r>
      <w:r w:rsidR="00280C43">
        <w:t> . . .</w:t>
      </w:r>
      <w:r w:rsidRPr="00EE0B7B">
        <w:t xml:space="preserve"> express the strong public policy favoring settlement</w:t>
      </w:r>
      <w:r w:rsidR="00BE4878">
        <w:t>”</w:t>
      </w:r>
      <w:r w:rsidRPr="00EE0B7B">
        <w:t>); D.10</w:t>
      </w:r>
      <w:r w:rsidR="003B5862">
        <w:noBreakHyphen/>
      </w:r>
      <w:r w:rsidRPr="00EE0B7B">
        <w:t>06</w:t>
      </w:r>
      <w:r w:rsidR="003B5862">
        <w:noBreakHyphen/>
      </w:r>
      <w:r w:rsidRPr="00EE0B7B">
        <w:t>038</w:t>
      </w:r>
      <w:r w:rsidR="005D5DB1">
        <w:t xml:space="preserve"> at </w:t>
      </w:r>
      <w:r w:rsidRPr="00EE0B7B">
        <w:t>38 (</w:t>
      </w:r>
      <w:r w:rsidR="00BE4878">
        <w:t>“</w:t>
      </w:r>
      <w:r w:rsidRPr="00EE0B7B">
        <w:t>The Commission also takes into consideration a long</w:t>
      </w:r>
      <w:r w:rsidR="003B5862">
        <w:noBreakHyphen/>
      </w:r>
      <w:r w:rsidRPr="00EE0B7B">
        <w:t>standing policy favoring settlements.</w:t>
      </w:r>
      <w:r w:rsidR="00BE4878">
        <w:t>”</w:t>
      </w:r>
      <w:r w:rsidRPr="00EE0B7B">
        <w:t>); D.10</w:t>
      </w:r>
      <w:r w:rsidR="003B5862">
        <w:noBreakHyphen/>
      </w:r>
      <w:r w:rsidRPr="00EE0B7B">
        <w:t>04</w:t>
      </w:r>
      <w:r w:rsidR="003B5862">
        <w:noBreakHyphen/>
      </w:r>
      <w:r w:rsidRPr="00EE0B7B">
        <w:t>033</w:t>
      </w:r>
      <w:r w:rsidR="005D5DB1">
        <w:t xml:space="preserve"> at </w:t>
      </w:r>
      <w:r w:rsidRPr="00EE0B7B">
        <w:t xml:space="preserve">9 (Commission has </w:t>
      </w:r>
      <w:r w:rsidR="00BE4878">
        <w:t>“</w:t>
      </w:r>
      <w:r w:rsidRPr="00EE0B7B">
        <w:t>often acknowledged California</w:t>
      </w:r>
      <w:r w:rsidR="00BE4878">
        <w:t>’</w:t>
      </w:r>
      <w:r w:rsidRPr="00EE0B7B">
        <w:t>s strong public policy favoring settlements</w:t>
      </w:r>
      <w:r w:rsidR="00BE4878">
        <w:t>”</w:t>
      </w:r>
      <w:r w:rsidRPr="00EE0B7B">
        <w:t>)</w:t>
      </w:r>
      <w:r>
        <w:t xml:space="preserve">; </w:t>
      </w:r>
      <w:r w:rsidR="009060CD">
        <w:rPr>
          <w:i/>
          <w:iCs/>
        </w:rPr>
        <w:t>s</w:t>
      </w:r>
      <w:r w:rsidRPr="00EE0B7B">
        <w:rPr>
          <w:i/>
          <w:iCs/>
        </w:rPr>
        <w:t xml:space="preserve">ee </w:t>
      </w:r>
      <w:r w:rsidRPr="00EE0B7B">
        <w:t>D.14</w:t>
      </w:r>
      <w:r w:rsidR="003B5862">
        <w:noBreakHyphen/>
      </w:r>
      <w:r w:rsidRPr="00EE0B7B">
        <w:t>12</w:t>
      </w:r>
      <w:r w:rsidR="003B5862">
        <w:noBreakHyphen/>
      </w:r>
      <w:r w:rsidRPr="00EE0B7B">
        <w:t>040</w:t>
      </w:r>
      <w:r w:rsidR="005D5DB1">
        <w:t xml:space="preserve"> at </w:t>
      </w:r>
      <w:r w:rsidRPr="00EE0B7B">
        <w:t>15 (</w:t>
      </w:r>
      <w:r w:rsidR="00BE4878">
        <w:t>“</w:t>
      </w:r>
      <w:r w:rsidRPr="00EE0B7B">
        <w:t>[T]he Commission favors settlement of disputed issues if the resolution is fair and reasonable in light of the whole record.</w:t>
      </w:r>
      <w:r w:rsidR="00BE4878">
        <w:t>”</w:t>
      </w:r>
      <w:r w:rsidRPr="00EE0B7B">
        <w:t>); D.10</w:t>
      </w:r>
      <w:r w:rsidR="003B5862">
        <w:noBreakHyphen/>
      </w:r>
      <w:r w:rsidRPr="00EE0B7B">
        <w:t>06</w:t>
      </w:r>
      <w:r w:rsidR="003B5862">
        <w:noBreakHyphen/>
      </w:r>
      <w:r w:rsidRPr="00EE0B7B">
        <w:t>031</w:t>
      </w:r>
      <w:r w:rsidR="005D5DB1">
        <w:t xml:space="preserve"> at </w:t>
      </w:r>
      <w:r w:rsidRPr="00EE0B7B">
        <w:t>12 (</w:t>
      </w:r>
      <w:r w:rsidR="00BE4878">
        <w:t>“</w:t>
      </w:r>
      <w:r w:rsidRPr="00EE0B7B">
        <w:t>The Commission favors settlements because they generally support worthwhile goals, including reducing the expense of litigation, conserving scarce Commission resources, and allowing parties to reduce the risk that litigation will produce unacceptable results.</w:t>
      </w:r>
      <w:r w:rsidR="00BE4878">
        <w:t>”</w:t>
      </w:r>
      <w:r w:rsidRPr="00EE0B7B">
        <w:t>).</w:t>
      </w:r>
    </w:p>
  </w:footnote>
  <w:footnote w:id="101">
    <w:p w14:paraId="3746152C" w14:textId="5570E613" w:rsidR="00B757AA" w:rsidRDefault="00B757AA" w:rsidP="00B757AA">
      <w:pPr>
        <w:pStyle w:val="FootnoteText"/>
      </w:pPr>
      <w:r>
        <w:rPr>
          <w:rStyle w:val="FootnoteReference"/>
        </w:rPr>
        <w:footnoteRef/>
      </w:r>
      <w:r>
        <w:t xml:space="preserve"> D.20</w:t>
      </w:r>
      <w:r w:rsidR="003B5862">
        <w:noBreakHyphen/>
      </w:r>
      <w:r>
        <w:t>12</w:t>
      </w:r>
      <w:r w:rsidR="003B5862">
        <w:noBreakHyphen/>
      </w:r>
      <w:r>
        <w:t xml:space="preserve">005, </w:t>
      </w:r>
      <w:r w:rsidRPr="008D542E">
        <w:rPr>
          <w:i/>
          <w:iCs/>
        </w:rPr>
        <w:t xml:space="preserve">Decision Addressing the Test Year 2020 General Rate Case of Pacific Gas and Electric Company </w:t>
      </w:r>
      <w:r w:rsidRPr="008D542E">
        <w:t>(</w:t>
      </w:r>
      <w:r w:rsidR="009453BA">
        <w:t>December </w:t>
      </w:r>
      <w:r w:rsidRPr="008D542E">
        <w:t>3, 2020)</w:t>
      </w:r>
      <w:r w:rsidR="005D5DB1">
        <w:t xml:space="preserve"> at </w:t>
      </w:r>
      <w:r>
        <w:t>25</w:t>
      </w:r>
      <w:r w:rsidR="003B5862">
        <w:noBreakHyphen/>
      </w:r>
      <w:r>
        <w:t>26.</w:t>
      </w:r>
    </w:p>
  </w:footnote>
  <w:footnote w:id="102">
    <w:p w14:paraId="264B004E" w14:textId="37054000" w:rsidR="00A34320" w:rsidRPr="00A34320" w:rsidRDefault="00A34320">
      <w:pPr>
        <w:pStyle w:val="FootnoteText"/>
        <w:rPr>
          <w:lang w:val="en-ZW"/>
        </w:rPr>
      </w:pPr>
      <w:r>
        <w:rPr>
          <w:rStyle w:val="FootnoteReference"/>
        </w:rPr>
        <w:footnoteRef/>
      </w:r>
      <w:r>
        <w:t xml:space="preserve"> </w:t>
      </w:r>
      <w:r w:rsidRPr="00A34320">
        <w:rPr>
          <w:i/>
          <w:iCs/>
        </w:rPr>
        <w:t>Decision Regarding Settlement Agreement Authorizing Cost Recovery for 2017 Thomas Fire and 2018 Montecito Debris Flow</w:t>
      </w:r>
      <w:r w:rsidRPr="00A34320">
        <w:t xml:space="preserve"> (</w:t>
      </w:r>
      <w:r w:rsidR="009453BA">
        <w:t>January </w:t>
      </w:r>
      <w:r w:rsidRPr="00A34320">
        <w:t>30, 2025)</w:t>
      </w:r>
      <w:r>
        <w:t>.</w:t>
      </w:r>
    </w:p>
  </w:footnote>
  <w:footnote w:id="103">
    <w:p w14:paraId="6CE03148" w14:textId="50B2688D" w:rsidR="00420303" w:rsidRPr="00420303" w:rsidRDefault="00420303">
      <w:pPr>
        <w:pStyle w:val="FootnoteText"/>
        <w:rPr>
          <w:lang w:val="en-ZW"/>
        </w:rPr>
      </w:pPr>
      <w:r>
        <w:rPr>
          <w:rStyle w:val="FootnoteReference"/>
        </w:rPr>
        <w:footnoteRef/>
      </w:r>
      <w:r>
        <w:t xml:space="preserve"> </w:t>
      </w:r>
      <w:r w:rsidR="009453BA">
        <w:t>October </w:t>
      </w:r>
      <w:r w:rsidR="000D64A6" w:rsidRPr="000D64A6">
        <w:t xml:space="preserve">3, 2025 </w:t>
      </w:r>
      <w:r w:rsidR="000D64A6" w:rsidRPr="000D64A6">
        <w:rPr>
          <w:i/>
          <w:iCs/>
        </w:rPr>
        <w:t xml:space="preserve">Wild Tree Foundation </w:t>
      </w:r>
      <w:r w:rsidRPr="000D64A6">
        <w:rPr>
          <w:i/>
          <w:iCs/>
        </w:rPr>
        <w:t>Comments in Opposition to Settlement</w:t>
      </w:r>
      <w:r w:rsidR="005D5DB1">
        <w:t xml:space="preserve"> at </w:t>
      </w:r>
      <w:r w:rsidRPr="00420303">
        <w:t>2.</w:t>
      </w:r>
    </w:p>
  </w:footnote>
  <w:footnote w:id="104">
    <w:p w14:paraId="735FF5E2" w14:textId="3022A4D8" w:rsidR="009C1412" w:rsidRPr="00420303" w:rsidRDefault="009C1412" w:rsidP="009C1412">
      <w:pPr>
        <w:pStyle w:val="FootnoteText"/>
        <w:rPr>
          <w:lang w:val="en-ZW"/>
        </w:rPr>
      </w:pPr>
      <w:r>
        <w:rPr>
          <w:rStyle w:val="FootnoteReference"/>
        </w:rPr>
        <w:footnoteRef/>
      </w:r>
      <w:r>
        <w:t xml:space="preserve"> </w:t>
      </w:r>
      <w:r w:rsidR="009453BA">
        <w:t>October </w:t>
      </w:r>
      <w:r w:rsidR="000D64A6" w:rsidRPr="000D64A6">
        <w:t xml:space="preserve">3, 2025 </w:t>
      </w:r>
      <w:r w:rsidR="000D64A6" w:rsidRPr="000D64A6">
        <w:rPr>
          <w:i/>
          <w:iCs/>
        </w:rPr>
        <w:t xml:space="preserve">Wild Tree Foundation </w:t>
      </w:r>
      <w:r w:rsidRPr="000D64A6">
        <w:rPr>
          <w:i/>
          <w:iCs/>
        </w:rPr>
        <w:t>Comments in Opposition to Settlement</w:t>
      </w:r>
      <w:r w:rsidR="005D5DB1">
        <w:t xml:space="preserve"> at </w:t>
      </w:r>
      <w:r w:rsidRPr="00420303">
        <w:t>2.</w:t>
      </w:r>
    </w:p>
  </w:footnote>
  <w:footnote w:id="105">
    <w:p w14:paraId="12B4B77E" w14:textId="139D72B2" w:rsidR="00E10902" w:rsidRPr="00E10902" w:rsidRDefault="00E10902">
      <w:pPr>
        <w:pStyle w:val="FootnoteText"/>
        <w:rPr>
          <w:lang w:val="en-ZW"/>
        </w:rPr>
      </w:pPr>
      <w:r>
        <w:rPr>
          <w:rStyle w:val="FootnoteReference"/>
        </w:rPr>
        <w:footnoteRef/>
      </w:r>
      <w:r>
        <w:t xml:space="preserve"> </w:t>
      </w:r>
      <w:r w:rsidRPr="00E10902">
        <w:t>D.88</w:t>
      </w:r>
      <w:r w:rsidR="003B5862">
        <w:noBreakHyphen/>
      </w:r>
      <w:r w:rsidRPr="00E10902">
        <w:t>12</w:t>
      </w:r>
      <w:r w:rsidR="003B5862">
        <w:noBreakHyphen/>
      </w:r>
      <w:r w:rsidRPr="00E10902">
        <w:t>083</w:t>
      </w:r>
      <w:r w:rsidR="005D5DB1">
        <w:t xml:space="preserve"> at </w:t>
      </w:r>
      <w:r w:rsidRPr="00E10902">
        <w:t>55, 30</w:t>
      </w:r>
      <w:r w:rsidR="00F8640F">
        <w:t> CPUC 2d</w:t>
      </w:r>
      <w:r w:rsidRPr="00E10902">
        <w:t xml:space="preserve"> 189 (Dec. 19, 1988); </w:t>
      </w:r>
      <w:r w:rsidRPr="00E10902">
        <w:rPr>
          <w:i/>
          <w:iCs/>
        </w:rPr>
        <w:t xml:space="preserve">see also </w:t>
      </w:r>
      <w:r w:rsidRPr="00E10902">
        <w:t>D.00</w:t>
      </w:r>
      <w:r w:rsidR="003B5862">
        <w:noBreakHyphen/>
      </w:r>
      <w:r w:rsidRPr="00E10902">
        <w:t>09</w:t>
      </w:r>
      <w:r w:rsidR="003B5862">
        <w:noBreakHyphen/>
      </w:r>
      <w:r w:rsidRPr="00E10902">
        <w:t>034</w:t>
      </w:r>
      <w:r w:rsidR="005D5DB1">
        <w:t xml:space="preserve"> at </w:t>
      </w:r>
      <w:r w:rsidRPr="00E10902">
        <w:t>20</w:t>
      </w:r>
      <w:r w:rsidR="00F8640F">
        <w:t>.</w:t>
      </w:r>
    </w:p>
  </w:footnote>
  <w:footnote w:id="106">
    <w:p w14:paraId="3A5E6B36" w14:textId="01DE9EF6" w:rsidR="00592462" w:rsidRPr="00592462" w:rsidRDefault="00592462">
      <w:pPr>
        <w:pStyle w:val="FootnoteText"/>
        <w:rPr>
          <w:lang w:val="en-ZW"/>
        </w:rPr>
      </w:pPr>
      <w:r>
        <w:rPr>
          <w:rStyle w:val="FootnoteReference"/>
        </w:rPr>
        <w:footnoteRef/>
      </w:r>
      <w:r>
        <w:t xml:space="preserve"> </w:t>
      </w:r>
      <w:r w:rsidRPr="00592462">
        <w:t>D.25</w:t>
      </w:r>
      <w:r w:rsidR="003B5862">
        <w:noBreakHyphen/>
      </w:r>
      <w:r w:rsidRPr="00592462">
        <w:t>01</w:t>
      </w:r>
      <w:r w:rsidR="003B5862">
        <w:noBreakHyphen/>
      </w:r>
      <w:r w:rsidRPr="00592462">
        <w:t>042</w:t>
      </w:r>
      <w:r w:rsidR="00760DB7">
        <w:t>,</w:t>
      </w:r>
      <w:r w:rsidR="00760DB7" w:rsidRPr="00760DB7">
        <w:rPr>
          <w:i/>
          <w:iCs/>
          <w:sz w:val="26"/>
          <w:szCs w:val="22"/>
        </w:rPr>
        <w:t xml:space="preserve"> </w:t>
      </w:r>
      <w:r w:rsidR="00760DB7" w:rsidRPr="00760DB7">
        <w:rPr>
          <w:i/>
          <w:iCs/>
        </w:rPr>
        <w:t>Decision Regarding Settlement Agreement Authorizing Cost Recovery for 2017 Thomas Fire and 2018 Montecito Debris Flow</w:t>
      </w:r>
      <w:r w:rsidR="00760DB7" w:rsidRPr="00760DB7">
        <w:t xml:space="preserve"> (</w:t>
      </w:r>
      <w:r w:rsidR="009453BA">
        <w:t>January </w:t>
      </w:r>
      <w:r w:rsidR="00760DB7" w:rsidRPr="00760DB7">
        <w:t>30, 2025)</w:t>
      </w:r>
      <w:r w:rsidR="005D5DB1">
        <w:t xml:space="preserve"> at </w:t>
      </w:r>
      <w:r w:rsidRPr="00592462">
        <w:t>17.</w:t>
      </w:r>
    </w:p>
  </w:footnote>
  <w:footnote w:id="107">
    <w:p w14:paraId="6814416B" w14:textId="0CD34494" w:rsidR="00592462" w:rsidRPr="00760DB7" w:rsidRDefault="00592462" w:rsidP="00760DB7">
      <w:pPr>
        <w:pStyle w:val="FootnoteText"/>
      </w:pPr>
      <w:r>
        <w:rPr>
          <w:rStyle w:val="FootnoteReference"/>
        </w:rPr>
        <w:footnoteRef/>
      </w:r>
      <w:r>
        <w:t xml:space="preserve"> </w:t>
      </w:r>
      <w:bookmarkStart w:id="43" w:name="_Hlk211966566"/>
      <w:r w:rsidRPr="00592462">
        <w:t>D.25</w:t>
      </w:r>
      <w:r w:rsidR="003B5862">
        <w:noBreakHyphen/>
      </w:r>
      <w:r w:rsidRPr="00592462">
        <w:t>01</w:t>
      </w:r>
      <w:r w:rsidR="003B5862">
        <w:noBreakHyphen/>
      </w:r>
      <w:r w:rsidRPr="00592462">
        <w:t>042</w:t>
      </w:r>
      <w:bookmarkEnd w:id="43"/>
      <w:r w:rsidR="00760DB7">
        <w:t xml:space="preserve">, </w:t>
      </w:r>
      <w:r w:rsidR="00760DB7" w:rsidRPr="00760DB7">
        <w:rPr>
          <w:i/>
          <w:iCs/>
        </w:rPr>
        <w:t xml:space="preserve">Decision Regarding Settlement Agreement Authorizing Cost Recovery </w:t>
      </w:r>
      <w:r w:rsidR="00760DB7">
        <w:rPr>
          <w:i/>
          <w:iCs/>
        </w:rPr>
        <w:t>f</w:t>
      </w:r>
      <w:r w:rsidR="00760DB7" w:rsidRPr="00760DB7">
        <w:rPr>
          <w:i/>
          <w:iCs/>
        </w:rPr>
        <w:t xml:space="preserve">or 2017 Thomas Fire </w:t>
      </w:r>
      <w:r w:rsidR="00760DB7">
        <w:rPr>
          <w:i/>
          <w:iCs/>
        </w:rPr>
        <w:t>a</w:t>
      </w:r>
      <w:r w:rsidR="00760DB7" w:rsidRPr="00760DB7">
        <w:rPr>
          <w:i/>
          <w:iCs/>
        </w:rPr>
        <w:t>nd 2018 Montecito Debris Flow</w:t>
      </w:r>
      <w:r w:rsidR="00760DB7" w:rsidRPr="00592462">
        <w:t xml:space="preserve"> </w:t>
      </w:r>
      <w:r w:rsidR="00760DB7">
        <w:t>(</w:t>
      </w:r>
      <w:r w:rsidR="009453BA">
        <w:t>January </w:t>
      </w:r>
      <w:r w:rsidR="00760DB7">
        <w:t>30, 2025)</w:t>
      </w:r>
      <w:r w:rsidR="005D5DB1">
        <w:t xml:space="preserve"> at </w:t>
      </w:r>
      <w:r w:rsidRPr="00592462">
        <w:t>17</w:t>
      </w:r>
      <w:r w:rsidR="003B5862">
        <w:noBreakHyphen/>
      </w:r>
      <w:r>
        <w:t>18</w:t>
      </w:r>
      <w:r w:rsidRPr="00592462">
        <w:t>.</w:t>
      </w:r>
    </w:p>
  </w:footnote>
  <w:footnote w:id="108">
    <w:p w14:paraId="58889918" w14:textId="6928751E" w:rsidR="008A2B4A" w:rsidRPr="008A2B4A" w:rsidRDefault="008A2B4A">
      <w:pPr>
        <w:pStyle w:val="FootnoteText"/>
        <w:rPr>
          <w:lang w:val="en-ZW"/>
        </w:rPr>
      </w:pPr>
      <w:r>
        <w:rPr>
          <w:rStyle w:val="FootnoteReference"/>
        </w:rPr>
        <w:footnoteRef/>
      </w:r>
      <w:r>
        <w:t xml:space="preserve"> </w:t>
      </w:r>
      <w:r w:rsidRPr="008A2B4A">
        <w:t>D.25</w:t>
      </w:r>
      <w:r w:rsidR="003B5862">
        <w:noBreakHyphen/>
      </w:r>
      <w:r w:rsidRPr="008A2B4A">
        <w:t>01</w:t>
      </w:r>
      <w:r w:rsidR="003B5862">
        <w:noBreakHyphen/>
      </w:r>
      <w:r w:rsidRPr="008A2B4A">
        <w:t>042</w:t>
      </w:r>
      <w:r w:rsidR="00760DB7">
        <w:t>,</w:t>
      </w:r>
      <w:r w:rsidR="00760DB7" w:rsidRPr="00760DB7">
        <w:rPr>
          <w:i/>
          <w:iCs/>
          <w:sz w:val="26"/>
          <w:szCs w:val="22"/>
        </w:rPr>
        <w:t xml:space="preserve"> </w:t>
      </w:r>
      <w:r w:rsidR="00760DB7" w:rsidRPr="00760DB7">
        <w:rPr>
          <w:i/>
          <w:iCs/>
        </w:rPr>
        <w:t>Decision Regarding Settlement Agreement Authorizing Cost Recovery for 2017 Thomas Fire and 2018 Montecito Debris Flow</w:t>
      </w:r>
      <w:r w:rsidR="00760DB7" w:rsidRPr="00760DB7">
        <w:t xml:space="preserve"> (</w:t>
      </w:r>
      <w:r w:rsidR="009453BA">
        <w:t>January </w:t>
      </w:r>
      <w:r w:rsidR="00760DB7" w:rsidRPr="00760DB7">
        <w:t>30, 2025)</w:t>
      </w:r>
      <w:r w:rsidR="005D5DB1">
        <w:t xml:space="preserve"> at </w:t>
      </w:r>
      <w:r w:rsidR="0085111F" w:rsidRPr="0085111F">
        <w:t>40</w:t>
      </w:r>
      <w:r w:rsidR="003B5862">
        <w:noBreakHyphen/>
      </w:r>
      <w:r w:rsidR="0085111F" w:rsidRPr="0085111F">
        <w:t xml:space="preserve">41, Finding </w:t>
      </w:r>
      <w:r w:rsidR="00EB2020">
        <w:t>of Fact </w:t>
      </w:r>
      <w:r w:rsidR="0085111F" w:rsidRPr="0085111F">
        <w:t>7</w:t>
      </w:r>
      <w:r w:rsidR="00FD1757">
        <w:t xml:space="preserve"> and</w:t>
      </w:r>
      <w:r w:rsidR="0085111F" w:rsidRPr="0085111F">
        <w:t xml:space="preserve"> Conclusion </w:t>
      </w:r>
      <w:r w:rsidR="00EB2020">
        <w:t>of Law </w:t>
      </w:r>
      <w:r w:rsidR="0085111F" w:rsidRPr="0085111F">
        <w:t>4.</w:t>
      </w:r>
    </w:p>
  </w:footnote>
  <w:footnote w:id="109">
    <w:p w14:paraId="2A044FCA" w14:textId="429EA04D" w:rsidR="00036DA2" w:rsidRPr="00036DA2" w:rsidRDefault="00036DA2">
      <w:pPr>
        <w:pStyle w:val="FootnoteText"/>
        <w:rPr>
          <w:lang w:val="en-ZW"/>
        </w:rPr>
      </w:pPr>
      <w:r>
        <w:rPr>
          <w:rStyle w:val="FootnoteReference"/>
        </w:rPr>
        <w:footnoteRef/>
      </w:r>
      <w:r>
        <w:t xml:space="preserve"> </w:t>
      </w:r>
      <w:r w:rsidRPr="00036DA2">
        <w:t>D.25</w:t>
      </w:r>
      <w:r w:rsidR="003B5862">
        <w:noBreakHyphen/>
      </w:r>
      <w:r w:rsidRPr="00036DA2">
        <w:t>01</w:t>
      </w:r>
      <w:r w:rsidR="003B5862">
        <w:noBreakHyphen/>
      </w:r>
      <w:r w:rsidRPr="00036DA2">
        <w:t>042</w:t>
      </w:r>
      <w:r w:rsidR="00760DB7">
        <w:t xml:space="preserve">, </w:t>
      </w:r>
      <w:r w:rsidR="00760DB7" w:rsidRPr="00760DB7">
        <w:rPr>
          <w:i/>
          <w:iCs/>
        </w:rPr>
        <w:t>Decision Regarding Settlement Agreement Authorizing Cost Recovery for 2017 Thomas Fire and 2018 Montecito Debris Flow</w:t>
      </w:r>
      <w:r w:rsidR="00760DB7" w:rsidRPr="00760DB7">
        <w:t xml:space="preserve"> (</w:t>
      </w:r>
      <w:r w:rsidR="009453BA">
        <w:t>January </w:t>
      </w:r>
      <w:r w:rsidR="00760DB7" w:rsidRPr="00760DB7">
        <w:t>30, 2025)</w:t>
      </w:r>
      <w:r w:rsidR="005D5DB1">
        <w:t xml:space="preserve"> at </w:t>
      </w:r>
      <w:r>
        <w:t>20.</w:t>
      </w:r>
    </w:p>
  </w:footnote>
  <w:footnote w:id="110">
    <w:p w14:paraId="0112D740" w14:textId="5A2F4DB6" w:rsidR="00CD57B8" w:rsidRPr="00CD57B8" w:rsidRDefault="00CD57B8">
      <w:pPr>
        <w:pStyle w:val="FootnoteText"/>
        <w:rPr>
          <w:lang w:val="en-ZW"/>
        </w:rPr>
      </w:pPr>
      <w:r>
        <w:rPr>
          <w:rStyle w:val="FootnoteReference"/>
        </w:rPr>
        <w:footnoteRef/>
      </w:r>
      <w:r>
        <w:t xml:space="preserve"> </w:t>
      </w:r>
      <w:r w:rsidRPr="00CD57B8">
        <w:t>D.25</w:t>
      </w:r>
      <w:r w:rsidR="003B5862">
        <w:noBreakHyphen/>
      </w:r>
      <w:r w:rsidRPr="00CD57B8">
        <w:t>01</w:t>
      </w:r>
      <w:r w:rsidR="003B5862">
        <w:noBreakHyphen/>
      </w:r>
      <w:r w:rsidRPr="00CD57B8">
        <w:t>042</w:t>
      </w:r>
      <w:r w:rsidR="00A34320">
        <w:t>,</w:t>
      </w:r>
      <w:r w:rsidR="00A34320" w:rsidRPr="00A34320">
        <w:rPr>
          <w:i/>
          <w:iCs/>
          <w:sz w:val="26"/>
          <w:szCs w:val="22"/>
        </w:rPr>
        <w:t xml:space="preserve"> </w:t>
      </w:r>
      <w:r w:rsidR="00A34320" w:rsidRPr="00A34320">
        <w:rPr>
          <w:i/>
          <w:iCs/>
        </w:rPr>
        <w:t>Decision Regarding Settlement Agreement Authorizing Cost Recovery for 2017 Thomas Fire and 2018 Montecito Debris Flow</w:t>
      </w:r>
      <w:r w:rsidR="00A34320" w:rsidRPr="00A34320">
        <w:t xml:space="preserve"> (</w:t>
      </w:r>
      <w:r w:rsidR="009453BA">
        <w:t>January </w:t>
      </w:r>
      <w:r w:rsidR="00A34320" w:rsidRPr="00A34320">
        <w:t>30, 2025)</w:t>
      </w:r>
      <w:r w:rsidR="005D5DB1">
        <w:t xml:space="preserve"> at </w:t>
      </w:r>
      <w:r w:rsidRPr="00CD57B8">
        <w:t>20</w:t>
      </w:r>
      <w:r w:rsidR="003B5862">
        <w:noBreakHyphen/>
      </w:r>
      <w:r>
        <w:t>21.</w:t>
      </w:r>
    </w:p>
  </w:footnote>
  <w:footnote w:id="111">
    <w:p w14:paraId="1DA71B2F" w14:textId="2838F2A9" w:rsidR="00A34320" w:rsidRPr="00A34320" w:rsidRDefault="00A34320">
      <w:pPr>
        <w:pStyle w:val="FootnoteText"/>
        <w:rPr>
          <w:lang w:val="en-ZW"/>
        </w:rPr>
      </w:pPr>
      <w:r>
        <w:rPr>
          <w:rStyle w:val="FootnoteReference"/>
        </w:rPr>
        <w:footnoteRef/>
      </w:r>
      <w:r>
        <w:t xml:space="preserve"> </w:t>
      </w:r>
      <w:r w:rsidRPr="00A34320">
        <w:rPr>
          <w:i/>
          <w:iCs/>
        </w:rPr>
        <w:t>Decision Regarding Settlement Agreement Authorizing Cost Recovery for 2017 Thomas Fire and 2018 Montecito Debris Flow</w:t>
      </w:r>
      <w:r w:rsidRPr="00A34320">
        <w:t xml:space="preserve"> (</w:t>
      </w:r>
      <w:r w:rsidR="009453BA">
        <w:t>January </w:t>
      </w:r>
      <w:r w:rsidRPr="00A34320">
        <w:t>30, 2025)</w:t>
      </w:r>
      <w:r>
        <w:t>.</w:t>
      </w:r>
    </w:p>
  </w:footnote>
  <w:footnote w:id="112">
    <w:p w14:paraId="6D622B32" w14:textId="1C3896B8" w:rsidR="00926931" w:rsidRPr="00926931" w:rsidRDefault="00926931">
      <w:pPr>
        <w:pStyle w:val="FootnoteText"/>
        <w:rPr>
          <w:lang w:val="en-ZW"/>
        </w:rPr>
      </w:pPr>
      <w:r>
        <w:rPr>
          <w:rStyle w:val="FootnoteReference"/>
        </w:rPr>
        <w:footnoteRef/>
      </w:r>
      <w:r>
        <w:t xml:space="preserve"> </w:t>
      </w:r>
      <w:r w:rsidRPr="00CD57B8">
        <w:t>D.25</w:t>
      </w:r>
      <w:r w:rsidR="003B5862">
        <w:noBreakHyphen/>
      </w:r>
      <w:r w:rsidRPr="00CD57B8">
        <w:t>01</w:t>
      </w:r>
      <w:r w:rsidR="003B5862">
        <w:noBreakHyphen/>
      </w:r>
      <w:r w:rsidRPr="00CD57B8">
        <w:t>042</w:t>
      </w:r>
      <w:r w:rsidR="00A34320">
        <w:t>,</w:t>
      </w:r>
      <w:r w:rsidR="00A34320" w:rsidRPr="00A34320">
        <w:rPr>
          <w:i/>
          <w:iCs/>
          <w:sz w:val="26"/>
          <w:szCs w:val="22"/>
        </w:rPr>
        <w:t xml:space="preserve"> </w:t>
      </w:r>
      <w:r w:rsidR="00A34320" w:rsidRPr="00A34320">
        <w:rPr>
          <w:i/>
          <w:iCs/>
        </w:rPr>
        <w:t>Decision Regarding Settlement Agreement Authorizing Cost Recovery for 2017 Thomas Fire and 2018 Montecito Debris Flow</w:t>
      </w:r>
      <w:r w:rsidR="00A34320" w:rsidRPr="00A34320">
        <w:t xml:space="preserve"> (</w:t>
      </w:r>
      <w:r w:rsidR="009453BA">
        <w:t>January </w:t>
      </w:r>
      <w:r w:rsidR="00A34320" w:rsidRPr="00A34320">
        <w:t>30, 2025)</w:t>
      </w:r>
      <w:r w:rsidR="005D5DB1">
        <w:t xml:space="preserve"> at </w:t>
      </w:r>
      <w:r w:rsidR="0036556D">
        <w:t>17</w:t>
      </w:r>
      <w:r w:rsidR="003B5862">
        <w:noBreakHyphen/>
      </w:r>
      <w:r w:rsidR="0036556D">
        <w:t>19.</w:t>
      </w:r>
    </w:p>
  </w:footnote>
  <w:footnote w:id="113">
    <w:p w14:paraId="3EF7529D" w14:textId="50693FFF" w:rsidR="00884FA2" w:rsidRPr="00884FA2" w:rsidRDefault="00884FA2">
      <w:pPr>
        <w:pStyle w:val="FootnoteText"/>
        <w:rPr>
          <w:lang w:val="en-ZW"/>
        </w:rPr>
      </w:pPr>
      <w:r>
        <w:rPr>
          <w:rStyle w:val="FootnoteReference"/>
        </w:rPr>
        <w:footnoteRef/>
      </w:r>
      <w:r>
        <w:t xml:space="preserve"> </w:t>
      </w:r>
      <w:r w:rsidR="000D64A6">
        <w:t>Joint Motion for Settlement</w:t>
      </w:r>
      <w:r w:rsidR="009450AA">
        <w:t>, Attachment</w:t>
      </w:r>
      <w:r w:rsidR="003B5862">
        <w:noBreakHyphen/>
      </w:r>
      <w:r>
        <w:rPr>
          <w:lang w:val="en-ZW"/>
        </w:rPr>
        <w:t>Settlement Agreement</w:t>
      </w:r>
      <w:r w:rsidR="005D5DB1">
        <w:rPr>
          <w:lang w:val="en-ZW"/>
        </w:rPr>
        <w:t xml:space="preserve"> at </w:t>
      </w:r>
      <w:r>
        <w:rPr>
          <w:lang w:val="en-ZW"/>
        </w:rPr>
        <w:t>A</w:t>
      </w:r>
      <w:r w:rsidR="003B5862">
        <w:rPr>
          <w:lang w:val="en-ZW"/>
        </w:rPr>
        <w:noBreakHyphen/>
      </w:r>
      <w:r>
        <w:rPr>
          <w:lang w:val="en-ZW"/>
        </w:rPr>
        <w:t>27.</w:t>
      </w:r>
    </w:p>
  </w:footnote>
  <w:footnote w:id="114">
    <w:p w14:paraId="4FF78E29" w14:textId="6B701B9D" w:rsidR="00C33073" w:rsidRPr="00884FA2" w:rsidRDefault="00C33073" w:rsidP="00C33073">
      <w:pPr>
        <w:pStyle w:val="FootnoteText"/>
        <w:rPr>
          <w:lang w:val="en-ZW"/>
        </w:rPr>
      </w:pPr>
      <w:r>
        <w:rPr>
          <w:rStyle w:val="FootnoteReference"/>
        </w:rPr>
        <w:footnoteRef/>
      </w:r>
      <w:r>
        <w:t xml:space="preserve"> </w:t>
      </w:r>
      <w:r w:rsidR="009450AA">
        <w:t>Joint Motion for Settlement, Attachment</w:t>
      </w:r>
      <w:r w:rsidR="003B5862">
        <w:noBreakHyphen/>
      </w:r>
      <w:r>
        <w:rPr>
          <w:lang w:val="en-ZW"/>
        </w:rPr>
        <w:t>Settlement Agreement</w:t>
      </w:r>
      <w:r w:rsidR="005D5DB1">
        <w:rPr>
          <w:lang w:val="en-ZW"/>
        </w:rPr>
        <w:t xml:space="preserve"> at </w:t>
      </w:r>
      <w:r>
        <w:rPr>
          <w:lang w:val="en-ZW"/>
        </w:rPr>
        <w:t>A</w:t>
      </w:r>
      <w:r w:rsidR="003B5862">
        <w:rPr>
          <w:lang w:val="en-ZW"/>
        </w:rPr>
        <w:noBreakHyphen/>
      </w:r>
      <w:r>
        <w:rPr>
          <w:lang w:val="en-ZW"/>
        </w:rPr>
        <w:t>27.</w:t>
      </w:r>
    </w:p>
  </w:footnote>
  <w:footnote w:id="115">
    <w:p w14:paraId="3D7DF8F3" w14:textId="2708B788" w:rsidR="00C33073" w:rsidRPr="00884FA2" w:rsidRDefault="00C33073" w:rsidP="00C33073">
      <w:pPr>
        <w:pStyle w:val="FootnoteText"/>
        <w:rPr>
          <w:lang w:val="en-ZW"/>
        </w:rPr>
      </w:pPr>
      <w:r>
        <w:rPr>
          <w:rStyle w:val="FootnoteReference"/>
        </w:rPr>
        <w:footnoteRef/>
      </w:r>
      <w:r>
        <w:t xml:space="preserve"> </w:t>
      </w:r>
      <w:r w:rsidR="009450AA">
        <w:t>Joint Motion for Settlement, Attachment</w:t>
      </w:r>
      <w:r w:rsidR="003B5862">
        <w:noBreakHyphen/>
      </w:r>
      <w:r>
        <w:rPr>
          <w:lang w:val="en-ZW"/>
        </w:rPr>
        <w:t>Settlement Agreement</w:t>
      </w:r>
      <w:r w:rsidR="005D5DB1">
        <w:rPr>
          <w:lang w:val="en-ZW"/>
        </w:rPr>
        <w:t xml:space="preserve"> at </w:t>
      </w:r>
      <w:r>
        <w:rPr>
          <w:lang w:val="en-ZW"/>
        </w:rPr>
        <w:t>A</w:t>
      </w:r>
      <w:r w:rsidR="003B5862">
        <w:rPr>
          <w:lang w:val="en-ZW"/>
        </w:rPr>
        <w:noBreakHyphen/>
      </w:r>
      <w:r>
        <w:rPr>
          <w:lang w:val="en-ZW"/>
        </w:rPr>
        <w:t>27.</w:t>
      </w:r>
    </w:p>
  </w:footnote>
  <w:footnote w:id="116">
    <w:p w14:paraId="1033D442" w14:textId="7E233700" w:rsidR="00C33073" w:rsidRPr="00884FA2" w:rsidRDefault="00C33073" w:rsidP="00C33073">
      <w:pPr>
        <w:pStyle w:val="FootnoteText"/>
        <w:rPr>
          <w:lang w:val="en-ZW"/>
        </w:rPr>
      </w:pPr>
      <w:r>
        <w:rPr>
          <w:rStyle w:val="FootnoteReference"/>
        </w:rPr>
        <w:footnoteRef/>
      </w:r>
      <w:r>
        <w:t xml:space="preserve"> </w:t>
      </w:r>
      <w:r w:rsidR="009450AA">
        <w:t>Joint Motion for Settlement, Attachment</w:t>
      </w:r>
      <w:r w:rsidR="003B5862">
        <w:noBreakHyphen/>
      </w:r>
      <w:r>
        <w:rPr>
          <w:lang w:val="en-ZW"/>
        </w:rPr>
        <w:t>Settlement Agreement</w:t>
      </w:r>
      <w:r w:rsidR="005D5DB1">
        <w:rPr>
          <w:lang w:val="en-ZW"/>
        </w:rPr>
        <w:t xml:space="preserve"> at </w:t>
      </w:r>
      <w:r>
        <w:rPr>
          <w:lang w:val="en-ZW"/>
        </w:rPr>
        <w:t>A</w:t>
      </w:r>
      <w:r w:rsidR="003B5862">
        <w:rPr>
          <w:lang w:val="en-ZW"/>
        </w:rPr>
        <w:noBreakHyphen/>
      </w:r>
      <w:r>
        <w:rPr>
          <w:lang w:val="en-ZW"/>
        </w:rPr>
        <w:t>27.</w:t>
      </w:r>
    </w:p>
  </w:footnote>
  <w:footnote w:id="117">
    <w:p w14:paraId="539F8A22" w14:textId="70481D77" w:rsidR="00C33073" w:rsidRPr="00884FA2" w:rsidRDefault="00C33073" w:rsidP="00C33073">
      <w:pPr>
        <w:pStyle w:val="FootnoteText"/>
        <w:rPr>
          <w:lang w:val="en-ZW"/>
        </w:rPr>
      </w:pPr>
      <w:r>
        <w:rPr>
          <w:rStyle w:val="FootnoteReference"/>
        </w:rPr>
        <w:footnoteRef/>
      </w:r>
      <w:r>
        <w:t xml:space="preserve"> </w:t>
      </w:r>
      <w:r w:rsidR="009450AA" w:rsidRPr="009450AA">
        <w:t>Joint Motion for Settlement, Attachment</w:t>
      </w:r>
      <w:r w:rsidR="003B5862">
        <w:noBreakHyphen/>
      </w:r>
      <w:r>
        <w:rPr>
          <w:lang w:val="en-ZW"/>
        </w:rPr>
        <w:t>Settlement Agreement</w:t>
      </w:r>
      <w:r w:rsidR="005D5DB1">
        <w:rPr>
          <w:lang w:val="en-ZW"/>
        </w:rPr>
        <w:t xml:space="preserve"> at </w:t>
      </w:r>
      <w:r>
        <w:rPr>
          <w:lang w:val="en-ZW"/>
        </w:rPr>
        <w:t>A</w:t>
      </w:r>
      <w:r w:rsidR="003B5862">
        <w:rPr>
          <w:lang w:val="en-ZW"/>
        </w:rPr>
        <w:noBreakHyphen/>
      </w:r>
      <w:r>
        <w:rPr>
          <w:lang w:val="en-ZW"/>
        </w:rPr>
        <w:t>27.</w:t>
      </w:r>
    </w:p>
  </w:footnote>
  <w:footnote w:id="118">
    <w:p w14:paraId="4FB5B448" w14:textId="0DD1E9DF" w:rsidR="00C33073" w:rsidRPr="00884FA2" w:rsidRDefault="00C33073" w:rsidP="00C33073">
      <w:pPr>
        <w:pStyle w:val="FootnoteText"/>
        <w:rPr>
          <w:lang w:val="en-ZW"/>
        </w:rPr>
      </w:pPr>
      <w:r>
        <w:rPr>
          <w:rStyle w:val="FootnoteReference"/>
        </w:rPr>
        <w:footnoteRef/>
      </w:r>
      <w:r>
        <w:t xml:space="preserve"> </w:t>
      </w:r>
      <w:r w:rsidR="009450AA" w:rsidRPr="009450AA">
        <w:t>Joint Motion for Settlement, Attachment</w:t>
      </w:r>
      <w:r w:rsidR="003B5862">
        <w:noBreakHyphen/>
      </w:r>
      <w:r>
        <w:rPr>
          <w:lang w:val="en-ZW"/>
        </w:rPr>
        <w:t>Settlement Agreement</w:t>
      </w:r>
      <w:r w:rsidR="005D5DB1">
        <w:rPr>
          <w:lang w:val="en-ZW"/>
        </w:rPr>
        <w:t xml:space="preserve"> at </w:t>
      </w:r>
      <w:r>
        <w:rPr>
          <w:lang w:val="en-ZW"/>
        </w:rPr>
        <w:t>A</w:t>
      </w:r>
      <w:r w:rsidR="003B5862">
        <w:rPr>
          <w:lang w:val="en-ZW"/>
        </w:rPr>
        <w:noBreakHyphen/>
      </w:r>
      <w:r>
        <w:rPr>
          <w:lang w:val="en-ZW"/>
        </w:rPr>
        <w:t>27 to A</w:t>
      </w:r>
      <w:r w:rsidR="003B5862">
        <w:rPr>
          <w:lang w:val="en-ZW"/>
        </w:rPr>
        <w:noBreakHyphen/>
      </w:r>
      <w:r>
        <w:rPr>
          <w:lang w:val="en-ZW"/>
        </w:rPr>
        <w:t>28.</w:t>
      </w:r>
    </w:p>
  </w:footnote>
  <w:footnote w:id="119">
    <w:p w14:paraId="70A40765" w14:textId="7D1B04BA" w:rsidR="00C33073" w:rsidRPr="00884FA2" w:rsidRDefault="00C33073" w:rsidP="00C33073">
      <w:pPr>
        <w:pStyle w:val="FootnoteText"/>
        <w:rPr>
          <w:lang w:val="en-ZW"/>
        </w:rPr>
      </w:pPr>
      <w:r>
        <w:rPr>
          <w:rStyle w:val="FootnoteReference"/>
        </w:rPr>
        <w:footnoteRef/>
      </w:r>
      <w:r>
        <w:t xml:space="preserve"> </w:t>
      </w:r>
      <w:r w:rsidR="009450AA" w:rsidRPr="009450AA">
        <w:t>Joint Motion for Settlement, Attachment</w:t>
      </w:r>
      <w:r w:rsidR="003B5862">
        <w:noBreakHyphen/>
      </w:r>
      <w:r>
        <w:rPr>
          <w:lang w:val="en-ZW"/>
        </w:rPr>
        <w:t>Settlement Agreement</w:t>
      </w:r>
      <w:r w:rsidR="005D5DB1">
        <w:rPr>
          <w:lang w:val="en-ZW"/>
        </w:rPr>
        <w:t xml:space="preserve"> at </w:t>
      </w:r>
      <w:r>
        <w:rPr>
          <w:lang w:val="en-ZW"/>
        </w:rPr>
        <w:t>A</w:t>
      </w:r>
      <w:r w:rsidR="003B5862">
        <w:rPr>
          <w:lang w:val="en-ZW"/>
        </w:rPr>
        <w:noBreakHyphen/>
      </w:r>
      <w:r>
        <w:rPr>
          <w:lang w:val="en-ZW"/>
        </w:rPr>
        <w:t>27 to A</w:t>
      </w:r>
      <w:r w:rsidR="003B5862">
        <w:rPr>
          <w:lang w:val="en-ZW"/>
        </w:rPr>
        <w:noBreakHyphen/>
      </w:r>
      <w:r>
        <w:rPr>
          <w:lang w:val="en-ZW"/>
        </w:rPr>
        <w:t>28.</w:t>
      </w:r>
    </w:p>
  </w:footnote>
  <w:footnote w:id="120">
    <w:p w14:paraId="5F3F2D74" w14:textId="2F8D2407" w:rsidR="00C33073" w:rsidRPr="00884FA2" w:rsidRDefault="00C33073" w:rsidP="00C33073">
      <w:pPr>
        <w:pStyle w:val="FootnoteText"/>
        <w:rPr>
          <w:lang w:val="en-ZW"/>
        </w:rPr>
      </w:pPr>
      <w:r>
        <w:rPr>
          <w:rStyle w:val="FootnoteReference"/>
        </w:rPr>
        <w:footnoteRef/>
      </w:r>
      <w:r>
        <w:t xml:space="preserve"> </w:t>
      </w:r>
      <w:r w:rsidR="009450AA" w:rsidRPr="009450AA">
        <w:t>Joint Motion for Settlement, Attachment</w:t>
      </w:r>
      <w:r w:rsidR="003B5862">
        <w:noBreakHyphen/>
      </w:r>
      <w:r>
        <w:rPr>
          <w:lang w:val="en-ZW"/>
        </w:rPr>
        <w:t>Settlement Agreement</w:t>
      </w:r>
      <w:r w:rsidR="005D5DB1">
        <w:rPr>
          <w:lang w:val="en-ZW"/>
        </w:rPr>
        <w:t xml:space="preserve"> at </w:t>
      </w:r>
      <w:r>
        <w:rPr>
          <w:lang w:val="en-ZW"/>
        </w:rPr>
        <w:t>A</w:t>
      </w:r>
      <w:r w:rsidR="003B5862">
        <w:rPr>
          <w:lang w:val="en-ZW"/>
        </w:rPr>
        <w:noBreakHyphen/>
      </w:r>
      <w:r>
        <w:rPr>
          <w:lang w:val="en-ZW"/>
        </w:rPr>
        <w:t>27 to A</w:t>
      </w:r>
      <w:r w:rsidR="003B5862">
        <w:rPr>
          <w:lang w:val="en-ZW"/>
        </w:rPr>
        <w:noBreakHyphen/>
      </w:r>
      <w:r>
        <w:rPr>
          <w:lang w:val="en-ZW"/>
        </w:rPr>
        <w:t>28.</w:t>
      </w:r>
    </w:p>
  </w:footnote>
  <w:footnote w:id="121">
    <w:p w14:paraId="06932D44" w14:textId="6AEE690B" w:rsidR="00846865" w:rsidRPr="00846865" w:rsidRDefault="00846865">
      <w:pPr>
        <w:pStyle w:val="FootnoteText"/>
        <w:rPr>
          <w:lang w:val="en-ZW"/>
        </w:rPr>
      </w:pPr>
      <w:r>
        <w:rPr>
          <w:rStyle w:val="FootnoteReference"/>
        </w:rPr>
        <w:footnoteRef/>
      </w:r>
      <w:r>
        <w:t xml:space="preserve"> </w:t>
      </w:r>
      <w:bookmarkStart w:id="46" w:name="_Hlk212115066"/>
      <w:r w:rsidR="009450AA" w:rsidRPr="009450AA">
        <w:t>Joint Motion for Settlement, Attachment</w:t>
      </w:r>
      <w:r w:rsidR="003B5862">
        <w:noBreakHyphen/>
      </w:r>
      <w:r>
        <w:t>Settlement Agreement</w:t>
      </w:r>
      <w:r w:rsidR="005D5DB1">
        <w:t xml:space="preserve"> at </w:t>
      </w:r>
      <w:r>
        <w:t>A</w:t>
      </w:r>
      <w:r w:rsidR="003B5862">
        <w:noBreakHyphen/>
      </w:r>
      <w:r>
        <w:t xml:space="preserve">28 </w:t>
      </w:r>
      <w:bookmarkEnd w:id="46"/>
      <w:r>
        <w:t xml:space="preserve">and </w:t>
      </w:r>
      <w:r w:rsidR="00D410B4">
        <w:t>fn. </w:t>
      </w:r>
      <w:r>
        <w:t xml:space="preserve">45, </w:t>
      </w:r>
      <w:r w:rsidRPr="00846865">
        <w:rPr>
          <w:i/>
          <w:iCs/>
        </w:rPr>
        <w:t>citing to</w:t>
      </w:r>
      <w:r>
        <w:t xml:space="preserve"> </w:t>
      </w:r>
      <w:r w:rsidR="00EF6632" w:rsidRPr="00846865">
        <w:t xml:space="preserve">SCE </w:t>
      </w:r>
      <w:r w:rsidRPr="00846865">
        <w:t>Ex</w:t>
      </w:r>
      <w:r w:rsidR="003B5862">
        <w:noBreakHyphen/>
      </w:r>
      <w:r w:rsidRPr="00846865">
        <w:t>14</w:t>
      </w:r>
      <w:r w:rsidR="005D5DB1">
        <w:t xml:space="preserve"> at </w:t>
      </w:r>
      <w:r w:rsidRPr="00846865">
        <w:t>2</w:t>
      </w:r>
      <w:r w:rsidR="003B5862">
        <w:noBreakHyphen/>
      </w:r>
      <w:r w:rsidRPr="00846865">
        <w:t xml:space="preserve">3 </w:t>
      </w:r>
      <w:r>
        <w:t>and</w:t>
      </w:r>
      <w:r w:rsidRPr="00846865">
        <w:t xml:space="preserve"> </w:t>
      </w:r>
      <w:r w:rsidR="00EB2020">
        <w:t>note </w:t>
      </w:r>
      <w:r w:rsidRPr="00846865">
        <w:t>13.</w:t>
      </w:r>
    </w:p>
  </w:footnote>
  <w:footnote w:id="122">
    <w:p w14:paraId="35821FD0" w14:textId="67D5027B" w:rsidR="005F01EB" w:rsidRPr="005F01EB" w:rsidRDefault="005F01EB">
      <w:pPr>
        <w:pStyle w:val="FootnoteText"/>
        <w:rPr>
          <w:lang w:val="en-ZW"/>
        </w:rPr>
      </w:pPr>
      <w:r>
        <w:rPr>
          <w:rStyle w:val="FootnoteReference"/>
        </w:rPr>
        <w:footnoteRef/>
      </w:r>
      <w:r>
        <w:t xml:space="preserve"> </w:t>
      </w:r>
      <w:r w:rsidR="009450AA" w:rsidRPr="009450AA">
        <w:t>Joint Motion for Settlement, Attachment</w:t>
      </w:r>
      <w:r w:rsidR="003B5862">
        <w:noBreakHyphen/>
      </w:r>
      <w:r w:rsidRPr="005F01EB">
        <w:t>Settlement Agreement</w:t>
      </w:r>
      <w:r w:rsidR="005D5DB1">
        <w:t xml:space="preserve"> at </w:t>
      </w:r>
      <w:r w:rsidRPr="005F01EB">
        <w:t>A</w:t>
      </w:r>
      <w:r w:rsidR="003B5862">
        <w:noBreakHyphen/>
      </w:r>
      <w:r w:rsidRPr="005F01EB">
        <w:t>2</w:t>
      </w:r>
      <w:r>
        <w:t>9 (</w:t>
      </w:r>
      <w:r w:rsidR="00D410B4">
        <w:t>fn. </w:t>
      </w:r>
      <w:r>
        <w:t>46.), stating</w:t>
      </w:r>
      <w:r w:rsidRPr="005F01EB">
        <w:t xml:space="preserve"> </w:t>
      </w:r>
      <w:r w:rsidR="00BE4878">
        <w:t>“</w:t>
      </w:r>
      <w:r w:rsidRPr="005F01EB">
        <w:t>In the event that the CPUC</w:t>
      </w:r>
      <w:r w:rsidR="003B5862">
        <w:noBreakHyphen/>
      </w:r>
      <w:r w:rsidRPr="005F01EB">
        <w:t xml:space="preserve">jurisdictional amount of WEMA claims costs incurred after </w:t>
      </w:r>
      <w:r w:rsidR="009453BA">
        <w:t>May </w:t>
      </w:r>
      <w:r w:rsidRPr="005F01EB">
        <w:t>31, 2025, does not exceed the remainder of the $250</w:t>
      </w:r>
      <w:r w:rsidR="00BE4878">
        <w:t> million</w:t>
      </w:r>
      <w:r w:rsidRPr="005F01EB">
        <w:t xml:space="preserve"> in WEMA claims costs waived under the ACO, SCE will ensure that the full $250</w:t>
      </w:r>
      <w:r w:rsidR="00BE4878">
        <w:t> million</w:t>
      </w:r>
      <w:r w:rsidRPr="005F01EB">
        <w:t xml:space="preserve"> is given effect, through a refund to customers if necessary.</w:t>
      </w:r>
      <w:r w:rsidR="00BE4878">
        <w:t>”</w:t>
      </w:r>
    </w:p>
  </w:footnote>
  <w:footnote w:id="123">
    <w:p w14:paraId="265627B9" w14:textId="65BD889C" w:rsidR="00E8217D" w:rsidRPr="00E8217D" w:rsidRDefault="00E8217D">
      <w:pPr>
        <w:pStyle w:val="FootnoteText"/>
        <w:rPr>
          <w:lang w:val="en-ZW"/>
        </w:rPr>
      </w:pPr>
      <w:r>
        <w:rPr>
          <w:rStyle w:val="FootnoteReference"/>
        </w:rPr>
        <w:footnoteRef/>
      </w:r>
      <w:r>
        <w:t xml:space="preserve"> </w:t>
      </w:r>
      <w:r w:rsidR="009450AA" w:rsidRPr="009450AA">
        <w:t>Joint Motion for Settlement, Attachment</w:t>
      </w:r>
      <w:r w:rsidR="003B5862">
        <w:noBreakHyphen/>
      </w:r>
      <w:r w:rsidRPr="005F01EB">
        <w:t>Settlement Agreement</w:t>
      </w:r>
      <w:r w:rsidR="005D5DB1">
        <w:t xml:space="preserve"> at </w:t>
      </w:r>
      <w:r w:rsidRPr="005F01EB">
        <w:t>A</w:t>
      </w:r>
      <w:r w:rsidR="003B5862">
        <w:noBreakHyphen/>
      </w:r>
      <w:r w:rsidRPr="005F01EB">
        <w:t>2</w:t>
      </w:r>
      <w:r>
        <w:t>9.</w:t>
      </w:r>
    </w:p>
  </w:footnote>
  <w:footnote w:id="124">
    <w:p w14:paraId="0B4A7F4F" w14:textId="2316DF7B" w:rsidR="00E8217D" w:rsidRPr="00E8217D" w:rsidRDefault="00E8217D">
      <w:pPr>
        <w:pStyle w:val="FootnoteText"/>
        <w:rPr>
          <w:lang w:val="en-ZW"/>
        </w:rPr>
      </w:pPr>
      <w:r>
        <w:rPr>
          <w:rStyle w:val="FootnoteReference"/>
        </w:rPr>
        <w:footnoteRef/>
      </w:r>
      <w:r>
        <w:t xml:space="preserve"> </w:t>
      </w:r>
      <w:r w:rsidR="009450AA" w:rsidRPr="009450AA">
        <w:t>Joint Motion for Settlement, Attachment</w:t>
      </w:r>
      <w:r w:rsidR="003B5862">
        <w:noBreakHyphen/>
      </w:r>
      <w:r w:rsidRPr="005F01EB">
        <w:t>Settlement Agreement</w:t>
      </w:r>
      <w:r w:rsidR="005D5DB1">
        <w:t xml:space="preserve"> at </w:t>
      </w:r>
      <w:r w:rsidRPr="005F01EB">
        <w:t>A</w:t>
      </w:r>
      <w:r w:rsidR="003B5862">
        <w:noBreakHyphen/>
      </w:r>
      <w:r w:rsidRPr="005F01EB">
        <w:t>2</w:t>
      </w:r>
      <w:r>
        <w:t>9.</w:t>
      </w:r>
    </w:p>
  </w:footnote>
  <w:footnote w:id="125">
    <w:p w14:paraId="448EA0A5" w14:textId="27F8D617" w:rsidR="7E60AC81" w:rsidRDefault="7E60AC81" w:rsidP="00C576AA">
      <w:pPr>
        <w:pStyle w:val="FootnoteText"/>
      </w:pPr>
      <w:r w:rsidRPr="7E60AC81">
        <w:rPr>
          <w:rStyle w:val="FootnoteReference"/>
        </w:rPr>
        <w:footnoteRef/>
      </w:r>
      <w:r>
        <w:t xml:space="preserve"> SCE Ex</w:t>
      </w:r>
      <w:r w:rsidR="003B5862">
        <w:noBreakHyphen/>
      </w:r>
      <w:r>
        <w:t>14</w:t>
      </w:r>
      <w:r w:rsidR="005D5DB1">
        <w:t xml:space="preserve"> at </w:t>
      </w:r>
      <w:r>
        <w:t>3</w:t>
      </w:r>
      <w:r w:rsidR="001B3379">
        <w:t xml:space="preserve">. </w:t>
      </w:r>
      <w:r w:rsidR="001B3379" w:rsidRPr="009450AA">
        <w:rPr>
          <w:i/>
          <w:iCs/>
        </w:rPr>
        <w:t>See also</w:t>
      </w:r>
      <w:r w:rsidR="001B3379">
        <w:t xml:space="preserve">, </w:t>
      </w:r>
      <w:r w:rsidR="00C576AA">
        <w:t>Joint Motion for Settlement, Attachment</w:t>
      </w:r>
      <w:r w:rsidR="003B5862">
        <w:noBreakHyphen/>
      </w:r>
      <w:r w:rsidR="00C576AA">
        <w:t>Settlement Agreement</w:t>
      </w:r>
      <w:r w:rsidR="005D5DB1">
        <w:t xml:space="preserve"> at </w:t>
      </w:r>
      <w:r w:rsidR="00C576AA" w:rsidRPr="00C576AA">
        <w:t>A</w:t>
      </w:r>
      <w:r w:rsidR="003B5862">
        <w:noBreakHyphen/>
      </w:r>
      <w:r w:rsidR="00C576AA" w:rsidRPr="00C576AA">
        <w:t xml:space="preserve">29, </w:t>
      </w:r>
      <w:r w:rsidR="00AC6E56">
        <w:t xml:space="preserve">which </w:t>
      </w:r>
      <w:r w:rsidR="00C576AA" w:rsidRPr="00C576AA">
        <w:t xml:space="preserve">notes that </w:t>
      </w:r>
      <w:r w:rsidR="00BE4878">
        <w:t>“</w:t>
      </w:r>
      <w:r w:rsidR="00C576AA" w:rsidRPr="00C576AA">
        <w:t>SCE</w:t>
      </w:r>
      <w:r w:rsidR="00BE4878">
        <w:t>’</w:t>
      </w:r>
      <w:r w:rsidR="00C576AA" w:rsidRPr="00C576AA">
        <w:t>s best estimate of the WEMA trailing amounts equaled the remainder of the $250</w:t>
      </w:r>
      <w:r w:rsidR="00BE4878">
        <w:t> million</w:t>
      </w:r>
      <w:r w:rsidR="00C576AA" w:rsidRPr="00C576AA">
        <w:t xml:space="preserve"> ACO amount.</w:t>
      </w:r>
      <w:r w:rsidR="00BE4878">
        <w:t>”</w:t>
      </w:r>
    </w:p>
  </w:footnote>
  <w:footnote w:id="126">
    <w:p w14:paraId="3E2F7B5C" w14:textId="79170DED" w:rsidR="0052583F" w:rsidRPr="00B46A24" w:rsidRDefault="0052583F" w:rsidP="0052583F">
      <w:pPr>
        <w:pStyle w:val="FootnoteText"/>
        <w:rPr>
          <w:lang w:val="en-ZW"/>
        </w:rPr>
      </w:pPr>
      <w:r>
        <w:rPr>
          <w:rStyle w:val="FootnoteReference"/>
        </w:rPr>
        <w:footnoteRef/>
      </w:r>
      <w:r>
        <w:t xml:space="preserve"> </w:t>
      </w:r>
      <w:r>
        <w:rPr>
          <w:lang w:val="en-ZW"/>
        </w:rPr>
        <w:t>SCE Application</w:t>
      </w:r>
      <w:r w:rsidR="005D5DB1">
        <w:rPr>
          <w:lang w:val="en-ZW"/>
        </w:rPr>
        <w:t xml:space="preserve"> at </w:t>
      </w:r>
      <w:r>
        <w:rPr>
          <w:lang w:val="en-ZW"/>
        </w:rPr>
        <w:t>14.</w:t>
      </w:r>
    </w:p>
  </w:footnote>
  <w:footnote w:id="127">
    <w:p w14:paraId="3E9C46DF" w14:textId="7B333702" w:rsidR="0052583F" w:rsidRPr="00AE43B5" w:rsidRDefault="0052583F" w:rsidP="0052583F">
      <w:pPr>
        <w:pStyle w:val="FootnoteText"/>
        <w:rPr>
          <w:lang w:val="en-ZW"/>
        </w:rPr>
      </w:pPr>
      <w:r>
        <w:rPr>
          <w:rStyle w:val="FootnoteReference"/>
        </w:rPr>
        <w:footnoteRef/>
      </w:r>
      <w:r>
        <w:t xml:space="preserve"> </w:t>
      </w:r>
      <w:r>
        <w:rPr>
          <w:lang w:val="en-ZW"/>
        </w:rPr>
        <w:t>SCE Ex</w:t>
      </w:r>
      <w:r w:rsidR="003B5862">
        <w:rPr>
          <w:lang w:val="en-ZW"/>
        </w:rPr>
        <w:noBreakHyphen/>
      </w:r>
      <w:r>
        <w:rPr>
          <w:lang w:val="en-ZW"/>
        </w:rPr>
        <w:t xml:space="preserve">01, </w:t>
      </w:r>
      <w:r w:rsidR="0006762E">
        <w:rPr>
          <w:lang w:val="en-ZW"/>
        </w:rPr>
        <w:t>Vol. </w:t>
      </w:r>
      <w:r>
        <w:rPr>
          <w:lang w:val="en-ZW"/>
        </w:rPr>
        <w:t>6</w:t>
      </w:r>
      <w:r w:rsidR="005D5DB1">
        <w:rPr>
          <w:lang w:val="en-ZW"/>
        </w:rPr>
        <w:t xml:space="preserve"> at </w:t>
      </w:r>
      <w:r>
        <w:rPr>
          <w:lang w:val="en-ZW"/>
        </w:rPr>
        <w:t>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B924" w14:textId="26456BB6" w:rsidR="00D0715B" w:rsidRPr="00294293" w:rsidRDefault="00D0715B" w:rsidP="00294293">
    <w:pPr>
      <w:pStyle w:val="Header"/>
      <w:tabs>
        <w:tab w:val="clear" w:pos="4680"/>
      </w:tabs>
      <w:ind w:firstLine="0"/>
      <w:rPr>
        <w:b/>
      </w:rPr>
    </w:pPr>
    <w:r w:rsidRPr="00D0715B">
      <w:t>A</w:t>
    </w:r>
    <w:r>
      <w:t>.</w:t>
    </w:r>
    <w:r w:rsidRPr="00D0715B">
      <w:t>24</w:t>
    </w:r>
    <w:r w:rsidR="003B5862">
      <w:noBreakHyphen/>
    </w:r>
    <w:r w:rsidRPr="00D0715B">
      <w:t>10</w:t>
    </w:r>
    <w:r w:rsidR="003B5862">
      <w:noBreakHyphen/>
    </w:r>
    <w:r w:rsidRPr="00D0715B">
      <w:t>002</w:t>
    </w:r>
    <w:r>
      <w:t xml:space="preserve">  ALJ/RMD/nd3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6BF2" w14:textId="77777777" w:rsidR="0037397D" w:rsidRPr="00294293" w:rsidRDefault="0037397D" w:rsidP="00294293">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89F62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9042BA"/>
    <w:multiLevelType w:val="hybridMultilevel"/>
    <w:tmpl w:val="5D8049D8"/>
    <w:lvl w:ilvl="0" w:tplc="70481216">
      <w:start w:val="1"/>
      <w:numFmt w:val="decimal"/>
      <w:lvlText w:val="(%1)"/>
      <w:lvlJc w:val="left"/>
      <w:pPr>
        <w:ind w:left="1110" w:hanging="39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70038F"/>
    <w:multiLevelType w:val="multilevel"/>
    <w:tmpl w:val="3C526EDE"/>
    <w:numStyleLink w:val="Headings"/>
  </w:abstractNum>
  <w:abstractNum w:abstractNumId="7" w15:restartNumberingAfterBreak="0">
    <w:nsid w:val="1E2242C9"/>
    <w:multiLevelType w:val="multilevel"/>
    <w:tmpl w:val="3C526EDE"/>
    <w:numStyleLink w:val="Headings"/>
  </w:abstractNum>
  <w:abstractNum w:abstractNumId="8" w15:restartNumberingAfterBreak="0">
    <w:nsid w:val="1F430F5D"/>
    <w:multiLevelType w:val="hybridMultilevel"/>
    <w:tmpl w:val="F2903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B58FE"/>
    <w:multiLevelType w:val="multilevel"/>
    <w:tmpl w:val="3C526EDE"/>
    <w:numStyleLink w:val="Headings"/>
  </w:abstractNum>
  <w:abstractNum w:abstractNumId="10" w15:restartNumberingAfterBreak="0">
    <w:nsid w:val="243663A0"/>
    <w:multiLevelType w:val="multilevel"/>
    <w:tmpl w:val="3C526EDE"/>
    <w:numStyleLink w:val="Headings"/>
  </w:abstractNum>
  <w:abstractNum w:abstractNumId="11" w15:restartNumberingAfterBreak="0">
    <w:nsid w:val="2B8124D7"/>
    <w:multiLevelType w:val="multilevel"/>
    <w:tmpl w:val="3C526EDE"/>
    <w:numStyleLink w:val="Headings"/>
  </w:abstractNum>
  <w:abstractNum w:abstractNumId="12" w15:restartNumberingAfterBreak="0">
    <w:nsid w:val="331F6D42"/>
    <w:multiLevelType w:val="multilevel"/>
    <w:tmpl w:val="3C526EDE"/>
    <w:styleLink w:val="Headings"/>
    <w:lvl w:ilvl="0">
      <w:start w:val="1"/>
      <w:numFmt w:val="decimal"/>
      <w:lvlText w:val="%1."/>
      <w:lvlJc w:val="left"/>
      <w:pPr>
        <w:ind w:left="117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170"/>
        </w:tabs>
        <w:ind w:left="117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59D042D7"/>
    <w:multiLevelType w:val="multilevel"/>
    <w:tmpl w:val="18F4A5AC"/>
    <w:numStyleLink w:val="FoFCoLOP"/>
  </w:abstractNum>
  <w:abstractNum w:abstractNumId="15" w15:restartNumberingAfterBreak="0">
    <w:nsid w:val="5A9E2171"/>
    <w:multiLevelType w:val="multilevel"/>
    <w:tmpl w:val="3C526EDE"/>
    <w:numStyleLink w:val="Headings"/>
  </w:abstractNum>
  <w:abstractNum w:abstractNumId="16" w15:restartNumberingAfterBreak="0">
    <w:nsid w:val="61A25780"/>
    <w:multiLevelType w:val="multilevel"/>
    <w:tmpl w:val="36B2971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ind w:left="2592" w:hanging="1008"/>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7" w15:restartNumberingAfterBreak="0">
    <w:nsid w:val="6D87C5F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9A0AFE"/>
    <w:multiLevelType w:val="multilevel"/>
    <w:tmpl w:val="18F4A5AC"/>
    <w:numStyleLink w:val="FoFCoLOP"/>
  </w:abstractNum>
  <w:num w:numId="1" w16cid:durableId="1354526949">
    <w:abstractNumId w:val="15"/>
  </w:num>
  <w:num w:numId="2" w16cid:durableId="140774137">
    <w:abstractNumId w:val="3"/>
  </w:num>
  <w:num w:numId="3" w16cid:durableId="1898543446">
    <w:abstractNumId w:val="14"/>
  </w:num>
  <w:num w:numId="4" w16cid:durableId="701521005">
    <w:abstractNumId w:val="4"/>
  </w:num>
  <w:num w:numId="5" w16cid:durableId="2017029027">
    <w:abstractNumId w:val="19"/>
  </w:num>
  <w:num w:numId="6" w16cid:durableId="973756952">
    <w:abstractNumId w:val="12"/>
  </w:num>
  <w:num w:numId="7" w16cid:durableId="827667741">
    <w:abstractNumId w:val="7"/>
  </w:num>
  <w:num w:numId="8" w16cid:durableId="1760327020">
    <w:abstractNumId w:val="18"/>
  </w:num>
  <w:num w:numId="9" w16cid:durableId="816924040">
    <w:abstractNumId w:val="1"/>
  </w:num>
  <w:num w:numId="10" w16cid:durableId="1817916489">
    <w:abstractNumId w:val="6"/>
  </w:num>
  <w:num w:numId="11" w16cid:durableId="291985460">
    <w:abstractNumId w:val="9"/>
  </w:num>
  <w:num w:numId="12" w16cid:durableId="467941983">
    <w:abstractNumId w:val="5"/>
  </w:num>
  <w:num w:numId="13" w16cid:durableId="712996464">
    <w:abstractNumId w:val="10"/>
  </w:num>
  <w:num w:numId="14" w16cid:durableId="1303778653">
    <w:abstractNumId w:val="11"/>
  </w:num>
  <w:num w:numId="15" w16cid:durableId="1714382259">
    <w:abstractNumId w:val="16"/>
  </w:num>
  <w:num w:numId="16" w16cid:durableId="5481076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6"/>
  </w:num>
  <w:num w:numId="18" w16cid:durableId="1047072748">
    <w:abstractNumId w:val="8"/>
  </w:num>
  <w:num w:numId="19" w16cid:durableId="403530759">
    <w:abstractNumId w:val="17"/>
  </w:num>
  <w:num w:numId="20" w16cid:durableId="1265847932">
    <w:abstractNumId w:val="2"/>
  </w:num>
  <w:num w:numId="21" w16cid:durableId="1891382665">
    <w:abstractNumId w:val="13"/>
  </w:num>
  <w:num w:numId="22" w16cid:durableId="3040890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57"/>
    <w:rsid w:val="00000F6A"/>
    <w:rsid w:val="000106E7"/>
    <w:rsid w:val="000134DE"/>
    <w:rsid w:val="00014C21"/>
    <w:rsid w:val="00014C6E"/>
    <w:rsid w:val="00021B70"/>
    <w:rsid w:val="000338EB"/>
    <w:rsid w:val="0003698C"/>
    <w:rsid w:val="00036DA2"/>
    <w:rsid w:val="0004070C"/>
    <w:rsid w:val="000420B5"/>
    <w:rsid w:val="00045BF3"/>
    <w:rsid w:val="00052082"/>
    <w:rsid w:val="00064D2C"/>
    <w:rsid w:val="0006762E"/>
    <w:rsid w:val="00067777"/>
    <w:rsid w:val="0007034C"/>
    <w:rsid w:val="0007115A"/>
    <w:rsid w:val="00071AC9"/>
    <w:rsid w:val="000720A6"/>
    <w:rsid w:val="0007495D"/>
    <w:rsid w:val="00075936"/>
    <w:rsid w:val="00080129"/>
    <w:rsid w:val="000871B9"/>
    <w:rsid w:val="00090101"/>
    <w:rsid w:val="00095158"/>
    <w:rsid w:val="000973C8"/>
    <w:rsid w:val="000A0549"/>
    <w:rsid w:val="000A2AA9"/>
    <w:rsid w:val="000A56F2"/>
    <w:rsid w:val="000A6499"/>
    <w:rsid w:val="000A6E05"/>
    <w:rsid w:val="000B12FA"/>
    <w:rsid w:val="000B3FF5"/>
    <w:rsid w:val="000C01C9"/>
    <w:rsid w:val="000C08BF"/>
    <w:rsid w:val="000C3B9A"/>
    <w:rsid w:val="000D25A8"/>
    <w:rsid w:val="000D45AF"/>
    <w:rsid w:val="000D534A"/>
    <w:rsid w:val="000D64A6"/>
    <w:rsid w:val="000E270A"/>
    <w:rsid w:val="000E2CAA"/>
    <w:rsid w:val="000E3D79"/>
    <w:rsid w:val="000E4C53"/>
    <w:rsid w:val="000E51D7"/>
    <w:rsid w:val="000E7A6F"/>
    <w:rsid w:val="000F2259"/>
    <w:rsid w:val="000F48C6"/>
    <w:rsid w:val="000F4DE2"/>
    <w:rsid w:val="000F5FF8"/>
    <w:rsid w:val="000F6072"/>
    <w:rsid w:val="000F7989"/>
    <w:rsid w:val="00100B83"/>
    <w:rsid w:val="00100DDA"/>
    <w:rsid w:val="00104A89"/>
    <w:rsid w:val="00110790"/>
    <w:rsid w:val="001112AB"/>
    <w:rsid w:val="00114FCE"/>
    <w:rsid w:val="00121089"/>
    <w:rsid w:val="00123092"/>
    <w:rsid w:val="001248B2"/>
    <w:rsid w:val="00125E60"/>
    <w:rsid w:val="00134D17"/>
    <w:rsid w:val="00141526"/>
    <w:rsid w:val="00144D68"/>
    <w:rsid w:val="001458F8"/>
    <w:rsid w:val="001462AD"/>
    <w:rsid w:val="00152FE9"/>
    <w:rsid w:val="00153B94"/>
    <w:rsid w:val="00156B80"/>
    <w:rsid w:val="00182B54"/>
    <w:rsid w:val="00184A8F"/>
    <w:rsid w:val="00185BD8"/>
    <w:rsid w:val="00185FDD"/>
    <w:rsid w:val="001911C9"/>
    <w:rsid w:val="001933F3"/>
    <w:rsid w:val="001A207D"/>
    <w:rsid w:val="001A33F6"/>
    <w:rsid w:val="001A3A66"/>
    <w:rsid w:val="001B07F2"/>
    <w:rsid w:val="001B3379"/>
    <w:rsid w:val="001B4A41"/>
    <w:rsid w:val="001C2BE8"/>
    <w:rsid w:val="001C363F"/>
    <w:rsid w:val="001D3E32"/>
    <w:rsid w:val="001D6A5D"/>
    <w:rsid w:val="001E2A62"/>
    <w:rsid w:val="001E7761"/>
    <w:rsid w:val="001F2819"/>
    <w:rsid w:val="001F2860"/>
    <w:rsid w:val="001F2FF0"/>
    <w:rsid w:val="001F4D01"/>
    <w:rsid w:val="001F6927"/>
    <w:rsid w:val="0020013F"/>
    <w:rsid w:val="00202230"/>
    <w:rsid w:val="00202933"/>
    <w:rsid w:val="002043EC"/>
    <w:rsid w:val="0020724A"/>
    <w:rsid w:val="00207C4E"/>
    <w:rsid w:val="00210046"/>
    <w:rsid w:val="002106FE"/>
    <w:rsid w:val="00212A9B"/>
    <w:rsid w:val="00215F4D"/>
    <w:rsid w:val="00217411"/>
    <w:rsid w:val="002211E5"/>
    <w:rsid w:val="00227D28"/>
    <w:rsid w:val="00233EDB"/>
    <w:rsid w:val="00235CE0"/>
    <w:rsid w:val="002376AB"/>
    <w:rsid w:val="00241AE9"/>
    <w:rsid w:val="00243DC0"/>
    <w:rsid w:val="00244CC3"/>
    <w:rsid w:val="00245B5A"/>
    <w:rsid w:val="002466AC"/>
    <w:rsid w:val="00247265"/>
    <w:rsid w:val="00247477"/>
    <w:rsid w:val="00252F7D"/>
    <w:rsid w:val="00261B46"/>
    <w:rsid w:val="00262B2D"/>
    <w:rsid w:val="00262DD1"/>
    <w:rsid w:val="00265534"/>
    <w:rsid w:val="00270154"/>
    <w:rsid w:val="00270440"/>
    <w:rsid w:val="00272CE4"/>
    <w:rsid w:val="00280359"/>
    <w:rsid w:val="00280C43"/>
    <w:rsid w:val="00284D8D"/>
    <w:rsid w:val="00287182"/>
    <w:rsid w:val="00287404"/>
    <w:rsid w:val="00287BC5"/>
    <w:rsid w:val="00293DEE"/>
    <w:rsid w:val="00294293"/>
    <w:rsid w:val="0029644D"/>
    <w:rsid w:val="0029761B"/>
    <w:rsid w:val="002A0B5D"/>
    <w:rsid w:val="002A3499"/>
    <w:rsid w:val="002A36AD"/>
    <w:rsid w:val="002B15F7"/>
    <w:rsid w:val="002B567F"/>
    <w:rsid w:val="002B746E"/>
    <w:rsid w:val="002C181E"/>
    <w:rsid w:val="002C3A8E"/>
    <w:rsid w:val="002C56C4"/>
    <w:rsid w:val="002C7FE9"/>
    <w:rsid w:val="002D0DC5"/>
    <w:rsid w:val="002D4EFD"/>
    <w:rsid w:val="002D7B79"/>
    <w:rsid w:val="002E3C16"/>
    <w:rsid w:val="002E4100"/>
    <w:rsid w:val="002E417E"/>
    <w:rsid w:val="00303CC8"/>
    <w:rsid w:val="00310A63"/>
    <w:rsid w:val="00312DD8"/>
    <w:rsid w:val="00315A97"/>
    <w:rsid w:val="00316071"/>
    <w:rsid w:val="003267F0"/>
    <w:rsid w:val="00334C82"/>
    <w:rsid w:val="00335594"/>
    <w:rsid w:val="003358A6"/>
    <w:rsid w:val="00336536"/>
    <w:rsid w:val="00341347"/>
    <w:rsid w:val="003433C9"/>
    <w:rsid w:val="00343E5C"/>
    <w:rsid w:val="00344FB8"/>
    <w:rsid w:val="00345996"/>
    <w:rsid w:val="003476A2"/>
    <w:rsid w:val="00350B7D"/>
    <w:rsid w:val="00357E08"/>
    <w:rsid w:val="0036017B"/>
    <w:rsid w:val="00361383"/>
    <w:rsid w:val="00361E35"/>
    <w:rsid w:val="00362755"/>
    <w:rsid w:val="0036556D"/>
    <w:rsid w:val="003708E7"/>
    <w:rsid w:val="0037397D"/>
    <w:rsid w:val="00373B93"/>
    <w:rsid w:val="00380CD1"/>
    <w:rsid w:val="003811C8"/>
    <w:rsid w:val="00381F1B"/>
    <w:rsid w:val="00390B1B"/>
    <w:rsid w:val="00391483"/>
    <w:rsid w:val="0039282B"/>
    <w:rsid w:val="00393A46"/>
    <w:rsid w:val="003A02CA"/>
    <w:rsid w:val="003A38F0"/>
    <w:rsid w:val="003A4E3A"/>
    <w:rsid w:val="003A5BAD"/>
    <w:rsid w:val="003A6F33"/>
    <w:rsid w:val="003B5862"/>
    <w:rsid w:val="003D2187"/>
    <w:rsid w:val="003E3356"/>
    <w:rsid w:val="003F069A"/>
    <w:rsid w:val="003F1B6C"/>
    <w:rsid w:val="003F4329"/>
    <w:rsid w:val="003F4F5C"/>
    <w:rsid w:val="003F527B"/>
    <w:rsid w:val="00401350"/>
    <w:rsid w:val="00401FED"/>
    <w:rsid w:val="00411347"/>
    <w:rsid w:val="00412534"/>
    <w:rsid w:val="00412C83"/>
    <w:rsid w:val="00420303"/>
    <w:rsid w:val="00426014"/>
    <w:rsid w:val="00427097"/>
    <w:rsid w:val="0042782D"/>
    <w:rsid w:val="0044132F"/>
    <w:rsid w:val="00442770"/>
    <w:rsid w:val="00444BA2"/>
    <w:rsid w:val="00445E58"/>
    <w:rsid w:val="0044617E"/>
    <w:rsid w:val="0045215C"/>
    <w:rsid w:val="0046078B"/>
    <w:rsid w:val="00460B7D"/>
    <w:rsid w:val="00461DB0"/>
    <w:rsid w:val="00464A37"/>
    <w:rsid w:val="00480CB0"/>
    <w:rsid w:val="00483603"/>
    <w:rsid w:val="0048373C"/>
    <w:rsid w:val="004865E1"/>
    <w:rsid w:val="00487A32"/>
    <w:rsid w:val="00490F6F"/>
    <w:rsid w:val="00492F74"/>
    <w:rsid w:val="00496358"/>
    <w:rsid w:val="004964B0"/>
    <w:rsid w:val="004A1EAD"/>
    <w:rsid w:val="004A220A"/>
    <w:rsid w:val="004A4558"/>
    <w:rsid w:val="004A47BE"/>
    <w:rsid w:val="004B2012"/>
    <w:rsid w:val="004B34EA"/>
    <w:rsid w:val="004B39DB"/>
    <w:rsid w:val="004B5494"/>
    <w:rsid w:val="004B6E1E"/>
    <w:rsid w:val="004B7EF9"/>
    <w:rsid w:val="004C0AC6"/>
    <w:rsid w:val="004C287E"/>
    <w:rsid w:val="004C4857"/>
    <w:rsid w:val="004C7A2B"/>
    <w:rsid w:val="004C7D3A"/>
    <w:rsid w:val="004D338B"/>
    <w:rsid w:val="004D59F9"/>
    <w:rsid w:val="004E51B5"/>
    <w:rsid w:val="004F0511"/>
    <w:rsid w:val="004F33EC"/>
    <w:rsid w:val="004F7F32"/>
    <w:rsid w:val="0050187F"/>
    <w:rsid w:val="005018A8"/>
    <w:rsid w:val="00505A39"/>
    <w:rsid w:val="005072D5"/>
    <w:rsid w:val="00510483"/>
    <w:rsid w:val="0052073A"/>
    <w:rsid w:val="00520FD7"/>
    <w:rsid w:val="005237D9"/>
    <w:rsid w:val="005240BF"/>
    <w:rsid w:val="0052583F"/>
    <w:rsid w:val="00526660"/>
    <w:rsid w:val="0053233E"/>
    <w:rsid w:val="00541810"/>
    <w:rsid w:val="005423CC"/>
    <w:rsid w:val="00545FF6"/>
    <w:rsid w:val="00546CFF"/>
    <w:rsid w:val="005474C7"/>
    <w:rsid w:val="00552342"/>
    <w:rsid w:val="00555085"/>
    <w:rsid w:val="00555116"/>
    <w:rsid w:val="00556078"/>
    <w:rsid w:val="00570BA7"/>
    <w:rsid w:val="00580E0D"/>
    <w:rsid w:val="00585390"/>
    <w:rsid w:val="00592462"/>
    <w:rsid w:val="005939A5"/>
    <w:rsid w:val="00595E88"/>
    <w:rsid w:val="005A148C"/>
    <w:rsid w:val="005A3A4D"/>
    <w:rsid w:val="005A5E71"/>
    <w:rsid w:val="005A637F"/>
    <w:rsid w:val="005A63DC"/>
    <w:rsid w:val="005A7621"/>
    <w:rsid w:val="005B0F2F"/>
    <w:rsid w:val="005B1779"/>
    <w:rsid w:val="005B2667"/>
    <w:rsid w:val="005C58FA"/>
    <w:rsid w:val="005C5D7D"/>
    <w:rsid w:val="005C7087"/>
    <w:rsid w:val="005D3D39"/>
    <w:rsid w:val="005D5DB1"/>
    <w:rsid w:val="005E18E3"/>
    <w:rsid w:val="005E2F48"/>
    <w:rsid w:val="005F01EB"/>
    <w:rsid w:val="005F1CFD"/>
    <w:rsid w:val="005F2199"/>
    <w:rsid w:val="005F4DE8"/>
    <w:rsid w:val="00600672"/>
    <w:rsid w:val="006008BB"/>
    <w:rsid w:val="00603238"/>
    <w:rsid w:val="00610C74"/>
    <w:rsid w:val="00613C6F"/>
    <w:rsid w:val="00615E33"/>
    <w:rsid w:val="00617427"/>
    <w:rsid w:val="00624A6D"/>
    <w:rsid w:val="00624C6C"/>
    <w:rsid w:val="00632207"/>
    <w:rsid w:val="00634309"/>
    <w:rsid w:val="0063491C"/>
    <w:rsid w:val="00634E2B"/>
    <w:rsid w:val="00641A5C"/>
    <w:rsid w:val="00650221"/>
    <w:rsid w:val="006612A3"/>
    <w:rsid w:val="00661AFE"/>
    <w:rsid w:val="00662336"/>
    <w:rsid w:val="0066322A"/>
    <w:rsid w:val="00666C9E"/>
    <w:rsid w:val="006728F8"/>
    <w:rsid w:val="00677BEE"/>
    <w:rsid w:val="00680F19"/>
    <w:rsid w:val="006812F1"/>
    <w:rsid w:val="00683B2C"/>
    <w:rsid w:val="00686F35"/>
    <w:rsid w:val="00690BC9"/>
    <w:rsid w:val="00692938"/>
    <w:rsid w:val="00694A98"/>
    <w:rsid w:val="006A1A23"/>
    <w:rsid w:val="006A4502"/>
    <w:rsid w:val="006A6739"/>
    <w:rsid w:val="006A7AA2"/>
    <w:rsid w:val="006B4210"/>
    <w:rsid w:val="006C1F10"/>
    <w:rsid w:val="006C50D2"/>
    <w:rsid w:val="006C7B25"/>
    <w:rsid w:val="006D1082"/>
    <w:rsid w:val="006D2397"/>
    <w:rsid w:val="006E5E28"/>
    <w:rsid w:val="006E6574"/>
    <w:rsid w:val="006F1C5A"/>
    <w:rsid w:val="006F24B8"/>
    <w:rsid w:val="006F5964"/>
    <w:rsid w:val="00703292"/>
    <w:rsid w:val="0070404D"/>
    <w:rsid w:val="0070486A"/>
    <w:rsid w:val="00705715"/>
    <w:rsid w:val="007065B2"/>
    <w:rsid w:val="00714CF2"/>
    <w:rsid w:val="007156B9"/>
    <w:rsid w:val="00716FCA"/>
    <w:rsid w:val="007171CB"/>
    <w:rsid w:val="0071769F"/>
    <w:rsid w:val="00720817"/>
    <w:rsid w:val="007212BB"/>
    <w:rsid w:val="00722850"/>
    <w:rsid w:val="00725A6C"/>
    <w:rsid w:val="00725F3C"/>
    <w:rsid w:val="007319FD"/>
    <w:rsid w:val="0073353F"/>
    <w:rsid w:val="00735A91"/>
    <w:rsid w:val="00735FEE"/>
    <w:rsid w:val="00737DAD"/>
    <w:rsid w:val="0074071A"/>
    <w:rsid w:val="00742CB6"/>
    <w:rsid w:val="00742E45"/>
    <w:rsid w:val="007447AF"/>
    <w:rsid w:val="007456E0"/>
    <w:rsid w:val="00747BE8"/>
    <w:rsid w:val="00750816"/>
    <w:rsid w:val="00756F2D"/>
    <w:rsid w:val="00760DB7"/>
    <w:rsid w:val="0076151A"/>
    <w:rsid w:val="007657C1"/>
    <w:rsid w:val="0077755F"/>
    <w:rsid w:val="007822AC"/>
    <w:rsid w:val="0079180F"/>
    <w:rsid w:val="0079307F"/>
    <w:rsid w:val="00794516"/>
    <w:rsid w:val="007A406D"/>
    <w:rsid w:val="007A62B0"/>
    <w:rsid w:val="007B57E3"/>
    <w:rsid w:val="007C45F0"/>
    <w:rsid w:val="007C5A0C"/>
    <w:rsid w:val="007D28A0"/>
    <w:rsid w:val="007D438B"/>
    <w:rsid w:val="007D67B0"/>
    <w:rsid w:val="007D72CB"/>
    <w:rsid w:val="007E0FEE"/>
    <w:rsid w:val="007F2017"/>
    <w:rsid w:val="007F5F8E"/>
    <w:rsid w:val="0080194A"/>
    <w:rsid w:val="0080390E"/>
    <w:rsid w:val="008103E6"/>
    <w:rsid w:val="00810A84"/>
    <w:rsid w:val="008154DD"/>
    <w:rsid w:val="008159CF"/>
    <w:rsid w:val="00816E05"/>
    <w:rsid w:val="00820581"/>
    <w:rsid w:val="00821896"/>
    <w:rsid w:val="00822040"/>
    <w:rsid w:val="008261FB"/>
    <w:rsid w:val="008305BE"/>
    <w:rsid w:val="008339BB"/>
    <w:rsid w:val="00846865"/>
    <w:rsid w:val="00847349"/>
    <w:rsid w:val="0085111F"/>
    <w:rsid w:val="008523BC"/>
    <w:rsid w:val="008524CE"/>
    <w:rsid w:val="008526CD"/>
    <w:rsid w:val="00854A98"/>
    <w:rsid w:val="00855CEA"/>
    <w:rsid w:val="0085614D"/>
    <w:rsid w:val="0086419A"/>
    <w:rsid w:val="0087023B"/>
    <w:rsid w:val="00872D48"/>
    <w:rsid w:val="0088240B"/>
    <w:rsid w:val="0088311A"/>
    <w:rsid w:val="00884FA2"/>
    <w:rsid w:val="0089361E"/>
    <w:rsid w:val="008A08BF"/>
    <w:rsid w:val="008A179F"/>
    <w:rsid w:val="008A2B4A"/>
    <w:rsid w:val="008B0864"/>
    <w:rsid w:val="008B1442"/>
    <w:rsid w:val="008B175A"/>
    <w:rsid w:val="008C3CB7"/>
    <w:rsid w:val="008C7413"/>
    <w:rsid w:val="008C7666"/>
    <w:rsid w:val="008D16B7"/>
    <w:rsid w:val="008D2408"/>
    <w:rsid w:val="008D3C96"/>
    <w:rsid w:val="008D3D5A"/>
    <w:rsid w:val="008D4053"/>
    <w:rsid w:val="008E1D84"/>
    <w:rsid w:val="008E292B"/>
    <w:rsid w:val="008E6AE6"/>
    <w:rsid w:val="008F0116"/>
    <w:rsid w:val="008F143D"/>
    <w:rsid w:val="008F5196"/>
    <w:rsid w:val="008F7C38"/>
    <w:rsid w:val="009060CD"/>
    <w:rsid w:val="009062FC"/>
    <w:rsid w:val="00913BFE"/>
    <w:rsid w:val="00917742"/>
    <w:rsid w:val="0092523B"/>
    <w:rsid w:val="00926931"/>
    <w:rsid w:val="0092798A"/>
    <w:rsid w:val="00932865"/>
    <w:rsid w:val="009349DC"/>
    <w:rsid w:val="009447E2"/>
    <w:rsid w:val="009450AA"/>
    <w:rsid w:val="009453BA"/>
    <w:rsid w:val="00954E8D"/>
    <w:rsid w:val="00963566"/>
    <w:rsid w:val="009748F8"/>
    <w:rsid w:val="00974B00"/>
    <w:rsid w:val="00975AEC"/>
    <w:rsid w:val="0098138E"/>
    <w:rsid w:val="00985D52"/>
    <w:rsid w:val="0098655A"/>
    <w:rsid w:val="0099551F"/>
    <w:rsid w:val="009A2F6A"/>
    <w:rsid w:val="009A5A1A"/>
    <w:rsid w:val="009A6E36"/>
    <w:rsid w:val="009A6F0C"/>
    <w:rsid w:val="009B2466"/>
    <w:rsid w:val="009B6F9F"/>
    <w:rsid w:val="009C1412"/>
    <w:rsid w:val="009C1FE9"/>
    <w:rsid w:val="009C5FC4"/>
    <w:rsid w:val="009D3109"/>
    <w:rsid w:val="009D3DE7"/>
    <w:rsid w:val="009D634A"/>
    <w:rsid w:val="009E1957"/>
    <w:rsid w:val="009E3FBA"/>
    <w:rsid w:val="009E6052"/>
    <w:rsid w:val="009E625D"/>
    <w:rsid w:val="009E7C7F"/>
    <w:rsid w:val="009F341D"/>
    <w:rsid w:val="00A03028"/>
    <w:rsid w:val="00A07203"/>
    <w:rsid w:val="00A13070"/>
    <w:rsid w:val="00A14542"/>
    <w:rsid w:val="00A14D1F"/>
    <w:rsid w:val="00A17CE0"/>
    <w:rsid w:val="00A231CF"/>
    <w:rsid w:val="00A2376D"/>
    <w:rsid w:val="00A23D48"/>
    <w:rsid w:val="00A34320"/>
    <w:rsid w:val="00A37A60"/>
    <w:rsid w:val="00A411FA"/>
    <w:rsid w:val="00A41E08"/>
    <w:rsid w:val="00A42306"/>
    <w:rsid w:val="00A43688"/>
    <w:rsid w:val="00A444A1"/>
    <w:rsid w:val="00A44E8D"/>
    <w:rsid w:val="00A46EA8"/>
    <w:rsid w:val="00A46EB0"/>
    <w:rsid w:val="00A51563"/>
    <w:rsid w:val="00A5385B"/>
    <w:rsid w:val="00A54C5A"/>
    <w:rsid w:val="00A55ACD"/>
    <w:rsid w:val="00A66750"/>
    <w:rsid w:val="00A7190C"/>
    <w:rsid w:val="00A7367B"/>
    <w:rsid w:val="00A749C9"/>
    <w:rsid w:val="00A76142"/>
    <w:rsid w:val="00A804C5"/>
    <w:rsid w:val="00A827F0"/>
    <w:rsid w:val="00A837CC"/>
    <w:rsid w:val="00A85D27"/>
    <w:rsid w:val="00A86718"/>
    <w:rsid w:val="00A9022B"/>
    <w:rsid w:val="00A965B0"/>
    <w:rsid w:val="00AA0F62"/>
    <w:rsid w:val="00AB0EBC"/>
    <w:rsid w:val="00AB1C1B"/>
    <w:rsid w:val="00AB7875"/>
    <w:rsid w:val="00AC368E"/>
    <w:rsid w:val="00AC68EE"/>
    <w:rsid w:val="00AC6E56"/>
    <w:rsid w:val="00AD0289"/>
    <w:rsid w:val="00AD5A1B"/>
    <w:rsid w:val="00AE1848"/>
    <w:rsid w:val="00AE23A0"/>
    <w:rsid w:val="00AE2BAC"/>
    <w:rsid w:val="00AE63C6"/>
    <w:rsid w:val="00AF0AEB"/>
    <w:rsid w:val="00AF23FF"/>
    <w:rsid w:val="00AF4AB0"/>
    <w:rsid w:val="00AF4DAE"/>
    <w:rsid w:val="00B019AD"/>
    <w:rsid w:val="00B01F7E"/>
    <w:rsid w:val="00B02ADC"/>
    <w:rsid w:val="00B03F3E"/>
    <w:rsid w:val="00B11A06"/>
    <w:rsid w:val="00B15654"/>
    <w:rsid w:val="00B16C2A"/>
    <w:rsid w:val="00B20057"/>
    <w:rsid w:val="00B248B1"/>
    <w:rsid w:val="00B3087D"/>
    <w:rsid w:val="00B34794"/>
    <w:rsid w:val="00B4198A"/>
    <w:rsid w:val="00B514F1"/>
    <w:rsid w:val="00B5485E"/>
    <w:rsid w:val="00B60421"/>
    <w:rsid w:val="00B628C5"/>
    <w:rsid w:val="00B70356"/>
    <w:rsid w:val="00B74BB1"/>
    <w:rsid w:val="00B757AA"/>
    <w:rsid w:val="00B76A77"/>
    <w:rsid w:val="00B81EB6"/>
    <w:rsid w:val="00B830A4"/>
    <w:rsid w:val="00B9708B"/>
    <w:rsid w:val="00BA2382"/>
    <w:rsid w:val="00BA4801"/>
    <w:rsid w:val="00BA51A4"/>
    <w:rsid w:val="00BA5670"/>
    <w:rsid w:val="00BB0243"/>
    <w:rsid w:val="00BB1539"/>
    <w:rsid w:val="00BB196C"/>
    <w:rsid w:val="00BB3DDF"/>
    <w:rsid w:val="00BC198C"/>
    <w:rsid w:val="00BC3588"/>
    <w:rsid w:val="00BC5231"/>
    <w:rsid w:val="00BD115C"/>
    <w:rsid w:val="00BD72F6"/>
    <w:rsid w:val="00BD7D04"/>
    <w:rsid w:val="00BE0DB5"/>
    <w:rsid w:val="00BE0F0A"/>
    <w:rsid w:val="00BE1B3C"/>
    <w:rsid w:val="00BE44D6"/>
    <w:rsid w:val="00BE4878"/>
    <w:rsid w:val="00BF0131"/>
    <w:rsid w:val="00BF070A"/>
    <w:rsid w:val="00BF40AD"/>
    <w:rsid w:val="00BF4AC5"/>
    <w:rsid w:val="00BF6CD5"/>
    <w:rsid w:val="00BF7769"/>
    <w:rsid w:val="00C05C82"/>
    <w:rsid w:val="00C06D04"/>
    <w:rsid w:val="00C10B5F"/>
    <w:rsid w:val="00C171B4"/>
    <w:rsid w:val="00C203DB"/>
    <w:rsid w:val="00C21EBF"/>
    <w:rsid w:val="00C2514D"/>
    <w:rsid w:val="00C27031"/>
    <w:rsid w:val="00C3205F"/>
    <w:rsid w:val="00C33073"/>
    <w:rsid w:val="00C34288"/>
    <w:rsid w:val="00C3449D"/>
    <w:rsid w:val="00C37B72"/>
    <w:rsid w:val="00C412E3"/>
    <w:rsid w:val="00C47D19"/>
    <w:rsid w:val="00C576AA"/>
    <w:rsid w:val="00C6672B"/>
    <w:rsid w:val="00C67989"/>
    <w:rsid w:val="00C755DC"/>
    <w:rsid w:val="00C8108F"/>
    <w:rsid w:val="00C8406B"/>
    <w:rsid w:val="00C8495A"/>
    <w:rsid w:val="00C871A6"/>
    <w:rsid w:val="00C878D5"/>
    <w:rsid w:val="00C9033B"/>
    <w:rsid w:val="00C90DAB"/>
    <w:rsid w:val="00C913A1"/>
    <w:rsid w:val="00C96067"/>
    <w:rsid w:val="00C97CDA"/>
    <w:rsid w:val="00CB0296"/>
    <w:rsid w:val="00CB16D5"/>
    <w:rsid w:val="00CC3605"/>
    <w:rsid w:val="00CC3645"/>
    <w:rsid w:val="00CC6A99"/>
    <w:rsid w:val="00CC6B4F"/>
    <w:rsid w:val="00CD0DC1"/>
    <w:rsid w:val="00CD57B8"/>
    <w:rsid w:val="00CD5B71"/>
    <w:rsid w:val="00CE0484"/>
    <w:rsid w:val="00CE205B"/>
    <w:rsid w:val="00CE6011"/>
    <w:rsid w:val="00CE69F5"/>
    <w:rsid w:val="00CE6D1C"/>
    <w:rsid w:val="00CF0D1D"/>
    <w:rsid w:val="00CF46DB"/>
    <w:rsid w:val="00CF4F5F"/>
    <w:rsid w:val="00CF6434"/>
    <w:rsid w:val="00D00AA3"/>
    <w:rsid w:val="00D0504E"/>
    <w:rsid w:val="00D0715B"/>
    <w:rsid w:val="00D07F73"/>
    <w:rsid w:val="00D106D4"/>
    <w:rsid w:val="00D14844"/>
    <w:rsid w:val="00D16599"/>
    <w:rsid w:val="00D2041C"/>
    <w:rsid w:val="00D20E51"/>
    <w:rsid w:val="00D22884"/>
    <w:rsid w:val="00D23BDE"/>
    <w:rsid w:val="00D25ADE"/>
    <w:rsid w:val="00D27E58"/>
    <w:rsid w:val="00D34042"/>
    <w:rsid w:val="00D353E8"/>
    <w:rsid w:val="00D410B4"/>
    <w:rsid w:val="00D42B5D"/>
    <w:rsid w:val="00D43297"/>
    <w:rsid w:val="00D44DB6"/>
    <w:rsid w:val="00D47698"/>
    <w:rsid w:val="00D50119"/>
    <w:rsid w:val="00D50138"/>
    <w:rsid w:val="00D530B3"/>
    <w:rsid w:val="00D543F4"/>
    <w:rsid w:val="00D54A51"/>
    <w:rsid w:val="00D5657F"/>
    <w:rsid w:val="00D56947"/>
    <w:rsid w:val="00D56C10"/>
    <w:rsid w:val="00D6722E"/>
    <w:rsid w:val="00D70194"/>
    <w:rsid w:val="00D730F3"/>
    <w:rsid w:val="00D7497B"/>
    <w:rsid w:val="00D82A43"/>
    <w:rsid w:val="00D8321C"/>
    <w:rsid w:val="00D9130D"/>
    <w:rsid w:val="00DA16D2"/>
    <w:rsid w:val="00DA7B5D"/>
    <w:rsid w:val="00DB3F5E"/>
    <w:rsid w:val="00DC029F"/>
    <w:rsid w:val="00DC1FB8"/>
    <w:rsid w:val="00DC6301"/>
    <w:rsid w:val="00DD273F"/>
    <w:rsid w:val="00DD3B9B"/>
    <w:rsid w:val="00DD5DB7"/>
    <w:rsid w:val="00DD7505"/>
    <w:rsid w:val="00DE1D6F"/>
    <w:rsid w:val="00DF2691"/>
    <w:rsid w:val="00DF3259"/>
    <w:rsid w:val="00DF58E7"/>
    <w:rsid w:val="00E0398B"/>
    <w:rsid w:val="00E05846"/>
    <w:rsid w:val="00E06C32"/>
    <w:rsid w:val="00E07BC0"/>
    <w:rsid w:val="00E10902"/>
    <w:rsid w:val="00E109FF"/>
    <w:rsid w:val="00E11876"/>
    <w:rsid w:val="00E1704F"/>
    <w:rsid w:val="00E23CBB"/>
    <w:rsid w:val="00E326A7"/>
    <w:rsid w:val="00E363B8"/>
    <w:rsid w:val="00E37B59"/>
    <w:rsid w:val="00E41405"/>
    <w:rsid w:val="00E43F3F"/>
    <w:rsid w:val="00E44EDA"/>
    <w:rsid w:val="00E47FF5"/>
    <w:rsid w:val="00E53438"/>
    <w:rsid w:val="00E628C0"/>
    <w:rsid w:val="00E64A03"/>
    <w:rsid w:val="00E725FC"/>
    <w:rsid w:val="00E741D3"/>
    <w:rsid w:val="00E762A9"/>
    <w:rsid w:val="00E76D54"/>
    <w:rsid w:val="00E81217"/>
    <w:rsid w:val="00E8217D"/>
    <w:rsid w:val="00E823EE"/>
    <w:rsid w:val="00E84E98"/>
    <w:rsid w:val="00E93170"/>
    <w:rsid w:val="00E940D5"/>
    <w:rsid w:val="00E94FAC"/>
    <w:rsid w:val="00E95FA6"/>
    <w:rsid w:val="00E96849"/>
    <w:rsid w:val="00E96E82"/>
    <w:rsid w:val="00EA36C6"/>
    <w:rsid w:val="00EA48F9"/>
    <w:rsid w:val="00EA4BA5"/>
    <w:rsid w:val="00EB2020"/>
    <w:rsid w:val="00EB4CF3"/>
    <w:rsid w:val="00EB5C9E"/>
    <w:rsid w:val="00EC169D"/>
    <w:rsid w:val="00EC30F9"/>
    <w:rsid w:val="00ED2FF4"/>
    <w:rsid w:val="00ED4542"/>
    <w:rsid w:val="00ED5725"/>
    <w:rsid w:val="00ED7031"/>
    <w:rsid w:val="00EE0B7B"/>
    <w:rsid w:val="00EE1056"/>
    <w:rsid w:val="00EE1E54"/>
    <w:rsid w:val="00EE3060"/>
    <w:rsid w:val="00EE35B6"/>
    <w:rsid w:val="00EE4315"/>
    <w:rsid w:val="00EE54BC"/>
    <w:rsid w:val="00EF3DF1"/>
    <w:rsid w:val="00EF4370"/>
    <w:rsid w:val="00EF6632"/>
    <w:rsid w:val="00EF6925"/>
    <w:rsid w:val="00F003DA"/>
    <w:rsid w:val="00F00CED"/>
    <w:rsid w:val="00F01AC1"/>
    <w:rsid w:val="00F01DE1"/>
    <w:rsid w:val="00F07235"/>
    <w:rsid w:val="00F076F5"/>
    <w:rsid w:val="00F12118"/>
    <w:rsid w:val="00F13D14"/>
    <w:rsid w:val="00F13F16"/>
    <w:rsid w:val="00F16028"/>
    <w:rsid w:val="00F26ED3"/>
    <w:rsid w:val="00F36447"/>
    <w:rsid w:val="00F37E79"/>
    <w:rsid w:val="00F4321E"/>
    <w:rsid w:val="00F52702"/>
    <w:rsid w:val="00F542D9"/>
    <w:rsid w:val="00F55D3E"/>
    <w:rsid w:val="00F5745B"/>
    <w:rsid w:val="00F6021E"/>
    <w:rsid w:val="00F60904"/>
    <w:rsid w:val="00F62B7A"/>
    <w:rsid w:val="00F6397D"/>
    <w:rsid w:val="00F7293E"/>
    <w:rsid w:val="00F76650"/>
    <w:rsid w:val="00F77EFA"/>
    <w:rsid w:val="00F8640F"/>
    <w:rsid w:val="00F9084A"/>
    <w:rsid w:val="00F90AD4"/>
    <w:rsid w:val="00F9187B"/>
    <w:rsid w:val="00F92385"/>
    <w:rsid w:val="00F931F9"/>
    <w:rsid w:val="00F93DEE"/>
    <w:rsid w:val="00F97EB3"/>
    <w:rsid w:val="00FA1B4F"/>
    <w:rsid w:val="00FA54FD"/>
    <w:rsid w:val="00FA6195"/>
    <w:rsid w:val="00FB69C8"/>
    <w:rsid w:val="00FC3847"/>
    <w:rsid w:val="00FC4104"/>
    <w:rsid w:val="00FC47F9"/>
    <w:rsid w:val="00FC7EF8"/>
    <w:rsid w:val="00FD1757"/>
    <w:rsid w:val="00FE088A"/>
    <w:rsid w:val="00FE2351"/>
    <w:rsid w:val="00FE337D"/>
    <w:rsid w:val="00FE4BFA"/>
    <w:rsid w:val="00FE5580"/>
    <w:rsid w:val="00FE5888"/>
    <w:rsid w:val="00FE6B08"/>
    <w:rsid w:val="00FE6EAF"/>
    <w:rsid w:val="00FF110C"/>
    <w:rsid w:val="00FF24FB"/>
    <w:rsid w:val="00FF6255"/>
    <w:rsid w:val="03A722DF"/>
    <w:rsid w:val="04632B53"/>
    <w:rsid w:val="06E6E60A"/>
    <w:rsid w:val="07404258"/>
    <w:rsid w:val="08FCEB1F"/>
    <w:rsid w:val="0AB3916F"/>
    <w:rsid w:val="0ADC556A"/>
    <w:rsid w:val="0F201D3E"/>
    <w:rsid w:val="10BC839B"/>
    <w:rsid w:val="117EB67A"/>
    <w:rsid w:val="11810768"/>
    <w:rsid w:val="11FF1AD1"/>
    <w:rsid w:val="13D16296"/>
    <w:rsid w:val="1400C035"/>
    <w:rsid w:val="146C1661"/>
    <w:rsid w:val="160B902E"/>
    <w:rsid w:val="171349B3"/>
    <w:rsid w:val="179618D9"/>
    <w:rsid w:val="195AFE16"/>
    <w:rsid w:val="19FD88A0"/>
    <w:rsid w:val="1C72FAF5"/>
    <w:rsid w:val="1C81FA88"/>
    <w:rsid w:val="1D3AED75"/>
    <w:rsid w:val="1D8D8FD8"/>
    <w:rsid w:val="213A5C1E"/>
    <w:rsid w:val="2302C3B8"/>
    <w:rsid w:val="232467E2"/>
    <w:rsid w:val="23CD90AB"/>
    <w:rsid w:val="24AC6292"/>
    <w:rsid w:val="25D93B41"/>
    <w:rsid w:val="27A60137"/>
    <w:rsid w:val="29F85C05"/>
    <w:rsid w:val="2A65B38B"/>
    <w:rsid w:val="2C320636"/>
    <w:rsid w:val="2C6F7DB0"/>
    <w:rsid w:val="33062E4B"/>
    <w:rsid w:val="347E5C00"/>
    <w:rsid w:val="3545963E"/>
    <w:rsid w:val="3686BDBC"/>
    <w:rsid w:val="37E9E82B"/>
    <w:rsid w:val="380FE4BA"/>
    <w:rsid w:val="38C376AB"/>
    <w:rsid w:val="3D34390B"/>
    <w:rsid w:val="40D3A5BE"/>
    <w:rsid w:val="467AB6F8"/>
    <w:rsid w:val="46E5A608"/>
    <w:rsid w:val="4747BD54"/>
    <w:rsid w:val="47D5B0EE"/>
    <w:rsid w:val="49443580"/>
    <w:rsid w:val="4A9A2B01"/>
    <w:rsid w:val="4EBAB477"/>
    <w:rsid w:val="50E38E23"/>
    <w:rsid w:val="52B07A77"/>
    <w:rsid w:val="531084E0"/>
    <w:rsid w:val="53B83357"/>
    <w:rsid w:val="54F20F04"/>
    <w:rsid w:val="57713274"/>
    <w:rsid w:val="578EA04F"/>
    <w:rsid w:val="58B6497D"/>
    <w:rsid w:val="58E852E5"/>
    <w:rsid w:val="5B60FF78"/>
    <w:rsid w:val="5C0A2E6D"/>
    <w:rsid w:val="621B5814"/>
    <w:rsid w:val="629E2F03"/>
    <w:rsid w:val="63DC1C0D"/>
    <w:rsid w:val="6414B458"/>
    <w:rsid w:val="65BBF825"/>
    <w:rsid w:val="6627E0CE"/>
    <w:rsid w:val="697FAAC9"/>
    <w:rsid w:val="6A0FCDD4"/>
    <w:rsid w:val="6F64E36F"/>
    <w:rsid w:val="705C2DA2"/>
    <w:rsid w:val="70A7EAE8"/>
    <w:rsid w:val="752A4B02"/>
    <w:rsid w:val="787BA730"/>
    <w:rsid w:val="79B7E6BF"/>
    <w:rsid w:val="7BD18FBC"/>
    <w:rsid w:val="7C74B52D"/>
    <w:rsid w:val="7E60AC81"/>
    <w:rsid w:val="7FC8A3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608A8"/>
  <w15:chartTrackingRefBased/>
  <w15:docId w15:val="{ED0697D5-9F89-4B5F-B968-970E5CD110E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E94FAC"/>
    <w:pPr>
      <w:numPr>
        <w:ilvl w:val="2"/>
        <w:numId w:val="15"/>
      </w:numPr>
      <w:ind w:right="1728"/>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692938"/>
    <w:pPr>
      <w:spacing w:line="24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E94FAC"/>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BD115C"/>
    <w:pPr>
      <w:keepNext/>
      <w:spacing w:before="180" w:line="360" w:lineRule="auto"/>
      <w:outlineLvl w:val="0"/>
    </w:pPr>
    <w:rPr>
      <w:spacing w:val="120"/>
    </w:rPr>
  </w:style>
  <w:style w:type="paragraph" w:styleId="TOC2">
    <w:name w:val="toc 2"/>
    <w:basedOn w:val="Normal"/>
    <w:next w:val="Normal"/>
    <w:uiPriority w:val="39"/>
    <w:unhideWhenUsed/>
    <w:rsid w:val="00071AC9"/>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071AC9"/>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071AC9"/>
    <w:pPr>
      <w:spacing w:line="240" w:lineRule="auto"/>
      <w:ind w:left="1987"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customStyle="1" w:styleId="Default">
    <w:name w:val="Default"/>
    <w:rsid w:val="00705715"/>
    <w:pPr>
      <w:autoSpaceDE w:val="0"/>
      <w:autoSpaceDN w:val="0"/>
      <w:adjustRightInd w:val="0"/>
      <w:spacing w:after="0" w:line="240" w:lineRule="auto"/>
    </w:pPr>
    <w:rPr>
      <w:rFonts w:ascii="Book Antiqua" w:hAnsi="Book Antiqua" w:cs="Book Antiqua"/>
      <w:color w:val="000000"/>
      <w:sz w:val="24"/>
      <w:szCs w:val="24"/>
    </w:rPr>
  </w:style>
  <w:style w:type="character" w:styleId="CommentReference">
    <w:name w:val="annotation reference"/>
    <w:basedOn w:val="DefaultParagraphFont"/>
    <w:uiPriority w:val="99"/>
    <w:semiHidden/>
    <w:unhideWhenUsed/>
    <w:rsid w:val="00BE44D6"/>
    <w:rPr>
      <w:sz w:val="16"/>
      <w:szCs w:val="16"/>
    </w:rPr>
  </w:style>
  <w:style w:type="paragraph" w:styleId="CommentText">
    <w:name w:val="annotation text"/>
    <w:basedOn w:val="Normal"/>
    <w:link w:val="CommentTextChar"/>
    <w:uiPriority w:val="99"/>
    <w:unhideWhenUsed/>
    <w:rsid w:val="00BE44D6"/>
    <w:pPr>
      <w:spacing w:line="240" w:lineRule="auto"/>
    </w:pPr>
    <w:rPr>
      <w:sz w:val="20"/>
      <w:szCs w:val="20"/>
    </w:rPr>
  </w:style>
  <w:style w:type="character" w:customStyle="1" w:styleId="CommentTextChar">
    <w:name w:val="Comment Text Char"/>
    <w:basedOn w:val="DefaultParagraphFont"/>
    <w:link w:val="CommentText"/>
    <w:uiPriority w:val="99"/>
    <w:rsid w:val="00BE44D6"/>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E44D6"/>
    <w:rPr>
      <w:b/>
      <w:bCs/>
    </w:rPr>
  </w:style>
  <w:style w:type="character" w:customStyle="1" w:styleId="CommentSubjectChar">
    <w:name w:val="Comment Subject Char"/>
    <w:basedOn w:val="CommentTextChar"/>
    <w:link w:val="CommentSubject"/>
    <w:uiPriority w:val="99"/>
    <w:semiHidden/>
    <w:rsid w:val="00BE44D6"/>
    <w:rPr>
      <w:rFonts w:ascii="Book Antiqua" w:hAnsi="Book Antiqua"/>
      <w:b/>
      <w:bCs/>
      <w:sz w:val="20"/>
      <w:szCs w:val="20"/>
    </w:rPr>
  </w:style>
  <w:style w:type="paragraph" w:styleId="Revision">
    <w:name w:val="Revision"/>
    <w:hidden/>
    <w:uiPriority w:val="99"/>
    <w:semiHidden/>
    <w:rsid w:val="00716FCA"/>
    <w:pPr>
      <w:spacing w:after="0" w:line="240" w:lineRule="auto"/>
    </w:pPr>
    <w:rPr>
      <w:rFonts w:ascii="Book Antiqua" w:hAnsi="Book Antiqua"/>
      <w:sz w:val="26"/>
    </w:rPr>
  </w:style>
  <w:style w:type="paragraph" w:styleId="ListParagraph">
    <w:name w:val="List Paragraph"/>
    <w:basedOn w:val="Normal"/>
    <w:uiPriority w:val="34"/>
    <w:rsid w:val="00DC029F"/>
    <w:pPr>
      <w:ind w:left="720"/>
      <w:contextualSpacing/>
    </w:pPr>
  </w:style>
  <w:style w:type="paragraph" w:customStyle="1" w:styleId="BlockQuoteH025">
    <w:name w:val="BlockQuoteH025"/>
    <w:basedOn w:val="Normal"/>
    <w:qFormat/>
    <w:rsid w:val="0080194A"/>
    <w:pPr>
      <w:spacing w:after="120" w:line="240" w:lineRule="auto"/>
      <w:ind w:left="1080" w:right="1440" w:hanging="360"/>
    </w:pPr>
  </w:style>
  <w:style w:type="paragraph" w:customStyle="1" w:styleId="BlockQuote0">
    <w:name w:val="BlockQuote"/>
    <w:basedOn w:val="Normal"/>
    <w:qFormat/>
    <w:rsid w:val="00694A98"/>
    <w:pPr>
      <w:spacing w:after="120" w:line="240" w:lineRule="auto"/>
      <w:ind w:left="720" w:right="1440" w:firstLine="0"/>
    </w:pPr>
  </w:style>
  <w:style w:type="paragraph" w:styleId="BodyText">
    <w:name w:val="Body Text"/>
    <w:basedOn w:val="Normal"/>
    <w:link w:val="BodyTextChar"/>
    <w:unhideWhenUsed/>
    <w:rsid w:val="00100DDA"/>
    <w:pPr>
      <w:tabs>
        <w:tab w:val="left" w:pos="2160"/>
        <w:tab w:val="left" w:pos="3600"/>
      </w:tabs>
      <w:spacing w:line="240" w:lineRule="auto"/>
      <w:ind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00DDA"/>
    <w:rPr>
      <w:rFonts w:ascii="Times New Roman" w:eastAsia="Times New Roman" w:hAnsi="Times New Roman" w:cs="Times New Roman"/>
      <w:sz w:val="24"/>
      <w:szCs w:val="20"/>
    </w:rPr>
  </w:style>
  <w:style w:type="paragraph" w:customStyle="1" w:styleId="Note1">
    <w:name w:val="Note1"/>
    <w:basedOn w:val="Normal"/>
    <w:qFormat/>
    <w:rsid w:val="00100DDA"/>
    <w:pPr>
      <w:spacing w:line="240" w:lineRule="auto"/>
      <w:ind w:left="533" w:hanging="533"/>
    </w:pPr>
    <w:rPr>
      <w:rFonts w:ascii="Times New Roman" w:hAnsi="Times New Roman"/>
      <w:iCs/>
      <w:sz w:val="20"/>
    </w:rPr>
  </w:style>
  <w:style w:type="paragraph" w:customStyle="1" w:styleId="SigBlockBA-Cmr">
    <w:name w:val="SigBlockBA-Cmr"/>
    <w:basedOn w:val="Normal"/>
    <w:qFormat/>
    <w:rsid w:val="005B2667"/>
    <w:pPr>
      <w:keepNext/>
      <w:autoSpaceDE w:val="0"/>
      <w:autoSpaceDN w:val="0"/>
      <w:adjustRightInd w:val="0"/>
      <w:spacing w:line="240" w:lineRule="auto"/>
      <w:ind w:left="4320" w:firstLine="0"/>
    </w:pPr>
    <w:rPr>
      <w:rFonts w:eastAsia="Times New Roman" w:cs="Times New Roman"/>
      <w:szCs w:val="20"/>
    </w:rPr>
  </w:style>
  <w:style w:type="paragraph" w:customStyle="1" w:styleId="SigBlockBA-Title">
    <w:name w:val="SigBlockBA-Title"/>
    <w:basedOn w:val="Normal"/>
    <w:qFormat/>
    <w:rsid w:val="005B2667"/>
    <w:pPr>
      <w:keepNext/>
      <w:autoSpaceDE w:val="0"/>
      <w:autoSpaceDN w:val="0"/>
      <w:adjustRightInd w:val="0"/>
      <w:spacing w:line="240" w:lineRule="auto"/>
      <w:ind w:left="5400" w:firstLine="0"/>
    </w:pPr>
    <w:rPr>
      <w:rFonts w:eastAsia="Times New Roman" w:cs="Times New Roman"/>
      <w:szCs w:val="20"/>
    </w:rPr>
  </w:style>
  <w:style w:type="paragraph" w:customStyle="1" w:styleId="SigSpaceBA">
    <w:name w:val="SigSpaceBA"/>
    <w:basedOn w:val="Normal"/>
    <w:qFormat/>
    <w:rsid w:val="005B2667"/>
    <w:pPr>
      <w:keepNext/>
      <w:autoSpaceDE w:val="0"/>
      <w:autoSpaceDN w:val="0"/>
      <w:adjustRightInd w:val="0"/>
      <w:ind w:left="4320" w:firstLine="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73168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3.png" Id="rId1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92/K360/592360167.pdf" TargetMode="External" Id="R0dc6931c075b45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46</ap:Pages>
  <ap:Words>9158</ap:Words>
  <ap:Characters>52205</ap:Characters>
  <ap:Application>Microsoft Office Word</ap:Application>
  <ap:DocSecurity>0</ap:DocSecurity>
  <ap:Lines>435</ap:Lines>
  <ap:Paragraphs>122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61241</ap:CharactersWithSpaces>
  <ap:SharedDoc>false</ap:SharedDoc>
  <ap:HLinks>
    <vt:vector baseType="variant" size="216">
      <vt:variant>
        <vt:i4>1376308</vt:i4>
      </vt:variant>
      <vt:variant>
        <vt:i4>212</vt:i4>
      </vt:variant>
      <vt:variant>
        <vt:i4>0</vt:i4>
      </vt:variant>
      <vt:variant>
        <vt:i4>5</vt:i4>
      </vt:variant>
      <vt:variant>
        <vt:lpwstr/>
      </vt:variant>
      <vt:variant>
        <vt:lpwstr>_Toc212562244</vt:lpwstr>
      </vt:variant>
      <vt:variant>
        <vt:i4>1376308</vt:i4>
      </vt:variant>
      <vt:variant>
        <vt:i4>206</vt:i4>
      </vt:variant>
      <vt:variant>
        <vt:i4>0</vt:i4>
      </vt:variant>
      <vt:variant>
        <vt:i4>5</vt:i4>
      </vt:variant>
      <vt:variant>
        <vt:lpwstr/>
      </vt:variant>
      <vt:variant>
        <vt:lpwstr>_Toc212562243</vt:lpwstr>
      </vt:variant>
      <vt:variant>
        <vt:i4>1376308</vt:i4>
      </vt:variant>
      <vt:variant>
        <vt:i4>200</vt:i4>
      </vt:variant>
      <vt:variant>
        <vt:i4>0</vt:i4>
      </vt:variant>
      <vt:variant>
        <vt:i4>5</vt:i4>
      </vt:variant>
      <vt:variant>
        <vt:lpwstr/>
      </vt:variant>
      <vt:variant>
        <vt:lpwstr>_Toc212562242</vt:lpwstr>
      </vt:variant>
      <vt:variant>
        <vt:i4>1376308</vt:i4>
      </vt:variant>
      <vt:variant>
        <vt:i4>194</vt:i4>
      </vt:variant>
      <vt:variant>
        <vt:i4>0</vt:i4>
      </vt:variant>
      <vt:variant>
        <vt:i4>5</vt:i4>
      </vt:variant>
      <vt:variant>
        <vt:lpwstr/>
      </vt:variant>
      <vt:variant>
        <vt:lpwstr>_Toc212562241</vt:lpwstr>
      </vt:variant>
      <vt:variant>
        <vt:i4>1376308</vt:i4>
      </vt:variant>
      <vt:variant>
        <vt:i4>188</vt:i4>
      </vt:variant>
      <vt:variant>
        <vt:i4>0</vt:i4>
      </vt:variant>
      <vt:variant>
        <vt:i4>5</vt:i4>
      </vt:variant>
      <vt:variant>
        <vt:lpwstr/>
      </vt:variant>
      <vt:variant>
        <vt:lpwstr>_Toc212562240</vt:lpwstr>
      </vt:variant>
      <vt:variant>
        <vt:i4>1179700</vt:i4>
      </vt:variant>
      <vt:variant>
        <vt:i4>182</vt:i4>
      </vt:variant>
      <vt:variant>
        <vt:i4>0</vt:i4>
      </vt:variant>
      <vt:variant>
        <vt:i4>5</vt:i4>
      </vt:variant>
      <vt:variant>
        <vt:lpwstr/>
      </vt:variant>
      <vt:variant>
        <vt:lpwstr>_Toc212562239</vt:lpwstr>
      </vt:variant>
      <vt:variant>
        <vt:i4>1179700</vt:i4>
      </vt:variant>
      <vt:variant>
        <vt:i4>176</vt:i4>
      </vt:variant>
      <vt:variant>
        <vt:i4>0</vt:i4>
      </vt:variant>
      <vt:variant>
        <vt:i4>5</vt:i4>
      </vt:variant>
      <vt:variant>
        <vt:lpwstr/>
      </vt:variant>
      <vt:variant>
        <vt:lpwstr>_Toc212562238</vt:lpwstr>
      </vt:variant>
      <vt:variant>
        <vt:i4>1179700</vt:i4>
      </vt:variant>
      <vt:variant>
        <vt:i4>170</vt:i4>
      </vt:variant>
      <vt:variant>
        <vt:i4>0</vt:i4>
      </vt:variant>
      <vt:variant>
        <vt:i4>5</vt:i4>
      </vt:variant>
      <vt:variant>
        <vt:lpwstr/>
      </vt:variant>
      <vt:variant>
        <vt:lpwstr>_Toc212562237</vt:lpwstr>
      </vt:variant>
      <vt:variant>
        <vt:i4>1179700</vt:i4>
      </vt:variant>
      <vt:variant>
        <vt:i4>164</vt:i4>
      </vt:variant>
      <vt:variant>
        <vt:i4>0</vt:i4>
      </vt:variant>
      <vt:variant>
        <vt:i4>5</vt:i4>
      </vt:variant>
      <vt:variant>
        <vt:lpwstr/>
      </vt:variant>
      <vt:variant>
        <vt:lpwstr>_Toc212562236</vt:lpwstr>
      </vt:variant>
      <vt:variant>
        <vt:i4>1179700</vt:i4>
      </vt:variant>
      <vt:variant>
        <vt:i4>158</vt:i4>
      </vt:variant>
      <vt:variant>
        <vt:i4>0</vt:i4>
      </vt:variant>
      <vt:variant>
        <vt:i4>5</vt:i4>
      </vt:variant>
      <vt:variant>
        <vt:lpwstr/>
      </vt:variant>
      <vt:variant>
        <vt:lpwstr>_Toc212562235</vt:lpwstr>
      </vt:variant>
      <vt:variant>
        <vt:i4>1179700</vt:i4>
      </vt:variant>
      <vt:variant>
        <vt:i4>152</vt:i4>
      </vt:variant>
      <vt:variant>
        <vt:i4>0</vt:i4>
      </vt:variant>
      <vt:variant>
        <vt:i4>5</vt:i4>
      </vt:variant>
      <vt:variant>
        <vt:lpwstr/>
      </vt:variant>
      <vt:variant>
        <vt:lpwstr>_Toc212562234</vt:lpwstr>
      </vt:variant>
      <vt:variant>
        <vt:i4>1179700</vt:i4>
      </vt:variant>
      <vt:variant>
        <vt:i4>146</vt:i4>
      </vt:variant>
      <vt:variant>
        <vt:i4>0</vt:i4>
      </vt:variant>
      <vt:variant>
        <vt:i4>5</vt:i4>
      </vt:variant>
      <vt:variant>
        <vt:lpwstr/>
      </vt:variant>
      <vt:variant>
        <vt:lpwstr>_Toc212562233</vt:lpwstr>
      </vt:variant>
      <vt:variant>
        <vt:i4>1179700</vt:i4>
      </vt:variant>
      <vt:variant>
        <vt:i4>140</vt:i4>
      </vt:variant>
      <vt:variant>
        <vt:i4>0</vt:i4>
      </vt:variant>
      <vt:variant>
        <vt:i4>5</vt:i4>
      </vt:variant>
      <vt:variant>
        <vt:lpwstr/>
      </vt:variant>
      <vt:variant>
        <vt:lpwstr>_Toc212562232</vt:lpwstr>
      </vt:variant>
      <vt:variant>
        <vt:i4>1179700</vt:i4>
      </vt:variant>
      <vt:variant>
        <vt:i4>134</vt:i4>
      </vt:variant>
      <vt:variant>
        <vt:i4>0</vt:i4>
      </vt:variant>
      <vt:variant>
        <vt:i4>5</vt:i4>
      </vt:variant>
      <vt:variant>
        <vt:lpwstr/>
      </vt:variant>
      <vt:variant>
        <vt:lpwstr>_Toc212562231</vt:lpwstr>
      </vt:variant>
      <vt:variant>
        <vt:i4>1179700</vt:i4>
      </vt:variant>
      <vt:variant>
        <vt:i4>128</vt:i4>
      </vt:variant>
      <vt:variant>
        <vt:i4>0</vt:i4>
      </vt:variant>
      <vt:variant>
        <vt:i4>5</vt:i4>
      </vt:variant>
      <vt:variant>
        <vt:lpwstr/>
      </vt:variant>
      <vt:variant>
        <vt:lpwstr>_Toc212562230</vt:lpwstr>
      </vt:variant>
      <vt:variant>
        <vt:i4>1245236</vt:i4>
      </vt:variant>
      <vt:variant>
        <vt:i4>122</vt:i4>
      </vt:variant>
      <vt:variant>
        <vt:i4>0</vt:i4>
      </vt:variant>
      <vt:variant>
        <vt:i4>5</vt:i4>
      </vt:variant>
      <vt:variant>
        <vt:lpwstr/>
      </vt:variant>
      <vt:variant>
        <vt:lpwstr>_Toc212562229</vt:lpwstr>
      </vt:variant>
      <vt:variant>
        <vt:i4>1245236</vt:i4>
      </vt:variant>
      <vt:variant>
        <vt:i4>116</vt:i4>
      </vt:variant>
      <vt:variant>
        <vt:i4>0</vt:i4>
      </vt:variant>
      <vt:variant>
        <vt:i4>5</vt:i4>
      </vt:variant>
      <vt:variant>
        <vt:lpwstr/>
      </vt:variant>
      <vt:variant>
        <vt:lpwstr>_Toc212562228</vt:lpwstr>
      </vt:variant>
      <vt:variant>
        <vt:i4>1245236</vt:i4>
      </vt:variant>
      <vt:variant>
        <vt:i4>110</vt:i4>
      </vt:variant>
      <vt:variant>
        <vt:i4>0</vt:i4>
      </vt:variant>
      <vt:variant>
        <vt:i4>5</vt:i4>
      </vt:variant>
      <vt:variant>
        <vt:lpwstr/>
      </vt:variant>
      <vt:variant>
        <vt:lpwstr>_Toc212562227</vt:lpwstr>
      </vt:variant>
      <vt:variant>
        <vt:i4>1245236</vt:i4>
      </vt:variant>
      <vt:variant>
        <vt:i4>104</vt:i4>
      </vt:variant>
      <vt:variant>
        <vt:i4>0</vt:i4>
      </vt:variant>
      <vt:variant>
        <vt:i4>5</vt:i4>
      </vt:variant>
      <vt:variant>
        <vt:lpwstr/>
      </vt:variant>
      <vt:variant>
        <vt:lpwstr>_Toc212562226</vt:lpwstr>
      </vt:variant>
      <vt:variant>
        <vt:i4>1245236</vt:i4>
      </vt:variant>
      <vt:variant>
        <vt:i4>98</vt:i4>
      </vt:variant>
      <vt:variant>
        <vt:i4>0</vt:i4>
      </vt:variant>
      <vt:variant>
        <vt:i4>5</vt:i4>
      </vt:variant>
      <vt:variant>
        <vt:lpwstr/>
      </vt:variant>
      <vt:variant>
        <vt:lpwstr>_Toc212562225</vt:lpwstr>
      </vt:variant>
      <vt:variant>
        <vt:i4>1245236</vt:i4>
      </vt:variant>
      <vt:variant>
        <vt:i4>92</vt:i4>
      </vt:variant>
      <vt:variant>
        <vt:i4>0</vt:i4>
      </vt:variant>
      <vt:variant>
        <vt:i4>5</vt:i4>
      </vt:variant>
      <vt:variant>
        <vt:lpwstr/>
      </vt:variant>
      <vt:variant>
        <vt:lpwstr>_Toc212562224</vt:lpwstr>
      </vt:variant>
      <vt:variant>
        <vt:i4>1245236</vt:i4>
      </vt:variant>
      <vt:variant>
        <vt:i4>86</vt:i4>
      </vt:variant>
      <vt:variant>
        <vt:i4>0</vt:i4>
      </vt:variant>
      <vt:variant>
        <vt:i4>5</vt:i4>
      </vt:variant>
      <vt:variant>
        <vt:lpwstr/>
      </vt:variant>
      <vt:variant>
        <vt:lpwstr>_Toc212562223</vt:lpwstr>
      </vt:variant>
      <vt:variant>
        <vt:i4>1245236</vt:i4>
      </vt:variant>
      <vt:variant>
        <vt:i4>80</vt:i4>
      </vt:variant>
      <vt:variant>
        <vt:i4>0</vt:i4>
      </vt:variant>
      <vt:variant>
        <vt:i4>5</vt:i4>
      </vt:variant>
      <vt:variant>
        <vt:lpwstr/>
      </vt:variant>
      <vt:variant>
        <vt:lpwstr>_Toc212562222</vt:lpwstr>
      </vt:variant>
      <vt:variant>
        <vt:i4>1245236</vt:i4>
      </vt:variant>
      <vt:variant>
        <vt:i4>74</vt:i4>
      </vt:variant>
      <vt:variant>
        <vt:i4>0</vt:i4>
      </vt:variant>
      <vt:variant>
        <vt:i4>5</vt:i4>
      </vt:variant>
      <vt:variant>
        <vt:lpwstr/>
      </vt:variant>
      <vt:variant>
        <vt:lpwstr>_Toc212562221</vt:lpwstr>
      </vt:variant>
      <vt:variant>
        <vt:i4>1245236</vt:i4>
      </vt:variant>
      <vt:variant>
        <vt:i4>68</vt:i4>
      </vt:variant>
      <vt:variant>
        <vt:i4>0</vt:i4>
      </vt:variant>
      <vt:variant>
        <vt:i4>5</vt:i4>
      </vt:variant>
      <vt:variant>
        <vt:lpwstr/>
      </vt:variant>
      <vt:variant>
        <vt:lpwstr>_Toc212562220</vt:lpwstr>
      </vt:variant>
      <vt:variant>
        <vt:i4>1048628</vt:i4>
      </vt:variant>
      <vt:variant>
        <vt:i4>62</vt:i4>
      </vt:variant>
      <vt:variant>
        <vt:i4>0</vt:i4>
      </vt:variant>
      <vt:variant>
        <vt:i4>5</vt:i4>
      </vt:variant>
      <vt:variant>
        <vt:lpwstr/>
      </vt:variant>
      <vt:variant>
        <vt:lpwstr>_Toc212562219</vt:lpwstr>
      </vt:variant>
      <vt:variant>
        <vt:i4>1048628</vt:i4>
      </vt:variant>
      <vt:variant>
        <vt:i4>56</vt:i4>
      </vt:variant>
      <vt:variant>
        <vt:i4>0</vt:i4>
      </vt:variant>
      <vt:variant>
        <vt:i4>5</vt:i4>
      </vt:variant>
      <vt:variant>
        <vt:lpwstr/>
      </vt:variant>
      <vt:variant>
        <vt:lpwstr>_Toc212562218</vt:lpwstr>
      </vt:variant>
      <vt:variant>
        <vt:i4>1048628</vt:i4>
      </vt:variant>
      <vt:variant>
        <vt:i4>50</vt:i4>
      </vt:variant>
      <vt:variant>
        <vt:i4>0</vt:i4>
      </vt:variant>
      <vt:variant>
        <vt:i4>5</vt:i4>
      </vt:variant>
      <vt:variant>
        <vt:lpwstr/>
      </vt:variant>
      <vt:variant>
        <vt:lpwstr>_Toc212562217</vt:lpwstr>
      </vt:variant>
      <vt:variant>
        <vt:i4>1048628</vt:i4>
      </vt:variant>
      <vt:variant>
        <vt:i4>44</vt:i4>
      </vt:variant>
      <vt:variant>
        <vt:i4>0</vt:i4>
      </vt:variant>
      <vt:variant>
        <vt:i4>5</vt:i4>
      </vt:variant>
      <vt:variant>
        <vt:lpwstr/>
      </vt:variant>
      <vt:variant>
        <vt:lpwstr>_Toc212562216</vt:lpwstr>
      </vt:variant>
      <vt:variant>
        <vt:i4>1048628</vt:i4>
      </vt:variant>
      <vt:variant>
        <vt:i4>38</vt:i4>
      </vt:variant>
      <vt:variant>
        <vt:i4>0</vt:i4>
      </vt:variant>
      <vt:variant>
        <vt:i4>5</vt:i4>
      </vt:variant>
      <vt:variant>
        <vt:lpwstr/>
      </vt:variant>
      <vt:variant>
        <vt:lpwstr>_Toc212562215</vt:lpwstr>
      </vt:variant>
      <vt:variant>
        <vt:i4>1048628</vt:i4>
      </vt:variant>
      <vt:variant>
        <vt:i4>32</vt:i4>
      </vt:variant>
      <vt:variant>
        <vt:i4>0</vt:i4>
      </vt:variant>
      <vt:variant>
        <vt:i4>5</vt:i4>
      </vt:variant>
      <vt:variant>
        <vt:lpwstr/>
      </vt:variant>
      <vt:variant>
        <vt:lpwstr>_Toc212562214</vt:lpwstr>
      </vt:variant>
      <vt:variant>
        <vt:i4>1048628</vt:i4>
      </vt:variant>
      <vt:variant>
        <vt:i4>26</vt:i4>
      </vt:variant>
      <vt:variant>
        <vt:i4>0</vt:i4>
      </vt:variant>
      <vt:variant>
        <vt:i4>5</vt:i4>
      </vt:variant>
      <vt:variant>
        <vt:lpwstr/>
      </vt:variant>
      <vt:variant>
        <vt:lpwstr>_Toc212562213</vt:lpwstr>
      </vt:variant>
      <vt:variant>
        <vt:i4>1048628</vt:i4>
      </vt:variant>
      <vt:variant>
        <vt:i4>20</vt:i4>
      </vt:variant>
      <vt:variant>
        <vt:i4>0</vt:i4>
      </vt:variant>
      <vt:variant>
        <vt:i4>5</vt:i4>
      </vt:variant>
      <vt:variant>
        <vt:lpwstr/>
      </vt:variant>
      <vt:variant>
        <vt:lpwstr>_Toc212562212</vt:lpwstr>
      </vt:variant>
      <vt:variant>
        <vt:i4>1048628</vt:i4>
      </vt:variant>
      <vt:variant>
        <vt:i4>14</vt:i4>
      </vt:variant>
      <vt:variant>
        <vt:i4>0</vt:i4>
      </vt:variant>
      <vt:variant>
        <vt:i4>5</vt:i4>
      </vt:variant>
      <vt:variant>
        <vt:lpwstr/>
      </vt:variant>
      <vt:variant>
        <vt:lpwstr>_Toc212562211</vt:lpwstr>
      </vt:variant>
      <vt:variant>
        <vt:i4>1048628</vt:i4>
      </vt:variant>
      <vt:variant>
        <vt:i4>8</vt:i4>
      </vt:variant>
      <vt:variant>
        <vt:i4>0</vt:i4>
      </vt:variant>
      <vt:variant>
        <vt:i4>5</vt:i4>
      </vt:variant>
      <vt:variant>
        <vt:lpwstr/>
      </vt:variant>
      <vt:variant>
        <vt:lpwstr>_Toc212562210</vt:lpwstr>
      </vt:variant>
      <vt:variant>
        <vt:i4>1114164</vt:i4>
      </vt:variant>
      <vt:variant>
        <vt:i4>2</vt:i4>
      </vt:variant>
      <vt:variant>
        <vt:i4>0</vt:i4>
      </vt:variant>
      <vt:variant>
        <vt:i4>5</vt:i4>
      </vt:variant>
      <vt:variant>
        <vt:lpwstr/>
      </vt:variant>
      <vt:variant>
        <vt:lpwstr>_Toc212562209</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2025-12-26T09:20:51Z</dcterms:created>
  <dcterms:modified xsi:type="dcterms:W3CDTF">2025-12-26T09:20:51Z</dcterms:modified>
</cp:coreProperties>
</file>