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CE4" w:rsidR="00591828" w:rsidP="00591828" w:rsidRDefault="00591828" w14:paraId="0A2FEA51" w14:textId="77777777">
      <w:pPr>
        <w:pBdr>
          <w:bottom w:val="double" w:color="auto" w:sz="6" w:space="1"/>
        </w:pBdr>
        <w:tabs>
          <w:tab w:val="right" w:pos="11070"/>
        </w:tabs>
        <w:spacing w:line="276" w:lineRule="auto"/>
        <w:ind w:firstLine="0"/>
        <w:rPr>
          <w:rFonts w:eastAsia="Times New Roman" w:cs="Times New Roman"/>
          <w:i/>
          <w:szCs w:val="20"/>
        </w:rPr>
      </w:pPr>
      <w:r w:rsidRPr="00A65CE4">
        <w:rPr>
          <w:rFonts w:eastAsia="Times New Roman" w:cs="Times New Roman"/>
          <w:sz w:val="16"/>
          <w:szCs w:val="20"/>
        </w:rPr>
        <w:t xml:space="preserve">STATE OF CALIFORNIA                                                                  </w:t>
      </w:r>
      <w:r>
        <w:rPr>
          <w:sz w:val="16"/>
        </w:rPr>
        <w:t xml:space="preserve">          </w:t>
      </w:r>
      <w:r w:rsidRPr="00A65CE4">
        <w:rPr>
          <w:rFonts w:eastAsia="Times New Roman" w:cs="Times New Roman"/>
          <w:sz w:val="16"/>
          <w:szCs w:val="20"/>
        </w:rPr>
        <w:t xml:space="preserve"> GAVIN NEWSOM,</w:t>
      </w:r>
      <w:r w:rsidRPr="00A65CE4">
        <w:rPr>
          <w:rFonts w:eastAsia="Times New Roman" w:cs="Times New Roman"/>
          <w:szCs w:val="20"/>
        </w:rPr>
        <w:t xml:space="preserve"> </w:t>
      </w:r>
      <w:r w:rsidRPr="00A65CE4">
        <w:rPr>
          <w:rFonts w:eastAsia="Times New Roman" w:cs="Times New Roman"/>
          <w:i/>
          <w:sz w:val="16"/>
          <w:szCs w:val="20"/>
        </w:rPr>
        <w:t>Governor</w:t>
      </w:r>
    </w:p>
    <w:p w:rsidRPr="00A65CE4" w:rsidR="00591828" w:rsidP="00591828" w:rsidRDefault="00591828" w14:paraId="6B3CCBAD" w14:textId="77777777">
      <w:pPr>
        <w:tabs>
          <w:tab w:val="right" w:pos="11070"/>
        </w:tabs>
        <w:spacing w:line="276" w:lineRule="auto"/>
        <w:ind w:firstLine="0"/>
        <w:rPr>
          <w:rFonts w:eastAsia="Times New Roman" w:cs="Times New Roman"/>
          <w:szCs w:val="20"/>
        </w:rPr>
      </w:pPr>
      <w:r w:rsidRPr="00A65CE4">
        <w:rPr>
          <w:rFonts w:eastAsia="Times New Roman" w:cs="Times New Roman"/>
          <w:szCs w:val="20"/>
        </w:rPr>
        <w:t>PUBLIC UTILITIES COMMISSION</w:t>
      </w:r>
    </w:p>
    <w:p w:rsidRPr="00A65CE4" w:rsidR="00591828" w:rsidP="00591828" w:rsidRDefault="00591828" w14:paraId="165E8E6B" w14:textId="77777777">
      <w:pPr>
        <w:tabs>
          <w:tab w:val="right" w:pos="11070"/>
        </w:tabs>
        <w:spacing w:line="240" w:lineRule="auto"/>
        <w:ind w:firstLine="0"/>
        <w:rPr>
          <w:rFonts w:eastAsia="Times New Roman" w:cs="Times New Roman"/>
          <w:sz w:val="12"/>
          <w:szCs w:val="20"/>
        </w:rPr>
      </w:pPr>
      <w:r w:rsidRPr="00A65CE4">
        <w:rPr>
          <w:rFonts w:eastAsia="Times New Roman" w:cs="Times New Roman"/>
          <w:sz w:val="12"/>
          <w:szCs w:val="20"/>
        </w:rPr>
        <w:t>505 VAN NESS AVENUE</w:t>
      </w:r>
    </w:p>
    <w:p w:rsidR="00591828" w:rsidP="00591828" w:rsidRDefault="00591828" w14:paraId="448A6395" w14:textId="77777777">
      <w:pPr>
        <w:tabs>
          <w:tab w:val="right" w:pos="11070"/>
        </w:tabs>
        <w:spacing w:line="276" w:lineRule="auto"/>
        <w:ind w:firstLine="0"/>
        <w:rPr>
          <w:rFonts w:eastAsia="Times New Roman" w:cs="Times New Roman"/>
          <w:sz w:val="12"/>
          <w:szCs w:val="20"/>
        </w:rPr>
      </w:pPr>
      <w:r w:rsidRPr="00A65CE4">
        <w:rPr>
          <w:rFonts w:eastAsia="Times New Roman" w:cs="Times New Roman"/>
          <w:sz w:val="12"/>
          <w:szCs w:val="20"/>
        </w:rPr>
        <w:t>SAN FRANCISCO, CA 94102-3298</w:t>
      </w:r>
    </w:p>
    <w:p w:rsidR="00591828" w:rsidP="00591828" w:rsidRDefault="00591828" w14:paraId="0C1B1443" w14:textId="77777777">
      <w:pPr>
        <w:spacing w:line="240" w:lineRule="auto"/>
        <w:ind w:firstLine="0"/>
        <w:rPr>
          <w:rFonts w:eastAsia="Times New Roman" w:cs="Times New Roman"/>
          <w:sz w:val="20"/>
          <w:szCs w:val="20"/>
        </w:rPr>
      </w:pPr>
    </w:p>
    <w:p w:rsidRPr="00DA38FF" w:rsidR="004C3EF3" w:rsidP="00591828" w:rsidRDefault="004C3EF3" w14:paraId="68A885D1" w14:textId="77777777">
      <w:pPr>
        <w:spacing w:line="240" w:lineRule="auto"/>
        <w:ind w:firstLine="0"/>
        <w:rPr>
          <w:rFonts w:eastAsia="Times New Roman" w:cs="Times New Roman"/>
          <w:sz w:val="20"/>
          <w:szCs w:val="20"/>
        </w:rPr>
      </w:pPr>
    </w:p>
    <w:p w:rsidRPr="00BB1F96" w:rsidR="00591828" w:rsidP="00591828" w:rsidRDefault="004C3EF3" w14:paraId="05E50C9C" w14:textId="63399165">
      <w:pPr>
        <w:spacing w:line="240" w:lineRule="auto"/>
        <w:ind w:firstLine="0"/>
        <w:rPr>
          <w:rFonts w:eastAsia="Times New Roman" w:cs="Times New Roman"/>
          <w:sz w:val="24"/>
          <w:szCs w:val="24"/>
        </w:rPr>
      </w:pPr>
      <w:r>
        <w:rPr>
          <w:rFonts w:eastAsia="Times New Roman" w:cs="Times New Roman"/>
          <w:sz w:val="24"/>
          <w:szCs w:val="24"/>
        </w:rPr>
        <w:t xml:space="preserve">December </w:t>
      </w:r>
      <w:r w:rsidR="00D73734">
        <w:rPr>
          <w:rFonts w:eastAsia="Times New Roman" w:cs="Times New Roman"/>
          <w:sz w:val="24"/>
          <w:szCs w:val="24"/>
        </w:rPr>
        <w:t>29</w:t>
      </w:r>
      <w:r>
        <w:rPr>
          <w:rFonts w:eastAsia="Times New Roman" w:cs="Times New Roman"/>
          <w:sz w:val="24"/>
          <w:szCs w:val="24"/>
        </w:rPr>
        <w:t>, 2025</w:t>
      </w:r>
    </w:p>
    <w:p w:rsidR="00591828" w:rsidP="00591828" w:rsidRDefault="00591828" w14:paraId="3F216DFA" w14:textId="77777777">
      <w:pPr>
        <w:spacing w:line="240" w:lineRule="auto"/>
        <w:ind w:firstLine="0"/>
        <w:rPr>
          <w:rFonts w:eastAsia="Times New Roman" w:cs="Times New Roman"/>
          <w:sz w:val="20"/>
          <w:szCs w:val="20"/>
        </w:rPr>
      </w:pPr>
    </w:p>
    <w:p w:rsidRPr="00DA38FF" w:rsidR="00D81594" w:rsidP="00591828" w:rsidRDefault="00D81594" w14:paraId="05882590" w14:textId="77777777">
      <w:pPr>
        <w:spacing w:line="240" w:lineRule="auto"/>
        <w:ind w:firstLine="0"/>
        <w:rPr>
          <w:rFonts w:eastAsia="Times New Roman" w:cs="Times New Roman"/>
          <w:sz w:val="20"/>
          <w:szCs w:val="20"/>
        </w:rPr>
      </w:pPr>
    </w:p>
    <w:p w:rsidRPr="00A125B5" w:rsidR="004C3EF3" w:rsidP="004C3EF3" w:rsidRDefault="004C3EF3" w14:paraId="181990B6" w14:textId="623CC277">
      <w:pPr>
        <w:spacing w:line="240" w:lineRule="auto"/>
        <w:ind w:firstLine="0"/>
        <w:rPr>
          <w:rFonts w:eastAsia="Times New Roman" w:cs="Times New Roman"/>
          <w:sz w:val="14"/>
          <w:szCs w:val="14"/>
        </w:rPr>
      </w:pPr>
      <w:r w:rsidRPr="00A125B5">
        <w:rPr>
          <w:rFonts w:eastAsia="Times New Roman" w:cs="Times New Roman"/>
          <w:szCs w:val="26"/>
        </w:rPr>
        <w:t>TO PARTIES OF RECORD IN CASE</w:t>
      </w:r>
      <w:r>
        <w:rPr>
          <w:rFonts w:eastAsia="Times New Roman" w:cs="Times New Roman"/>
          <w:szCs w:val="26"/>
        </w:rPr>
        <w:t> 25-0</w:t>
      </w:r>
      <w:r w:rsidR="00E001A5">
        <w:rPr>
          <w:rFonts w:eastAsia="Times New Roman" w:cs="Times New Roman"/>
          <w:szCs w:val="26"/>
        </w:rPr>
        <w:t>5</w:t>
      </w:r>
      <w:r>
        <w:rPr>
          <w:rFonts w:eastAsia="Times New Roman" w:cs="Times New Roman"/>
          <w:szCs w:val="26"/>
        </w:rPr>
        <w:t>-01</w:t>
      </w:r>
      <w:r w:rsidR="00E001A5">
        <w:rPr>
          <w:rFonts w:eastAsia="Times New Roman" w:cs="Times New Roman"/>
          <w:szCs w:val="26"/>
        </w:rPr>
        <w:t>5</w:t>
      </w:r>
      <w:r w:rsidRPr="00A125B5">
        <w:rPr>
          <w:rFonts w:eastAsia="Times New Roman" w:cs="Times New Roman"/>
          <w:szCs w:val="26"/>
        </w:rPr>
        <w:t>; DECISION</w:t>
      </w:r>
      <w:r>
        <w:rPr>
          <w:rFonts w:eastAsia="Times New Roman" w:cs="Times New Roman"/>
          <w:szCs w:val="26"/>
        </w:rPr>
        <w:t> 25-12-</w:t>
      </w:r>
      <w:r w:rsidR="007847B5">
        <w:rPr>
          <w:rFonts w:eastAsia="Times New Roman" w:cs="Times New Roman"/>
          <w:szCs w:val="26"/>
        </w:rPr>
        <w:t>047</w:t>
      </w:r>
      <w:r w:rsidRPr="008F1CD6">
        <w:rPr>
          <w:rFonts w:eastAsia="Times New Roman" w:cs="Times New Roman"/>
          <w:szCs w:val="26"/>
        </w:rPr>
        <w:t>:</w:t>
      </w:r>
    </w:p>
    <w:p w:rsidRPr="00A125B5" w:rsidR="004C3EF3" w:rsidP="004C3EF3" w:rsidRDefault="004C3EF3" w14:paraId="27D151FD" w14:textId="77777777">
      <w:pPr>
        <w:spacing w:line="240" w:lineRule="auto"/>
        <w:ind w:firstLine="0"/>
        <w:rPr>
          <w:rFonts w:eastAsia="Times New Roman" w:cs="Times New Roman"/>
          <w:szCs w:val="26"/>
        </w:rPr>
      </w:pPr>
    </w:p>
    <w:p w:rsidRPr="00A125B5" w:rsidR="004C3EF3" w:rsidP="004C3EF3" w:rsidRDefault="004C3EF3" w14:paraId="24430F68" w14:textId="2DCEC494">
      <w:pPr>
        <w:spacing w:line="240" w:lineRule="auto"/>
        <w:ind w:firstLine="0"/>
        <w:rPr>
          <w:rFonts w:eastAsia="Times New Roman" w:cs="Times New Roman"/>
          <w:szCs w:val="26"/>
        </w:rPr>
      </w:pPr>
      <w:r w:rsidRPr="00A125B5">
        <w:rPr>
          <w:rFonts w:eastAsia="Times New Roman" w:cs="Times New Roman"/>
          <w:szCs w:val="26"/>
        </w:rPr>
        <w:t xml:space="preserve">On </w:t>
      </w:r>
      <w:r>
        <w:rPr>
          <w:rFonts w:eastAsia="Times New Roman" w:cs="Times New Roman"/>
          <w:szCs w:val="26"/>
        </w:rPr>
        <w:t>November 21, 2025</w:t>
      </w:r>
      <w:r w:rsidRPr="00A125B5">
        <w:rPr>
          <w:rFonts w:eastAsia="Times New Roman" w:cs="Times New Roman"/>
          <w:szCs w:val="26"/>
        </w:rPr>
        <w:t>, a Presiding Officer’s Decision in this proceeding was</w:t>
      </w:r>
      <w:r>
        <w:rPr>
          <w:rFonts w:eastAsia="Times New Roman" w:cs="Times New Roman"/>
          <w:szCs w:val="26"/>
        </w:rPr>
        <w:t xml:space="preserve"> </w:t>
      </w:r>
      <w:r w:rsidRPr="00A125B5">
        <w:rPr>
          <w:rFonts w:eastAsia="Times New Roman" w:cs="Times New Roman"/>
          <w:szCs w:val="26"/>
        </w:rPr>
        <w:t>mailed to all parties.  Public Utilities Code Section 1701.2 and Rule 15.5(a) of</w:t>
      </w:r>
      <w:r>
        <w:rPr>
          <w:rFonts w:eastAsia="Times New Roman" w:cs="Times New Roman"/>
          <w:szCs w:val="26"/>
        </w:rPr>
        <w:t xml:space="preserve"> </w:t>
      </w:r>
      <w:r w:rsidRPr="00A125B5">
        <w:rPr>
          <w:rFonts w:eastAsia="Times New Roman" w:cs="Times New Roman"/>
          <w:szCs w:val="26"/>
        </w:rPr>
        <w:t>the</w:t>
      </w:r>
      <w:r>
        <w:rPr>
          <w:rFonts w:eastAsia="Times New Roman" w:cs="Times New Roman"/>
          <w:szCs w:val="26"/>
        </w:rPr>
        <w:t xml:space="preserve"> </w:t>
      </w:r>
      <w:r w:rsidRPr="00A125B5">
        <w:rPr>
          <w:rFonts w:eastAsia="Times New Roman" w:cs="Times New Roman"/>
          <w:szCs w:val="26"/>
        </w:rPr>
        <w:t xml:space="preserve">Commission’s Rules of Practice and Procedure provide that the Presiding Officer’s Decision becomes the decision of the Commission </w:t>
      </w:r>
      <w:r w:rsidRPr="00A125B5">
        <w:rPr>
          <w:rFonts w:eastAsia="Times New Roman" w:cs="Courier New"/>
          <w:szCs w:val="26"/>
        </w:rPr>
        <w:t>if no appeal or request for review has been filed within 30 days of the mailing of the Presiding Officer’s Decision.</w:t>
      </w:r>
    </w:p>
    <w:p w:rsidRPr="00A125B5" w:rsidR="004C3EF3" w:rsidP="004C3EF3" w:rsidRDefault="004C3EF3" w14:paraId="3BB2E0F9" w14:textId="77777777">
      <w:pPr>
        <w:spacing w:line="240" w:lineRule="auto"/>
        <w:ind w:firstLine="0"/>
        <w:rPr>
          <w:rFonts w:eastAsia="Times New Roman" w:cs="Times New Roman"/>
          <w:szCs w:val="26"/>
        </w:rPr>
      </w:pPr>
    </w:p>
    <w:p w:rsidRPr="00A125B5" w:rsidR="004C3EF3" w:rsidP="004C3EF3" w:rsidRDefault="004C3EF3" w14:paraId="586D8247" w14:textId="77777777">
      <w:pPr>
        <w:spacing w:line="240" w:lineRule="auto"/>
        <w:ind w:firstLine="0"/>
        <w:rPr>
          <w:rFonts w:eastAsia="Times New Roman" w:cs="Times New Roman"/>
          <w:szCs w:val="26"/>
        </w:rPr>
      </w:pPr>
      <w:r w:rsidRPr="00A125B5">
        <w:rPr>
          <w:rFonts w:eastAsia="Times New Roman" w:cs="Times New Roman"/>
          <w:szCs w:val="26"/>
        </w:rPr>
        <w:t>No timely appeals to the Commission or requests for review have been filed.  Therefore, the Presiding Officer’s Decision is now the decision of the Commission.</w:t>
      </w:r>
    </w:p>
    <w:p w:rsidRPr="00A125B5" w:rsidR="004C3EF3" w:rsidP="004C3EF3" w:rsidRDefault="004C3EF3" w14:paraId="7C2BC51E" w14:textId="77777777">
      <w:pPr>
        <w:spacing w:line="240" w:lineRule="auto"/>
        <w:ind w:firstLine="0"/>
        <w:rPr>
          <w:rFonts w:eastAsia="Times New Roman" w:cs="Times New Roman"/>
          <w:szCs w:val="26"/>
        </w:rPr>
      </w:pPr>
    </w:p>
    <w:p w:rsidRPr="00A125B5" w:rsidR="004C3EF3" w:rsidP="004C3EF3" w:rsidRDefault="004C3EF3" w14:paraId="3635FC3F" w14:textId="77777777">
      <w:pPr>
        <w:spacing w:line="240" w:lineRule="auto"/>
        <w:ind w:firstLine="0"/>
        <w:rPr>
          <w:rFonts w:eastAsia="Times New Roman" w:cs="Times New Roman"/>
          <w:szCs w:val="26"/>
        </w:rPr>
      </w:pPr>
      <w:r w:rsidRPr="00A125B5">
        <w:rPr>
          <w:rFonts w:eastAsia="Times New Roman" w:cs="Times New Roman"/>
          <w:szCs w:val="26"/>
        </w:rPr>
        <w:t>The decision number is shown above.</w:t>
      </w:r>
    </w:p>
    <w:p w:rsidR="004C3EF3" w:rsidP="004C3EF3" w:rsidRDefault="004C3EF3" w14:paraId="501AC98A" w14:textId="77777777">
      <w:pPr>
        <w:spacing w:line="240" w:lineRule="auto"/>
        <w:ind w:firstLine="0"/>
        <w:rPr>
          <w:rFonts w:eastAsia="Times New Roman" w:cs="Times New Roman"/>
          <w:szCs w:val="26"/>
        </w:rPr>
      </w:pPr>
    </w:p>
    <w:p w:rsidR="00D81594" w:rsidP="004C3EF3" w:rsidRDefault="00D81594" w14:paraId="02453BBC" w14:textId="77777777">
      <w:pPr>
        <w:spacing w:line="240" w:lineRule="auto"/>
        <w:ind w:firstLine="0"/>
        <w:rPr>
          <w:rFonts w:eastAsia="Times New Roman" w:cs="Times New Roman"/>
          <w:szCs w:val="26"/>
        </w:rPr>
      </w:pPr>
    </w:p>
    <w:p w:rsidRPr="00A125B5" w:rsidR="00D81594" w:rsidP="004C3EF3" w:rsidRDefault="00D81594" w14:paraId="713EF3AD" w14:textId="77777777">
      <w:pPr>
        <w:spacing w:line="240" w:lineRule="auto"/>
        <w:ind w:firstLine="0"/>
        <w:rPr>
          <w:rFonts w:eastAsia="Times New Roman" w:cs="Times New Roman"/>
          <w:szCs w:val="26"/>
        </w:rPr>
      </w:pPr>
    </w:p>
    <w:p w:rsidRPr="00BB1F96" w:rsidR="004C3EF3" w:rsidP="004C3EF3" w:rsidRDefault="00D73734" w14:paraId="2EB28601" w14:textId="23153702">
      <w:pPr>
        <w:spacing w:after="40" w:line="240" w:lineRule="auto"/>
        <w:ind w:firstLine="0"/>
        <w:rPr>
          <w:rFonts w:eastAsia="Times New Roman" w:cs="Times New Roman"/>
          <w:sz w:val="24"/>
          <w:szCs w:val="24"/>
        </w:rPr>
      </w:pPr>
      <w:r>
        <w:rPr>
          <w:rFonts w:eastAsia="Times New Roman" w:cs="Times New Roman"/>
          <w:sz w:val="24"/>
          <w:szCs w:val="24"/>
        </w:rPr>
        <w:t>/s/ BRIAN STEVENS for</w:t>
      </w:r>
    </w:p>
    <w:tbl>
      <w:tblPr>
        <w:tblW w:w="0" w:type="auto"/>
        <w:tblLook w:val="04A0" w:firstRow="1" w:lastRow="0" w:firstColumn="1" w:lastColumn="0" w:noHBand="0" w:noVBand="1"/>
      </w:tblPr>
      <w:tblGrid>
        <w:gridCol w:w="4500"/>
      </w:tblGrid>
      <w:tr w:rsidRPr="00602FC6" w:rsidR="004C3EF3" w:rsidTr="004D3AF7" w14:paraId="4D4B998C" w14:textId="77777777">
        <w:tc>
          <w:tcPr>
            <w:tcW w:w="4500" w:type="dxa"/>
            <w:tcBorders>
              <w:top w:val="single" w:color="auto" w:sz="4" w:space="0"/>
            </w:tcBorders>
          </w:tcPr>
          <w:p w:rsidRPr="00602FC6" w:rsidR="004C3EF3" w:rsidP="004D3AF7" w:rsidRDefault="004C3EF3" w14:paraId="11CBAA29" w14:textId="77777777">
            <w:pPr>
              <w:spacing w:line="240" w:lineRule="auto"/>
              <w:ind w:firstLine="0"/>
              <w:rPr>
                <w:rFonts w:eastAsia="Times New Roman" w:cs="Times New Roman"/>
                <w:sz w:val="24"/>
                <w:szCs w:val="24"/>
              </w:rPr>
            </w:pPr>
            <w:r w:rsidRPr="00602FC6">
              <w:rPr>
                <w:rFonts w:eastAsia="Times New Roman" w:cs="Times New Roman"/>
                <w:sz w:val="24"/>
                <w:szCs w:val="24"/>
              </w:rPr>
              <w:t>Michelle Cooke</w:t>
            </w:r>
          </w:p>
        </w:tc>
      </w:tr>
      <w:tr w:rsidRPr="00602FC6" w:rsidR="004C3EF3" w:rsidTr="004D3AF7" w14:paraId="220357AB" w14:textId="77777777">
        <w:tc>
          <w:tcPr>
            <w:tcW w:w="4500" w:type="dxa"/>
          </w:tcPr>
          <w:p w:rsidRPr="00602FC6" w:rsidR="004C3EF3" w:rsidP="004D3AF7" w:rsidRDefault="004C3EF3" w14:paraId="684E619B" w14:textId="77777777">
            <w:pPr>
              <w:spacing w:line="240" w:lineRule="auto"/>
              <w:ind w:firstLine="0"/>
              <w:rPr>
                <w:rFonts w:eastAsia="Times New Roman" w:cs="Times New Roman"/>
                <w:sz w:val="24"/>
                <w:szCs w:val="24"/>
                <w:u w:val="single"/>
              </w:rPr>
            </w:pPr>
            <w:r w:rsidRPr="00602FC6">
              <w:rPr>
                <w:rFonts w:eastAsia="Times New Roman" w:cs="Times New Roman"/>
                <w:sz w:val="24"/>
                <w:szCs w:val="24"/>
              </w:rPr>
              <w:t>Chief Administrative Law Judge</w:t>
            </w:r>
          </w:p>
        </w:tc>
      </w:tr>
    </w:tbl>
    <w:p w:rsidRPr="00BB1F96" w:rsidR="004C3EF3" w:rsidP="004C3EF3" w:rsidRDefault="004C3EF3" w14:paraId="75470539" w14:textId="77777777">
      <w:pPr>
        <w:spacing w:line="240" w:lineRule="auto"/>
        <w:ind w:firstLine="0"/>
        <w:rPr>
          <w:rFonts w:eastAsia="Times New Roman" w:cs="Times New Roman"/>
          <w:sz w:val="24"/>
          <w:szCs w:val="24"/>
        </w:rPr>
      </w:pPr>
    </w:p>
    <w:p w:rsidR="00591828" w:rsidP="004C3EF3" w:rsidRDefault="004C3EF3" w14:paraId="4C40CAB6" w14:textId="40A04E33">
      <w:pPr>
        <w:spacing w:line="240" w:lineRule="auto"/>
        <w:ind w:firstLine="0"/>
        <w:rPr>
          <w:rFonts w:eastAsia="Times New Roman" w:cs="Times New Roman"/>
          <w:sz w:val="24"/>
          <w:szCs w:val="24"/>
        </w:rPr>
      </w:pPr>
      <w:proofErr w:type="gramStart"/>
      <w:r>
        <w:rPr>
          <w:rFonts w:eastAsia="Times New Roman" w:cs="Times New Roman"/>
          <w:sz w:val="24"/>
          <w:szCs w:val="24"/>
        </w:rPr>
        <w:t>MLC</w:t>
      </w:r>
      <w:r w:rsidRPr="00BB1F96">
        <w:rPr>
          <w:rFonts w:eastAsia="Times New Roman" w:cs="Times New Roman"/>
          <w:sz w:val="24"/>
          <w:szCs w:val="24"/>
        </w:rPr>
        <w:t>:</w:t>
      </w:r>
      <w:r>
        <w:rPr>
          <w:rFonts w:eastAsia="Times New Roman" w:cs="Times New Roman"/>
          <w:sz w:val="24"/>
          <w:szCs w:val="24"/>
        </w:rPr>
        <w:t>avs</w:t>
      </w:r>
      <w:proofErr w:type="gramEnd"/>
    </w:p>
    <w:p w:rsidR="00591828" w:rsidP="00591828" w:rsidRDefault="00591828" w14:paraId="61D5B5C0" w14:textId="6E0DD990">
      <w:pPr>
        <w:tabs>
          <w:tab w:val="center" w:pos="4680"/>
          <w:tab w:val="right" w:pos="9360"/>
        </w:tabs>
        <w:spacing w:line="240" w:lineRule="auto"/>
        <w:ind w:firstLine="0"/>
        <w:sectPr w:rsidR="00591828" w:rsidSect="00D44DB6">
          <w:pgSz w:w="12240" w:h="15840"/>
          <w:pgMar w:top="1728" w:right="1440" w:bottom="1440" w:left="1440" w:header="720" w:footer="720" w:gutter="0"/>
          <w:pgNumType w:start="1"/>
          <w:cols w:space="720"/>
          <w:docGrid w:linePitch="360"/>
        </w:sectPr>
      </w:pPr>
      <w:r>
        <w:t>Attachmen</w:t>
      </w:r>
      <w:r w:rsidR="00557C53">
        <w:t>t</w:t>
      </w:r>
    </w:p>
    <w:p w:rsidRPr="00D81594" w:rsidR="00591828" w:rsidP="00591828" w:rsidRDefault="00591828" w14:paraId="44F4C045" w14:textId="07D21B9A">
      <w:pPr>
        <w:tabs>
          <w:tab w:val="center" w:pos="4680"/>
          <w:tab w:val="right" w:pos="9360"/>
        </w:tabs>
        <w:spacing w:line="240" w:lineRule="auto"/>
        <w:ind w:firstLine="0"/>
        <w:rPr>
          <w:b/>
          <w:bCs/>
        </w:rPr>
      </w:pPr>
      <w:r>
        <w:lastRenderedPageBreak/>
        <w:t>ALJ/POD-JO2/avs</w:t>
      </w:r>
      <w:r w:rsidR="00D6020A">
        <w:tab/>
      </w:r>
      <w:r w:rsidR="00D6020A">
        <w:tab/>
      </w:r>
      <w:r w:rsidR="00D81594">
        <w:rPr>
          <w:b/>
          <w:bCs/>
        </w:rPr>
        <w:t xml:space="preserve">Date of </w:t>
      </w:r>
      <w:proofErr w:type="gramStart"/>
      <w:r w:rsidR="00D81594">
        <w:rPr>
          <w:b/>
          <w:bCs/>
        </w:rPr>
        <w:t>Issuance  12</w:t>
      </w:r>
      <w:proofErr w:type="gramEnd"/>
      <w:r w:rsidR="00D81594">
        <w:rPr>
          <w:b/>
          <w:bCs/>
        </w:rPr>
        <w:t>/</w:t>
      </w:r>
      <w:r w:rsidR="00D11A85">
        <w:rPr>
          <w:b/>
          <w:bCs/>
        </w:rPr>
        <w:t>29</w:t>
      </w:r>
      <w:r w:rsidR="00D81594">
        <w:rPr>
          <w:b/>
          <w:bCs/>
        </w:rPr>
        <w:t>/2025</w:t>
      </w:r>
    </w:p>
    <w:p w:rsidR="00591828" w:rsidP="00591828" w:rsidRDefault="00591828" w14:paraId="7C80DDF2" w14:textId="77777777">
      <w:pPr>
        <w:ind w:firstLine="0"/>
      </w:pPr>
    </w:p>
    <w:p w:rsidR="00591828" w:rsidP="00591828" w:rsidRDefault="00591828" w14:paraId="76CF86AB" w14:textId="7892DA40">
      <w:pPr>
        <w:spacing w:line="240" w:lineRule="auto"/>
        <w:ind w:left="1080" w:hanging="1080"/>
      </w:pPr>
      <w:r>
        <w:t xml:space="preserve">Decision </w:t>
      </w:r>
      <w:r w:rsidR="006E381E">
        <w:t>12-25-</w:t>
      </w:r>
      <w:proofErr w:type="gramStart"/>
      <w:r w:rsidR="007847B5">
        <w:t>047  December</w:t>
      </w:r>
      <w:proofErr w:type="gramEnd"/>
      <w:r w:rsidR="007847B5">
        <w:t xml:space="preserve"> 29, 2025</w:t>
      </w:r>
    </w:p>
    <w:p w:rsidRPr="00EE3060" w:rsidR="006E381E" w:rsidP="00591828" w:rsidRDefault="006E381E" w14:paraId="78B13B99" w14:textId="77777777">
      <w:pPr>
        <w:spacing w:line="240" w:lineRule="auto"/>
        <w:ind w:left="1080" w:hanging="1080"/>
      </w:pPr>
    </w:p>
    <w:p w:rsidR="00B71D85" w:rsidP="00B71D85" w:rsidRDefault="00B71D85" w14:paraId="0FBB5360" w14:textId="77777777">
      <w:pPr>
        <w:spacing w:line="240" w:lineRule="auto"/>
        <w:jc w:val="center"/>
        <w:rPr>
          <w:u w:val="single"/>
        </w:rPr>
      </w:pPr>
    </w:p>
    <w:p w:rsidR="00B71D85" w:rsidP="00B71D85" w:rsidRDefault="00B71D85" w14:paraId="207A4B11" w14:textId="77777777">
      <w:pPr>
        <w:spacing w:line="240" w:lineRule="auto"/>
        <w:ind w:firstLine="0"/>
        <w:jc w:val="center"/>
        <w:rPr>
          <w:rFonts w:ascii="Arial" w:hAnsi="Arial" w:cs="Arial"/>
          <w:sz w:val="24"/>
          <w:szCs w:val="24"/>
        </w:rPr>
      </w:pPr>
      <w:bookmarkStart w:name="_Hlk214007938" w:id="0"/>
      <w:r w:rsidRPr="00DA7B5D">
        <w:rPr>
          <w:rFonts w:ascii="Arial" w:hAnsi="Arial" w:cs="Arial"/>
          <w:b/>
          <w:sz w:val="24"/>
          <w:szCs w:val="24"/>
        </w:rPr>
        <w:t>BEFORE THE PUBLIC UTILITIES COMMISSION OF THE STATE OF CALIFORNIA</w:t>
      </w:r>
    </w:p>
    <w:p w:rsidR="00B71D85" w:rsidP="00B71D85" w:rsidRDefault="00B71D85" w14:paraId="0E9E7FB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410"/>
        <w:gridCol w:w="4950"/>
      </w:tblGrid>
      <w:tr w:rsidR="00B71D85" w:rsidTr="00187721" w14:paraId="7F66E8EB" w14:textId="77777777">
        <w:trPr>
          <w:jc w:val="center"/>
        </w:trPr>
        <w:tc>
          <w:tcPr>
            <w:tcW w:w="4410" w:type="dxa"/>
            <w:tcBorders>
              <w:top w:val="nil"/>
              <w:left w:val="nil"/>
              <w:bottom w:val="single" w:color="auto" w:sz="4" w:space="0"/>
              <w:right w:val="single" w:color="auto" w:sz="4" w:space="0"/>
            </w:tcBorders>
          </w:tcPr>
          <w:p w:rsidR="002F658C" w:rsidP="002F658C" w:rsidRDefault="002F658C" w14:paraId="40097BA8" w14:textId="77777777">
            <w:pPr>
              <w:spacing w:line="240" w:lineRule="auto"/>
              <w:ind w:firstLine="0"/>
              <w:rPr>
                <w:szCs w:val="26"/>
              </w:rPr>
            </w:pPr>
          </w:p>
          <w:p w:rsidR="002F658C" w:rsidP="002F658C" w:rsidRDefault="002F658C" w14:paraId="37778F99" w14:textId="44E92A53">
            <w:pPr>
              <w:spacing w:line="240" w:lineRule="auto"/>
              <w:ind w:firstLine="0"/>
              <w:rPr>
                <w:szCs w:val="26"/>
              </w:rPr>
            </w:pPr>
            <w:r w:rsidRPr="00B33345">
              <w:rPr>
                <w:szCs w:val="26"/>
              </w:rPr>
              <w:t xml:space="preserve">Chloe Yen, </w:t>
            </w:r>
          </w:p>
          <w:p w:rsidR="002F658C" w:rsidP="002F658C" w:rsidRDefault="002F658C" w14:paraId="472A2926" w14:textId="77777777">
            <w:pPr>
              <w:spacing w:line="240" w:lineRule="auto"/>
              <w:ind w:firstLine="0"/>
              <w:jc w:val="right"/>
              <w:rPr>
                <w:szCs w:val="26"/>
              </w:rPr>
            </w:pPr>
            <w:r w:rsidRPr="00B33345">
              <w:rPr>
                <w:szCs w:val="26"/>
              </w:rPr>
              <w:t>Complainant</w:t>
            </w:r>
            <w:r>
              <w:rPr>
                <w:szCs w:val="26"/>
              </w:rPr>
              <w:t>,</w:t>
            </w:r>
          </w:p>
          <w:p w:rsidR="00187721" w:rsidP="002F658C" w:rsidRDefault="00187721" w14:paraId="27CE170A" w14:textId="77777777">
            <w:pPr>
              <w:spacing w:line="240" w:lineRule="auto"/>
              <w:ind w:firstLine="0"/>
              <w:jc w:val="right"/>
              <w:rPr>
                <w:szCs w:val="26"/>
              </w:rPr>
            </w:pPr>
          </w:p>
          <w:p w:rsidR="002F658C" w:rsidP="002F658C" w:rsidRDefault="002F658C" w14:paraId="4B8F684C" w14:textId="77777777">
            <w:pPr>
              <w:spacing w:line="240" w:lineRule="auto"/>
              <w:ind w:firstLine="0"/>
              <w:jc w:val="center"/>
              <w:rPr>
                <w:szCs w:val="26"/>
              </w:rPr>
            </w:pPr>
            <w:r w:rsidRPr="00B33345">
              <w:rPr>
                <w:szCs w:val="26"/>
              </w:rPr>
              <w:t>vs.</w:t>
            </w:r>
          </w:p>
          <w:p w:rsidR="00187721" w:rsidP="002F658C" w:rsidRDefault="00187721" w14:paraId="1E373B95" w14:textId="77777777">
            <w:pPr>
              <w:spacing w:line="240" w:lineRule="auto"/>
              <w:ind w:firstLine="0"/>
              <w:jc w:val="center"/>
              <w:rPr>
                <w:szCs w:val="26"/>
              </w:rPr>
            </w:pPr>
          </w:p>
          <w:p w:rsidR="00187721" w:rsidP="00187721" w:rsidRDefault="002F658C" w14:paraId="62B073E6" w14:textId="77777777">
            <w:pPr>
              <w:spacing w:line="240" w:lineRule="auto"/>
              <w:ind w:firstLine="0"/>
              <w:rPr>
                <w:szCs w:val="26"/>
              </w:rPr>
            </w:pPr>
            <w:r w:rsidRPr="00B33345">
              <w:rPr>
                <w:szCs w:val="26"/>
              </w:rPr>
              <w:t xml:space="preserve">Southern California Edison Company (U338E), </w:t>
            </w:r>
          </w:p>
          <w:p w:rsidRPr="002F658C" w:rsidR="00B71D85" w:rsidP="00187721" w:rsidRDefault="002F658C" w14:paraId="1D3A1377" w14:textId="33B93198">
            <w:pPr>
              <w:spacing w:line="240" w:lineRule="auto"/>
              <w:ind w:firstLine="0"/>
              <w:jc w:val="right"/>
              <w:rPr>
                <w:szCs w:val="26"/>
              </w:rPr>
            </w:pPr>
            <w:r w:rsidRPr="00B33345">
              <w:rPr>
                <w:szCs w:val="26"/>
              </w:rPr>
              <w:t>Defendant.</w:t>
            </w:r>
          </w:p>
          <w:p w:rsidRPr="00DA7B5D" w:rsidR="00B71D85" w:rsidP="005F1BA1" w:rsidRDefault="00B71D85" w14:paraId="58098FC6" w14:textId="77777777">
            <w:pPr>
              <w:spacing w:line="240" w:lineRule="auto"/>
              <w:ind w:firstLine="0"/>
              <w:rPr>
                <w:rFonts w:cs="Arial"/>
                <w:szCs w:val="26"/>
              </w:rPr>
            </w:pPr>
          </w:p>
        </w:tc>
        <w:tc>
          <w:tcPr>
            <w:tcW w:w="4950" w:type="dxa"/>
            <w:tcBorders>
              <w:top w:val="nil"/>
              <w:left w:val="single" w:color="auto" w:sz="4" w:space="0"/>
              <w:bottom w:val="nil"/>
              <w:right w:val="nil"/>
            </w:tcBorders>
            <w:vAlign w:val="center"/>
          </w:tcPr>
          <w:p w:rsidR="00B71D85" w:rsidP="005F1BA1" w:rsidRDefault="002F658C" w14:paraId="01DD8D14" w14:textId="64129F41">
            <w:pPr>
              <w:spacing w:line="240" w:lineRule="auto"/>
              <w:ind w:firstLine="0"/>
              <w:jc w:val="center"/>
              <w:rPr>
                <w:rFonts w:cs="Arial"/>
                <w:szCs w:val="26"/>
              </w:rPr>
            </w:pPr>
            <w:r w:rsidRPr="002808E3">
              <w:rPr>
                <w:rFonts w:cs="Arial"/>
                <w:szCs w:val="26"/>
              </w:rPr>
              <w:t>Case</w:t>
            </w:r>
            <w:r>
              <w:rPr>
                <w:rFonts w:cs="Arial"/>
                <w:szCs w:val="26"/>
              </w:rPr>
              <w:t> </w:t>
            </w:r>
            <w:r w:rsidRPr="002808E3">
              <w:rPr>
                <w:rFonts w:cs="Arial"/>
                <w:szCs w:val="26"/>
              </w:rPr>
              <w:t>25-05-015</w:t>
            </w:r>
          </w:p>
          <w:p w:rsidRPr="00DA7B5D" w:rsidR="00B71D85" w:rsidP="005F1BA1" w:rsidRDefault="00B71D85" w14:paraId="2B79EC31" w14:textId="77777777">
            <w:pPr>
              <w:spacing w:line="240" w:lineRule="auto"/>
              <w:ind w:firstLine="0"/>
              <w:jc w:val="center"/>
              <w:rPr>
                <w:rFonts w:cs="Arial"/>
                <w:szCs w:val="26"/>
              </w:rPr>
            </w:pPr>
          </w:p>
        </w:tc>
      </w:tr>
    </w:tbl>
    <w:p w:rsidR="00DA7B5D" w:rsidP="008F0116" w:rsidRDefault="00DA7B5D" w14:paraId="2A027D67" w14:textId="77777777">
      <w:pPr>
        <w:spacing w:line="240" w:lineRule="auto"/>
        <w:ind w:firstLine="0"/>
        <w:rPr>
          <w:rFonts w:ascii="Arial" w:hAnsi="Arial" w:cs="Arial"/>
          <w:sz w:val="24"/>
          <w:szCs w:val="24"/>
        </w:rPr>
      </w:pPr>
    </w:p>
    <w:p w:rsidR="00DA7B5D" w:rsidP="008F0116" w:rsidRDefault="00DA7B5D" w14:paraId="3C919FFA" w14:textId="77777777">
      <w:pPr>
        <w:spacing w:line="240" w:lineRule="auto"/>
        <w:ind w:firstLine="0"/>
        <w:rPr>
          <w:rFonts w:ascii="Arial" w:hAnsi="Arial" w:cs="Arial"/>
          <w:sz w:val="24"/>
          <w:szCs w:val="24"/>
        </w:rPr>
      </w:pPr>
    </w:p>
    <w:p w:rsidRPr="00BA3BFB" w:rsidR="00BA3BFB" w:rsidP="00BA3BFB" w:rsidRDefault="00B71D85" w14:paraId="3298303C" w14:textId="77777777">
      <w:pPr>
        <w:pStyle w:val="Dummy"/>
        <w:keepNext w:val="0"/>
        <w:keepLines w:val="0"/>
        <w:spacing w:after="0"/>
        <w:jc w:val="center"/>
      </w:pPr>
      <w:bookmarkStart w:name="_Toc213144847" w:id="1"/>
      <w:r w:rsidRPr="00BA3BFB">
        <w:t>PRESIDING OFFICER’S DECISION</w:t>
      </w:r>
      <w:r w:rsidRPr="00BA3BFB" w:rsidR="00FA06AE">
        <w:t xml:space="preserve"> GRANTING</w:t>
      </w:r>
      <w:r w:rsidRPr="00BA3BFB" w:rsidR="001D37FA">
        <w:t xml:space="preserve"> MOTION </w:t>
      </w:r>
    </w:p>
    <w:p w:rsidRPr="00BA3BFB" w:rsidR="00BA3BFB" w:rsidP="00BA3BFB" w:rsidRDefault="002659C3" w14:paraId="2BBDA555" w14:textId="137F4E02">
      <w:pPr>
        <w:pStyle w:val="Dummy"/>
        <w:keepNext w:val="0"/>
        <w:keepLines w:val="0"/>
        <w:spacing w:after="0"/>
        <w:jc w:val="center"/>
      </w:pPr>
      <w:r w:rsidRPr="00BA3BFB">
        <w:t xml:space="preserve">TO DISMISS </w:t>
      </w:r>
      <w:r w:rsidRPr="00BA3BFB" w:rsidR="001D37FA">
        <w:t xml:space="preserve">AND </w:t>
      </w:r>
      <w:r w:rsidRPr="00BA3BFB" w:rsidR="00FA06AE">
        <w:t>DISMISSING</w:t>
      </w:r>
      <w:r w:rsidRPr="00BA3BFB" w:rsidR="00B71D85">
        <w:t xml:space="preserve"> </w:t>
      </w:r>
      <w:r w:rsidRPr="00BA3BFB" w:rsidR="001D37FA">
        <w:t xml:space="preserve">COMPLAINT </w:t>
      </w:r>
    </w:p>
    <w:p w:rsidRPr="00BA3BFB" w:rsidR="0098655A" w:rsidP="00BA3BFB" w:rsidRDefault="001D37FA" w14:paraId="333477F8" w14:textId="0504FF2A">
      <w:pPr>
        <w:pStyle w:val="Dummy"/>
        <w:keepNext w:val="0"/>
        <w:keepLines w:val="0"/>
        <w:jc w:val="center"/>
      </w:pPr>
      <w:r w:rsidRPr="00BA3BFB">
        <w:t xml:space="preserve">FOR FAILURE TO </w:t>
      </w:r>
      <w:r w:rsidRPr="00BA3BFB" w:rsidR="008E1BBC">
        <w:t xml:space="preserve">STATE </w:t>
      </w:r>
      <w:proofErr w:type="gramStart"/>
      <w:r w:rsidRPr="00BA3BFB">
        <w:t>A VIOLATION</w:t>
      </w:r>
      <w:bookmarkEnd w:id="1"/>
      <w:proofErr w:type="gramEnd"/>
      <w:r w:rsidRPr="00BA3BFB">
        <w:t xml:space="preserve"> </w:t>
      </w:r>
    </w:p>
    <w:p w:rsidR="005A148C" w:rsidP="00BA3BFB" w:rsidRDefault="005A148C" w14:paraId="7EEB46F2" w14:textId="77777777">
      <w:pPr>
        <w:pStyle w:val="Dummy"/>
        <w:keepNext w:val="0"/>
        <w:keepLines w:val="0"/>
      </w:pPr>
      <w:bookmarkStart w:name="_Toc8123714" w:id="2"/>
      <w:bookmarkStart w:name="_Toc213144848" w:id="3"/>
      <w:r>
        <w:t>Summary</w:t>
      </w:r>
      <w:bookmarkEnd w:id="2"/>
      <w:bookmarkEnd w:id="3"/>
    </w:p>
    <w:p w:rsidR="000B6FFE" w:rsidP="00BA3BFB" w:rsidRDefault="00B413B3" w14:paraId="11FD1D78" w14:textId="44769E02">
      <w:pPr>
        <w:pStyle w:val="Standard"/>
      </w:pPr>
      <w:r>
        <w:t>This decision grants Southern California Edison</w:t>
      </w:r>
      <w:r w:rsidR="005F08EF">
        <w:t xml:space="preserve"> Company</w:t>
      </w:r>
      <w:r>
        <w:t xml:space="preserve">’s </w:t>
      </w:r>
      <w:r w:rsidRPr="000B6FFE" w:rsidR="000B6FFE">
        <w:t>Motion to Dismiss the Complaint</w:t>
      </w:r>
      <w:r>
        <w:t xml:space="preserve"> and dismisses </w:t>
      </w:r>
      <w:r w:rsidR="00972F43">
        <w:t>the</w:t>
      </w:r>
      <w:r>
        <w:t xml:space="preserve"> complaint for failure to make a claim upon which relief can be granted. </w:t>
      </w:r>
    </w:p>
    <w:p w:rsidR="005A148C" w:rsidP="00BA3BFB" w:rsidRDefault="00B413B3" w14:paraId="230DBAA9" w14:textId="587CA7D3">
      <w:pPr>
        <w:pStyle w:val="Standard"/>
      </w:pPr>
      <w:r>
        <w:t>This proceeding is</w:t>
      </w:r>
      <w:r w:rsidR="000B6FFE">
        <w:t xml:space="preserve"> </w:t>
      </w:r>
      <w:r>
        <w:t>closed.</w:t>
      </w:r>
    </w:p>
    <w:p w:rsidR="009D19EB" w:rsidP="00BA3BFB" w:rsidRDefault="000B6FFE" w14:paraId="06ACE14F" w14:textId="6CC72895">
      <w:pPr>
        <w:pStyle w:val="Heading1"/>
        <w:keepNext w:val="0"/>
        <w:keepLines w:val="0"/>
        <w:numPr>
          <w:ilvl w:val="0"/>
          <w:numId w:val="1"/>
        </w:numPr>
      </w:pPr>
      <w:bookmarkStart w:name="_Toc213144849" w:id="4"/>
      <w:bookmarkStart w:name="_Toc8123715" w:id="5"/>
      <w:r>
        <w:t>Factual</w:t>
      </w:r>
      <w:r w:rsidR="00D81D91">
        <w:t xml:space="preserve"> </w:t>
      </w:r>
      <w:r w:rsidRPr="00121089" w:rsidR="009D19EB">
        <w:t>Background</w:t>
      </w:r>
      <w:bookmarkEnd w:id="4"/>
    </w:p>
    <w:p w:rsidR="00557C53" w:rsidP="00BA3BFB" w:rsidRDefault="009D19EB" w14:paraId="051E5E93" w14:textId="4F609F21">
      <w:pPr>
        <w:pStyle w:val="Standard"/>
        <w:sectPr w:rsidR="00557C53" w:rsidSect="00D44DB6">
          <w:headerReference w:type="default" r:id="rId11"/>
          <w:footerReference w:type="default" r:id="rId12"/>
          <w:pgSz w:w="12240" w:h="15840"/>
          <w:pgMar w:top="1728" w:right="1440" w:bottom="1440" w:left="1440" w:header="720" w:footer="720" w:gutter="0"/>
          <w:pgNumType w:start="1"/>
          <w:cols w:space="720"/>
          <w:docGrid w:linePitch="360"/>
        </w:sectPr>
      </w:pPr>
      <w:r w:rsidRPr="002808E3">
        <w:t xml:space="preserve">On May 20, 2025, Complainant, Chloe Yen, filed Complaint </w:t>
      </w:r>
      <w:r>
        <w:t>Case (C.)</w:t>
      </w:r>
      <w:r w:rsidR="00085BD9">
        <w:t> </w:t>
      </w:r>
      <w:r w:rsidRPr="002808E3">
        <w:t>25</w:t>
      </w:r>
      <w:r>
        <w:noBreakHyphen/>
      </w:r>
      <w:r w:rsidRPr="002808E3">
        <w:t>05</w:t>
      </w:r>
      <w:r>
        <w:noBreakHyphen/>
      </w:r>
      <w:r w:rsidRPr="002808E3">
        <w:t>015, claiming that</w:t>
      </w:r>
      <w:r>
        <w:t xml:space="preserve"> her rooftop solar installation should receive Net Energy Metering 2.0 (NEM 2) </w:t>
      </w:r>
      <w:r w:rsidR="00972F43">
        <w:t xml:space="preserve">tariff </w:t>
      </w:r>
      <w:r>
        <w:t xml:space="preserve">treatment.  Ms. Yen alleged that she signed and completed </w:t>
      </w:r>
      <w:proofErr w:type="gramStart"/>
      <w:r>
        <w:t>all of</w:t>
      </w:r>
      <w:proofErr w:type="gramEnd"/>
      <w:r>
        <w:t xml:space="preserve"> the forms required for her rooftop solar installation </w:t>
      </w:r>
    </w:p>
    <w:p w:rsidR="009D19EB" w:rsidP="0044785F" w:rsidRDefault="009D19EB" w14:paraId="524F4DF2" w14:textId="5E782783">
      <w:pPr>
        <w:pStyle w:val="Standard"/>
        <w:ind w:firstLine="0"/>
      </w:pPr>
      <w:r>
        <w:lastRenderedPageBreak/>
        <w:t>application in advance of the NEM 2</w:t>
      </w:r>
      <w:r w:rsidR="00972F43">
        <w:t xml:space="preserve"> tariff</w:t>
      </w:r>
      <w:r>
        <w:t xml:space="preserve"> Sunset Date on April 14, 2025.</w:t>
      </w:r>
      <w:r>
        <w:rPr>
          <w:rStyle w:val="FootnoteReference"/>
        </w:rPr>
        <w:footnoteReference w:id="2"/>
      </w:r>
      <w:r>
        <w:t xml:space="preserve">  Ms.</w:t>
      </w:r>
      <w:r w:rsidR="00085BD9">
        <w:t> </w:t>
      </w:r>
      <w:r>
        <w:t xml:space="preserve">Yen submitted the signed documents to her chosen solar installer, American Solar Advantage, and received assurances that they would comply with the NEM 2 </w:t>
      </w:r>
      <w:r w:rsidR="00972F43">
        <w:t xml:space="preserve">submission date </w:t>
      </w:r>
      <w:r>
        <w:t xml:space="preserve">requirements.  American Solar Advantage subsequently went </w:t>
      </w:r>
      <w:proofErr w:type="gramStart"/>
      <w:r>
        <w:t>bankrupt</w:t>
      </w:r>
      <w:proofErr w:type="gramEnd"/>
      <w:r>
        <w:t xml:space="preserve"> and Ms. Yen later received notice that HomeLink Solar and </w:t>
      </w:r>
      <w:proofErr w:type="spellStart"/>
      <w:r>
        <w:t>Guyou</w:t>
      </w:r>
      <w:proofErr w:type="spellEnd"/>
      <w:r>
        <w:t xml:space="preserve"> Construction submitted her completed rooftop solar installation application to Southern California Edison Company (SCE) on August 10, 2025.  Ms. Yen’s rooftop solar installation</w:t>
      </w:r>
      <w:r w:rsidR="00972F43">
        <w:t xml:space="preserve"> is</w:t>
      </w:r>
      <w:r>
        <w:t xml:space="preserve"> </w:t>
      </w:r>
      <w:r w:rsidR="00972F43">
        <w:t>currently interconnected, operational, and operating under the subsequent tariff, NEM 3.</w:t>
      </w:r>
    </w:p>
    <w:p w:rsidRPr="009D19EB" w:rsidR="009D19EB" w:rsidP="009D19EB" w:rsidRDefault="009D19EB" w14:paraId="32854158" w14:textId="653B17C2">
      <w:pPr>
        <w:pStyle w:val="Standard"/>
      </w:pPr>
      <w:r>
        <w:t xml:space="preserve"> Ms. Yen’s complaint argues she ought to be awarded NEM 2 treatment in equity, a key principle in Commission decisions, since she complied with the NEM 2 submission deadlines to the best of her abilities.  All factors related to American Solar Advantage’s bankruptcy, the transfer of her solar application to a new installer, document submission on her behalf but without her knowledge, were extraordinary circumstances outside of any normal pattern of practice</w:t>
      </w:r>
      <w:r w:rsidR="00972F43">
        <w:t>, factors that should be taken into</w:t>
      </w:r>
      <w:r>
        <w:t xml:space="preserve"> consideration</w:t>
      </w:r>
      <w:r w:rsidR="00972F43">
        <w:t>.</w:t>
      </w:r>
      <w:r>
        <w:t xml:space="preserve">  An equitable remedy, Ms. Yen argued, would align with the Commission’s, “</w:t>
      </w:r>
      <w:r w:rsidRPr="000F0886">
        <w:t>broader mandate to ensure that utilities act in good faith and</w:t>
      </w:r>
      <w:r>
        <w:t xml:space="preserve"> </w:t>
      </w:r>
      <w:r w:rsidRPr="000F0886">
        <w:t>address customer concerns fairly</w:t>
      </w:r>
      <w:r>
        <w:t xml:space="preserve">.”  </w:t>
      </w:r>
    </w:p>
    <w:p w:rsidRPr="00121089" w:rsidR="005A148C" w:rsidP="004D4324" w:rsidRDefault="009D19EB" w14:paraId="0DD593D7" w14:textId="040044EC">
      <w:pPr>
        <w:pStyle w:val="Heading1"/>
        <w:numPr>
          <w:ilvl w:val="1"/>
          <w:numId w:val="1"/>
        </w:numPr>
      </w:pPr>
      <w:bookmarkStart w:name="_Toc213144850" w:id="6"/>
      <w:bookmarkEnd w:id="5"/>
      <w:r>
        <w:t>Procedural Background</w:t>
      </w:r>
      <w:bookmarkEnd w:id="6"/>
    </w:p>
    <w:p w:rsidR="00093D6A" w:rsidP="00093D6A" w:rsidRDefault="00093D6A" w14:paraId="51A0D9C7" w14:textId="457A7C9D">
      <w:pPr>
        <w:pStyle w:val="Standard"/>
      </w:pPr>
      <w:r w:rsidRPr="002808E3">
        <w:t xml:space="preserve">On June 3, 2025, the Commission </w:t>
      </w:r>
      <w:r>
        <w:t>served</w:t>
      </w:r>
      <w:r w:rsidRPr="002808E3">
        <w:t xml:space="preserve"> its Instruction to Answer the Complaint </w:t>
      </w:r>
      <w:r>
        <w:t>on Defendant, SCE</w:t>
      </w:r>
      <w:r w:rsidR="009D19EB">
        <w:t xml:space="preserve">.  </w:t>
      </w:r>
      <w:r w:rsidRPr="002808E3">
        <w:t xml:space="preserve">On July 3, 2025, SCE filed </w:t>
      </w:r>
      <w:r>
        <w:t xml:space="preserve">its Answer and </w:t>
      </w:r>
      <w:r>
        <w:lastRenderedPageBreak/>
        <w:t xml:space="preserve">concurrently filed </w:t>
      </w:r>
      <w:r w:rsidRPr="002808E3">
        <w:t>a Motion to Dismiss the Complaint</w:t>
      </w:r>
      <w:r>
        <w:t xml:space="preserve"> contending </w:t>
      </w:r>
      <w:r w:rsidRPr="002808E3">
        <w:t xml:space="preserve">that Ms. Yen’s complaint failed to raise any violations of law or policy for which </w:t>
      </w:r>
      <w:r w:rsidR="00892D05">
        <w:t xml:space="preserve">a </w:t>
      </w:r>
      <w:r w:rsidRPr="002808E3">
        <w:t xml:space="preserve">remedy could be granted.  </w:t>
      </w:r>
    </w:p>
    <w:p w:rsidR="00133A88" w:rsidP="00093D6A" w:rsidRDefault="00133A88" w14:paraId="0FB2E650" w14:textId="60764C86">
      <w:pPr>
        <w:pStyle w:val="Standard"/>
      </w:pPr>
      <w:r>
        <w:t xml:space="preserve">On July 16, 2025, the assigned Administrative Law Judge (ALJ) issued a ruling setting the time and date for a virtual </w:t>
      </w:r>
      <w:r w:rsidR="00085BD9">
        <w:t>prehearing conference</w:t>
      </w:r>
      <w:r>
        <w:t xml:space="preserve"> (PHC) to be held using the Webex Platform.  </w:t>
      </w:r>
    </w:p>
    <w:p w:rsidR="00093D6A" w:rsidP="00093D6A" w:rsidRDefault="00133A88" w14:paraId="3AB3D526" w14:textId="0F5F0D05">
      <w:pPr>
        <w:pStyle w:val="Standard"/>
      </w:pPr>
      <w:r>
        <w:t xml:space="preserve">The PHC </w:t>
      </w:r>
      <w:r w:rsidRPr="002808E3" w:rsidR="00093D6A">
        <w:t xml:space="preserve">was held on July 30, 2025, to address the issues of law and fact, determine the need for hearing, set the schedule for resolving the matter, and address other matters as necessary.  </w:t>
      </w:r>
      <w:r w:rsidR="00093D6A">
        <w:t xml:space="preserve">Both parties were in attendance.  Early in the hearing, Ms. Yen brough to the attention of the </w:t>
      </w:r>
      <w:r w:rsidR="009D19EB">
        <w:t>assigned ALJ</w:t>
      </w:r>
      <w:r w:rsidR="00093D6A">
        <w:t xml:space="preserve"> that English was not her native language.  Ms. </w:t>
      </w:r>
      <w:r w:rsidR="00587FF0">
        <w:t>Li</w:t>
      </w:r>
      <w:r w:rsidR="00093D6A">
        <w:t xml:space="preserve"> was also in attendance with Ms. Yen.  Ms. </w:t>
      </w:r>
      <w:r w:rsidR="00587FF0">
        <w:t>Li</w:t>
      </w:r>
      <w:r w:rsidR="00093D6A">
        <w:t xml:space="preserve"> identified herself as a friend who would help Ms. Yen understand the ongoings of the hearing.  The </w:t>
      </w:r>
      <w:r w:rsidR="009D19EB">
        <w:t xml:space="preserve">assigned </w:t>
      </w:r>
      <w:r w:rsidR="00093D6A">
        <w:t xml:space="preserve">ALJ </w:t>
      </w:r>
      <w:r w:rsidR="009D19EB">
        <w:t xml:space="preserve">asked and </w:t>
      </w:r>
      <w:r w:rsidR="00093D6A">
        <w:t xml:space="preserve">learned that Ms. </w:t>
      </w:r>
      <w:r w:rsidR="00587FF0">
        <w:t>Li</w:t>
      </w:r>
      <w:r w:rsidR="00093D6A">
        <w:t xml:space="preserve"> was not a certified translator but would attempt to translate the hearing into Mandarin to the best of her abilities.  It also became apparent that Ms. L</w:t>
      </w:r>
      <w:r w:rsidR="00587FF0">
        <w:t>i</w:t>
      </w:r>
      <w:r w:rsidR="00093D6A">
        <w:t xml:space="preserve"> was a potential future witness since she may have played a role in the</w:t>
      </w:r>
      <w:r w:rsidR="009D19EB">
        <w:t xml:space="preserve"> rooftop</w:t>
      </w:r>
      <w:r w:rsidR="00093D6A">
        <w:t xml:space="preserve"> solar </w:t>
      </w:r>
      <w:r w:rsidR="00892D05">
        <w:t>application</w:t>
      </w:r>
      <w:r w:rsidR="00093D6A">
        <w:t xml:space="preserve"> process.  The parties at the hearing agreed to proceed, without a certified translator, and with Ms. </w:t>
      </w:r>
      <w:r w:rsidR="00587FF0">
        <w:t>Li</w:t>
      </w:r>
      <w:r w:rsidR="00093D6A">
        <w:t xml:space="preserve"> assisting with translation as necessary, for the limited purpose of the PHC.</w:t>
      </w:r>
      <w:r w:rsidR="00521952">
        <w:rPr>
          <w:rStyle w:val="FootnoteReference"/>
        </w:rPr>
        <w:footnoteReference w:id="3"/>
      </w:r>
      <w:r w:rsidR="00093D6A">
        <w:t xml:space="preserve">  </w:t>
      </w:r>
    </w:p>
    <w:p w:rsidR="00093D6A" w:rsidP="00093D6A" w:rsidRDefault="00093D6A" w14:paraId="4A1C5258" w14:textId="429A1229">
      <w:pPr>
        <w:pStyle w:val="Standard"/>
      </w:pPr>
      <w:r>
        <w:t xml:space="preserve">Parties were advised by the </w:t>
      </w:r>
      <w:r w:rsidR="00892D05">
        <w:t xml:space="preserve">assigned </w:t>
      </w:r>
      <w:r>
        <w:t xml:space="preserve">ALJ that the Commission could, with sufficient advance notice, ensure that a certified Mandarin translator could attend and assist with subsequent hearings.  </w:t>
      </w:r>
      <w:r w:rsidR="00C26A45">
        <w:t xml:space="preserve">The </w:t>
      </w:r>
      <w:r w:rsidR="00892D05">
        <w:t xml:space="preserve">assigned </w:t>
      </w:r>
      <w:r w:rsidR="00C26A45">
        <w:t xml:space="preserve">ALJ additionally </w:t>
      </w:r>
      <w:r w:rsidR="00C26A45">
        <w:lastRenderedPageBreak/>
        <w:t xml:space="preserve">advised parties to contact the Public Advisor’s Office to make a request for a certified translator and </w:t>
      </w:r>
      <w:proofErr w:type="gramStart"/>
      <w:r w:rsidR="00C26A45">
        <w:t>provided</w:t>
      </w:r>
      <w:proofErr w:type="gramEnd"/>
      <w:r w:rsidR="00C26A45">
        <w:t xml:space="preserve"> the Public Advisor’s contact information.</w:t>
      </w:r>
      <w:r w:rsidR="00D45829">
        <w:rPr>
          <w:rStyle w:val="FootnoteReference"/>
        </w:rPr>
        <w:footnoteReference w:id="4"/>
      </w:r>
      <w:r w:rsidR="00C26A45">
        <w:t xml:space="preserve">  </w:t>
      </w:r>
    </w:p>
    <w:p w:rsidR="00C26A45" w:rsidP="00093D6A" w:rsidRDefault="00EB7E15" w14:paraId="53725C0B" w14:textId="75F043FB">
      <w:pPr>
        <w:pStyle w:val="Standard"/>
      </w:pPr>
      <w:r>
        <w:t>P</w:t>
      </w:r>
      <w:r w:rsidR="00C26A45">
        <w:t xml:space="preserve">arties were advised that the Commission’s </w:t>
      </w:r>
      <w:r w:rsidRPr="002808E3" w:rsidR="00C26A45">
        <w:t xml:space="preserve">Alternative Dispute Resolution (ADR) was </w:t>
      </w:r>
      <w:r w:rsidR="00C26A45">
        <w:t xml:space="preserve">available to them if they both </w:t>
      </w:r>
      <w:r>
        <w:t>agreed</w:t>
      </w:r>
      <w:r w:rsidR="00C26A45">
        <w:t xml:space="preserve"> and wish</w:t>
      </w:r>
      <w:r>
        <w:t>ed</w:t>
      </w:r>
      <w:r w:rsidR="00C26A45">
        <w:t xml:space="preserve"> to engage in a settlement discussion </w:t>
      </w:r>
      <w:r w:rsidRPr="002808E3" w:rsidR="00C26A45">
        <w:t xml:space="preserve">to find a remedy for this dispute.  </w:t>
      </w:r>
      <w:r w:rsidR="00C26A45">
        <w:t xml:space="preserve">Ms. Yen </w:t>
      </w:r>
      <w:r>
        <w:t>indicated</w:t>
      </w:r>
      <w:r w:rsidR="00C26A45">
        <w:t xml:space="preserve"> interest in pursuing ADR, but</w:t>
      </w:r>
      <w:r w:rsidRPr="002808E3" w:rsidR="00C26A45">
        <w:t xml:space="preserve"> SCE</w:t>
      </w:r>
      <w:r w:rsidR="00C26A45">
        <w:t>’s counsel refused, stating that she was not authorized to pursue ADR at that time.</w:t>
      </w:r>
      <w:r w:rsidR="00521952">
        <w:rPr>
          <w:rStyle w:val="FootnoteReference"/>
        </w:rPr>
        <w:footnoteReference w:id="5"/>
      </w:r>
    </w:p>
    <w:p w:rsidR="00C26A45" w:rsidP="00521952" w:rsidRDefault="00C26A45" w14:paraId="69DA91AB" w14:textId="756A5FCF">
      <w:pPr>
        <w:pStyle w:val="Standard"/>
      </w:pPr>
      <w:r>
        <w:t xml:space="preserve">Based on the documents filed in the proceeding at that time, the </w:t>
      </w:r>
      <w:r w:rsidRPr="002808E3">
        <w:t>Complaint, the Answer, the Motion to Dismiss</w:t>
      </w:r>
      <w:r>
        <w:t>, the</w:t>
      </w:r>
      <w:r w:rsidR="00521952">
        <w:t xml:space="preserve"> assigned</w:t>
      </w:r>
      <w:r>
        <w:t xml:space="preserve"> ALJ </w:t>
      </w:r>
      <w:r w:rsidR="00521952">
        <w:t xml:space="preserve">probed whether </w:t>
      </w:r>
      <w:r>
        <w:t>there may be contested, material issues of fact</w:t>
      </w:r>
      <w:r w:rsidR="00A8709A">
        <w:t xml:space="preserve">, musing </w:t>
      </w:r>
      <w:r>
        <w:t xml:space="preserve">that if the proceeding were indeed to make its way to evidentiary hearings, the type of evidence ripe for examination, should it exist, </w:t>
      </w:r>
      <w:r w:rsidR="00521952">
        <w:t>might include any of the following: d</w:t>
      </w:r>
      <w:r w:rsidRPr="00C26A45">
        <w:t>ocuments submitted on behalf of Ms. Yen to SCE by American Solar Advantage</w:t>
      </w:r>
      <w:r w:rsidR="00A8709A">
        <w:t>;</w:t>
      </w:r>
      <w:r w:rsidRPr="00C26A45">
        <w:t xml:space="preserve"> </w:t>
      </w:r>
      <w:r w:rsidR="00521952">
        <w:t>response</w:t>
      </w:r>
      <w:r w:rsidR="00A8709A">
        <w:t>s</w:t>
      </w:r>
      <w:r w:rsidR="00521952">
        <w:t xml:space="preserve"> by</w:t>
      </w:r>
      <w:r w:rsidRPr="00C26A45">
        <w:t xml:space="preserve"> SCE to American Solar Advantage’s submission</w:t>
      </w:r>
      <w:r w:rsidR="00521952">
        <w:t>;</w:t>
      </w:r>
      <w:r w:rsidRPr="00C26A45">
        <w:t xml:space="preserve"> communications</w:t>
      </w:r>
      <w:r w:rsidR="00521952">
        <w:t xml:space="preserve"> that </w:t>
      </w:r>
      <w:r w:rsidRPr="00C26A45">
        <w:t xml:space="preserve">American Solar Advantage </w:t>
      </w:r>
      <w:r w:rsidR="00521952">
        <w:t xml:space="preserve">may have </w:t>
      </w:r>
      <w:r w:rsidRPr="00C26A45">
        <w:t>had with SCE about its bankruptcy, about the transfer of its accounts</w:t>
      </w:r>
      <w:r w:rsidR="00521952">
        <w:t xml:space="preserve">, or other communications </w:t>
      </w:r>
      <w:r w:rsidRPr="00C26A45">
        <w:t xml:space="preserve">of that nature; </w:t>
      </w:r>
      <w:r w:rsidR="00521952">
        <w:t xml:space="preserve">communications </w:t>
      </w:r>
      <w:r w:rsidRPr="00C26A45">
        <w:t xml:space="preserve">between </w:t>
      </w:r>
      <w:proofErr w:type="spellStart"/>
      <w:r w:rsidRPr="00C26A45">
        <w:t>HomeLinkSolar</w:t>
      </w:r>
      <w:proofErr w:type="spellEnd"/>
      <w:r w:rsidRPr="00C26A45">
        <w:t xml:space="preserve"> and/or </w:t>
      </w:r>
      <w:proofErr w:type="spellStart"/>
      <w:r w:rsidRPr="00C26A45">
        <w:t>Guyou</w:t>
      </w:r>
      <w:proofErr w:type="spellEnd"/>
      <w:r w:rsidRPr="00C26A45">
        <w:t xml:space="preserve"> Construction Inc. and SCE with respect to the company taking on projects from the American Solar Advantage portfolio</w:t>
      </w:r>
      <w:r w:rsidR="00521952">
        <w:t xml:space="preserve">; </w:t>
      </w:r>
      <w:r w:rsidRPr="00C26A45">
        <w:t xml:space="preserve">communication </w:t>
      </w:r>
      <w:r w:rsidR="00521952">
        <w:t xml:space="preserve">about </w:t>
      </w:r>
      <w:r w:rsidRPr="00C26A45">
        <w:t>Ms. Yen’s application specifically.</w:t>
      </w:r>
      <w:r w:rsidR="00521952">
        <w:rPr>
          <w:rStyle w:val="FootnoteReference"/>
        </w:rPr>
        <w:footnoteReference w:id="6"/>
      </w:r>
    </w:p>
    <w:p w:rsidRPr="00BC63A6" w:rsidR="00133A88" w:rsidP="00133A88" w:rsidRDefault="00133A88" w14:paraId="57C685F1" w14:textId="1BB49783">
      <w:r w:rsidRPr="00BC63A6">
        <w:t xml:space="preserve">Ms. Yen asked two important questions: First, </w:t>
      </w:r>
      <w:r w:rsidRPr="00BC63A6" w:rsidR="00693152">
        <w:t>Ms. Yen</w:t>
      </w:r>
      <w:r w:rsidRPr="00BC63A6">
        <w:t xml:space="preserve"> asked what would happen if she decided to dismiss her complaint.  </w:t>
      </w:r>
      <w:r w:rsidRPr="00BC63A6" w:rsidR="00693152">
        <w:t xml:space="preserve">The </w:t>
      </w:r>
      <w:r w:rsidR="00A341F0">
        <w:t xml:space="preserve">assigned </w:t>
      </w:r>
      <w:r w:rsidRPr="00BC63A6" w:rsidR="00693152">
        <w:t xml:space="preserve">ALJ responded on the record and indicated that dismissing the complaint would result in no </w:t>
      </w:r>
      <w:r w:rsidRPr="00BC63A6" w:rsidR="00693152">
        <w:lastRenderedPageBreak/>
        <w:t xml:space="preserve">changes to her </w:t>
      </w:r>
      <w:r w:rsidR="00A8709A">
        <w:t xml:space="preserve">currently operation </w:t>
      </w:r>
      <w:r w:rsidRPr="00BC63A6" w:rsidR="00693152">
        <w:t>rooftop solar</w:t>
      </w:r>
      <w:r w:rsidR="00A8709A">
        <w:t xml:space="preserve"> installation receiving</w:t>
      </w:r>
      <w:r w:rsidRPr="00BC63A6" w:rsidR="00693152">
        <w:t xml:space="preserve"> </w:t>
      </w:r>
      <w:r w:rsidR="00A8709A">
        <w:t xml:space="preserve">NEM 3 </w:t>
      </w:r>
      <w:r w:rsidR="00A341F0">
        <w:t>tariff treatment</w:t>
      </w:r>
      <w:r w:rsidR="00A8709A">
        <w:t>.</w:t>
      </w:r>
      <w:r w:rsidRPr="00BC63A6" w:rsidR="00BC63A6">
        <w:rPr>
          <w:rStyle w:val="FootnoteReference"/>
        </w:rPr>
        <w:footnoteReference w:id="7"/>
      </w:r>
      <w:r w:rsidRPr="00BC63A6" w:rsidR="00693152">
        <w:t xml:space="preserve"> </w:t>
      </w:r>
    </w:p>
    <w:p w:rsidRPr="00D45829" w:rsidR="00133A88" w:rsidP="00133A88" w:rsidRDefault="00133A88" w14:paraId="2FA37211" w14:textId="4FBF3F75">
      <w:r w:rsidRPr="00D45829">
        <w:t xml:space="preserve">Second, Ms. Yen asked if she could hire an attorney to represent her in this case moving forward.  The </w:t>
      </w:r>
      <w:r w:rsidR="00A341F0">
        <w:t xml:space="preserve">assigned </w:t>
      </w:r>
      <w:r w:rsidRPr="00D45829">
        <w:t>ALJ responded that hiring an attorney would be perfectly acceptable.</w:t>
      </w:r>
      <w:r w:rsidRPr="00D45829" w:rsidR="00BC63A6">
        <w:rPr>
          <w:rStyle w:val="FootnoteReference"/>
        </w:rPr>
        <w:footnoteReference w:id="8"/>
      </w:r>
      <w:r w:rsidRPr="00D45829">
        <w:t xml:space="preserve"> </w:t>
      </w:r>
      <w:r w:rsidRPr="00D45829" w:rsidR="00BC63A6">
        <w:t xml:space="preserve"> </w:t>
      </w:r>
    </w:p>
    <w:p w:rsidR="00C26A45" w:rsidP="00133A88" w:rsidRDefault="00A341F0" w14:paraId="5CAF9924" w14:textId="2B0A7CB9">
      <w:r>
        <w:t>On August 15, 2025, t</w:t>
      </w:r>
      <w:r w:rsidR="00C26A45">
        <w:t xml:space="preserve">he </w:t>
      </w:r>
      <w:r w:rsidR="00133A88">
        <w:t xml:space="preserve">Assigned Commissioner’s </w:t>
      </w:r>
      <w:r w:rsidR="00C26A45">
        <w:t>Scoping Memo</w:t>
      </w:r>
      <w:r w:rsidR="00133A88">
        <w:t xml:space="preserve"> and Ruling</w:t>
      </w:r>
      <w:r w:rsidR="00C26A45">
        <w:t xml:space="preserve"> </w:t>
      </w:r>
      <w:r w:rsidR="00133A88">
        <w:t xml:space="preserve">(Scoping Memo) </w:t>
      </w:r>
      <w:r w:rsidR="00C26A45">
        <w:t>issued</w:t>
      </w:r>
      <w:r w:rsidR="00133A88">
        <w:t xml:space="preserve">.  The Scoping Memo detailed the issues to be determined, the need for hearings to resolve disputed issues of </w:t>
      </w:r>
      <w:proofErr w:type="gramStart"/>
      <w:r w:rsidR="00133A88">
        <w:t>fact, and</w:t>
      </w:r>
      <w:proofErr w:type="gramEnd"/>
      <w:r w:rsidR="00133A88">
        <w:t xml:space="preserve"> </w:t>
      </w:r>
      <w:r>
        <w:t>included a</w:t>
      </w:r>
      <w:r w:rsidR="00133A88">
        <w:t xml:space="preserve"> schedule of tasks necessary to prepare for evidentiary hearings.  By the close of business on Friday, September 29, 2025, parties were to </w:t>
      </w:r>
      <w:r w:rsidR="00281BD1">
        <w:t xml:space="preserve">meet and confer and </w:t>
      </w:r>
      <w:r w:rsidR="00133A88">
        <w:t xml:space="preserve">exchange </w:t>
      </w:r>
      <w:proofErr w:type="gramStart"/>
      <w:r w:rsidR="00133A88">
        <w:t>any and all</w:t>
      </w:r>
      <w:proofErr w:type="gramEnd"/>
      <w:r w:rsidR="00133A88">
        <w:t xml:space="preserve"> </w:t>
      </w:r>
      <w:proofErr w:type="gramStart"/>
      <w:r w:rsidR="00133A88">
        <w:t>discovery</w:t>
      </w:r>
      <w:proofErr w:type="gramEnd"/>
      <w:r w:rsidR="00133A88">
        <w:t>, prepare and mark exhibits, and email all exhibits to the proceeding service list.</w:t>
      </w:r>
      <w:r w:rsidR="005F5590">
        <w:rPr>
          <w:rStyle w:val="FootnoteReference"/>
        </w:rPr>
        <w:footnoteReference w:id="9"/>
      </w:r>
      <w:r w:rsidR="00133A88">
        <w:t xml:space="preserve">  The Scoping Memo contained the </w:t>
      </w:r>
      <w:r w:rsidR="00A8709A">
        <w:t xml:space="preserve">assigned </w:t>
      </w:r>
      <w:r>
        <w:t>ALJ’s thoughts about evidence</w:t>
      </w:r>
      <w:r w:rsidR="00A8709A">
        <w:t>,</w:t>
      </w:r>
      <w:r>
        <w:t xml:space="preserve"> </w:t>
      </w:r>
      <w:r w:rsidR="00A8709A">
        <w:t>discussed</w:t>
      </w:r>
      <w:r>
        <w:t xml:space="preserve"> during </w:t>
      </w:r>
      <w:r w:rsidR="00133A88">
        <w:t>PHC</w:t>
      </w:r>
      <w:r w:rsidR="00A8709A">
        <w:t>,</w:t>
      </w:r>
      <w:r w:rsidR="00133A88">
        <w:t xml:space="preserve"> as instructions </w:t>
      </w:r>
      <w:r w:rsidR="005F5590">
        <w:t>to</w:t>
      </w:r>
      <w:r w:rsidR="00133A88">
        <w:t xml:space="preserve"> parties</w:t>
      </w:r>
      <w:r w:rsidR="00A8709A">
        <w:t xml:space="preserve">.  The Scoping Memo directed </w:t>
      </w:r>
      <w:r>
        <w:t xml:space="preserve">discovery of specific </w:t>
      </w:r>
      <w:r w:rsidR="00133A88">
        <w:t xml:space="preserve">exhibits that the </w:t>
      </w:r>
      <w:r>
        <w:t xml:space="preserve">assigned </w:t>
      </w:r>
      <w:r w:rsidR="00133A88">
        <w:t xml:space="preserve">ALJ expected to be produced, should </w:t>
      </w:r>
      <w:r w:rsidR="005F5590">
        <w:t>they</w:t>
      </w:r>
      <w:r w:rsidR="00133A88">
        <w:t xml:space="preserve"> exist.</w:t>
      </w:r>
      <w:r w:rsidR="00133A88">
        <w:rPr>
          <w:rStyle w:val="FootnoteReference"/>
        </w:rPr>
        <w:footnoteReference w:id="10"/>
      </w:r>
      <w:r w:rsidR="00133A88">
        <w:t xml:space="preserve">  </w:t>
      </w:r>
    </w:p>
    <w:p w:rsidR="00076BE5" w:rsidP="00133A88" w:rsidRDefault="00076BE5" w14:paraId="310E566B" w14:textId="07381125">
      <w:r>
        <w:t xml:space="preserve">On September 24, 2025, the Commission’s Hearing Reporters published the transcript of the PHC on the docket card </w:t>
      </w:r>
      <w:r w:rsidR="00A341F0">
        <w:t>and a</w:t>
      </w:r>
      <w:r>
        <w:t xml:space="preserve"> link to the transcript was sent to all parties on the service list.</w:t>
      </w:r>
    </w:p>
    <w:p w:rsidR="00281BD1" w:rsidP="00133A88" w:rsidRDefault="00281BD1" w14:paraId="025A2D30" w14:textId="644C2B67">
      <w:r>
        <w:t xml:space="preserve">On September 29, 2025, the due date for the exchange of discovery exhibits, no discovery exhibits that fit into any of the categories </w:t>
      </w:r>
      <w:r w:rsidR="003B3D8D">
        <w:t>described</w:t>
      </w:r>
      <w:r>
        <w:t xml:space="preserve"> </w:t>
      </w:r>
      <w:r w:rsidR="00A341F0">
        <w:t xml:space="preserve">during </w:t>
      </w:r>
      <w:r>
        <w:t>the PHC</w:t>
      </w:r>
      <w:r w:rsidR="00A8709A">
        <w:t>,</w:t>
      </w:r>
      <w:r>
        <w:t xml:space="preserve"> or memorialized in the Scoping Memo</w:t>
      </w:r>
      <w:r w:rsidR="00A8709A">
        <w:t>,</w:t>
      </w:r>
      <w:r>
        <w:t xml:space="preserve"> were emailed to the service list.</w:t>
      </w:r>
    </w:p>
    <w:p w:rsidR="00281BD1" w:rsidP="00281BD1" w:rsidRDefault="00A8709A" w14:paraId="72ACA70C" w14:textId="2D366A01">
      <w:r>
        <w:lastRenderedPageBreak/>
        <w:t>Additionally, b</w:t>
      </w:r>
      <w:r w:rsidR="00294992">
        <w:t xml:space="preserve">y </w:t>
      </w:r>
      <w:r w:rsidR="00A341F0">
        <w:t xml:space="preserve">the due date for the exchange of discovery, </w:t>
      </w:r>
      <w:r w:rsidR="00294992">
        <w:t>n</w:t>
      </w:r>
      <w:r w:rsidR="00281BD1">
        <w:t>o requests for a certified translator were received.</w:t>
      </w:r>
      <w:r w:rsidR="00294992">
        <w:t xml:space="preserve"> </w:t>
      </w:r>
      <w:r w:rsidR="00A341F0">
        <w:t xml:space="preserve"> </w:t>
      </w:r>
      <w:r>
        <w:t>No</w:t>
      </w:r>
      <w:r w:rsidR="00A341F0">
        <w:t xml:space="preserve"> attorneys s</w:t>
      </w:r>
      <w:r>
        <w:t xml:space="preserve">ought </w:t>
      </w:r>
      <w:r w:rsidR="00A341F0">
        <w:t xml:space="preserve">to </w:t>
      </w:r>
      <w:r w:rsidR="00281BD1">
        <w:t xml:space="preserve">make an appearance in the case. </w:t>
      </w:r>
      <w:r w:rsidR="00294992">
        <w:t xml:space="preserve"> No affidavits from solar companies were shared to indicate that documents had been submitted </w:t>
      </w:r>
      <w:r w:rsidR="00A341F0">
        <w:t xml:space="preserve">by any </w:t>
      </w:r>
      <w:r>
        <w:t xml:space="preserve">specific </w:t>
      </w:r>
      <w:proofErr w:type="gramStart"/>
      <w:r w:rsidR="00A341F0">
        <w:t>dates</w:t>
      </w:r>
      <w:proofErr w:type="gramEnd"/>
      <w:r w:rsidR="00A341F0">
        <w:t xml:space="preserve">. </w:t>
      </w:r>
    </w:p>
    <w:p w:rsidR="004D4324" w:rsidP="004D4324" w:rsidRDefault="00281BD1" w14:paraId="64690BA9" w14:textId="458BCC53">
      <w:r>
        <w:t xml:space="preserve">On October </w:t>
      </w:r>
      <w:r w:rsidR="003B3D8D">
        <w:t xml:space="preserve">7, 2025, without any evidence to examine or discuss at a future evidentiary hearing, the </w:t>
      </w:r>
      <w:r w:rsidR="00A341F0">
        <w:t xml:space="preserve">assigned </w:t>
      </w:r>
      <w:r w:rsidR="003B3D8D">
        <w:t xml:space="preserve">ALJ issued a ruling taking evidentiary hearings off calendar and relieving parties of further obligations in this case.  </w:t>
      </w:r>
    </w:p>
    <w:p w:rsidR="00683B2C" w:rsidP="004D4324" w:rsidRDefault="00683B2C" w14:paraId="7FB5B72A" w14:textId="3564504B">
      <w:pPr>
        <w:pStyle w:val="Heading2"/>
        <w:numPr>
          <w:ilvl w:val="1"/>
          <w:numId w:val="1"/>
        </w:numPr>
      </w:pPr>
      <w:bookmarkStart w:name="_Toc213144851" w:id="7"/>
      <w:r>
        <w:t>Submission Date</w:t>
      </w:r>
      <w:bookmarkEnd w:id="7"/>
    </w:p>
    <w:p w:rsidR="00683B2C" w:rsidP="001B7F8B" w:rsidRDefault="00683B2C" w14:paraId="7940C003" w14:textId="0CFC1AA2">
      <w:pPr>
        <w:pStyle w:val="Standard"/>
      </w:pPr>
      <w:r w:rsidRPr="00FF0265">
        <w:t xml:space="preserve">This matter was submitted on </w:t>
      </w:r>
      <w:r w:rsidR="005F08EF">
        <w:t xml:space="preserve">October 7, 2025, </w:t>
      </w:r>
      <w:r w:rsidRPr="00FF0265">
        <w:t xml:space="preserve">upon </w:t>
      </w:r>
      <w:r w:rsidR="005F08EF">
        <w:t xml:space="preserve">the issuance of the ruling taking evidentiary hearings off calendar and relieving parties of future obligations delineated in the </w:t>
      </w:r>
      <w:r w:rsidR="00A341F0">
        <w:t>S</w:t>
      </w:r>
      <w:r w:rsidR="005F08EF">
        <w:t xml:space="preserve">coping </w:t>
      </w:r>
      <w:r w:rsidR="00A341F0">
        <w:t>M</w:t>
      </w:r>
      <w:r w:rsidR="005F08EF">
        <w:t xml:space="preserve">emo. </w:t>
      </w:r>
    </w:p>
    <w:p w:rsidR="005A148C" w:rsidP="004D4324" w:rsidRDefault="0063491C" w14:paraId="441339BC" w14:textId="77777777">
      <w:pPr>
        <w:pStyle w:val="Heading1"/>
        <w:numPr>
          <w:ilvl w:val="0"/>
          <w:numId w:val="1"/>
        </w:numPr>
      </w:pPr>
      <w:bookmarkStart w:name="_Toc8123718" w:id="8"/>
      <w:bookmarkStart w:name="_Toc213144852" w:id="9"/>
      <w:r>
        <w:t>Jurisdiction</w:t>
      </w:r>
      <w:r w:rsidR="00B71D85">
        <w:t xml:space="preserve"> and Burden of Proof</w:t>
      </w:r>
      <w:bookmarkEnd w:id="8"/>
      <w:bookmarkEnd w:id="9"/>
    </w:p>
    <w:p w:rsidR="001147C7" w:rsidP="001147C7" w:rsidRDefault="00B71D85" w14:paraId="309ACADF" w14:textId="501E24BE">
      <w:pPr>
        <w:pStyle w:val="Standard"/>
      </w:pPr>
      <w:r>
        <w:t>The Commission has jurisdiction over the activities of public utilities</w:t>
      </w:r>
      <w:r w:rsidR="00CE31BA">
        <w:t>.</w:t>
      </w:r>
      <w:r>
        <w:rPr>
          <w:rStyle w:val="FootnoteReference"/>
        </w:rPr>
        <w:footnoteReference w:id="11"/>
      </w:r>
      <w:r>
        <w:t xml:space="preserve"> </w:t>
      </w:r>
      <w:r w:rsidR="00BE4935">
        <w:t xml:space="preserve"> SCE</w:t>
      </w:r>
      <w:r w:rsidR="00CE31BA">
        <w:t xml:space="preserve"> </w:t>
      </w:r>
      <w:r>
        <w:t>provid</w:t>
      </w:r>
      <w:r w:rsidR="00BF02DA">
        <w:t>es</w:t>
      </w:r>
      <w:r>
        <w:t xml:space="preserve"> </w:t>
      </w:r>
      <w:r w:rsidR="00BE4935">
        <w:t>electrical services</w:t>
      </w:r>
      <w:r w:rsidR="00D32E88">
        <w:t xml:space="preserve"> and is </w:t>
      </w:r>
      <w:r>
        <w:t>a</w:t>
      </w:r>
      <w:r w:rsidR="00CE31BA">
        <w:t xml:space="preserve"> utility </w:t>
      </w:r>
      <w:r>
        <w:t xml:space="preserve">subject to </w:t>
      </w:r>
      <w:r w:rsidR="0090655E">
        <w:t xml:space="preserve">the Commission’s </w:t>
      </w:r>
      <w:r>
        <w:t xml:space="preserve">jurisdiction, control and regulation. </w:t>
      </w:r>
    </w:p>
    <w:p w:rsidRPr="008E78B4" w:rsidR="00B94441" w:rsidP="00B94441" w:rsidRDefault="00B94441" w14:paraId="2DA1F8FD" w14:textId="78576D63">
      <w:pPr>
        <w:pStyle w:val="Standard"/>
      </w:pPr>
      <w:r w:rsidRPr="00B94441">
        <w:t xml:space="preserve">Public Utilities Code </w:t>
      </w:r>
      <w:r w:rsidR="00D32E88">
        <w:t>Section (Pub. Util. Code Sec.)</w:t>
      </w:r>
      <w:r w:rsidRPr="00B94441">
        <w:t xml:space="preserve"> 1702, provides that the complainant must allege that a regulated utility has engaged in an act</w:t>
      </w:r>
      <w:r w:rsidR="00294992">
        <w:t>,</w:t>
      </w:r>
      <w:r w:rsidRPr="00B94441">
        <w:t xml:space="preserve"> or failed to</w:t>
      </w:r>
      <w:r w:rsidR="00BE4935">
        <w:t xml:space="preserve"> </w:t>
      </w:r>
      <w:r w:rsidRPr="008E78B4">
        <w:t>perform an act</w:t>
      </w:r>
      <w:r w:rsidRPr="008E78B4" w:rsidR="00294992">
        <w:t>,</w:t>
      </w:r>
      <w:r w:rsidRPr="008E78B4">
        <w:t xml:space="preserve"> in violation of any law</w:t>
      </w:r>
      <w:r w:rsidRPr="008E78B4" w:rsidR="00294992">
        <w:t>, statute,</w:t>
      </w:r>
      <w:r w:rsidRPr="008E78B4">
        <w:t xml:space="preserve"> </w:t>
      </w:r>
      <w:r w:rsidRPr="008E78B4" w:rsidR="00294992">
        <w:t>C</w:t>
      </w:r>
      <w:r w:rsidRPr="008E78B4">
        <w:t>ommission order</w:t>
      </w:r>
      <w:r w:rsidR="00D32E88">
        <w:t>,</w:t>
      </w:r>
      <w:r w:rsidRPr="008E78B4">
        <w:t xml:space="preserve"> or rule</w:t>
      </w:r>
      <w:r w:rsidRPr="008E78B4" w:rsidR="00294992">
        <w:t xml:space="preserve"> </w:t>
      </w:r>
      <w:r w:rsidR="00D32E88">
        <w:t>over</w:t>
      </w:r>
      <w:r w:rsidRPr="008E78B4" w:rsidR="00294992">
        <w:t xml:space="preserve"> which the Commission has jurisdiction</w:t>
      </w:r>
      <w:r w:rsidRPr="008E78B4">
        <w:t>.</w:t>
      </w:r>
    </w:p>
    <w:p w:rsidR="00485E86" w:rsidP="00485E86" w:rsidRDefault="00BE4935" w14:paraId="4177085E" w14:textId="3AE1B238">
      <w:pPr>
        <w:pStyle w:val="Standard"/>
      </w:pPr>
      <w:r>
        <w:t xml:space="preserve">Ms. Yen </w:t>
      </w:r>
      <w:r w:rsidR="00294992">
        <w:t>alleged</w:t>
      </w:r>
      <w:r>
        <w:t xml:space="preserve"> that SCE failed to provide NEM 2 treatment </w:t>
      </w:r>
      <w:proofErr w:type="gramStart"/>
      <w:r>
        <w:t>to</w:t>
      </w:r>
      <w:proofErr w:type="gramEnd"/>
      <w:r>
        <w:t xml:space="preserve"> her</w:t>
      </w:r>
      <w:r w:rsidR="00D32E88">
        <w:t xml:space="preserve"> rooftop</w:t>
      </w:r>
      <w:r>
        <w:t xml:space="preserve"> solar installation</w:t>
      </w:r>
      <w:r w:rsidR="00155A51">
        <w:t xml:space="preserve"> and failed to </w:t>
      </w:r>
      <w:r w:rsidR="00D32E88">
        <w:t>apply the discretion provided in D.22-12-056 to provide NEM 2 treatment in equity to her rooftop solar application</w:t>
      </w:r>
      <w:r w:rsidR="00155A51">
        <w:t>,</w:t>
      </w:r>
      <w:r w:rsidR="00D32E88">
        <w:t xml:space="preserve"> submitted under extraordinary circumstances.  Ms. Yen’s C</w:t>
      </w:r>
      <w:r w:rsidR="00BF02DA">
        <w:t>omplaint was filed</w:t>
      </w:r>
      <w:r w:rsidR="00B71D85">
        <w:t xml:space="preserve"> pursuant to </w:t>
      </w:r>
      <w:r w:rsidR="001F4C0D">
        <w:lastRenderedPageBreak/>
        <w:t>the Commission’s Rules of Practice and Procedure (</w:t>
      </w:r>
      <w:r w:rsidR="00B71D85">
        <w:t>Rule</w:t>
      </w:r>
      <w:r w:rsidR="001F4C0D">
        <w:t>)</w:t>
      </w:r>
      <w:r w:rsidR="00B71D85">
        <w:t xml:space="preserve"> 4.1(a)</w:t>
      </w:r>
      <w:r w:rsidR="00BF02DA">
        <w:t xml:space="preserve"> and allege</w:t>
      </w:r>
      <w:r w:rsidR="00D32E88">
        <w:t>d</w:t>
      </w:r>
      <w:r w:rsidR="00BF02DA">
        <w:t xml:space="preserve"> </w:t>
      </w:r>
      <w:r w:rsidR="00485E86">
        <w:t>that SCE failed to use its grant of discretion a</w:t>
      </w:r>
      <w:r w:rsidR="00294992">
        <w:t>s</w:t>
      </w:r>
      <w:r w:rsidR="00485E86">
        <w:t xml:space="preserve"> described in </w:t>
      </w:r>
      <w:r w:rsidR="00D32E88">
        <w:t xml:space="preserve">a Commission Decision. </w:t>
      </w:r>
    </w:p>
    <w:p w:rsidRPr="0063491C" w:rsidR="0063491C" w:rsidP="00485E86" w:rsidRDefault="00485E86" w14:paraId="7F5A2F64" w14:textId="191E63A7">
      <w:pPr>
        <w:pStyle w:val="Standard"/>
      </w:pPr>
      <w:r>
        <w:t>Ms. Yen</w:t>
      </w:r>
      <w:r w:rsidR="00CE31BA">
        <w:t xml:space="preserve"> </w:t>
      </w:r>
      <w:r w:rsidR="00B71D85">
        <w:t xml:space="preserve">bears the burden of proof to show </w:t>
      </w:r>
      <w:r>
        <w:t xml:space="preserve">that SCE </w:t>
      </w:r>
      <w:r w:rsidR="00B71D85">
        <w:t>violated a rule, order, law, or tariff approved by the Commission</w:t>
      </w:r>
      <w:r w:rsidR="00155A51">
        <w:t xml:space="preserve"> and must meet the burden of proof by a preponderance of the evidence</w:t>
      </w:r>
      <w:r w:rsidR="00B71D85">
        <w:t>.</w:t>
      </w:r>
      <w:r w:rsidR="00BF02DA">
        <w:rPr>
          <w:rStyle w:val="FootnoteReference"/>
        </w:rPr>
        <w:footnoteReference w:id="12"/>
      </w:r>
      <w:r w:rsidR="00B71D85">
        <w:t xml:space="preserve"> </w:t>
      </w:r>
    </w:p>
    <w:p w:rsidR="005A148C" w:rsidP="004D4324" w:rsidRDefault="005939A5" w14:paraId="41D905DD" w14:textId="77777777">
      <w:pPr>
        <w:pStyle w:val="Heading1"/>
        <w:numPr>
          <w:ilvl w:val="0"/>
          <w:numId w:val="1"/>
        </w:numPr>
      </w:pPr>
      <w:bookmarkStart w:name="_Toc8123719" w:id="10"/>
      <w:bookmarkStart w:name="_Toc213144853" w:id="11"/>
      <w:r>
        <w:t xml:space="preserve">Issues Before the </w:t>
      </w:r>
      <w:bookmarkEnd w:id="10"/>
      <w:r w:rsidR="008A08BF">
        <w:t>Commission</w:t>
      </w:r>
      <w:bookmarkEnd w:id="11"/>
    </w:p>
    <w:p w:rsidR="005939A5" w:rsidP="00A44E8D" w:rsidRDefault="00D5357A" w14:paraId="3DC2D6E9" w14:textId="62FE5A73">
      <w:pPr>
        <w:pStyle w:val="Standard"/>
      </w:pPr>
      <w:r>
        <w:t xml:space="preserve">The issues identified in the Scoping Memo and Ruling to be </w:t>
      </w:r>
      <w:r w:rsidR="007974FC">
        <w:t xml:space="preserve">resolved in the </w:t>
      </w:r>
      <w:proofErr w:type="gramStart"/>
      <w:r w:rsidR="007974FC">
        <w:t>proceeding</w:t>
      </w:r>
      <w:proofErr w:type="gramEnd"/>
      <w:r>
        <w:t xml:space="preserve"> are:</w:t>
      </w:r>
    </w:p>
    <w:p w:rsidRPr="002808E3" w:rsidR="00D5357A" w:rsidP="004D4324" w:rsidRDefault="00D5357A" w14:paraId="020018FB" w14:textId="262EBF35">
      <w:pPr>
        <w:pStyle w:val="ListNum"/>
        <w:numPr>
          <w:ilvl w:val="6"/>
          <w:numId w:val="1"/>
        </w:numPr>
        <w:ind w:right="1080"/>
        <w:rPr>
          <w:szCs w:val="26"/>
        </w:rPr>
      </w:pPr>
      <w:r w:rsidRPr="002808E3">
        <w:rPr>
          <w:szCs w:val="26"/>
        </w:rPr>
        <w:t xml:space="preserve">Whether Ms. Yen stated a claim upon which relief can be </w:t>
      </w:r>
      <w:proofErr w:type="gramStart"/>
      <w:r w:rsidRPr="002808E3">
        <w:rPr>
          <w:szCs w:val="26"/>
        </w:rPr>
        <w:t>granted;</w:t>
      </w:r>
      <w:proofErr w:type="gramEnd"/>
      <w:r w:rsidRPr="002808E3">
        <w:rPr>
          <w:szCs w:val="26"/>
        </w:rPr>
        <w:t xml:space="preserve"> </w:t>
      </w:r>
    </w:p>
    <w:p w:rsidRPr="00D5357A" w:rsidR="00D5357A" w:rsidP="004D4324" w:rsidRDefault="00D5357A" w14:paraId="14A46695" w14:textId="4185C24B">
      <w:pPr>
        <w:pStyle w:val="ListNum"/>
        <w:numPr>
          <w:ilvl w:val="6"/>
          <w:numId w:val="1"/>
        </w:numPr>
        <w:ind w:right="1080"/>
        <w:rPr>
          <w:szCs w:val="26"/>
        </w:rPr>
      </w:pPr>
      <w:r w:rsidRPr="002808E3">
        <w:rPr>
          <w:szCs w:val="26"/>
        </w:rPr>
        <w:t>If so</w:t>
      </w:r>
      <w:r>
        <w:rPr>
          <w:szCs w:val="26"/>
        </w:rPr>
        <w:t xml:space="preserve">, (a) </w:t>
      </w:r>
      <w:r w:rsidRPr="002808E3">
        <w:rPr>
          <w:szCs w:val="26"/>
        </w:rPr>
        <w:t>whether Ms. Yen’s rooftop solar application, currently under the Net Billing Tariff or Net Energy Metering 3.0, should have been considered under the Net Energy Metering 2.0 Tariff</w:t>
      </w:r>
      <w:r>
        <w:rPr>
          <w:szCs w:val="26"/>
        </w:rPr>
        <w:t>; and (b) what, if any, relief should be granted</w:t>
      </w:r>
      <w:r w:rsidRPr="002808E3">
        <w:rPr>
          <w:szCs w:val="26"/>
        </w:rPr>
        <w:t>.</w:t>
      </w:r>
    </w:p>
    <w:p w:rsidR="005939A5" w:rsidP="004D4324" w:rsidRDefault="005939A5" w14:paraId="76BB8A7F" w14:textId="5197E770">
      <w:pPr>
        <w:pStyle w:val="Heading1"/>
        <w:numPr>
          <w:ilvl w:val="0"/>
          <w:numId w:val="1"/>
        </w:numPr>
      </w:pPr>
      <w:bookmarkStart w:name="_Toc8123720" w:id="12"/>
      <w:bookmarkStart w:name="_Toc213144854" w:id="13"/>
      <w:r>
        <w:t>Discussion</w:t>
      </w:r>
      <w:bookmarkEnd w:id="12"/>
      <w:bookmarkEnd w:id="13"/>
    </w:p>
    <w:p w:rsidR="00A517D9" w:rsidP="006E6574" w:rsidRDefault="00A517D9" w14:paraId="3D1FF9BF" w14:textId="77777777">
      <w:pPr>
        <w:pStyle w:val="Standard"/>
      </w:pPr>
      <w:r>
        <w:t>T</w:t>
      </w:r>
      <w:r w:rsidR="00710003">
        <w:t xml:space="preserve">he Commission must </w:t>
      </w:r>
      <w:r w:rsidR="00D32E88">
        <w:t>assess</w:t>
      </w:r>
      <w:r w:rsidR="00710003">
        <w:t xml:space="preserve"> whether Ms. Yen</w:t>
      </w:r>
      <w:r>
        <w:t>’s complaint</w:t>
      </w:r>
      <w:r w:rsidR="00710003">
        <w:t xml:space="preserve"> stated a claim upon which relief can be granted</w:t>
      </w:r>
      <w:r>
        <w:t>:</w:t>
      </w:r>
    </w:p>
    <w:p w:rsidR="00777971" w:rsidP="00A517D9" w:rsidRDefault="00710003" w14:paraId="269BDF98" w14:textId="096E45BF">
      <w:pPr>
        <w:pStyle w:val="Standard"/>
      </w:pPr>
      <w:r>
        <w:t xml:space="preserve"> Ms. Yen’s Complaint provided a compelling argument: </w:t>
      </w:r>
      <w:r w:rsidR="00A517D9">
        <w:t>D.22-12-056</w:t>
      </w:r>
      <w:r w:rsidR="009B244E">
        <w:rPr>
          <w:rStyle w:val="FootnoteReference"/>
        </w:rPr>
        <w:footnoteReference w:id="13"/>
      </w:r>
      <w:r w:rsidR="00A517D9">
        <w:t xml:space="preserve"> provided utilities</w:t>
      </w:r>
      <w:r w:rsidR="00CF7A5E">
        <w:t xml:space="preserve"> with</w:t>
      </w:r>
      <w:r w:rsidR="00A517D9">
        <w:t xml:space="preserve"> </w:t>
      </w:r>
      <w:r w:rsidR="00EA3299">
        <w:t xml:space="preserve">discretion to </w:t>
      </w:r>
      <w:r w:rsidR="00A517D9">
        <w:t xml:space="preserve">grant </w:t>
      </w:r>
      <w:r w:rsidR="00EA3299">
        <w:t>NEM 2</w:t>
      </w:r>
      <w:r w:rsidR="00E6237A">
        <w:t xml:space="preserve"> tariff</w:t>
      </w:r>
      <w:r w:rsidR="00EA3299">
        <w:t xml:space="preserve"> </w:t>
      </w:r>
      <w:r w:rsidR="00A517D9">
        <w:t xml:space="preserve">treatment to </w:t>
      </w:r>
      <w:r w:rsidR="00777971">
        <w:t xml:space="preserve">rooftop </w:t>
      </w:r>
      <w:r w:rsidR="00A517D9">
        <w:t xml:space="preserve">solar </w:t>
      </w:r>
      <w:r w:rsidR="00777971">
        <w:t xml:space="preserve">applications </w:t>
      </w:r>
      <w:r w:rsidR="00A517D9">
        <w:t xml:space="preserve">if the </w:t>
      </w:r>
      <w:r w:rsidR="00EA3299">
        <w:t>utility or challenging circumstances caused the failure to meet the</w:t>
      </w:r>
      <w:r w:rsidR="00A517D9">
        <w:t xml:space="preserve"> deadline</w:t>
      </w:r>
      <w:r w:rsidR="00EA3299">
        <w:t>.</w:t>
      </w:r>
      <w:r>
        <w:t xml:space="preserve"> </w:t>
      </w:r>
      <w:r w:rsidR="00E6237A">
        <w:t xml:space="preserve"> </w:t>
      </w:r>
      <w:r w:rsidR="00CF7A5E">
        <w:t xml:space="preserve">Ms. Yen indicated that her application occurred under challenging </w:t>
      </w:r>
      <w:r w:rsidR="00CF7A5E">
        <w:lastRenderedPageBreak/>
        <w:t>circumstances and that the Commission’s intervention</w:t>
      </w:r>
      <w:r w:rsidR="00E6237A">
        <w:t xml:space="preserve">, directing SCE to apply the NEM 2 tariff would be an equitable resolution, </w:t>
      </w:r>
      <w:r w:rsidR="00CF7A5E">
        <w:t xml:space="preserve">a key </w:t>
      </w:r>
      <w:r w:rsidR="00E6237A">
        <w:t xml:space="preserve">principle of Commission </w:t>
      </w:r>
      <w:r w:rsidR="00CF7A5E">
        <w:t>decision-making.</w:t>
      </w:r>
      <w:r w:rsidR="00CF7A5E">
        <w:rPr>
          <w:rStyle w:val="FootnoteReference"/>
        </w:rPr>
        <w:footnoteReference w:id="14"/>
      </w:r>
    </w:p>
    <w:p w:rsidR="00850501" w:rsidP="00850501" w:rsidRDefault="00850501" w14:paraId="3C82B266" w14:textId="4AB6919E">
      <w:pPr>
        <w:pStyle w:val="Standard"/>
      </w:pPr>
      <w:r>
        <w:t xml:space="preserve">SCE’s Answer to the complaint denied </w:t>
      </w:r>
      <w:r w:rsidR="00CF7A5E">
        <w:t>that</w:t>
      </w:r>
      <w:r>
        <w:t xml:space="preserve"> utility </w:t>
      </w:r>
      <w:r w:rsidR="00777971">
        <w:t>action</w:t>
      </w:r>
      <w:r w:rsidR="00CF7A5E">
        <w:t xml:space="preserve"> impacted the </w:t>
      </w:r>
      <w:r>
        <w:t>Complainant’s rooftop solar application</w:t>
      </w:r>
      <w:r w:rsidR="00777971">
        <w:t xml:space="preserve"> submission date</w:t>
      </w:r>
      <w:r w:rsidR="00CF7A5E">
        <w:t>.</w:t>
      </w:r>
      <w:r>
        <w:t xml:space="preserve"> </w:t>
      </w:r>
      <w:r w:rsidR="00CF7A5E">
        <w:t xml:space="preserve"> </w:t>
      </w:r>
      <w:r w:rsidR="00917CFD">
        <w:t xml:space="preserve">SCE </w:t>
      </w:r>
      <w:r w:rsidR="00CF7A5E">
        <w:t xml:space="preserve">additionally </w:t>
      </w:r>
      <w:r w:rsidR="00917CFD">
        <w:t xml:space="preserve">submitted a Motion to Dismiss the </w:t>
      </w:r>
      <w:r w:rsidR="00CF7A5E">
        <w:t>C</w:t>
      </w:r>
      <w:r w:rsidR="00917CFD">
        <w:t xml:space="preserve">omplaint for failure </w:t>
      </w:r>
      <w:r w:rsidR="00CF7A5E">
        <w:t>state a</w:t>
      </w:r>
      <w:r>
        <w:t xml:space="preserve"> violation of a Commission order.</w:t>
      </w:r>
      <w:r>
        <w:rPr>
          <w:rStyle w:val="FootnoteReference"/>
        </w:rPr>
        <w:footnoteReference w:id="15"/>
      </w:r>
      <w:r>
        <w:t xml:space="preserve"> </w:t>
      </w:r>
      <w:r w:rsidR="00CF7A5E">
        <w:t xml:space="preserve"> </w:t>
      </w:r>
      <w:r>
        <w:t xml:space="preserve">SCE did, however, agree with the Complainant in principle in both its Answer and Motion, that D.22-12-056 </w:t>
      </w:r>
      <w:r w:rsidR="00CF7A5E">
        <w:t>provided</w:t>
      </w:r>
      <w:r>
        <w:t xml:space="preserve"> the utility </w:t>
      </w:r>
      <w:r w:rsidR="00CF7A5E">
        <w:t xml:space="preserve">with </w:t>
      </w:r>
      <w:r>
        <w:t>discretion to</w:t>
      </w:r>
      <w:r w:rsidR="00A517D9">
        <w:t xml:space="preserve"> </w:t>
      </w:r>
      <w:r w:rsidR="00CF7A5E">
        <w:t xml:space="preserve">apply </w:t>
      </w:r>
      <w:r>
        <w:t>NEM 2</w:t>
      </w:r>
      <w:r w:rsidR="00E6237A">
        <w:t xml:space="preserve"> tariff</w:t>
      </w:r>
      <w:r>
        <w:t xml:space="preserve"> </w:t>
      </w:r>
      <w:r w:rsidR="00A517D9">
        <w:t xml:space="preserve">treatment </w:t>
      </w:r>
      <w:r w:rsidR="00A276AF">
        <w:t xml:space="preserve">to a rooftop solar application </w:t>
      </w:r>
      <w:r w:rsidR="00E6237A">
        <w:t>submitted</w:t>
      </w:r>
      <w:r w:rsidR="00A276AF">
        <w:t xml:space="preserve"> </w:t>
      </w:r>
      <w:r>
        <w:t xml:space="preserve">after the </w:t>
      </w:r>
      <w:r w:rsidR="00E6237A">
        <w:t xml:space="preserve">tariff </w:t>
      </w:r>
      <w:r>
        <w:t>Sunset Date if delays were caused by the utility</w:t>
      </w:r>
      <w:r w:rsidR="00E6237A">
        <w:t xml:space="preserve">. SCE additionally admitted </w:t>
      </w:r>
      <w:r w:rsidR="00A276AF">
        <w:t xml:space="preserve">that </w:t>
      </w:r>
      <w:r>
        <w:t>Complainant</w:t>
      </w:r>
      <w:r w:rsidR="00566E10">
        <w:t xml:space="preserve"> signed her rooftop solar application</w:t>
      </w:r>
      <w:r w:rsidR="00A276AF">
        <w:t xml:space="preserve"> documents prior to the</w:t>
      </w:r>
      <w:r w:rsidR="00566E10">
        <w:t xml:space="preserve"> </w:t>
      </w:r>
      <w:r w:rsidR="0051301F">
        <w:t xml:space="preserve">NEM 2, </w:t>
      </w:r>
      <w:r w:rsidR="00566E10">
        <w:t xml:space="preserve">April 15, 2023, </w:t>
      </w:r>
      <w:r w:rsidR="00A517D9">
        <w:t>Sunset Date</w:t>
      </w:r>
      <w:r w:rsidR="00566E10">
        <w:t>.</w:t>
      </w:r>
      <w:r w:rsidR="00A276AF">
        <w:rPr>
          <w:rStyle w:val="FootnoteReference"/>
        </w:rPr>
        <w:footnoteReference w:id="16"/>
      </w:r>
      <w:r w:rsidR="00A276AF">
        <w:t xml:space="preserve">  </w:t>
      </w:r>
      <w:r w:rsidR="00566E10">
        <w:t xml:space="preserve">SCE </w:t>
      </w:r>
      <w:r w:rsidR="00A517D9">
        <w:t xml:space="preserve">admitted </w:t>
      </w:r>
      <w:r w:rsidR="00566E10">
        <w:t>that the delay was caused by Complainant’s contractor’s bankruptcy and cessation of operations.</w:t>
      </w:r>
      <w:r w:rsidR="00566E10">
        <w:rPr>
          <w:rStyle w:val="FootnoteReference"/>
        </w:rPr>
        <w:footnoteReference w:id="17"/>
      </w:r>
      <w:r w:rsidR="00566E10">
        <w:t xml:space="preserve">  SCE conclude</w:t>
      </w:r>
      <w:r w:rsidR="00A517D9">
        <w:t>d</w:t>
      </w:r>
      <w:r w:rsidR="00566E10">
        <w:t xml:space="preserve"> that the facts alleged</w:t>
      </w:r>
      <w:r w:rsidR="00A276AF">
        <w:t xml:space="preserve"> in the Complaint</w:t>
      </w:r>
      <w:r w:rsidR="00566E10">
        <w:t xml:space="preserve">, </w:t>
      </w:r>
      <w:r w:rsidR="00A517D9">
        <w:t xml:space="preserve">if </w:t>
      </w:r>
      <w:r w:rsidR="00566E10">
        <w:t>taken as true, confirm</w:t>
      </w:r>
      <w:r w:rsidR="00A517D9">
        <w:t>ed</w:t>
      </w:r>
      <w:r w:rsidR="00566E10">
        <w:t xml:space="preserve"> that Complainant failed to establish</w:t>
      </w:r>
      <w:r w:rsidR="00AD16DE">
        <w:t xml:space="preserve"> a </w:t>
      </w:r>
      <w:r w:rsidR="00566E10">
        <w:t>utility violat</w:t>
      </w:r>
      <w:r w:rsidR="00AD16DE">
        <w:t>ion,</w:t>
      </w:r>
      <w:r w:rsidR="00A517D9">
        <w:t xml:space="preserve"> and</w:t>
      </w:r>
      <w:r w:rsidR="00AD16DE">
        <w:t xml:space="preserve"> </w:t>
      </w:r>
      <w:r w:rsidR="00A517D9">
        <w:t>t</w:t>
      </w:r>
      <w:r w:rsidR="00566E10">
        <w:t xml:space="preserve">herefore, </w:t>
      </w:r>
      <w:r w:rsidR="00A517D9">
        <w:t>could not</w:t>
      </w:r>
      <w:r w:rsidR="00566E10">
        <w:t xml:space="preserve"> </w:t>
      </w:r>
      <w:r w:rsidR="0051301F">
        <w:t>resolve the dispute with the use of</w:t>
      </w:r>
      <w:r w:rsidR="00AD16DE">
        <w:t xml:space="preserve"> </w:t>
      </w:r>
      <w:r w:rsidR="00566E10">
        <w:t>discretion</w:t>
      </w:r>
      <w:r w:rsidR="00A276AF">
        <w:t>.</w:t>
      </w:r>
      <w:r w:rsidR="00A517D9">
        <w:rPr>
          <w:rStyle w:val="FootnoteReference"/>
        </w:rPr>
        <w:footnoteReference w:id="18"/>
      </w:r>
      <w:r w:rsidR="00566E10">
        <w:t xml:space="preserve"> </w:t>
      </w:r>
    </w:p>
    <w:p w:rsidR="00E14A7D" w:rsidP="00850501" w:rsidRDefault="00C92116" w14:paraId="2364A6B9" w14:textId="0B638341">
      <w:pPr>
        <w:pStyle w:val="Standard"/>
      </w:pPr>
      <w:r>
        <w:t>A question remained: were</w:t>
      </w:r>
      <w:r w:rsidR="00E14A7D">
        <w:t xml:space="preserve"> any of the rooftop solar </w:t>
      </w:r>
      <w:r>
        <w:t xml:space="preserve">application </w:t>
      </w:r>
      <w:r w:rsidR="00E14A7D">
        <w:t>documents signed by Ms. Yen in advance of the NEM 2</w:t>
      </w:r>
      <w:r w:rsidR="0051301F">
        <w:t xml:space="preserve"> tariff</w:t>
      </w:r>
      <w:r w:rsidR="00E14A7D">
        <w:t xml:space="preserve"> </w:t>
      </w:r>
      <w:r w:rsidR="00A517D9">
        <w:t>Sunset Date</w:t>
      </w:r>
      <w:r w:rsidR="00E14A7D">
        <w:t xml:space="preserve"> submitted to SCE by any</w:t>
      </w:r>
      <w:r>
        <w:t xml:space="preserve">one with </w:t>
      </w:r>
      <w:r w:rsidR="00E14A7D">
        <w:t>access to Ms. Yen’s file at any point</w:t>
      </w:r>
      <w:r>
        <w:t xml:space="preserve"> in advance of the NEM 2</w:t>
      </w:r>
      <w:r w:rsidR="0051301F">
        <w:t xml:space="preserve"> </w:t>
      </w:r>
      <w:r w:rsidR="0051301F">
        <w:lastRenderedPageBreak/>
        <w:t xml:space="preserve">tariff </w:t>
      </w:r>
      <w:r>
        <w:t xml:space="preserve">deadline?  </w:t>
      </w:r>
      <w:r w:rsidR="00E14A7D">
        <w:t xml:space="preserve">Despite the Answer and Motion filed by SCE, this minutia remained unclear and required </w:t>
      </w:r>
      <w:r>
        <w:t xml:space="preserve">additional inquiry. </w:t>
      </w:r>
    </w:p>
    <w:p w:rsidR="00F56C72" w:rsidP="00F56C72" w:rsidRDefault="008B4964" w14:paraId="3D004BE5" w14:textId="491C8F09">
      <w:pPr>
        <w:pStyle w:val="Standard"/>
      </w:pPr>
      <w:r>
        <w:t xml:space="preserve">At the </w:t>
      </w:r>
      <w:r w:rsidR="003C0BC0">
        <w:t>PHC</w:t>
      </w:r>
      <w:r>
        <w:t xml:space="preserve">, the </w:t>
      </w:r>
      <w:r w:rsidR="00C92116">
        <w:t xml:space="preserve">assigned </w:t>
      </w:r>
      <w:r>
        <w:t xml:space="preserve">ALJ considered </w:t>
      </w:r>
      <w:r w:rsidR="00C92116">
        <w:t xml:space="preserve">the number of complicating factors </w:t>
      </w:r>
      <w:r w:rsidR="00AD16DE">
        <w:t xml:space="preserve">that may have impacted Ms. Yen’s </w:t>
      </w:r>
      <w:r w:rsidR="00C92116">
        <w:t>rooftop solar application</w:t>
      </w:r>
      <w:r w:rsidR="00AD16DE">
        <w:t xml:space="preserve"> submission date and </w:t>
      </w:r>
      <w:r w:rsidR="00E14A7D">
        <w:t xml:space="preserve">whether the Complainant’s due process rights would be fulfilled if the Answer and the Motion were </w:t>
      </w:r>
      <w:r w:rsidR="009C559F">
        <w:t xml:space="preserve">simply </w:t>
      </w:r>
      <w:r w:rsidR="00E14A7D">
        <w:t xml:space="preserve">taken, “as true.” </w:t>
      </w:r>
      <w:r w:rsidR="00C92116">
        <w:t xml:space="preserve"> </w:t>
      </w:r>
      <w:r w:rsidR="00AD16DE">
        <w:t>T</w:t>
      </w:r>
      <w:r w:rsidR="00E14A7D">
        <w:t xml:space="preserve">he </w:t>
      </w:r>
      <w:r w:rsidR="00C92116">
        <w:t xml:space="preserve">assigned </w:t>
      </w:r>
      <w:r w:rsidR="00E14A7D">
        <w:t xml:space="preserve">ALJ provided parties with </w:t>
      </w:r>
      <w:r w:rsidR="00CE4416">
        <w:t xml:space="preserve">examples </w:t>
      </w:r>
      <w:r w:rsidR="00C92116">
        <w:t xml:space="preserve">of </w:t>
      </w:r>
      <w:r w:rsidR="00AD16DE">
        <w:t xml:space="preserve">the type of evidence that should be exchanged in </w:t>
      </w:r>
      <w:r w:rsidR="00C92116">
        <w:t xml:space="preserve">the </w:t>
      </w:r>
      <w:r w:rsidR="00CE4416">
        <w:t>discovery</w:t>
      </w:r>
      <w:r w:rsidR="00C92116">
        <w:t xml:space="preserve"> process</w:t>
      </w:r>
      <w:r w:rsidR="00AD16DE">
        <w:t>, should it existed</w:t>
      </w:r>
      <w:r w:rsidR="00DF6C26">
        <w:t>.</w:t>
      </w:r>
      <w:r w:rsidR="00372122">
        <w:rPr>
          <w:rStyle w:val="FootnoteReference"/>
        </w:rPr>
        <w:footnoteReference w:id="19"/>
      </w:r>
      <w:r w:rsidR="00F56C72">
        <w:t xml:space="preserve">  Only once parties did a </w:t>
      </w:r>
      <w:proofErr w:type="spellStart"/>
      <w:r w:rsidR="00F56C72">
        <w:t>through</w:t>
      </w:r>
      <w:proofErr w:type="spellEnd"/>
      <w:r w:rsidR="00F56C72">
        <w:t xml:space="preserve"> investigation of their internal communications to verify that there were not, in fact, indications of partial communication, partial application submission, or poor customer service, could </w:t>
      </w:r>
      <w:r w:rsidR="00AD16DE">
        <w:t>a</w:t>
      </w:r>
      <w:r w:rsidR="00F56C72">
        <w:t xml:space="preserve"> conclusion be drawn that the complaint contained no claim upon which relief </w:t>
      </w:r>
      <w:r w:rsidR="00AD16DE">
        <w:t>could</w:t>
      </w:r>
      <w:r w:rsidR="00F56C72">
        <w:t xml:space="preserve"> be granted</w:t>
      </w:r>
      <w:r w:rsidR="00AD16DE">
        <w:t>.</w:t>
      </w:r>
    </w:p>
    <w:p w:rsidR="001D1B51" w:rsidP="004D4324" w:rsidRDefault="001D1B51" w14:paraId="7CBA650A" w14:textId="77777777">
      <w:pPr>
        <w:pStyle w:val="Heading2"/>
        <w:numPr>
          <w:ilvl w:val="1"/>
          <w:numId w:val="1"/>
        </w:numPr>
      </w:pPr>
      <w:bookmarkStart w:name="_Toc213144855" w:id="14"/>
      <w:r>
        <w:t>No Evidence</w:t>
      </w:r>
      <w:bookmarkEnd w:id="14"/>
      <w:r>
        <w:t xml:space="preserve"> </w:t>
      </w:r>
    </w:p>
    <w:p w:rsidR="001D1B51" w:rsidP="001D1B51" w:rsidRDefault="006364FB" w14:paraId="2725E758" w14:textId="36025129">
      <w:pPr>
        <w:pStyle w:val="Standard"/>
      </w:pPr>
      <w:r>
        <w:t>D</w:t>
      </w:r>
      <w:r w:rsidR="003C0BC0">
        <w:t xml:space="preserve">ecision </w:t>
      </w:r>
      <w:r>
        <w:t>22-12-056 provides SCE with discretion to apply NEM 2 tariff treatment to a rooftop solar application submitted after the tariff Sunset Date if delays were caused by the utility.</w:t>
      </w:r>
      <w:r>
        <w:rPr>
          <w:rStyle w:val="FootnoteReference"/>
        </w:rPr>
        <w:footnoteReference w:id="20"/>
      </w:r>
      <w:r>
        <w:t xml:space="preserve"> </w:t>
      </w:r>
      <w:r w:rsidR="00F13411">
        <w:t xml:space="preserve">In the </w:t>
      </w:r>
      <w:r w:rsidR="001D1B51">
        <w:t>Scoping Memo issued on August</w:t>
      </w:r>
      <w:r w:rsidR="003C0BC0">
        <w:t> </w:t>
      </w:r>
      <w:r w:rsidR="001D1B51">
        <w:t>15,</w:t>
      </w:r>
      <w:r w:rsidR="003C0BC0">
        <w:t> </w:t>
      </w:r>
      <w:r w:rsidR="001D1B51">
        <w:t>2025, parties were directed to collect</w:t>
      </w:r>
      <w:r w:rsidR="00F13411">
        <w:t xml:space="preserve"> and exchange</w:t>
      </w:r>
      <w:r w:rsidR="001D1B51">
        <w:t xml:space="preserve"> </w:t>
      </w:r>
      <w:proofErr w:type="gramStart"/>
      <w:r w:rsidR="001D1B51">
        <w:t>discovery</w:t>
      </w:r>
      <w:proofErr w:type="gramEnd"/>
      <w:r w:rsidR="001D1B51">
        <w:t xml:space="preserve"> </w:t>
      </w:r>
      <w:r w:rsidR="001E7A7E">
        <w:t>as follows,</w:t>
      </w:r>
      <w:r w:rsidR="001D1B51">
        <w:t xml:space="preserve"> should it exist:</w:t>
      </w:r>
    </w:p>
    <w:p w:rsidRPr="001E7A7E" w:rsidR="001D1B51" w:rsidP="003C0BC0" w:rsidRDefault="001D1B51" w14:paraId="7428F016" w14:textId="77777777">
      <w:pPr>
        <w:pStyle w:val="standard0"/>
        <w:numPr>
          <w:ilvl w:val="0"/>
          <w:numId w:val="19"/>
        </w:numPr>
        <w:tabs>
          <w:tab w:val="left" w:pos="1080"/>
        </w:tabs>
        <w:spacing w:after="120" w:line="240" w:lineRule="auto"/>
        <w:ind w:left="1080" w:right="1440"/>
        <w:rPr>
          <w:rFonts w:ascii="Book Antiqua" w:hAnsi="Book Antiqua"/>
          <w:szCs w:val="26"/>
        </w:rPr>
      </w:pPr>
      <w:r w:rsidRPr="001E7A7E">
        <w:rPr>
          <w:rFonts w:ascii="Book Antiqua" w:hAnsi="Book Antiqua"/>
          <w:szCs w:val="26"/>
        </w:rPr>
        <w:t xml:space="preserve">All documents submitted on behalf of Ms. Yen to SCE by American Solar Advantage, and on what </w:t>
      </w:r>
      <w:proofErr w:type="gramStart"/>
      <w:r w:rsidRPr="001E7A7E">
        <w:rPr>
          <w:rFonts w:ascii="Book Antiqua" w:hAnsi="Book Antiqua"/>
          <w:szCs w:val="26"/>
        </w:rPr>
        <w:t>date;</w:t>
      </w:r>
      <w:proofErr w:type="gramEnd"/>
    </w:p>
    <w:p w:rsidRPr="001E7A7E" w:rsidR="001D1B51" w:rsidP="003C0BC0" w:rsidRDefault="001D1B51" w14:paraId="54D6875D" w14:textId="77777777">
      <w:pPr>
        <w:pStyle w:val="standard0"/>
        <w:numPr>
          <w:ilvl w:val="0"/>
          <w:numId w:val="19"/>
        </w:numPr>
        <w:tabs>
          <w:tab w:val="left" w:pos="1080"/>
        </w:tabs>
        <w:spacing w:after="120" w:line="240" w:lineRule="auto"/>
        <w:ind w:left="1080" w:right="1440"/>
        <w:rPr>
          <w:rFonts w:ascii="Book Antiqua" w:hAnsi="Book Antiqua"/>
          <w:szCs w:val="26"/>
        </w:rPr>
      </w:pPr>
      <w:r w:rsidRPr="001E7A7E">
        <w:rPr>
          <w:rFonts w:ascii="Book Antiqua" w:hAnsi="Book Antiqua"/>
          <w:szCs w:val="26"/>
        </w:rPr>
        <w:t xml:space="preserve">All evidence of SCE’s response to American Solar Advantage’s submission, if any, including the date of the response and its </w:t>
      </w:r>
      <w:proofErr w:type="gramStart"/>
      <w:r w:rsidRPr="001E7A7E">
        <w:rPr>
          <w:rFonts w:ascii="Book Antiqua" w:hAnsi="Book Antiqua"/>
          <w:szCs w:val="26"/>
        </w:rPr>
        <w:t>contents;</w:t>
      </w:r>
      <w:proofErr w:type="gramEnd"/>
    </w:p>
    <w:p w:rsidRPr="001E7A7E" w:rsidR="001D1B51" w:rsidP="003C0BC0" w:rsidRDefault="001D1B51" w14:paraId="2654DE57" w14:textId="77777777">
      <w:pPr>
        <w:pStyle w:val="standard0"/>
        <w:numPr>
          <w:ilvl w:val="0"/>
          <w:numId w:val="19"/>
        </w:numPr>
        <w:tabs>
          <w:tab w:val="left" w:pos="1080"/>
        </w:tabs>
        <w:spacing w:after="120" w:line="240" w:lineRule="auto"/>
        <w:ind w:left="1080" w:right="1440"/>
        <w:rPr>
          <w:rFonts w:ascii="Book Antiqua" w:hAnsi="Book Antiqua"/>
          <w:szCs w:val="26"/>
        </w:rPr>
      </w:pPr>
      <w:r w:rsidRPr="001E7A7E">
        <w:rPr>
          <w:rFonts w:ascii="Book Antiqua" w:hAnsi="Book Antiqua"/>
          <w:szCs w:val="26"/>
        </w:rPr>
        <w:t xml:space="preserve">All communications, if any, American Solar Advantage had with SCE about its bankruptcy, about the transfer of its </w:t>
      </w:r>
      <w:r w:rsidRPr="001E7A7E">
        <w:rPr>
          <w:rFonts w:ascii="Book Antiqua" w:hAnsi="Book Antiqua"/>
          <w:szCs w:val="26"/>
        </w:rPr>
        <w:lastRenderedPageBreak/>
        <w:t xml:space="preserve">accounts to other organizations, and things of that nature; and </w:t>
      </w:r>
    </w:p>
    <w:p w:rsidRPr="001E7A7E" w:rsidR="001D1B51" w:rsidP="003C0BC0" w:rsidRDefault="001D1B51" w14:paraId="2ACBAE1A" w14:textId="77777777">
      <w:pPr>
        <w:pStyle w:val="standard0"/>
        <w:numPr>
          <w:ilvl w:val="0"/>
          <w:numId w:val="19"/>
        </w:numPr>
        <w:tabs>
          <w:tab w:val="left" w:pos="1080"/>
        </w:tabs>
        <w:spacing w:after="120" w:line="240" w:lineRule="auto"/>
        <w:ind w:left="1080" w:right="1440"/>
        <w:rPr>
          <w:rFonts w:ascii="Book Antiqua" w:hAnsi="Book Antiqua"/>
          <w:szCs w:val="26"/>
        </w:rPr>
      </w:pPr>
      <w:r w:rsidRPr="001E7A7E">
        <w:rPr>
          <w:rFonts w:ascii="Book Antiqua" w:hAnsi="Book Antiqua"/>
          <w:szCs w:val="26"/>
        </w:rPr>
        <w:t xml:space="preserve">All communication between </w:t>
      </w:r>
      <w:proofErr w:type="spellStart"/>
      <w:r w:rsidRPr="001E7A7E">
        <w:rPr>
          <w:rFonts w:ascii="Book Antiqua" w:hAnsi="Book Antiqua"/>
          <w:szCs w:val="26"/>
        </w:rPr>
        <w:t>HomeLinkSolar</w:t>
      </w:r>
      <w:proofErr w:type="spellEnd"/>
      <w:r w:rsidRPr="001E7A7E">
        <w:rPr>
          <w:rFonts w:ascii="Book Antiqua" w:hAnsi="Book Antiqua"/>
          <w:szCs w:val="26"/>
        </w:rPr>
        <w:t xml:space="preserve"> and/or </w:t>
      </w:r>
      <w:proofErr w:type="spellStart"/>
      <w:r w:rsidRPr="001E7A7E">
        <w:rPr>
          <w:rFonts w:ascii="Book Antiqua" w:hAnsi="Book Antiqua"/>
          <w:szCs w:val="26"/>
        </w:rPr>
        <w:t>Guyou</w:t>
      </w:r>
      <w:proofErr w:type="spellEnd"/>
      <w:r w:rsidRPr="001E7A7E">
        <w:rPr>
          <w:rFonts w:ascii="Book Antiqua" w:hAnsi="Book Antiqua"/>
          <w:szCs w:val="26"/>
        </w:rPr>
        <w:t xml:space="preserve"> Construction Inc. and SCE with respect to the company taking on projects from the American Solar Advantage portfolio, and communication between the companies with respect to Ms. Yen’s application specifically.</w:t>
      </w:r>
    </w:p>
    <w:p w:rsidR="00F13411" w:rsidP="001D1B51" w:rsidRDefault="00F13411" w14:paraId="7918EF9D" w14:textId="10FF1965">
      <w:pPr>
        <w:pStyle w:val="Standard"/>
      </w:pPr>
      <w:r>
        <w:t>P</w:t>
      </w:r>
      <w:r w:rsidR="001D1B51">
        <w:t xml:space="preserve">arties were </w:t>
      </w:r>
      <w:r>
        <w:t xml:space="preserve">directed to </w:t>
      </w:r>
      <w:r w:rsidR="001D1B51">
        <w:t>exchange discovery and their exhibit list</w:t>
      </w:r>
      <w:r>
        <w:t xml:space="preserve"> </w:t>
      </w:r>
      <w:r w:rsidR="001E7A7E">
        <w:t>to</w:t>
      </w:r>
      <w:r>
        <w:t xml:space="preserve"> the service list on September 29, 2025.</w:t>
      </w:r>
      <w:r w:rsidR="001D1B51">
        <w:t xml:space="preserve"> </w:t>
      </w:r>
      <w:r>
        <w:t xml:space="preserve"> By the close of business on September 29, </w:t>
      </w:r>
      <w:r w:rsidR="001D1B51">
        <w:t>Ms.</w:t>
      </w:r>
      <w:r w:rsidR="003C0BC0">
        <w:t> </w:t>
      </w:r>
      <w:r w:rsidR="001D1B51">
        <w:t xml:space="preserve">Yen did not email </w:t>
      </w:r>
      <w:r w:rsidR="001E7A7E">
        <w:t xml:space="preserve">responsive </w:t>
      </w:r>
      <w:proofErr w:type="gramStart"/>
      <w:r w:rsidR="001D1B51">
        <w:t>discovery</w:t>
      </w:r>
      <w:proofErr w:type="gramEnd"/>
      <w:r w:rsidR="001D1B51">
        <w:t xml:space="preserve"> or exhibits to the service list.  </w:t>
      </w:r>
      <w:r>
        <w:t xml:space="preserve">Neither did she exchange other evidence </w:t>
      </w:r>
      <w:r w:rsidR="001E7A7E">
        <w:t>with SCE:</w:t>
      </w:r>
      <w:r>
        <w:t xml:space="preserve"> no affidavit from a solar contractor, no request for an interpreter, no motion by an attorney indicating further representation. </w:t>
      </w:r>
    </w:p>
    <w:p w:rsidR="001D1B51" w:rsidP="001D1B51" w:rsidRDefault="001D1B51" w14:paraId="0181DC6A" w14:textId="5D8957C0">
      <w:pPr>
        <w:pStyle w:val="Standard"/>
      </w:pPr>
      <w:r>
        <w:t xml:space="preserve">SCE </w:t>
      </w:r>
      <w:r w:rsidR="001E7A7E">
        <w:t>did</w:t>
      </w:r>
      <w:r w:rsidR="00F13411">
        <w:t xml:space="preserve"> </w:t>
      </w:r>
      <w:r w:rsidR="009227A4">
        <w:t xml:space="preserve">serve </w:t>
      </w:r>
      <w:r>
        <w:t xml:space="preserve">a </w:t>
      </w:r>
      <w:r w:rsidR="009227A4">
        <w:t>document,</w:t>
      </w:r>
      <w:r>
        <w:t xml:space="preserve"> but it did not contain any </w:t>
      </w:r>
      <w:r w:rsidR="001E7A7E">
        <w:t xml:space="preserve">responsive </w:t>
      </w:r>
      <w:r>
        <w:t xml:space="preserve">discovery or exhibits </w:t>
      </w:r>
      <w:r w:rsidR="001E7A7E">
        <w:t>meeting the above</w:t>
      </w:r>
      <w:r>
        <w:t xml:space="preserve"> criteria</w:t>
      </w:r>
      <w:r w:rsidR="001E7A7E">
        <w:t>,</w:t>
      </w:r>
      <w:r w:rsidR="00F13411">
        <w:t xml:space="preserve"> nor other exhibits meriting further examination</w:t>
      </w:r>
      <w:r>
        <w:t xml:space="preserve">.  </w:t>
      </w:r>
      <w:r w:rsidR="001E7A7E">
        <w:t>No</w:t>
      </w:r>
      <w:r>
        <w:t xml:space="preserve"> evidence</w:t>
      </w:r>
      <w:r w:rsidR="001E7A7E">
        <w:t xml:space="preserve"> </w:t>
      </w:r>
      <w:r w:rsidR="009227A4">
        <w:t xml:space="preserve">existed to </w:t>
      </w:r>
      <w:r w:rsidR="001E7A7E">
        <w:t xml:space="preserve">indicate </w:t>
      </w:r>
      <w:r>
        <w:t>that any</w:t>
      </w:r>
      <w:r w:rsidR="001E7A7E">
        <w:t>one</w:t>
      </w:r>
      <w:r>
        <w:t xml:space="preserve"> attempted to submit Ms. Yen’s signed rooftop solar application</w:t>
      </w:r>
      <w:r w:rsidR="001E7A7E">
        <w:t>, in whole or in part,</w:t>
      </w:r>
      <w:r>
        <w:t xml:space="preserve"> in advance of the NEM 2 </w:t>
      </w:r>
      <w:r w:rsidR="00F13411">
        <w:t>S</w:t>
      </w:r>
      <w:r>
        <w:t xml:space="preserve">unset </w:t>
      </w:r>
      <w:r w:rsidR="00F13411">
        <w:t>D</w:t>
      </w:r>
      <w:r>
        <w:t xml:space="preserve">ate.  </w:t>
      </w:r>
    </w:p>
    <w:p w:rsidR="006364FB" w:rsidP="001D1B51" w:rsidRDefault="00516BF3" w14:paraId="4F99B134" w14:textId="77777777">
      <w:pPr>
        <w:pStyle w:val="Standard"/>
      </w:pPr>
      <w:r>
        <w:t xml:space="preserve">For an </w:t>
      </w:r>
      <w:r w:rsidR="001D1B51">
        <w:t>evidentiary hearing</w:t>
      </w:r>
      <w:r>
        <w:t xml:space="preserve"> to aid in the determination of a case</w:t>
      </w:r>
      <w:r w:rsidR="001D1B51">
        <w:t xml:space="preserve">, there must be evidence </w:t>
      </w:r>
      <w:r w:rsidR="001E7A7E">
        <w:t xml:space="preserve">to substantiate </w:t>
      </w:r>
      <w:r w:rsidR="001D1B51">
        <w:t xml:space="preserve">that there is a dispute of material </w:t>
      </w:r>
      <w:proofErr w:type="gramStart"/>
      <w:r w:rsidR="001D1B51">
        <w:t>fact</w:t>
      </w:r>
      <w:proofErr w:type="gramEnd"/>
      <w:r w:rsidR="001D1B51">
        <w:t xml:space="preserve">.  Without evidence to consider, there is no </w:t>
      </w:r>
      <w:r>
        <w:t xml:space="preserve">fact in </w:t>
      </w:r>
      <w:r w:rsidR="001D1B51">
        <w:t>dispute</w:t>
      </w:r>
      <w:r>
        <w:t>.</w:t>
      </w:r>
      <w:r w:rsidR="001D1B51">
        <w:t xml:space="preserve">  </w:t>
      </w:r>
      <w:r w:rsidR="001E7A7E">
        <w:t xml:space="preserve">Without evidence to </w:t>
      </w:r>
      <w:proofErr w:type="gramStart"/>
      <w:r w:rsidR="006364FB">
        <w:t>consider in</w:t>
      </w:r>
      <w:proofErr w:type="gramEnd"/>
      <w:r w:rsidR="006364FB">
        <w:t xml:space="preserve"> this case</w:t>
      </w:r>
      <w:r w:rsidR="001E7A7E">
        <w:t>, t</w:t>
      </w:r>
      <w:r w:rsidR="001D1B51">
        <w:t xml:space="preserve">he </w:t>
      </w:r>
      <w:r>
        <w:t xml:space="preserve">assigned </w:t>
      </w:r>
      <w:r w:rsidR="001D1B51">
        <w:t xml:space="preserve">ALJ </w:t>
      </w:r>
      <w:r>
        <w:t>issued</w:t>
      </w:r>
      <w:r w:rsidR="001D1B51">
        <w:t xml:space="preserve"> a ruling taking evidentiary hearings off the calendar</w:t>
      </w:r>
      <w:r w:rsidR="001E7A7E">
        <w:t xml:space="preserve"> the following week</w:t>
      </w:r>
      <w:r w:rsidR="001D1B51">
        <w:t>.</w:t>
      </w:r>
      <w:r>
        <w:rPr>
          <w:rStyle w:val="FootnoteReference"/>
        </w:rPr>
        <w:footnoteReference w:id="21"/>
      </w:r>
      <w:r w:rsidR="001D1B51">
        <w:t xml:space="preserve">  </w:t>
      </w:r>
    </w:p>
    <w:p w:rsidR="0030055C" w:rsidP="001D1B51" w:rsidRDefault="001D1B51" w14:paraId="62683A41" w14:textId="35030313">
      <w:pPr>
        <w:pStyle w:val="Standard"/>
      </w:pPr>
      <w:r>
        <w:t xml:space="preserve">Without evidence </w:t>
      </w:r>
      <w:r w:rsidR="001E7A7E">
        <w:t xml:space="preserve">to show </w:t>
      </w:r>
      <w:r>
        <w:t xml:space="preserve">that </w:t>
      </w:r>
      <w:r w:rsidR="001E7A7E">
        <w:t>SCE</w:t>
      </w:r>
      <w:r>
        <w:t xml:space="preserve"> action delayed Ms. Yen’s rooftop solar application</w:t>
      </w:r>
      <w:r w:rsidR="00516BF3">
        <w:t>,</w:t>
      </w:r>
      <w:r>
        <w:t xml:space="preserve"> </w:t>
      </w:r>
      <w:r w:rsidR="001E7A7E">
        <w:t xml:space="preserve">even considering challenging circumstances outside of Ms. Yen’s </w:t>
      </w:r>
      <w:r w:rsidR="001E7A7E">
        <w:lastRenderedPageBreak/>
        <w:t>control, the utility lacked</w:t>
      </w:r>
      <w:r>
        <w:t xml:space="preserve"> authority to </w:t>
      </w:r>
      <w:r w:rsidR="00516BF3">
        <w:t>apply</w:t>
      </w:r>
      <w:r>
        <w:t xml:space="preserve"> discretion</w:t>
      </w:r>
      <w:r w:rsidR="00516BF3">
        <w:t xml:space="preserve"> to the tariff applied to the </w:t>
      </w:r>
      <w:r w:rsidR="001E7A7E">
        <w:t xml:space="preserve">rooftop solar </w:t>
      </w:r>
      <w:r w:rsidR="00516BF3">
        <w:t>application</w:t>
      </w:r>
      <w:r w:rsidR="001E7A7E">
        <w:t>.</w:t>
      </w:r>
    </w:p>
    <w:p w:rsidR="00EA36C6" w:rsidP="004D4324" w:rsidRDefault="0030055C" w14:paraId="5C55CE9C" w14:textId="47ECE034">
      <w:pPr>
        <w:pStyle w:val="Heading2"/>
        <w:numPr>
          <w:ilvl w:val="1"/>
          <w:numId w:val="1"/>
        </w:numPr>
      </w:pPr>
      <w:bookmarkStart w:name="_Toc213144856" w:id="15"/>
      <w:r>
        <w:t>Motion to Dismiss Granted</w:t>
      </w:r>
      <w:bookmarkEnd w:id="15"/>
    </w:p>
    <w:p w:rsidR="00F805F4" w:rsidP="00F805F4" w:rsidRDefault="00F805F4" w14:paraId="68B59292" w14:textId="55311BEB">
      <w:pPr>
        <w:pStyle w:val="Standard"/>
      </w:pPr>
      <w:r>
        <w:t>In SCE’s July 3, 2025</w:t>
      </w:r>
      <w:r w:rsidR="0092186F">
        <w:t>,</w:t>
      </w:r>
      <w:r>
        <w:t xml:space="preserve"> Motion to Dismiss, SCE </w:t>
      </w:r>
      <w:r w:rsidR="00544626">
        <w:t xml:space="preserve">argued that Complainant did not show that the utility violated a Commission Decision </w:t>
      </w:r>
      <w:r w:rsidR="00FD628E">
        <w:t xml:space="preserve">with respect to the application of NEM 3 tariff treatment to </w:t>
      </w:r>
      <w:r w:rsidR="00544626">
        <w:t>Ms. Yen’s rooftop solar application.</w:t>
      </w:r>
      <w:r w:rsidR="00544626">
        <w:rPr>
          <w:rStyle w:val="FootnoteReference"/>
        </w:rPr>
        <w:footnoteReference w:id="22"/>
      </w:r>
      <w:r w:rsidR="00544626">
        <w:t xml:space="preserve">  To apply discretion to tariff applied to a</w:t>
      </w:r>
      <w:r w:rsidR="00FD628E">
        <w:t xml:space="preserve"> rooftop solar application submitted after the </w:t>
      </w:r>
      <w:r w:rsidR="00544626">
        <w:t>tariff Sunset Date</w:t>
      </w:r>
      <w:r w:rsidR="00FD628E">
        <w:t>, SCE must have caused some delay to occur</w:t>
      </w:r>
      <w:r w:rsidR="00544626">
        <w:t>.</w:t>
      </w:r>
      <w:r>
        <w:rPr>
          <w:rStyle w:val="FootnoteReference"/>
        </w:rPr>
        <w:footnoteReference w:id="23"/>
      </w:r>
      <w:r>
        <w:t xml:space="preserve">  </w:t>
      </w:r>
      <w:r w:rsidR="00812121">
        <w:t>After</w:t>
      </w:r>
      <w:r>
        <w:t xml:space="preserve"> the </w:t>
      </w:r>
      <w:r w:rsidR="00812121">
        <w:t xml:space="preserve">assigned </w:t>
      </w:r>
      <w:r>
        <w:t xml:space="preserve">ALJ </w:t>
      </w:r>
      <w:r w:rsidR="00812121">
        <w:t xml:space="preserve">directed </w:t>
      </w:r>
      <w:r>
        <w:t xml:space="preserve">parties to look </w:t>
      </w:r>
      <w:r w:rsidR="00812121">
        <w:t xml:space="preserve">for </w:t>
      </w:r>
      <w:r>
        <w:t xml:space="preserve">and deliver </w:t>
      </w:r>
      <w:r w:rsidR="00812121">
        <w:t xml:space="preserve">associated </w:t>
      </w:r>
      <w:r w:rsidR="00544626">
        <w:t>discovery</w:t>
      </w:r>
      <w:r w:rsidR="00812121">
        <w:t xml:space="preserve"> to the</w:t>
      </w:r>
      <w:r>
        <w:t xml:space="preserve"> service list,</w:t>
      </w:r>
      <w:r w:rsidR="00812121">
        <w:t xml:space="preserve"> no evidence </w:t>
      </w:r>
      <w:r>
        <w:t>affiliated</w:t>
      </w:r>
      <w:r w:rsidR="00812121">
        <w:t xml:space="preserve"> with </w:t>
      </w:r>
      <w:r>
        <w:t>Ms. Yen’s rooftop solar application</w:t>
      </w:r>
      <w:r w:rsidR="00812121">
        <w:t xml:space="preserve"> </w:t>
      </w:r>
      <w:r w:rsidR="00544626">
        <w:t xml:space="preserve">submission exchanged between parties </w:t>
      </w:r>
      <w:r>
        <w:t xml:space="preserve">by the discovery cut-off date. </w:t>
      </w:r>
      <w:r w:rsidR="00812121">
        <w:t xml:space="preserve"> Since n</w:t>
      </w:r>
      <w:r>
        <w:t>o evidence exist</w:t>
      </w:r>
      <w:r w:rsidR="00544626">
        <w:t>s</w:t>
      </w:r>
      <w:r>
        <w:t xml:space="preserve"> to support Ms. Yen’s complaint</w:t>
      </w:r>
      <w:r w:rsidR="00812121">
        <w:t xml:space="preserve">, </w:t>
      </w:r>
      <w:r>
        <w:t>the Commission canno</w:t>
      </w:r>
      <w:r w:rsidR="00007149">
        <w:t xml:space="preserve">t conclude that there was a violation requiring a remedy, </w:t>
      </w:r>
      <w:r>
        <w:t xml:space="preserve">even in </w:t>
      </w:r>
      <w:proofErr w:type="gramStart"/>
      <w:r>
        <w:t>equity</w:t>
      </w:r>
      <w:proofErr w:type="gramEnd"/>
      <w:r>
        <w:t>.</w:t>
      </w:r>
    </w:p>
    <w:p w:rsidR="00E45787" w:rsidP="00F805F4" w:rsidRDefault="00007149" w14:paraId="7A7319C8" w14:textId="7D731493">
      <w:pPr>
        <w:pStyle w:val="Standard"/>
      </w:pPr>
      <w:r>
        <w:t>The complaint has failed to allege a violation for which the Commission may assess a remedy</w:t>
      </w:r>
      <w:r w:rsidR="00FD628E">
        <w:t xml:space="preserve"> and, therefore, </w:t>
      </w:r>
      <w:r>
        <w:t xml:space="preserve">the Commission grants SCE’s Motion to Dismiss the complaint with prejudice.  </w:t>
      </w:r>
    </w:p>
    <w:p w:rsidR="00FA1B4F" w:rsidP="004D4324" w:rsidRDefault="005939A5" w14:paraId="7F7FD917" w14:textId="7E0ED85D">
      <w:pPr>
        <w:pStyle w:val="Heading1"/>
        <w:numPr>
          <w:ilvl w:val="0"/>
          <w:numId w:val="1"/>
        </w:numPr>
      </w:pPr>
      <w:bookmarkStart w:name="_Toc8123721" w:id="16"/>
      <w:bookmarkStart w:name="_Toc213144857" w:id="17"/>
      <w:r>
        <w:t>Conclusion</w:t>
      </w:r>
      <w:bookmarkEnd w:id="16"/>
      <w:bookmarkEnd w:id="17"/>
      <w:r w:rsidR="00A6185F">
        <w:t xml:space="preserve"> </w:t>
      </w:r>
    </w:p>
    <w:p w:rsidRPr="00343E5C" w:rsidR="00343E5C" w:rsidP="00343E5C" w:rsidRDefault="00007149" w14:paraId="66B83725" w14:textId="04FE2152">
      <w:pPr>
        <w:pStyle w:val="Standard"/>
      </w:pPr>
      <w:r>
        <w:t xml:space="preserve">The Commission grants SCE’s Motion to Dismiss this complaint for failure to </w:t>
      </w:r>
      <w:r w:rsidR="00404620">
        <w:t>state ca claim</w:t>
      </w:r>
      <w:r>
        <w:t xml:space="preserve"> for which the Commission may fashion a remedy.  The Commission further grant’s SCE’s request that this complaint be dismissed with prejudice. </w:t>
      </w:r>
    </w:p>
    <w:p w:rsidRPr="00D91C39" w:rsidR="00D91C39" w:rsidP="004D4324" w:rsidRDefault="00D91C39" w14:paraId="442886F2" w14:textId="114F78AC">
      <w:pPr>
        <w:pStyle w:val="Heading1"/>
        <w:numPr>
          <w:ilvl w:val="0"/>
          <w:numId w:val="1"/>
        </w:numPr>
      </w:pPr>
      <w:bookmarkStart w:name="_Toc213144858" w:id="18"/>
      <w:bookmarkStart w:name="_Toc8123723" w:id="19"/>
      <w:r w:rsidRPr="00D91C39">
        <w:t>Category of Proceeding</w:t>
      </w:r>
      <w:bookmarkEnd w:id="18"/>
      <w:r w:rsidRPr="00D91C39">
        <w:t xml:space="preserve"> </w:t>
      </w:r>
    </w:p>
    <w:p w:rsidRPr="00D91C39" w:rsidR="00D91C39" w:rsidP="00D91C39" w:rsidRDefault="00D91C39" w14:paraId="61CDB918" w14:textId="08A0BC26">
      <w:pPr>
        <w:pStyle w:val="Standard"/>
      </w:pPr>
      <w:r>
        <w:t>T</w:t>
      </w:r>
      <w:r w:rsidRPr="00D91C39">
        <w:t xml:space="preserve">his matter </w:t>
      </w:r>
      <w:r>
        <w:t>h</w:t>
      </w:r>
      <w:r w:rsidRPr="00D91C39">
        <w:t>as</w:t>
      </w:r>
      <w:r>
        <w:t xml:space="preserve"> been categorized as </w:t>
      </w:r>
      <w:r w:rsidRPr="00D91C39">
        <w:t>adjudicatory. Hearing</w:t>
      </w:r>
      <w:r>
        <w:t>s</w:t>
      </w:r>
      <w:r w:rsidRPr="00D91C39">
        <w:t xml:space="preserve"> </w:t>
      </w:r>
      <w:r>
        <w:t>are not</w:t>
      </w:r>
      <w:r w:rsidRPr="00D91C39">
        <w:t xml:space="preserve"> necessary</w:t>
      </w:r>
      <w:r>
        <w:t>.</w:t>
      </w:r>
    </w:p>
    <w:p w:rsidR="005939A5" w:rsidP="004D4324" w:rsidRDefault="00D91C39" w14:paraId="4D39FBE1" w14:textId="77777777">
      <w:pPr>
        <w:pStyle w:val="Heading1"/>
        <w:numPr>
          <w:ilvl w:val="0"/>
          <w:numId w:val="1"/>
        </w:numPr>
      </w:pPr>
      <w:bookmarkStart w:name="_Toc213144859" w:id="20"/>
      <w:r>
        <w:lastRenderedPageBreak/>
        <w:t>Assignment of Proceeding</w:t>
      </w:r>
      <w:bookmarkEnd w:id="19"/>
      <w:bookmarkEnd w:id="20"/>
    </w:p>
    <w:p w:rsidR="005939A5" w:rsidP="005C58FA" w:rsidRDefault="00007149" w14:paraId="4480D362" w14:textId="2386A4DD">
      <w:pPr>
        <w:pStyle w:val="Standard"/>
      </w:pPr>
      <w:r>
        <w:t xml:space="preserve">Matthew Baker </w:t>
      </w:r>
      <w:r w:rsidRPr="00D91C39" w:rsidR="00D91C39">
        <w:t xml:space="preserve">is the assigned Commissioner and </w:t>
      </w:r>
      <w:r>
        <w:t>Jamie Ormond</w:t>
      </w:r>
      <w:r w:rsidR="00D91C39">
        <w:t xml:space="preserve"> </w:t>
      </w:r>
      <w:r w:rsidRPr="00D91C39" w:rsidR="00D91C39">
        <w:t>is the assigned A</w:t>
      </w:r>
      <w:r w:rsidR="00D81D91">
        <w:t>dministrative Law Judge</w:t>
      </w:r>
      <w:r w:rsidR="00A6185F">
        <w:t xml:space="preserve"> and Presiding Officer</w:t>
      </w:r>
      <w:r w:rsidRPr="00D91C39" w:rsidR="00D91C39">
        <w:t xml:space="preserve"> in this proceeding</w:t>
      </w:r>
      <w:r w:rsidR="00D91C39">
        <w:t>.</w:t>
      </w:r>
    </w:p>
    <w:p w:rsidR="005939A5" w:rsidP="005939A5" w:rsidRDefault="005939A5" w14:paraId="1D3A3EFB" w14:textId="77777777">
      <w:pPr>
        <w:pStyle w:val="Dummy"/>
      </w:pPr>
      <w:bookmarkStart w:name="_Toc8123725" w:id="21"/>
      <w:bookmarkStart w:name="_Toc213144860" w:id="22"/>
      <w:r>
        <w:t>Findings of Fact</w:t>
      </w:r>
      <w:bookmarkEnd w:id="21"/>
      <w:bookmarkEnd w:id="22"/>
    </w:p>
    <w:p w:rsidR="00D81D91" w:rsidP="001E2A62" w:rsidRDefault="009B1531" w14:paraId="5B82A202" w14:textId="77777777">
      <w:pPr>
        <w:pStyle w:val="FoF"/>
      </w:pPr>
      <w:r>
        <w:t xml:space="preserve">Ms. Yen signed her rooftop solar application documents and submitted them to her chosen solar installer on March 4, 2025.  At some point, that </w:t>
      </w:r>
      <w:r w:rsidR="00091760">
        <w:t xml:space="preserve">rooftop </w:t>
      </w:r>
      <w:r>
        <w:t xml:space="preserve">solar installer went bankrupt. </w:t>
      </w:r>
      <w:r w:rsidR="00091760">
        <w:t xml:space="preserve"> </w:t>
      </w:r>
      <w:r>
        <w:t xml:space="preserve">At some point, Ms. Yen’s </w:t>
      </w:r>
      <w:r w:rsidR="00091760">
        <w:t xml:space="preserve">rooftop </w:t>
      </w:r>
      <w:r>
        <w:t xml:space="preserve">solar project </w:t>
      </w:r>
      <w:r w:rsidR="00091760">
        <w:t>was transferred</w:t>
      </w:r>
      <w:r>
        <w:t xml:space="preserve"> to another solar installer. </w:t>
      </w:r>
    </w:p>
    <w:p w:rsidR="00D81D91" w:rsidP="001E2A62" w:rsidRDefault="00091760" w14:paraId="36430C18" w14:textId="77777777">
      <w:pPr>
        <w:pStyle w:val="FoF"/>
      </w:pPr>
      <w:r>
        <w:t xml:space="preserve"> </w:t>
      </w:r>
      <w:r w:rsidR="009B1531">
        <w:t xml:space="preserve">SCE received Ms. Yen’s </w:t>
      </w:r>
      <w:r>
        <w:t xml:space="preserve">rooftop </w:t>
      </w:r>
      <w:r w:rsidR="009B1531">
        <w:t xml:space="preserve">solar </w:t>
      </w:r>
      <w:r w:rsidR="00404620">
        <w:t xml:space="preserve">application </w:t>
      </w:r>
      <w:r w:rsidR="009B1531">
        <w:t xml:space="preserve">on August 10, 2025. </w:t>
      </w:r>
    </w:p>
    <w:p w:rsidRPr="001E2A62" w:rsidR="00F62B7A" w:rsidP="001E2A62" w:rsidRDefault="00091760" w14:paraId="5E8ED7A2" w14:textId="5742BC6A">
      <w:pPr>
        <w:pStyle w:val="FoF"/>
      </w:pPr>
      <w:r>
        <w:t xml:space="preserve"> </w:t>
      </w:r>
      <w:r w:rsidR="009B1531">
        <w:t>Ms. Yen’s</w:t>
      </w:r>
      <w:r>
        <w:t xml:space="preserve"> rooftop</w:t>
      </w:r>
      <w:r w:rsidR="009B1531">
        <w:t xml:space="preserve"> solar project is currently operational under the NEM 3 tariff. </w:t>
      </w:r>
    </w:p>
    <w:p w:rsidR="00404620" w:rsidP="001E2A62" w:rsidRDefault="00C26B48" w14:paraId="3F5836F4" w14:textId="77777777">
      <w:pPr>
        <w:pStyle w:val="FoF"/>
      </w:pPr>
      <w:r>
        <w:t>No evidence exists to show that Ms. Yen’s</w:t>
      </w:r>
      <w:r w:rsidR="00091760">
        <w:t xml:space="preserve"> rooftop</w:t>
      </w:r>
      <w:r>
        <w:t xml:space="preserve"> solar project was submitted to SCE at any time before the NEM 2 tariff </w:t>
      </w:r>
      <w:r w:rsidR="00091760">
        <w:t>Sun</w:t>
      </w:r>
      <w:r>
        <w:t xml:space="preserve">set </w:t>
      </w:r>
      <w:r w:rsidR="00091760">
        <w:t>D</w:t>
      </w:r>
      <w:r>
        <w:t xml:space="preserve">ate.  </w:t>
      </w:r>
    </w:p>
    <w:p w:rsidRPr="001E2A62" w:rsidR="00F62B7A" w:rsidP="001E2A62" w:rsidRDefault="00C26B48" w14:paraId="28F34163" w14:textId="6D7102BC">
      <w:pPr>
        <w:pStyle w:val="FoF"/>
      </w:pPr>
      <w:r>
        <w:t>No evidence exists to show that any</w:t>
      </w:r>
      <w:r w:rsidR="00404620">
        <w:t xml:space="preserve">one </w:t>
      </w:r>
      <w:r>
        <w:t xml:space="preserve">contacted SCE </w:t>
      </w:r>
      <w:r w:rsidR="00404620">
        <w:t xml:space="preserve">with respect </w:t>
      </w:r>
      <w:r>
        <w:t>to Ms.</w:t>
      </w:r>
      <w:r w:rsidR="003C0BC0">
        <w:t> </w:t>
      </w:r>
      <w:r>
        <w:t xml:space="preserve">Yen’s </w:t>
      </w:r>
      <w:r w:rsidR="00091760">
        <w:t xml:space="preserve">rooftop </w:t>
      </w:r>
      <w:r>
        <w:t xml:space="preserve">solar project in advance of the NEM 2 tariff </w:t>
      </w:r>
      <w:r w:rsidR="00091760">
        <w:t>S</w:t>
      </w:r>
      <w:r>
        <w:t xml:space="preserve">unset </w:t>
      </w:r>
      <w:r w:rsidR="00091760">
        <w:t>D</w:t>
      </w:r>
      <w:r>
        <w:t>ate.</w:t>
      </w:r>
    </w:p>
    <w:p w:rsidR="000707CE" w:rsidP="001E2A62" w:rsidRDefault="00C26B48" w14:paraId="665FC1D9" w14:textId="21F9F9FD">
      <w:pPr>
        <w:pStyle w:val="FoF"/>
      </w:pPr>
      <w:r>
        <w:t xml:space="preserve">No evidence exists to </w:t>
      </w:r>
      <w:r w:rsidR="002E6063">
        <w:t xml:space="preserve">support </w:t>
      </w:r>
      <w:r w:rsidR="00F50FD0">
        <w:t>an</w:t>
      </w:r>
      <w:r w:rsidR="002E6063">
        <w:t xml:space="preserve"> allegation</w:t>
      </w:r>
      <w:r>
        <w:t xml:space="preserve"> that SCE </w:t>
      </w:r>
      <w:r w:rsidR="000707CE">
        <w:t xml:space="preserve">had any impact </w:t>
      </w:r>
      <w:r w:rsidR="002E6063">
        <w:t>on,</w:t>
      </w:r>
      <w:r w:rsidR="000707CE">
        <w:t xml:space="preserve"> </w:t>
      </w:r>
      <w:r w:rsidR="002E6063">
        <w:t xml:space="preserve">or any </w:t>
      </w:r>
      <w:r w:rsidR="000707CE">
        <w:t>delay</w:t>
      </w:r>
      <w:r w:rsidR="002E6063">
        <w:t xml:space="preserve"> of</w:t>
      </w:r>
      <w:r w:rsidR="000707CE">
        <w:t xml:space="preserve">, Ms. Yen’s rooftop solar installation </w:t>
      </w:r>
      <w:r w:rsidR="00F50FD0">
        <w:t xml:space="preserve">application </w:t>
      </w:r>
      <w:r w:rsidR="000707CE">
        <w:t xml:space="preserve">submission. </w:t>
      </w:r>
    </w:p>
    <w:p w:rsidR="00404620" w:rsidP="001E2A62" w:rsidRDefault="00404620" w14:paraId="0A6449D6" w14:textId="66216494">
      <w:pPr>
        <w:pStyle w:val="FoF"/>
      </w:pPr>
      <w:r>
        <w:t xml:space="preserve">No evidence exists to support this cause of action. </w:t>
      </w:r>
    </w:p>
    <w:p w:rsidR="005939A5" w:rsidP="005939A5" w:rsidRDefault="005939A5" w14:paraId="4AD68789" w14:textId="77777777">
      <w:pPr>
        <w:pStyle w:val="Dummy"/>
      </w:pPr>
      <w:bookmarkStart w:name="_Toc8123726" w:id="23"/>
      <w:bookmarkStart w:name="_Toc213144861" w:id="24"/>
      <w:r>
        <w:t>Conclusions of Law</w:t>
      </w:r>
      <w:bookmarkEnd w:id="23"/>
      <w:bookmarkEnd w:id="24"/>
    </w:p>
    <w:p w:rsidR="00C26B48" w:rsidP="00C26B48" w:rsidRDefault="00C26B48" w14:paraId="29C2EB45" w14:textId="358E106D">
      <w:pPr>
        <w:pStyle w:val="CoL"/>
      </w:pPr>
      <w:r w:rsidRPr="00B94441">
        <w:t xml:space="preserve">Public Utilities Code § 1702 provides that </w:t>
      </w:r>
      <w:r w:rsidR="00091760">
        <w:t>a</w:t>
      </w:r>
      <w:r w:rsidRPr="00B94441">
        <w:t xml:space="preserve"> complainant must allege that a regulated utility has engaged in an act</w:t>
      </w:r>
      <w:r>
        <w:t>,</w:t>
      </w:r>
      <w:r w:rsidRPr="00B94441">
        <w:t xml:space="preserve"> or failed to</w:t>
      </w:r>
      <w:r>
        <w:t xml:space="preserve"> </w:t>
      </w:r>
      <w:r w:rsidRPr="008E78B4">
        <w:t>perform an act, in violation of any law, statute, Commission order or rule for which the Commission has jurisdiction.</w:t>
      </w:r>
    </w:p>
    <w:p w:rsidRPr="008E78B4" w:rsidR="00EA0165" w:rsidP="00EA0165" w:rsidRDefault="00EA0165" w14:paraId="75BD17CA" w14:textId="43340640">
      <w:pPr>
        <w:pStyle w:val="CoL"/>
      </w:pPr>
      <w:r>
        <w:t>Decision 22-12-056 established that the Net Energy Metering 2 tariff Sunset Date was April 14, 2025.</w:t>
      </w:r>
    </w:p>
    <w:p w:rsidR="002E6063" w:rsidP="002E6063" w:rsidRDefault="002E6063" w14:paraId="316B1C76" w14:textId="6A86A695">
      <w:pPr>
        <w:pStyle w:val="CoL"/>
      </w:pPr>
      <w:r>
        <w:lastRenderedPageBreak/>
        <w:t>The timeline detailed in Decision 22-12-05</w:t>
      </w:r>
      <w:r w:rsidR="00EA0165">
        <w:t>6</w:t>
      </w:r>
      <w:r>
        <w:t xml:space="preserve"> determines </w:t>
      </w:r>
      <w:r w:rsidR="00F50FD0">
        <w:t xml:space="preserve">which </w:t>
      </w:r>
      <w:r>
        <w:t xml:space="preserve">tariff to apply to a rooftop solar installation </w:t>
      </w:r>
      <w:r w:rsidR="00F50FD0">
        <w:t xml:space="preserve">application </w:t>
      </w:r>
      <w:r>
        <w:t>based on the date of the application submission.</w:t>
      </w:r>
    </w:p>
    <w:p w:rsidR="00F50FD0" w:rsidP="00F50FD0" w:rsidRDefault="00F50FD0" w14:paraId="356867B5" w14:textId="5BFFC6FB">
      <w:pPr>
        <w:pStyle w:val="CoL"/>
      </w:pPr>
      <w:r>
        <w:t xml:space="preserve">Decision 22-12-056 provides the regulated utility with discretion to apply the NEM 2 tariff to a rooftop solar application if </w:t>
      </w:r>
      <w:r w:rsidR="00EA0165">
        <w:t>the</w:t>
      </w:r>
      <w:r>
        <w:t xml:space="preserve"> delay in meeting the NEM 2 Sunset Date was caused by the regulated utility. </w:t>
      </w:r>
    </w:p>
    <w:p w:rsidR="008F143D" w:rsidP="002E6063" w:rsidRDefault="002E6063" w14:paraId="680A10C1" w14:textId="45E4FF27">
      <w:pPr>
        <w:pStyle w:val="CoL"/>
      </w:pPr>
      <w:r>
        <w:t xml:space="preserve">Unless evidence proves that a regulated utility caused </w:t>
      </w:r>
      <w:r w:rsidR="00F50FD0">
        <w:t xml:space="preserve">a rooftop solar application submission </w:t>
      </w:r>
      <w:r>
        <w:t>delay in meeting the NEM 2 Sunset Date, a regulated utility has no discretion as to which rooftop solar installation tariff to apply to an application.</w:t>
      </w:r>
    </w:p>
    <w:p w:rsidR="00691800" w:rsidP="002E6063" w:rsidRDefault="00691800" w14:paraId="339E3E7F" w14:textId="7D945997">
      <w:pPr>
        <w:pStyle w:val="CoL"/>
      </w:pPr>
      <w:r>
        <w:t xml:space="preserve">SCE’s Motion to Dismiss this complaint should be granted. </w:t>
      </w:r>
    </w:p>
    <w:p w:rsidRPr="001E2A62" w:rsidR="00B60C51" w:rsidP="00B60C51" w:rsidRDefault="002E6063" w14:paraId="6531B844" w14:textId="689C6555">
      <w:pPr>
        <w:pStyle w:val="CoL"/>
      </w:pPr>
      <w:r>
        <w:t>C</w:t>
      </w:r>
      <w:r w:rsidR="003C0BC0">
        <w:t xml:space="preserve">ase </w:t>
      </w:r>
      <w:r>
        <w:t>25-05-0</w:t>
      </w:r>
      <w:r w:rsidR="00EA0165">
        <w:t>1</w:t>
      </w:r>
      <w:r>
        <w:t xml:space="preserve">5 </w:t>
      </w:r>
      <w:r w:rsidR="00B60C51">
        <w:t>should be</w:t>
      </w:r>
      <w:r w:rsidRPr="001E2A62" w:rsidR="00B60C51">
        <w:t xml:space="preserve"> closed.</w:t>
      </w:r>
    </w:p>
    <w:p w:rsidR="00BB0243" w:rsidP="003C0BC0" w:rsidRDefault="005939A5" w14:paraId="3F770815" w14:textId="77777777">
      <w:pPr>
        <w:pStyle w:val="Mainex"/>
        <w:spacing w:before="120"/>
      </w:pPr>
      <w:bookmarkStart w:name="_Toc213144862" w:id="25"/>
      <w:r>
        <w:t>O</w:t>
      </w:r>
      <w:r w:rsidR="00722850">
        <w:t>RDER</w:t>
      </w:r>
      <w:bookmarkEnd w:id="25"/>
    </w:p>
    <w:p w:rsidR="00BB0243" w:rsidP="000A6E05" w:rsidRDefault="00BB0243" w14:paraId="547DDF60" w14:textId="77777777">
      <w:pPr>
        <w:keepNext/>
      </w:pPr>
      <w:r w:rsidRPr="00BB0243">
        <w:rPr>
          <w:b/>
        </w:rPr>
        <w:t>IT IS ORDERED</w:t>
      </w:r>
      <w:r>
        <w:t xml:space="preserve"> that:</w:t>
      </w:r>
    </w:p>
    <w:p w:rsidRPr="001E2A62" w:rsidR="00932865" w:rsidP="001E2A62" w:rsidRDefault="00691800" w14:paraId="7BEF463B" w14:textId="697D79DA">
      <w:pPr>
        <w:pStyle w:val="OP"/>
      </w:pPr>
      <w:r>
        <w:t xml:space="preserve">Southern California Edison’s Motion to Dismiss this complaint with prejudice is granted. </w:t>
      </w:r>
    </w:p>
    <w:p w:rsidR="00953C20" w:rsidP="00953C20" w:rsidRDefault="00953C20" w14:paraId="256635E7" w14:textId="5F29936E">
      <w:pPr>
        <w:pStyle w:val="OP"/>
      </w:pPr>
      <w:r w:rsidRPr="00E243BD">
        <w:t xml:space="preserve">The </w:t>
      </w:r>
      <w:r w:rsidR="001F4C0D">
        <w:rPr>
          <w:rFonts w:cs="Arial"/>
          <w:szCs w:val="26"/>
        </w:rPr>
        <w:t>Complaint</w:t>
      </w:r>
      <w:r w:rsidR="00F105F3">
        <w:t xml:space="preserve"> </w:t>
      </w:r>
      <w:r w:rsidR="001F4C0D">
        <w:t xml:space="preserve">of </w:t>
      </w:r>
      <w:r w:rsidR="00691800">
        <w:t xml:space="preserve">Ms. Yen </w:t>
      </w:r>
      <w:r w:rsidR="00F105F3">
        <w:t>dismissed</w:t>
      </w:r>
      <w:r w:rsidRPr="00E243BD">
        <w:t xml:space="preserve">. </w:t>
      </w:r>
    </w:p>
    <w:p w:rsidRPr="008108E4" w:rsidR="008108E4" w:rsidP="008108E4" w:rsidRDefault="008108E4" w14:paraId="5D2EAB1E" w14:textId="77777777">
      <w:pPr>
        <w:pStyle w:val="OP"/>
      </w:pPr>
      <w:r w:rsidRPr="008108E4">
        <w:t xml:space="preserve">All pending motions which have not been expressly resolved by the assigned Administrative </w:t>
      </w:r>
      <w:proofErr w:type="gramStart"/>
      <w:r w:rsidRPr="008108E4">
        <w:t>Law  Judge</w:t>
      </w:r>
      <w:proofErr w:type="gramEnd"/>
      <w:r w:rsidRPr="008108E4">
        <w:t xml:space="preserve"> are denied.</w:t>
      </w:r>
    </w:p>
    <w:p w:rsidR="00F6397D" w:rsidP="00B3087D" w:rsidRDefault="00691800" w14:paraId="3013627D" w14:textId="589A84DA">
      <w:pPr>
        <w:pStyle w:val="OP"/>
      </w:pPr>
      <w:bookmarkStart w:name="_Hlk140738463" w:id="26"/>
      <w:r>
        <w:t>C</w:t>
      </w:r>
      <w:r w:rsidR="003C0BC0">
        <w:t xml:space="preserve">ase </w:t>
      </w:r>
      <w:r>
        <w:t xml:space="preserve">25-05-015 </w:t>
      </w:r>
      <w:r w:rsidRPr="001E2A62" w:rsidR="00E23CBB">
        <w:t>is closed.</w:t>
      </w:r>
    </w:p>
    <w:bookmarkEnd w:id="26"/>
    <w:p w:rsidR="008F0116" w:rsidP="008F0116" w:rsidRDefault="008F0116" w14:paraId="72B615EC" w14:textId="77777777">
      <w:r>
        <w:t>This order is effective today.</w:t>
      </w:r>
    </w:p>
    <w:p w:rsidRPr="00714CF2" w:rsidR="00714CF2" w:rsidP="00816E05" w:rsidRDefault="008F0116" w14:paraId="4E73E7A2" w14:textId="14784399">
      <w:r w:rsidRPr="00D11A85">
        <w:t>Dated</w:t>
      </w:r>
      <w:r w:rsidRPr="00D11A85" w:rsidR="00D11A85">
        <w:t xml:space="preserve"> December 29, 2025</w:t>
      </w:r>
      <w:r>
        <w:t>, at San Francisco, California</w:t>
      </w:r>
      <w:bookmarkEnd w:id="0"/>
    </w:p>
    <w:sectPr w:rsidRPr="00714CF2" w:rsidR="00714CF2" w:rsidSect="0044785F">
      <w:headerReference w:type="default" r:id="rId13"/>
      <w:footerReference w:type="default" r:id="rId14"/>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6762" w14:textId="77777777" w:rsidR="00611388" w:rsidRDefault="00611388" w:rsidP="0098138E">
      <w:pPr>
        <w:spacing w:line="240" w:lineRule="auto"/>
      </w:pPr>
      <w:r>
        <w:separator/>
      </w:r>
    </w:p>
  </w:endnote>
  <w:endnote w:type="continuationSeparator" w:id="0">
    <w:p w14:paraId="155E1C14" w14:textId="77777777" w:rsidR="00611388" w:rsidRDefault="0061138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31CB" w14:textId="7DF10948" w:rsidR="00591828" w:rsidRPr="00591828" w:rsidRDefault="006E381E" w:rsidP="00557C53">
    <w:pPr>
      <w:pStyle w:val="Footer"/>
      <w:ind w:firstLine="0"/>
    </w:pPr>
    <w:r w:rsidRPr="006E381E">
      <w:rPr>
        <w:sz w:val="16"/>
        <w:szCs w:val="16"/>
      </w:rPr>
      <w:t>592731547</w:t>
    </w:r>
    <w:r w:rsidR="0044785F">
      <w:tab/>
      <w:t xml:space="preserve">- </w:t>
    </w:r>
    <w:r w:rsidR="0044785F">
      <w:fldChar w:fldCharType="begin"/>
    </w:r>
    <w:r w:rsidR="0044785F">
      <w:instrText xml:space="preserve"> PAGE   \* MERGEFORMAT </w:instrText>
    </w:r>
    <w:r w:rsidR="0044785F">
      <w:fldChar w:fldCharType="separate"/>
    </w:r>
    <w:r w:rsidR="0044785F">
      <w:rPr>
        <w:noProof/>
      </w:rPr>
      <w:t>1</w:t>
    </w:r>
    <w:r w:rsidR="0044785F">
      <w:rPr>
        <w:noProof/>
      </w:rPr>
      <w:fldChar w:fldCharType="end"/>
    </w:r>
    <w:r w:rsidR="0044785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DAC8" w14:textId="617656B1" w:rsidR="00557C53" w:rsidRPr="00591828" w:rsidRDefault="0044785F" w:rsidP="0044785F">
    <w:pPr>
      <w:pStyle w:val="Footer"/>
      <w:ind w:firstLine="0"/>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DE1A" w14:textId="77777777" w:rsidR="00611388" w:rsidRDefault="00611388" w:rsidP="00DF58E7">
      <w:pPr>
        <w:spacing w:line="240" w:lineRule="auto"/>
        <w:ind w:firstLine="0"/>
      </w:pPr>
      <w:r>
        <w:separator/>
      </w:r>
    </w:p>
  </w:footnote>
  <w:footnote w:type="continuationSeparator" w:id="0">
    <w:p w14:paraId="44BDBFD0" w14:textId="77777777" w:rsidR="00611388" w:rsidRDefault="00611388" w:rsidP="00DF58E7">
      <w:pPr>
        <w:spacing w:line="240" w:lineRule="auto"/>
        <w:ind w:firstLine="0"/>
      </w:pPr>
      <w:r>
        <w:continuationSeparator/>
      </w:r>
    </w:p>
  </w:footnote>
  <w:footnote w:type="continuationNotice" w:id="1">
    <w:p w14:paraId="10D0445C" w14:textId="77777777" w:rsidR="00611388" w:rsidRPr="00DF58E7" w:rsidRDefault="00611388"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0CD5D42" w14:textId="4290C0F4" w:rsidR="00972F43" w:rsidRDefault="009D19EB" w:rsidP="009D19EB">
      <w:pPr>
        <w:pStyle w:val="FootnoteText"/>
      </w:pPr>
      <w:r>
        <w:rPr>
          <w:rStyle w:val="FootnoteReference"/>
        </w:rPr>
        <w:footnoteRef/>
      </w:r>
      <w:r>
        <w:t xml:space="preserve"> Decision (D.) 22-12-056, issued December 15, 2022, Ordering Paragraph 12(d), at 243-244, directs the investor-owned utilities to implement a tariff sunset on the net energy metering tariff, NEM 2.0, after which time, no additional customers will be permitted to take service under the NEM 2.0 tariff. </w:t>
      </w:r>
      <w:r w:rsidR="00972F43">
        <w:t xml:space="preserve"> </w:t>
      </w:r>
    </w:p>
    <w:p w14:paraId="64F02158" w14:textId="168D3420" w:rsidR="009D19EB" w:rsidRDefault="00972F43" w:rsidP="009D19EB">
      <w:pPr>
        <w:pStyle w:val="FootnoteText"/>
      </w:pPr>
      <w:r>
        <w:t>Customers who submit rooftop solar applications after the Sunset Date receive NEM 3.0 treatment, otherwise known as the Net Billing Tariff (NBT).</w:t>
      </w:r>
    </w:p>
  </w:footnote>
  <w:footnote w:id="3">
    <w:p w14:paraId="27F95100" w14:textId="35629F20" w:rsidR="00521952" w:rsidRDefault="00521952">
      <w:pPr>
        <w:pStyle w:val="FootnoteText"/>
      </w:pPr>
      <w:r>
        <w:rPr>
          <w:rStyle w:val="FootnoteReference"/>
        </w:rPr>
        <w:footnoteRef/>
      </w:r>
      <w:r>
        <w:t xml:space="preserve"> Prehearing Conference Transcript (Transcript) at 4-8.</w:t>
      </w:r>
    </w:p>
  </w:footnote>
  <w:footnote w:id="4">
    <w:p w14:paraId="74239F25" w14:textId="6819E83A" w:rsidR="00D45829" w:rsidRDefault="00D45829">
      <w:pPr>
        <w:pStyle w:val="FootnoteText"/>
      </w:pPr>
      <w:r>
        <w:rPr>
          <w:rStyle w:val="FootnoteReference"/>
        </w:rPr>
        <w:footnoteRef/>
      </w:r>
      <w:r>
        <w:t xml:space="preserve"> Transcript at pages 7, 20, 33, and 34.</w:t>
      </w:r>
    </w:p>
  </w:footnote>
  <w:footnote w:id="5">
    <w:p w14:paraId="19A5CE41" w14:textId="414C8573" w:rsidR="00521952" w:rsidRDefault="00521952">
      <w:pPr>
        <w:pStyle w:val="FootnoteText"/>
      </w:pPr>
      <w:r>
        <w:rPr>
          <w:rStyle w:val="FootnoteReference"/>
        </w:rPr>
        <w:footnoteRef/>
      </w:r>
      <w:r>
        <w:t xml:space="preserve"> Transcript at pages 10-17.</w:t>
      </w:r>
    </w:p>
  </w:footnote>
  <w:footnote w:id="6">
    <w:p w14:paraId="402C27A2" w14:textId="237F5E6D" w:rsidR="00521952" w:rsidRDefault="00521952">
      <w:pPr>
        <w:pStyle w:val="FootnoteText"/>
      </w:pPr>
      <w:r>
        <w:rPr>
          <w:rStyle w:val="FootnoteReference"/>
        </w:rPr>
        <w:footnoteRef/>
      </w:r>
      <w:r>
        <w:t xml:space="preserve"> Transcript at 9-10.</w:t>
      </w:r>
    </w:p>
  </w:footnote>
  <w:footnote w:id="7">
    <w:p w14:paraId="24072BB4" w14:textId="6856403B" w:rsidR="00BC63A6" w:rsidRDefault="00BC63A6">
      <w:pPr>
        <w:pStyle w:val="FootnoteText"/>
      </w:pPr>
      <w:r>
        <w:rPr>
          <w:rStyle w:val="FootnoteReference"/>
        </w:rPr>
        <w:footnoteRef/>
      </w:r>
      <w:r>
        <w:t xml:space="preserve"> Transcript at</w:t>
      </w:r>
      <w:r w:rsidR="00D45829">
        <w:t xml:space="preserve"> </w:t>
      </w:r>
      <w:r>
        <w:t>24</w:t>
      </w:r>
      <w:r w:rsidR="00521952">
        <w:t>,</w:t>
      </w:r>
      <w:r>
        <w:t xml:space="preserve"> 27–29</w:t>
      </w:r>
      <w:r w:rsidR="00521952">
        <w:t>.</w:t>
      </w:r>
    </w:p>
  </w:footnote>
  <w:footnote w:id="8">
    <w:p w14:paraId="2DC2687A" w14:textId="05B2251D" w:rsidR="00BC63A6" w:rsidRDefault="00BC63A6">
      <w:pPr>
        <w:pStyle w:val="FootnoteText"/>
      </w:pPr>
      <w:r>
        <w:rPr>
          <w:rStyle w:val="FootnoteReference"/>
        </w:rPr>
        <w:footnoteRef/>
      </w:r>
      <w:r>
        <w:t xml:space="preserve"> Transcript at 24.</w:t>
      </w:r>
    </w:p>
  </w:footnote>
  <w:footnote w:id="9">
    <w:p w14:paraId="7D14B65F" w14:textId="33C602F5" w:rsidR="005F5590" w:rsidRDefault="005F5590">
      <w:pPr>
        <w:pStyle w:val="FootnoteText"/>
      </w:pPr>
      <w:r>
        <w:rPr>
          <w:rStyle w:val="FootnoteReference"/>
        </w:rPr>
        <w:footnoteRef/>
      </w:r>
      <w:r>
        <w:t xml:space="preserve"> Scoping Memo at 3-4.</w:t>
      </w:r>
    </w:p>
  </w:footnote>
  <w:footnote w:id="10">
    <w:p w14:paraId="4B186F91" w14:textId="76EA15E6" w:rsidR="00133A88" w:rsidRDefault="00133A88">
      <w:pPr>
        <w:pStyle w:val="FootnoteText"/>
      </w:pPr>
      <w:r>
        <w:rPr>
          <w:rStyle w:val="FootnoteReference"/>
        </w:rPr>
        <w:footnoteRef/>
      </w:r>
      <w:r>
        <w:t xml:space="preserve"> Scoping Memo </w:t>
      </w:r>
      <w:r w:rsidR="005F5590">
        <w:t xml:space="preserve">at </w:t>
      </w:r>
      <w:r>
        <w:t>4.</w:t>
      </w:r>
    </w:p>
  </w:footnote>
  <w:footnote w:id="11">
    <w:p w14:paraId="6FD8C2BF" w14:textId="77777777" w:rsidR="00B71D85" w:rsidRPr="003C3442" w:rsidRDefault="00B71D85" w:rsidP="00B71D85">
      <w:pPr>
        <w:pStyle w:val="FootnoteText"/>
        <w:rPr>
          <w:szCs w:val="22"/>
        </w:rPr>
      </w:pPr>
      <w:r w:rsidRPr="003C3442">
        <w:rPr>
          <w:rStyle w:val="FootnoteReference"/>
          <w:szCs w:val="22"/>
        </w:rPr>
        <w:footnoteRef/>
      </w:r>
      <w:r w:rsidRPr="003C3442">
        <w:rPr>
          <w:szCs w:val="22"/>
        </w:rPr>
        <w:t xml:space="preserve"> Pub. Util. Code § 216(a).</w:t>
      </w:r>
    </w:p>
  </w:footnote>
  <w:footnote w:id="12">
    <w:p w14:paraId="69B409B4" w14:textId="1A4AC57C" w:rsidR="00BF02DA" w:rsidRDefault="00BF02DA" w:rsidP="00BF02DA">
      <w:pPr>
        <w:pStyle w:val="FootnoteText"/>
      </w:pPr>
      <w:r>
        <w:rPr>
          <w:rStyle w:val="FootnoteReference"/>
        </w:rPr>
        <w:footnoteRef/>
      </w:r>
      <w:r>
        <w:t xml:space="preserve"> </w:t>
      </w:r>
      <w:r w:rsidRPr="00E43068">
        <w:rPr>
          <w:i/>
          <w:iCs/>
        </w:rPr>
        <w:t>In Complaint of Service-All-Tech, Inc. v. PT&amp;T Co.</w:t>
      </w:r>
      <w:r>
        <w:t xml:space="preserve"> (Cal. PUC, 1977) 83 CPUC 135, </w:t>
      </w:r>
      <w:r w:rsidR="003C0BC0">
        <w:t>D.</w:t>
      </w:r>
      <w:r>
        <w:t>88223 (complaint relating to the disconnection of telephone service where the court found that complainant had the burden of proof and that complainant’s “failure to present any evidence present[ed] a total lack of meeting that burden”)</w:t>
      </w:r>
      <w:r w:rsidR="00277FF3">
        <w:t>;</w:t>
      </w:r>
      <w:r>
        <w:t xml:space="preserve"> </w:t>
      </w:r>
      <w:r w:rsidR="00277FF3">
        <w:rPr>
          <w:i/>
          <w:iCs/>
        </w:rPr>
        <w:t>s</w:t>
      </w:r>
      <w:r w:rsidRPr="00E43068">
        <w:rPr>
          <w:i/>
          <w:iCs/>
        </w:rPr>
        <w:t>ee also Pacific Bell Telephone Company, d/b/a AT&amp;T California vs. Fones4All Corporation</w:t>
      </w:r>
      <w:r>
        <w:t xml:space="preserve"> (Cal. PUC, 2008) D.08-04-043, 2008 Cal. PUC LEXIS 132.</w:t>
      </w:r>
    </w:p>
  </w:footnote>
  <w:footnote w:id="13">
    <w:p w14:paraId="26AE46E5" w14:textId="32C7F183" w:rsidR="009B244E" w:rsidRPr="009B244E" w:rsidRDefault="009B244E">
      <w:pPr>
        <w:pStyle w:val="FootnoteText"/>
      </w:pPr>
      <w:r>
        <w:rPr>
          <w:rStyle w:val="FootnoteReference"/>
        </w:rPr>
        <w:footnoteRef/>
      </w:r>
      <w:r>
        <w:t xml:space="preserve"> Issued December 15, 2022.  For more information, </w:t>
      </w:r>
      <w:r>
        <w:rPr>
          <w:i/>
          <w:iCs/>
        </w:rPr>
        <w:t xml:space="preserve">see </w:t>
      </w:r>
      <w:r w:rsidRPr="009B244E">
        <w:t>https://www.cpuc.ca.gov/industries-and-topics/electrical-energy/demand-side-management/customer-generation/nem-revisit/net-billing-tariff.</w:t>
      </w:r>
    </w:p>
  </w:footnote>
  <w:footnote w:id="14">
    <w:p w14:paraId="74E232B2" w14:textId="64F23A1A" w:rsidR="00CF7A5E" w:rsidRDefault="00CF7A5E">
      <w:pPr>
        <w:pStyle w:val="FootnoteText"/>
      </w:pPr>
      <w:r>
        <w:rPr>
          <w:rStyle w:val="FootnoteReference"/>
        </w:rPr>
        <w:footnoteRef/>
      </w:r>
      <w:r>
        <w:t xml:space="preserve"> Complaint, Section F, attached. </w:t>
      </w:r>
    </w:p>
  </w:footnote>
  <w:footnote w:id="15">
    <w:p w14:paraId="0172BB70" w14:textId="06677C5C" w:rsidR="00850501" w:rsidRDefault="00850501">
      <w:pPr>
        <w:pStyle w:val="FootnoteText"/>
      </w:pPr>
      <w:r>
        <w:rPr>
          <w:rStyle w:val="FootnoteReference"/>
        </w:rPr>
        <w:footnoteRef/>
      </w:r>
      <w:r>
        <w:t xml:space="preserve"> Pub. Util. Code Section 1702</w:t>
      </w:r>
    </w:p>
  </w:footnote>
  <w:footnote w:id="16">
    <w:p w14:paraId="29F1B6B8" w14:textId="77777777" w:rsidR="00A276AF" w:rsidRDefault="00A276AF" w:rsidP="00A276AF">
      <w:pPr>
        <w:pStyle w:val="FootnoteText"/>
      </w:pPr>
      <w:r>
        <w:rPr>
          <w:rStyle w:val="FootnoteReference"/>
        </w:rPr>
        <w:footnoteRef/>
      </w:r>
      <w:r>
        <w:t xml:space="preserve"> SCE’s Motion to Dismiss (Motion), July 3, 2025, at 4.  SCE’s Answer to Complaint (Answer), July 3, 2025, at 6.</w:t>
      </w:r>
    </w:p>
  </w:footnote>
  <w:footnote w:id="17">
    <w:p w14:paraId="7EAF94AF" w14:textId="2B79EDBF" w:rsidR="00566E10" w:rsidRDefault="00566E10">
      <w:pPr>
        <w:pStyle w:val="FootnoteText"/>
      </w:pPr>
      <w:r>
        <w:rPr>
          <w:rStyle w:val="FootnoteReference"/>
        </w:rPr>
        <w:footnoteRef/>
      </w:r>
      <w:r>
        <w:t xml:space="preserve"> Answer at 6.</w:t>
      </w:r>
    </w:p>
  </w:footnote>
  <w:footnote w:id="18">
    <w:p w14:paraId="55AE47BC" w14:textId="77777777" w:rsidR="00A517D9" w:rsidRDefault="00A517D9" w:rsidP="00A517D9">
      <w:pPr>
        <w:pStyle w:val="FootnoteText"/>
      </w:pPr>
      <w:r>
        <w:rPr>
          <w:rStyle w:val="FootnoteReference"/>
        </w:rPr>
        <w:footnoteRef/>
      </w:r>
      <w:r>
        <w:t xml:space="preserve"> Answer at 7.</w:t>
      </w:r>
    </w:p>
  </w:footnote>
  <w:footnote w:id="19">
    <w:p w14:paraId="0C851999" w14:textId="793D63FE" w:rsidR="00372122" w:rsidRDefault="00372122">
      <w:pPr>
        <w:pStyle w:val="FootnoteText"/>
      </w:pPr>
      <w:r>
        <w:rPr>
          <w:rStyle w:val="FootnoteReference"/>
        </w:rPr>
        <w:footnoteRef/>
      </w:r>
      <w:r>
        <w:t xml:space="preserve"> Transcript at 9-12.</w:t>
      </w:r>
    </w:p>
  </w:footnote>
  <w:footnote w:id="20">
    <w:p w14:paraId="056F521E" w14:textId="40AD5245" w:rsidR="006364FB" w:rsidRDefault="006364FB">
      <w:pPr>
        <w:pStyle w:val="FootnoteText"/>
      </w:pPr>
      <w:r>
        <w:rPr>
          <w:rStyle w:val="FootnoteReference"/>
        </w:rPr>
        <w:footnoteRef/>
      </w:r>
      <w:r>
        <w:t xml:space="preserve"> Ordering Paragraph 12(d) at 244. </w:t>
      </w:r>
    </w:p>
  </w:footnote>
  <w:footnote w:id="21">
    <w:p w14:paraId="435FC596" w14:textId="27DF5708" w:rsidR="00516BF3" w:rsidRDefault="00516BF3">
      <w:pPr>
        <w:pStyle w:val="FootnoteText"/>
      </w:pPr>
      <w:r>
        <w:rPr>
          <w:rStyle w:val="FootnoteReference"/>
        </w:rPr>
        <w:footnoteRef/>
      </w:r>
      <w:r>
        <w:t xml:space="preserve"> Ruling issued October 7, 2025.</w:t>
      </w:r>
    </w:p>
  </w:footnote>
  <w:footnote w:id="22">
    <w:p w14:paraId="6105ED77" w14:textId="071DF05A" w:rsidR="00544626" w:rsidRDefault="00544626">
      <w:pPr>
        <w:pStyle w:val="FootnoteText"/>
      </w:pPr>
      <w:r>
        <w:rPr>
          <w:rStyle w:val="FootnoteReference"/>
        </w:rPr>
        <w:footnoteRef/>
      </w:r>
      <w:r>
        <w:t xml:space="preserve"> Pub. Util. Code Sec 1702</w:t>
      </w:r>
    </w:p>
  </w:footnote>
  <w:footnote w:id="23">
    <w:p w14:paraId="395B6251" w14:textId="5F9F9767" w:rsidR="00F805F4" w:rsidRDefault="00F805F4">
      <w:pPr>
        <w:pStyle w:val="FootnoteText"/>
      </w:pPr>
      <w:r>
        <w:rPr>
          <w:rStyle w:val="FootnoteReference"/>
        </w:rPr>
        <w:footnoteRef/>
      </w:r>
      <w:r>
        <w:t xml:space="preserve"> Motion at 3.</w:t>
      </w:r>
      <w:r w:rsidR="00544626">
        <w:t xml:space="preserve"> </w:t>
      </w:r>
      <w:r w:rsidR="00544626" w:rsidRPr="00544626">
        <w:t xml:space="preserve"> </w:t>
      </w:r>
      <w:r w:rsidR="00544626">
        <w:t>D.22-12-056.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0C65" w14:textId="77777777" w:rsidR="00591828" w:rsidRPr="00557C53" w:rsidRDefault="00591828" w:rsidP="00557C5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44F4" w14:textId="08B1F45F" w:rsidR="00557C53" w:rsidRDefault="00557C53" w:rsidP="00557C53">
    <w:pPr>
      <w:pStyle w:val="Header"/>
      <w:tabs>
        <w:tab w:val="clear" w:pos="4680"/>
      </w:tabs>
      <w:ind w:firstLine="0"/>
      <w:rPr>
        <w:b/>
      </w:rPr>
    </w:pPr>
    <w:r>
      <w:t>C.25-05-015 ALJ/POD-JO2/avs</w:t>
    </w:r>
    <w:r>
      <w:tab/>
    </w:r>
  </w:p>
  <w:p w14:paraId="61966B11" w14:textId="77777777" w:rsidR="00557C53" w:rsidRPr="00DE277A" w:rsidRDefault="00557C53" w:rsidP="00557C53">
    <w:pPr>
      <w:pStyle w:val="Header"/>
      <w:tabs>
        <w:tab w:val="clear" w:pos="4680"/>
      </w:tabs>
      <w:ind w:firstLine="0"/>
      <w:rPr>
        <w:iCs/>
      </w:rPr>
    </w:pPr>
  </w:p>
  <w:p w14:paraId="62964D2E" w14:textId="77777777" w:rsidR="00557C53" w:rsidRPr="00557C53" w:rsidRDefault="00557C53" w:rsidP="00557C5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84A02B7"/>
    <w:multiLevelType w:val="hybridMultilevel"/>
    <w:tmpl w:val="D0DE6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6EB2FBA"/>
    <w:multiLevelType w:val="hybridMultilevel"/>
    <w:tmpl w:val="8A2E8796"/>
    <w:lvl w:ilvl="0" w:tplc="A17EE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3"/>
  </w:num>
  <w:num w:numId="2" w16cid:durableId="140774137">
    <w:abstractNumId w:val="1"/>
  </w:num>
  <w:num w:numId="3" w16cid:durableId="1898543446">
    <w:abstractNumId w:val="12"/>
  </w:num>
  <w:num w:numId="4" w16cid:durableId="701521005">
    <w:abstractNumId w:val="2"/>
  </w:num>
  <w:num w:numId="5" w16cid:durableId="2017029027">
    <w:abstractNumId w:val="16"/>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32916443">
    <w:abstractNumId w:val="3"/>
  </w:num>
  <w:num w:numId="19" w16cid:durableId="7160548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C5"/>
    <w:rsid w:val="00000F6A"/>
    <w:rsid w:val="00007149"/>
    <w:rsid w:val="000707CE"/>
    <w:rsid w:val="0007115A"/>
    <w:rsid w:val="00076BE5"/>
    <w:rsid w:val="00080DA2"/>
    <w:rsid w:val="000837DC"/>
    <w:rsid w:val="00085BD9"/>
    <w:rsid w:val="00091760"/>
    <w:rsid w:val="00093D6A"/>
    <w:rsid w:val="000973C8"/>
    <w:rsid w:val="000A2681"/>
    <w:rsid w:val="000A2AA9"/>
    <w:rsid w:val="000A56F2"/>
    <w:rsid w:val="000A6E05"/>
    <w:rsid w:val="000B12FA"/>
    <w:rsid w:val="000B6FFE"/>
    <w:rsid w:val="000C08BF"/>
    <w:rsid w:val="000C3B9A"/>
    <w:rsid w:val="000D25A8"/>
    <w:rsid w:val="000E270A"/>
    <w:rsid w:val="000E4C53"/>
    <w:rsid w:val="000E5960"/>
    <w:rsid w:val="000F0886"/>
    <w:rsid w:val="000F20CB"/>
    <w:rsid w:val="000F3E5E"/>
    <w:rsid w:val="000F48C6"/>
    <w:rsid w:val="001147C7"/>
    <w:rsid w:val="00121089"/>
    <w:rsid w:val="00133A88"/>
    <w:rsid w:val="00142BC2"/>
    <w:rsid w:val="00150D51"/>
    <w:rsid w:val="00155A51"/>
    <w:rsid w:val="001720CF"/>
    <w:rsid w:val="00184A8F"/>
    <w:rsid w:val="00187721"/>
    <w:rsid w:val="001A29B4"/>
    <w:rsid w:val="001B5FF0"/>
    <w:rsid w:val="001B7F8B"/>
    <w:rsid w:val="001C363F"/>
    <w:rsid w:val="001D1B51"/>
    <w:rsid w:val="001D37FA"/>
    <w:rsid w:val="001D6BDE"/>
    <w:rsid w:val="001E03C5"/>
    <w:rsid w:val="001E2A62"/>
    <w:rsid w:val="001E7A7E"/>
    <w:rsid w:val="001F0B50"/>
    <w:rsid w:val="001F1586"/>
    <w:rsid w:val="001F2819"/>
    <w:rsid w:val="001F4C0D"/>
    <w:rsid w:val="002023AD"/>
    <w:rsid w:val="002043EC"/>
    <w:rsid w:val="00242745"/>
    <w:rsid w:val="00243CC8"/>
    <w:rsid w:val="00243DC0"/>
    <w:rsid w:val="00244347"/>
    <w:rsid w:val="00247477"/>
    <w:rsid w:val="002651C2"/>
    <w:rsid w:val="00265832"/>
    <w:rsid w:val="002659C3"/>
    <w:rsid w:val="00270440"/>
    <w:rsid w:val="002777DE"/>
    <w:rsid w:val="00277FF3"/>
    <w:rsid w:val="00281BD1"/>
    <w:rsid w:val="00281F3F"/>
    <w:rsid w:val="00284D8D"/>
    <w:rsid w:val="00287BC5"/>
    <w:rsid w:val="00293DEE"/>
    <w:rsid w:val="00294992"/>
    <w:rsid w:val="0029780D"/>
    <w:rsid w:val="002A0B5D"/>
    <w:rsid w:val="002A7AC5"/>
    <w:rsid w:val="002B7237"/>
    <w:rsid w:val="002C4419"/>
    <w:rsid w:val="002C7FE9"/>
    <w:rsid w:val="002D0DC5"/>
    <w:rsid w:val="002D4EFD"/>
    <w:rsid w:val="002D7B8A"/>
    <w:rsid w:val="002E6063"/>
    <w:rsid w:val="002F658C"/>
    <w:rsid w:val="0030055C"/>
    <w:rsid w:val="00315A97"/>
    <w:rsid w:val="00316071"/>
    <w:rsid w:val="00325F2A"/>
    <w:rsid w:val="0034111B"/>
    <w:rsid w:val="00343E5C"/>
    <w:rsid w:val="00344FB8"/>
    <w:rsid w:val="0036017B"/>
    <w:rsid w:val="00362755"/>
    <w:rsid w:val="00364061"/>
    <w:rsid w:val="00372122"/>
    <w:rsid w:val="00373B93"/>
    <w:rsid w:val="00380CD1"/>
    <w:rsid w:val="003A02CA"/>
    <w:rsid w:val="003A38F0"/>
    <w:rsid w:val="003B34F8"/>
    <w:rsid w:val="003B3D4F"/>
    <w:rsid w:val="003B3D8D"/>
    <w:rsid w:val="003C0BC0"/>
    <w:rsid w:val="003D2796"/>
    <w:rsid w:val="003F069A"/>
    <w:rsid w:val="003F4329"/>
    <w:rsid w:val="00404460"/>
    <w:rsid w:val="00404620"/>
    <w:rsid w:val="00412534"/>
    <w:rsid w:val="00412C83"/>
    <w:rsid w:val="00413DFC"/>
    <w:rsid w:val="0042172B"/>
    <w:rsid w:val="00426014"/>
    <w:rsid w:val="0043611C"/>
    <w:rsid w:val="0044617E"/>
    <w:rsid w:val="0044785F"/>
    <w:rsid w:val="004538FD"/>
    <w:rsid w:val="00460B7D"/>
    <w:rsid w:val="00471A27"/>
    <w:rsid w:val="00480CB0"/>
    <w:rsid w:val="00483603"/>
    <w:rsid w:val="00485E86"/>
    <w:rsid w:val="00486FBA"/>
    <w:rsid w:val="004A0FDA"/>
    <w:rsid w:val="004A47BE"/>
    <w:rsid w:val="004B34EA"/>
    <w:rsid w:val="004B5494"/>
    <w:rsid w:val="004C0741"/>
    <w:rsid w:val="004C3EF3"/>
    <w:rsid w:val="004C7A2B"/>
    <w:rsid w:val="004C7D3A"/>
    <w:rsid w:val="004D219E"/>
    <w:rsid w:val="004D4324"/>
    <w:rsid w:val="004E28F0"/>
    <w:rsid w:val="004E3735"/>
    <w:rsid w:val="004E66F3"/>
    <w:rsid w:val="004F49C8"/>
    <w:rsid w:val="005018A8"/>
    <w:rsid w:val="00505A39"/>
    <w:rsid w:val="0051301F"/>
    <w:rsid w:val="00516BF3"/>
    <w:rsid w:val="00521952"/>
    <w:rsid w:val="00522928"/>
    <w:rsid w:val="005240BF"/>
    <w:rsid w:val="00544626"/>
    <w:rsid w:val="00557C53"/>
    <w:rsid w:val="005655E8"/>
    <w:rsid w:val="00566E10"/>
    <w:rsid w:val="005734AD"/>
    <w:rsid w:val="005758F0"/>
    <w:rsid w:val="00585390"/>
    <w:rsid w:val="00587694"/>
    <w:rsid w:val="00587FF0"/>
    <w:rsid w:val="00591828"/>
    <w:rsid w:val="00593098"/>
    <w:rsid w:val="005939A5"/>
    <w:rsid w:val="005A148C"/>
    <w:rsid w:val="005C1E28"/>
    <w:rsid w:val="005C29C6"/>
    <w:rsid w:val="005C376D"/>
    <w:rsid w:val="005C58FA"/>
    <w:rsid w:val="005F08EF"/>
    <w:rsid w:val="005F5590"/>
    <w:rsid w:val="00603238"/>
    <w:rsid w:val="00611388"/>
    <w:rsid w:val="00632207"/>
    <w:rsid w:val="0063491C"/>
    <w:rsid w:val="006364FB"/>
    <w:rsid w:val="00641A5C"/>
    <w:rsid w:val="00661AFE"/>
    <w:rsid w:val="00680F19"/>
    <w:rsid w:val="00683B2C"/>
    <w:rsid w:val="00687452"/>
    <w:rsid w:val="00691800"/>
    <w:rsid w:val="00693152"/>
    <w:rsid w:val="006B2D5E"/>
    <w:rsid w:val="006B73BA"/>
    <w:rsid w:val="006C1F10"/>
    <w:rsid w:val="006E2076"/>
    <w:rsid w:val="006E2DC1"/>
    <w:rsid w:val="006E381E"/>
    <w:rsid w:val="006E5E28"/>
    <w:rsid w:val="006E6574"/>
    <w:rsid w:val="007057AE"/>
    <w:rsid w:val="00710003"/>
    <w:rsid w:val="00714CF2"/>
    <w:rsid w:val="007156B9"/>
    <w:rsid w:val="00720817"/>
    <w:rsid w:val="00722850"/>
    <w:rsid w:val="00723B6B"/>
    <w:rsid w:val="0073353F"/>
    <w:rsid w:val="00735073"/>
    <w:rsid w:val="00735A91"/>
    <w:rsid w:val="00742E45"/>
    <w:rsid w:val="007447AF"/>
    <w:rsid w:val="00750816"/>
    <w:rsid w:val="00756C08"/>
    <w:rsid w:val="007657C1"/>
    <w:rsid w:val="007733B6"/>
    <w:rsid w:val="007758AE"/>
    <w:rsid w:val="0077755F"/>
    <w:rsid w:val="00777971"/>
    <w:rsid w:val="007847B5"/>
    <w:rsid w:val="007974FC"/>
    <w:rsid w:val="007A406D"/>
    <w:rsid w:val="007A62B0"/>
    <w:rsid w:val="007B0E96"/>
    <w:rsid w:val="007B5600"/>
    <w:rsid w:val="007C133E"/>
    <w:rsid w:val="007C5A0C"/>
    <w:rsid w:val="007E0FEE"/>
    <w:rsid w:val="007E3C4A"/>
    <w:rsid w:val="007F2017"/>
    <w:rsid w:val="0080390E"/>
    <w:rsid w:val="008108E4"/>
    <w:rsid w:val="00812121"/>
    <w:rsid w:val="00814B96"/>
    <w:rsid w:val="008159CF"/>
    <w:rsid w:val="00816E05"/>
    <w:rsid w:val="008339BB"/>
    <w:rsid w:val="00850501"/>
    <w:rsid w:val="0086419A"/>
    <w:rsid w:val="00865B0F"/>
    <w:rsid w:val="0087023B"/>
    <w:rsid w:val="00892D05"/>
    <w:rsid w:val="00892EBB"/>
    <w:rsid w:val="008A079B"/>
    <w:rsid w:val="008A08BF"/>
    <w:rsid w:val="008A179F"/>
    <w:rsid w:val="008B0864"/>
    <w:rsid w:val="008B4964"/>
    <w:rsid w:val="008B4F31"/>
    <w:rsid w:val="008C3CB7"/>
    <w:rsid w:val="008C7413"/>
    <w:rsid w:val="008D16B7"/>
    <w:rsid w:val="008E1BBC"/>
    <w:rsid w:val="008E6AE6"/>
    <w:rsid w:val="008E78B4"/>
    <w:rsid w:val="008F0116"/>
    <w:rsid w:val="008F143D"/>
    <w:rsid w:val="0090655E"/>
    <w:rsid w:val="00917CFD"/>
    <w:rsid w:val="0092186F"/>
    <w:rsid w:val="009227A4"/>
    <w:rsid w:val="00925CC6"/>
    <w:rsid w:val="00927C12"/>
    <w:rsid w:val="00932865"/>
    <w:rsid w:val="00935BCA"/>
    <w:rsid w:val="00953C20"/>
    <w:rsid w:val="00972F43"/>
    <w:rsid w:val="0098138E"/>
    <w:rsid w:val="00984441"/>
    <w:rsid w:val="0098655A"/>
    <w:rsid w:val="009A6E36"/>
    <w:rsid w:val="009B1531"/>
    <w:rsid w:val="009B244E"/>
    <w:rsid w:val="009C559F"/>
    <w:rsid w:val="009C5DC3"/>
    <w:rsid w:val="009D19EB"/>
    <w:rsid w:val="009D56B4"/>
    <w:rsid w:val="009D5BE2"/>
    <w:rsid w:val="009E6052"/>
    <w:rsid w:val="009E7C7F"/>
    <w:rsid w:val="009F4FBE"/>
    <w:rsid w:val="00A17ACB"/>
    <w:rsid w:val="00A17CE0"/>
    <w:rsid w:val="00A23D48"/>
    <w:rsid w:val="00A276AF"/>
    <w:rsid w:val="00A341F0"/>
    <w:rsid w:val="00A42306"/>
    <w:rsid w:val="00A44E8D"/>
    <w:rsid w:val="00A46EA8"/>
    <w:rsid w:val="00A47AEC"/>
    <w:rsid w:val="00A517D9"/>
    <w:rsid w:val="00A53429"/>
    <w:rsid w:val="00A55ACD"/>
    <w:rsid w:val="00A6185F"/>
    <w:rsid w:val="00A85D27"/>
    <w:rsid w:val="00A8709A"/>
    <w:rsid w:val="00AA6CFA"/>
    <w:rsid w:val="00AB7875"/>
    <w:rsid w:val="00AC68EE"/>
    <w:rsid w:val="00AD16DE"/>
    <w:rsid w:val="00AE152E"/>
    <w:rsid w:val="00B01F7E"/>
    <w:rsid w:val="00B16C2A"/>
    <w:rsid w:val="00B26814"/>
    <w:rsid w:val="00B3087D"/>
    <w:rsid w:val="00B34794"/>
    <w:rsid w:val="00B413B3"/>
    <w:rsid w:val="00B60421"/>
    <w:rsid w:val="00B60422"/>
    <w:rsid w:val="00B60C51"/>
    <w:rsid w:val="00B71D85"/>
    <w:rsid w:val="00B75161"/>
    <w:rsid w:val="00B81EB6"/>
    <w:rsid w:val="00B85FE8"/>
    <w:rsid w:val="00B94441"/>
    <w:rsid w:val="00BA3BFB"/>
    <w:rsid w:val="00BB0243"/>
    <w:rsid w:val="00BC0509"/>
    <w:rsid w:val="00BC63A6"/>
    <w:rsid w:val="00BE4935"/>
    <w:rsid w:val="00BF02DA"/>
    <w:rsid w:val="00C0181D"/>
    <w:rsid w:val="00C10B5F"/>
    <w:rsid w:val="00C14AED"/>
    <w:rsid w:val="00C26A45"/>
    <w:rsid w:val="00C26B48"/>
    <w:rsid w:val="00C37452"/>
    <w:rsid w:val="00C61223"/>
    <w:rsid w:val="00C878D5"/>
    <w:rsid w:val="00C9033B"/>
    <w:rsid w:val="00C913A1"/>
    <w:rsid w:val="00C92116"/>
    <w:rsid w:val="00CC6A99"/>
    <w:rsid w:val="00CE17EB"/>
    <w:rsid w:val="00CE31BA"/>
    <w:rsid w:val="00CE4416"/>
    <w:rsid w:val="00CF7A5E"/>
    <w:rsid w:val="00D00AA3"/>
    <w:rsid w:val="00D0504E"/>
    <w:rsid w:val="00D07890"/>
    <w:rsid w:val="00D07F73"/>
    <w:rsid w:val="00D11A85"/>
    <w:rsid w:val="00D14844"/>
    <w:rsid w:val="00D2041C"/>
    <w:rsid w:val="00D25ADE"/>
    <w:rsid w:val="00D32E88"/>
    <w:rsid w:val="00D43297"/>
    <w:rsid w:val="00D44DB6"/>
    <w:rsid w:val="00D45829"/>
    <w:rsid w:val="00D50119"/>
    <w:rsid w:val="00D519A2"/>
    <w:rsid w:val="00D525E7"/>
    <w:rsid w:val="00D5357A"/>
    <w:rsid w:val="00D6020A"/>
    <w:rsid w:val="00D73734"/>
    <w:rsid w:val="00D81594"/>
    <w:rsid w:val="00D81D91"/>
    <w:rsid w:val="00D82A43"/>
    <w:rsid w:val="00D87779"/>
    <w:rsid w:val="00D91C39"/>
    <w:rsid w:val="00D91D2B"/>
    <w:rsid w:val="00DA7B5D"/>
    <w:rsid w:val="00DF58E7"/>
    <w:rsid w:val="00DF6C26"/>
    <w:rsid w:val="00E001A5"/>
    <w:rsid w:val="00E0441D"/>
    <w:rsid w:val="00E11876"/>
    <w:rsid w:val="00E14A7D"/>
    <w:rsid w:val="00E226F3"/>
    <w:rsid w:val="00E23CBB"/>
    <w:rsid w:val="00E31B03"/>
    <w:rsid w:val="00E32FDB"/>
    <w:rsid w:val="00E35E50"/>
    <w:rsid w:val="00E365BE"/>
    <w:rsid w:val="00E37B59"/>
    <w:rsid w:val="00E43068"/>
    <w:rsid w:val="00E45787"/>
    <w:rsid w:val="00E47FF5"/>
    <w:rsid w:val="00E51AC1"/>
    <w:rsid w:val="00E52CB3"/>
    <w:rsid w:val="00E53438"/>
    <w:rsid w:val="00E56FAC"/>
    <w:rsid w:val="00E6237A"/>
    <w:rsid w:val="00E6504A"/>
    <w:rsid w:val="00E725FC"/>
    <w:rsid w:val="00E958A8"/>
    <w:rsid w:val="00EA0165"/>
    <w:rsid w:val="00EA2C3A"/>
    <w:rsid w:val="00EA3299"/>
    <w:rsid w:val="00EA36C6"/>
    <w:rsid w:val="00EB7E15"/>
    <w:rsid w:val="00EC30F9"/>
    <w:rsid w:val="00ED5725"/>
    <w:rsid w:val="00ED7031"/>
    <w:rsid w:val="00EE3060"/>
    <w:rsid w:val="00EE4315"/>
    <w:rsid w:val="00EF6925"/>
    <w:rsid w:val="00F105F3"/>
    <w:rsid w:val="00F12118"/>
    <w:rsid w:val="00F13411"/>
    <w:rsid w:val="00F15456"/>
    <w:rsid w:val="00F26ED3"/>
    <w:rsid w:val="00F322A6"/>
    <w:rsid w:val="00F41683"/>
    <w:rsid w:val="00F421F6"/>
    <w:rsid w:val="00F4234A"/>
    <w:rsid w:val="00F47098"/>
    <w:rsid w:val="00F50FD0"/>
    <w:rsid w:val="00F56C72"/>
    <w:rsid w:val="00F62B7A"/>
    <w:rsid w:val="00F6397D"/>
    <w:rsid w:val="00F7293E"/>
    <w:rsid w:val="00F73852"/>
    <w:rsid w:val="00F76650"/>
    <w:rsid w:val="00F805F4"/>
    <w:rsid w:val="00F9187B"/>
    <w:rsid w:val="00F92385"/>
    <w:rsid w:val="00FA06AE"/>
    <w:rsid w:val="00FA1B4F"/>
    <w:rsid w:val="00FC1A86"/>
    <w:rsid w:val="00FC47F9"/>
    <w:rsid w:val="00FD628E"/>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E9F4"/>
  <w15:chartTrackingRefBased/>
  <w15:docId w15:val="{3C2609E4-ABFA-4370-AE47-FB886542824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B71D8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3611C"/>
    <w:rPr>
      <w:sz w:val="16"/>
      <w:szCs w:val="16"/>
    </w:rPr>
  </w:style>
  <w:style w:type="paragraph" w:styleId="CommentText">
    <w:name w:val="annotation text"/>
    <w:basedOn w:val="Normal"/>
    <w:link w:val="CommentTextChar"/>
    <w:uiPriority w:val="99"/>
    <w:unhideWhenUsed/>
    <w:rsid w:val="0043611C"/>
    <w:pPr>
      <w:spacing w:line="240" w:lineRule="auto"/>
    </w:pPr>
    <w:rPr>
      <w:sz w:val="20"/>
      <w:szCs w:val="20"/>
    </w:rPr>
  </w:style>
  <w:style w:type="character" w:customStyle="1" w:styleId="CommentTextChar">
    <w:name w:val="Comment Text Char"/>
    <w:basedOn w:val="DefaultParagraphFont"/>
    <w:link w:val="CommentText"/>
    <w:uiPriority w:val="99"/>
    <w:rsid w:val="0043611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3611C"/>
    <w:rPr>
      <w:b/>
      <w:bCs/>
    </w:rPr>
  </w:style>
  <w:style w:type="character" w:customStyle="1" w:styleId="CommentSubjectChar">
    <w:name w:val="Comment Subject Char"/>
    <w:basedOn w:val="CommentTextChar"/>
    <w:link w:val="CommentSubject"/>
    <w:uiPriority w:val="99"/>
    <w:semiHidden/>
    <w:rsid w:val="0043611C"/>
    <w:rPr>
      <w:rFonts w:ascii="Book Antiqua" w:hAnsi="Book Antiqua"/>
      <w:b/>
      <w:bCs/>
      <w:sz w:val="20"/>
      <w:szCs w:val="20"/>
    </w:rPr>
  </w:style>
  <w:style w:type="paragraph" w:styleId="ListParagraph">
    <w:name w:val="List Paragraph"/>
    <w:basedOn w:val="Normal"/>
    <w:uiPriority w:val="34"/>
    <w:qFormat/>
    <w:rsid w:val="00C26A45"/>
    <w:pPr>
      <w:ind w:left="720"/>
      <w:contextualSpacing/>
    </w:pPr>
  </w:style>
  <w:style w:type="paragraph" w:customStyle="1" w:styleId="standard0">
    <w:name w:val="standard"/>
    <w:basedOn w:val="Normal"/>
    <w:link w:val="standardChar"/>
    <w:uiPriority w:val="99"/>
    <w:rsid w:val="005655E8"/>
    <w:rPr>
      <w:rFonts w:ascii="Palatino" w:eastAsia="Times New Roman" w:hAnsi="Palatino" w:cs="Times New Roman"/>
      <w:szCs w:val="20"/>
    </w:rPr>
  </w:style>
  <w:style w:type="character" w:customStyle="1" w:styleId="standardChar">
    <w:name w:val="standard Char"/>
    <w:link w:val="standard0"/>
    <w:uiPriority w:val="99"/>
    <w:rsid w:val="005655E8"/>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46">
      <w:bodyDiv w:val="1"/>
      <w:marLeft w:val="0"/>
      <w:marRight w:val="0"/>
      <w:marTop w:val="0"/>
      <w:marBottom w:val="0"/>
      <w:divBdr>
        <w:top w:val="none" w:sz="0" w:space="0" w:color="auto"/>
        <w:left w:val="none" w:sz="0" w:space="0" w:color="auto"/>
        <w:bottom w:val="none" w:sz="0" w:space="0" w:color="auto"/>
        <w:right w:val="none" w:sz="0" w:space="0" w:color="auto"/>
      </w:divBdr>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21524576">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87373279">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53308950">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287661392">
      <w:bodyDiv w:val="1"/>
      <w:marLeft w:val="0"/>
      <w:marRight w:val="0"/>
      <w:marTop w:val="0"/>
      <w:marBottom w:val="0"/>
      <w:divBdr>
        <w:top w:val="none" w:sz="0" w:space="0" w:color="auto"/>
        <w:left w:val="none" w:sz="0" w:space="0" w:color="auto"/>
        <w:bottom w:val="none" w:sz="0" w:space="0" w:color="auto"/>
        <w:right w:val="none" w:sz="0" w:space="0" w:color="auto"/>
      </w:divBdr>
    </w:div>
    <w:div w:id="1339694510">
      <w:bodyDiv w:val="1"/>
      <w:marLeft w:val="0"/>
      <w:marRight w:val="0"/>
      <w:marTop w:val="0"/>
      <w:marBottom w:val="0"/>
      <w:divBdr>
        <w:top w:val="none" w:sz="0" w:space="0" w:color="auto"/>
        <w:left w:val="none" w:sz="0" w:space="0" w:color="auto"/>
        <w:bottom w:val="none" w:sz="0" w:space="0" w:color="auto"/>
        <w:right w:val="none" w:sz="0" w:space="0" w:color="auto"/>
      </w:divBdr>
    </w:div>
    <w:div w:id="17282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3C8E3B5C-E70E-42FA-92F7-19CEDC1C2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2879</ap:Words>
  <ap:Characters>16416</ap:Characters>
  <ap:Application>Microsoft Office Word</ap:Application>
  <ap:DocSecurity>0</ap:DocSecurity>
  <ap:Lines>136</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19257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2025-12-29T13:28:31Z</dcterms:created>
  <dcterms:modified xsi:type="dcterms:W3CDTF">2025-12-29T13:28:31Z</dcterms:modified>
</cp:coreProperties>
</file>