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76692BA5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</w:t>
      </w:r>
      <w:r w:rsidR="00183409">
        <w:rPr>
          <w:b/>
          <w:i/>
          <w:sz w:val="26"/>
          <w:szCs w:val="26"/>
        </w:rPr>
        <w:t>3</w:t>
      </w:r>
    </w:p>
    <w:p w:rsidRPr="00673366" w:rsidR="00BD6C3F" w:rsidRDefault="00955AAA" w14:paraId="06FEE444" w14:textId="4DC401E1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</w:t>
      </w:r>
      <w:r w:rsidRPr="00673366" w:rsidR="00BD6C3F">
        <w:rPr>
          <w:b/>
          <w:i/>
          <w:sz w:val="26"/>
          <w:szCs w:val="26"/>
        </w:rPr>
        <w:t>,</w:t>
      </w:r>
      <w:r w:rsidRPr="00673366" w:rsidR="00775D95">
        <w:rPr>
          <w:b/>
          <w:i/>
          <w:sz w:val="26"/>
          <w:szCs w:val="26"/>
        </w:rPr>
        <w:t xml:space="preserve"> </w:t>
      </w:r>
      <w:r w:rsidR="00183409">
        <w:rPr>
          <w:b/>
          <w:i/>
          <w:sz w:val="26"/>
          <w:szCs w:val="26"/>
        </w:rPr>
        <w:t>January</w:t>
      </w:r>
      <w:r w:rsidRPr="00673366" w:rsidR="00412ED6">
        <w:rPr>
          <w:b/>
          <w:i/>
          <w:sz w:val="26"/>
          <w:szCs w:val="26"/>
        </w:rPr>
        <w:t xml:space="preserve"> </w:t>
      </w:r>
      <w:r w:rsidR="002E1468">
        <w:rPr>
          <w:b/>
          <w:i/>
          <w:sz w:val="26"/>
          <w:szCs w:val="26"/>
        </w:rPr>
        <w:t>1</w:t>
      </w:r>
      <w:r w:rsidR="00183409">
        <w:rPr>
          <w:b/>
          <w:i/>
          <w:sz w:val="26"/>
          <w:szCs w:val="26"/>
        </w:rPr>
        <w:t>2</w:t>
      </w:r>
      <w:r w:rsidRPr="00673366" w:rsidR="00A56A47">
        <w:rPr>
          <w:b/>
          <w:i/>
          <w:sz w:val="26"/>
          <w:szCs w:val="26"/>
        </w:rPr>
        <w:t>, 202</w:t>
      </w:r>
      <w:r w:rsidR="00183409">
        <w:rPr>
          <w:b/>
          <w:i/>
          <w:sz w:val="26"/>
          <w:szCs w:val="26"/>
        </w:rPr>
        <w:t>6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Pr="00673366" w:rsidR="00673366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3075B7" w14:paraId="7B87AD9C" w14:textId="55E8A51B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San Francisco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FB5E93" w14:paraId="7F61E532" w14:textId="7FB5CD58">
      <w:pPr>
        <w:jc w:val="center"/>
        <w:rPr>
          <w:b/>
          <w:bCs/>
        </w:rPr>
      </w:pPr>
      <w:r w:rsidRPr="00FB5E93">
        <w:rPr>
          <w:b/>
          <w:bCs/>
        </w:rPr>
        <w:t>Alice Reynolds,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Pr="00FB5E93"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A56A47" w:rsidP="00FB5E93" w:rsidRDefault="00FB5E93" w14:paraId="5C710E3A" w14:textId="67F127D3">
      <w:pPr>
        <w:jc w:val="center"/>
        <w:rPr>
          <w:b/>
        </w:rPr>
      </w:pPr>
      <w:r w:rsidRPr="00FB5E93">
        <w:rPr>
          <w:b/>
          <w:bCs/>
        </w:rPr>
        <w:t>John Reynolds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Pr="00C567E3" w:rsidR="00D9225C" w:rsidRDefault="00D9225C" w14:paraId="4EE28E1C" w14:textId="77777777">
      <w:pPr>
        <w:jc w:val="center"/>
      </w:pPr>
    </w:p>
    <w:p w:rsidRPr="0035756D" w:rsidR="0035756D" w:rsidP="0035756D" w:rsidRDefault="0035756D" w14:paraId="1B43065A" w14:textId="77777777">
      <w:pPr>
        <w:jc w:val="center"/>
        <w:rPr>
          <w:b/>
          <w:bCs/>
        </w:rPr>
      </w:pPr>
      <w:r w:rsidRPr="0035756D">
        <w:rPr>
          <w:b/>
          <w:bCs/>
        </w:rPr>
        <w:t>California Public Utilities Commission</w:t>
      </w:r>
    </w:p>
    <w:p w:rsidRPr="0035756D" w:rsidR="0035756D" w:rsidP="0035756D" w:rsidRDefault="003075B7" w14:paraId="75575973" w14:textId="6C7EC0D6">
      <w:pPr>
        <w:jc w:val="center"/>
        <w:rPr>
          <w:b/>
          <w:bCs/>
        </w:rPr>
      </w:pPr>
      <w:r>
        <w:rPr>
          <w:b/>
          <w:bCs/>
        </w:rPr>
        <w:t>505</w:t>
      </w:r>
      <w:r w:rsidRPr="0035756D" w:rsidR="0035756D">
        <w:rPr>
          <w:b/>
          <w:bCs/>
        </w:rPr>
        <w:t xml:space="preserve"> </w:t>
      </w:r>
      <w:r>
        <w:rPr>
          <w:b/>
          <w:bCs/>
        </w:rPr>
        <w:t>Van Ness Ave</w:t>
      </w:r>
      <w:r w:rsidRPr="0035756D" w:rsidR="0035756D">
        <w:rPr>
          <w:b/>
          <w:bCs/>
        </w:rPr>
        <w:t xml:space="preserve">, Rm. </w:t>
      </w:r>
      <w:r>
        <w:rPr>
          <w:b/>
          <w:bCs/>
        </w:rPr>
        <w:t>5305</w:t>
      </w:r>
    </w:p>
    <w:p w:rsidR="00D9225C" w:rsidP="0035756D" w:rsidRDefault="003075B7" w14:paraId="211CB6FF" w14:textId="344C41A2">
      <w:pPr>
        <w:jc w:val="center"/>
        <w:rPr>
          <w:b/>
          <w:bCs/>
        </w:rPr>
      </w:pPr>
      <w:r>
        <w:rPr>
          <w:b/>
          <w:bCs/>
        </w:rPr>
        <w:t>San Francisco</w:t>
      </w:r>
      <w:r w:rsidRPr="0035756D" w:rsidR="0035756D">
        <w:rPr>
          <w:b/>
          <w:bCs/>
        </w:rPr>
        <w:t>, California</w:t>
      </w:r>
    </w:p>
    <w:p w:rsidR="0035756D" w:rsidP="0035756D" w:rsidRDefault="0035756D" w14:paraId="08760C95" w14:textId="77777777">
      <w:pPr>
        <w:jc w:val="center"/>
        <w:rPr>
          <w:b/>
          <w:bCs/>
        </w:rPr>
      </w:pP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03B90438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</w:t>
      </w:r>
      <w:r w:rsidR="00DD7241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</w:t>
      </w:r>
      <w:r w:rsidRPr="00395577" w:rsidR="006A59A8">
        <w:rPr>
          <w:rFonts w:ascii="Arial" w:hAnsi="Arial" w:cs="Arial"/>
          <w:i/>
          <w:sz w:val="20"/>
          <w:szCs w:val="20"/>
        </w:rPr>
        <w:t>correspond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183409">
        <w:rPr>
          <w:rFonts w:ascii="Arial" w:hAnsi="Arial" w:cs="Arial"/>
          <w:i/>
          <w:sz w:val="20"/>
          <w:szCs w:val="20"/>
        </w:rPr>
        <w:t>January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6A59A8">
        <w:rPr>
          <w:rFonts w:ascii="Arial" w:hAnsi="Arial" w:cs="Arial"/>
          <w:i/>
          <w:sz w:val="20"/>
          <w:szCs w:val="20"/>
        </w:rPr>
        <w:t>1</w:t>
      </w:r>
      <w:r w:rsidR="00183409">
        <w:rPr>
          <w:rFonts w:ascii="Arial" w:hAnsi="Arial" w:cs="Arial"/>
          <w:i/>
          <w:sz w:val="20"/>
          <w:szCs w:val="20"/>
        </w:rPr>
        <w:t>5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183409">
        <w:rPr>
          <w:rFonts w:ascii="Arial" w:hAnsi="Arial" w:cs="Arial"/>
          <w:i/>
          <w:sz w:val="20"/>
          <w:szCs w:val="20"/>
        </w:rPr>
        <w:t>6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183409" w:rsidTr="00444F3F" w14:paraId="7376BA66" w14:textId="77777777">
        <w:trPr>
          <w:trHeight w:val="8793"/>
        </w:trPr>
        <w:tc>
          <w:tcPr>
            <w:tcW w:w="545" w:type="pct"/>
          </w:tcPr>
          <w:p w:rsidR="00183409" w:rsidP="00444F3F" w:rsidRDefault="00183409" w14:paraId="13FD92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01D986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110F341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[23865]</w:t>
            </w:r>
          </w:p>
          <w:p w:rsidR="00183409" w:rsidP="00444F3F" w:rsidRDefault="00183409" w14:paraId="0F4D5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26423F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183409" w:rsidP="00444F3F" w:rsidRDefault="00183409" w14:paraId="569AE7B2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183409" w:rsidP="00444F3F" w:rsidRDefault="00183409" w14:paraId="0FB782E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83409" w:rsidP="00444F3F" w:rsidRDefault="00183409" w14:paraId="0E2515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4B4">
              <w:rPr>
                <w:rFonts w:ascii="Arial" w:hAnsi="Arial" w:cs="Arial"/>
                <w:b/>
                <w:bCs/>
                <w:sz w:val="20"/>
                <w:szCs w:val="20"/>
              </w:rPr>
              <w:t>San Diego Gas &amp; Electric Company's Consolidated Test Year 2024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4B4">
              <w:rPr>
                <w:rFonts w:ascii="Arial" w:hAnsi="Arial" w:cs="Arial"/>
                <w:b/>
                <w:bCs/>
                <w:sz w:val="20"/>
                <w:szCs w:val="20"/>
              </w:rPr>
              <w:t>General Rate Case Track 2</w:t>
            </w:r>
          </w:p>
          <w:p w:rsidR="00183409" w:rsidP="00444F3F" w:rsidRDefault="00183409" w14:paraId="3FB7DEC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4474B4" w:rsidR="00183409" w:rsidP="00444F3F" w:rsidRDefault="00183409" w14:paraId="0BEAEA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4B4">
              <w:rPr>
                <w:rFonts w:ascii="Arial" w:hAnsi="Arial" w:cs="Arial"/>
                <w:b/>
                <w:bCs/>
                <w:sz w:val="20"/>
                <w:szCs w:val="20"/>
              </w:rPr>
              <w:t>A.22-05-015, A.22-05-016 - Related matters.</w:t>
            </w:r>
          </w:p>
          <w:p w:rsidRPr="004474B4" w:rsidR="00183409" w:rsidP="00444F3F" w:rsidRDefault="00183409" w14:paraId="4E260D9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Application of Southern California Gas Company for Authority, Among Other Things, to Update its Gas Revenue Requirement and Base Rates Effective on January 1, 2024.</w:t>
            </w:r>
          </w:p>
          <w:p w:rsidRPr="00395577" w:rsidR="00183409" w:rsidP="00444F3F" w:rsidRDefault="00183409" w14:paraId="24E567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183409" w:rsidP="00444F3F" w:rsidRDefault="00183409" w14:paraId="0FC911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4474B4" w:rsidR="00183409" w:rsidP="00183409" w:rsidRDefault="00183409" w14:paraId="2FB80226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Disallows cost recovery of San Diego Gas &amp; Electric Company (SDG&amp;E) wildfire</w:t>
            </w:r>
          </w:p>
          <w:p w:rsidRPr="004474B4" w:rsidR="00183409" w:rsidP="00444F3F" w:rsidRDefault="00183409" w14:paraId="41373FA6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mitigation costs recorded in its Wildfire Mitigation Plan Memorandum Account for</w:t>
            </w:r>
          </w:p>
          <w:p w:rsidRPr="004474B4" w:rsidR="00183409" w:rsidP="00444F3F" w:rsidRDefault="00183409" w14:paraId="7F91A6F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years 2019-2022 in the amounts of $192.561 million in Operations &amp; Maintenance</w:t>
            </w:r>
          </w:p>
          <w:p w:rsidR="00183409" w:rsidP="00444F3F" w:rsidRDefault="00183409" w14:paraId="11BEF52D" w14:textId="64B65D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 xml:space="preserve">(O&amp;M) costs and $242.391 million in capital </w:t>
            </w:r>
            <w:r w:rsidRPr="004474B4" w:rsidR="00065B1F">
              <w:rPr>
                <w:rFonts w:ascii="Arial" w:hAnsi="Arial" w:cs="Arial"/>
                <w:sz w:val="20"/>
                <w:szCs w:val="20"/>
              </w:rPr>
              <w:t>expenditure</w:t>
            </w:r>
            <w:r w:rsidR="00065B1F">
              <w:rPr>
                <w:rFonts w:ascii="Arial" w:hAnsi="Arial" w:cs="Arial"/>
                <w:sz w:val="20"/>
                <w:szCs w:val="20"/>
              </w:rPr>
              <w:t>s</w:t>
            </w:r>
            <w:r w:rsidRPr="004474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474B4" w:rsidR="00183409" w:rsidP="00183409" w:rsidRDefault="00183409" w14:paraId="65D06FAD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Approves the balance requested of $90.566 million in O&amp;M expenses and $945.248 million in capital expenditures.</w:t>
            </w:r>
          </w:p>
          <w:p w:rsidRPr="004474B4" w:rsidR="00183409" w:rsidP="00183409" w:rsidRDefault="00183409" w14:paraId="08591FC2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Authorizes a total revenue requirement of $720.755 million for 2019-2027 less the</w:t>
            </w:r>
          </w:p>
          <w:p w:rsidRPr="004474B4" w:rsidR="00183409" w:rsidP="00444F3F" w:rsidRDefault="00183409" w14:paraId="5E241C2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amount that SDG&amp;E collected for interim rate relief of $289.9 million in 2024-2025,</w:t>
            </w:r>
          </w:p>
          <w:p w:rsidRPr="004474B4" w:rsidR="00183409" w:rsidP="00444F3F" w:rsidRDefault="00183409" w14:paraId="2A58293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resulting in a total revenue requirement authorized of $430.855 million.</w:t>
            </w:r>
          </w:p>
          <w:p w:rsidRPr="004474B4" w:rsidR="00183409" w:rsidP="00183409" w:rsidRDefault="00183409" w14:paraId="13319C77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Authorizes SDG&amp;E to amortize the balance of the under collected revenue</w:t>
            </w:r>
          </w:p>
          <w:p w:rsidRPr="004474B4" w:rsidR="00183409" w:rsidP="00444F3F" w:rsidRDefault="00183409" w14:paraId="714C3C4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requirement owed through 2025 of $191.720 million over a period of three years.</w:t>
            </w:r>
          </w:p>
          <w:p w:rsidRPr="004474B4" w:rsidR="00183409" w:rsidP="00444F3F" w:rsidRDefault="00183409" w14:paraId="14B1285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This will increase the average non-CARE customer bill by $5.09 or 2.94%.</w:t>
            </w:r>
          </w:p>
          <w:p w:rsidRPr="004474B4" w:rsidR="00183409" w:rsidP="00183409" w:rsidRDefault="00183409" w14:paraId="6B665704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Authorizes SDG&amp;E to seek recovery of the balance of the under collected revenue</w:t>
            </w:r>
          </w:p>
          <w:p w:rsidRPr="004474B4" w:rsidR="00183409" w:rsidP="00444F3F" w:rsidRDefault="00183409" w14:paraId="50252F7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requirement for 2019-2022 wildfire mitigation costs owed in 2026 and 2027 of</w:t>
            </w:r>
          </w:p>
          <w:p w:rsidRPr="004474B4" w:rsidR="00183409" w:rsidP="00444F3F" w:rsidRDefault="00183409" w14:paraId="3D9B8BC7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$239.135 million through a Tier 2 Advice Letter, including a proposed amortization</w:t>
            </w:r>
          </w:p>
          <w:p w:rsidRPr="00CD7966" w:rsidR="00183409" w:rsidP="00444F3F" w:rsidRDefault="00183409" w14:paraId="134E221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period and bill impacts, to be effective in the beginning of years 2026 and 2027.</w:t>
            </w:r>
            <w:r w:rsidRPr="00CD7966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183409" w:rsidP="00444F3F" w:rsidRDefault="00183409" w14:paraId="377DB8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5A36D2" w:rsidR="00183409" w:rsidP="00183409" w:rsidRDefault="00183409" w14:paraId="6D2277CC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36D2">
              <w:rPr>
                <w:rFonts w:ascii="Arial" w:hAnsi="Arial" w:cs="Arial"/>
                <w:sz w:val="20"/>
                <w:szCs w:val="20"/>
              </w:rPr>
              <w:t>The recovered costs compensate for wildfire mitigations that help provide safe and</w:t>
            </w:r>
          </w:p>
          <w:p w:rsidR="00183409" w:rsidP="00444F3F" w:rsidRDefault="00183409" w14:paraId="5E5ABAB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36D2">
              <w:rPr>
                <w:rFonts w:ascii="Arial" w:hAnsi="Arial" w:cs="Arial"/>
                <w:sz w:val="20"/>
                <w:szCs w:val="20"/>
              </w:rPr>
              <w:t>reliable electrical services.</w:t>
            </w:r>
          </w:p>
          <w:p w:rsidRPr="00955AAA" w:rsidR="00183409" w:rsidP="00444F3F" w:rsidRDefault="00183409" w14:paraId="59BA67E1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183409" w:rsidP="00444F3F" w:rsidRDefault="00183409" w14:paraId="5F301B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5A36D2" w:rsidR="00183409" w:rsidP="00183409" w:rsidRDefault="00183409" w14:paraId="53A275C4" w14:textId="024547F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5A36D2">
              <w:rPr>
                <w:rFonts w:ascii="Arial" w:hAnsi="Arial" w:cs="Arial"/>
                <w:sz w:val="20"/>
                <w:szCs w:val="20"/>
              </w:rPr>
              <w:t xml:space="preserve">Revenue requirement effective January 1, </w:t>
            </w:r>
            <w:r w:rsidRPr="005A36D2" w:rsidR="00065B1F">
              <w:rPr>
                <w:rFonts w:ascii="Arial" w:hAnsi="Arial" w:cs="Arial"/>
                <w:sz w:val="20"/>
                <w:szCs w:val="20"/>
              </w:rPr>
              <w:t>2026,</w:t>
            </w:r>
            <w:r w:rsidRPr="005A36D2">
              <w:rPr>
                <w:rFonts w:ascii="Arial" w:hAnsi="Arial" w:cs="Arial"/>
                <w:sz w:val="20"/>
                <w:szCs w:val="20"/>
              </w:rPr>
              <w:t xml:space="preserve"> of $430.855 million.</w:t>
            </w:r>
          </w:p>
          <w:p w:rsidRPr="005A36D2" w:rsidR="00183409" w:rsidP="00444F3F" w:rsidRDefault="00183409" w14:paraId="1A8CC9B4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83409" w:rsidP="00444F3F" w:rsidRDefault="00183409" w14:paraId="2622CEA4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C7110" w:rsidR="00183409" w:rsidP="00444F3F" w:rsidRDefault="00183409" w14:paraId="205E31A9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C7110">
              <w:rPr>
                <w:rFonts w:ascii="Arial" w:hAnsi="Arial" w:cs="Arial"/>
                <w:iCs/>
                <w:sz w:val="20"/>
                <w:szCs w:val="20"/>
              </w:rPr>
              <w:t xml:space="preserve">(Comr. </w:t>
            </w:r>
            <w:r w:rsidRPr="005A36D2">
              <w:rPr>
                <w:rFonts w:ascii="Arial" w:hAnsi="Arial" w:cs="Arial"/>
                <w:iCs/>
                <w:sz w:val="20"/>
                <w:szCs w:val="20"/>
              </w:rPr>
              <w:t>Houck - Judge Larsen</w:t>
            </w:r>
            <w:r w:rsidRPr="003C711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Pr="00CD7966" w:rsidR="00183409" w:rsidP="00444F3F" w:rsidRDefault="00183409" w14:paraId="58A3F031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83409" w:rsidP="00444F3F" w:rsidRDefault="00183409" w14:paraId="244272C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w:history="1" r:id="rId11">
              <w:r w:rsidRPr="006E464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http://docs.cpuc.ca.gov/SearchRes.aspx?docformat=ALL&amp;docid=587328302</w:t>
              </w:r>
            </w:hyperlink>
          </w:p>
          <w:p w:rsidRPr="003C7110" w:rsidR="00183409" w:rsidP="00444F3F" w:rsidRDefault="00183409" w14:paraId="243AE4A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Pub. Util. Code § 311 </w:t>
            </w:r>
            <w:r w:rsidRPr="003C7110">
              <w:rPr>
                <w:rFonts w:ascii="Albany WT J" w:hAnsi="Albany WT J" w:cs="Albany WT J"/>
                <w:color w:val="000000"/>
                <w:sz w:val="20"/>
                <w:szCs w:val="20"/>
              </w:rPr>
              <w:t xml:space="preserve">– </w:t>
            </w: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 item was mailed for Public Comment.</w:t>
            </w:r>
          </w:p>
          <w:p w:rsidRPr="00635060" w:rsidR="00183409" w:rsidP="00444F3F" w:rsidRDefault="00183409" w14:paraId="0262039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63506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Pub. Util. Code §1701.1 -- This proceeding is categorized as Ratesetting.</w:t>
            </w:r>
          </w:p>
          <w:p w:rsidRPr="00635060" w:rsidR="00635060" w:rsidP="00444F3F" w:rsidRDefault="00635060" w14:paraId="015760BB" w14:textId="7E4792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Agenda 3574, Item 33 12/18/2025 (Houck)</w:t>
            </w:r>
          </w:p>
          <w:p w:rsidRPr="0035756D" w:rsidR="00183409" w:rsidP="00444F3F" w:rsidRDefault="00183409" w14:paraId="0531023E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183409" w:rsidP="00444F3F" w:rsidRDefault="00183409" w14:paraId="442FA917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  <w:tr w:rsidRPr="004C5B29" w:rsidR="00911F91" w:rsidTr="005E4C74" w14:paraId="48378B7D" w14:textId="77777777">
        <w:trPr>
          <w:trHeight w:val="8793"/>
        </w:trPr>
        <w:tc>
          <w:tcPr>
            <w:tcW w:w="545" w:type="pct"/>
          </w:tcPr>
          <w:p w:rsidRPr="00A5579B" w:rsidR="00911F91" w:rsidP="005E4C74" w:rsidRDefault="00911F91" w14:paraId="1F5D45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583C1A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14D6F573" w14:textId="20606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</w:t>
            </w:r>
            <w:r w:rsidR="007B672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065B1F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911F91" w:rsidP="005E4C74" w:rsidRDefault="00911F91" w14:paraId="1592F7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422E92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911F91" w:rsidP="005E4C74" w:rsidRDefault="00911F91" w14:paraId="0FC04C4E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11F91" w:rsidP="005E4C74" w:rsidRDefault="00911F91" w14:paraId="5F3C18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11F91" w:rsidP="005E4C74" w:rsidRDefault="00065B1F" w14:paraId="7192776D" w14:textId="043C0A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B1F">
              <w:rPr>
                <w:rFonts w:ascii="Arial" w:hAnsi="Arial" w:cs="Arial"/>
                <w:b/>
                <w:bCs/>
                <w:sz w:val="20"/>
                <w:szCs w:val="20"/>
              </w:rPr>
              <w:t>Southwest Gas Corporation Biomethane Procurement Contract</w:t>
            </w:r>
          </w:p>
          <w:p w:rsidR="00065B1F" w:rsidP="005E4C74" w:rsidRDefault="00065B1F" w14:paraId="047BA28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11F91" w:rsidP="005E4C74" w:rsidRDefault="00065B1F" w14:paraId="1AFC8783" w14:textId="566699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B1F">
              <w:rPr>
                <w:rFonts w:ascii="Arial" w:hAnsi="Arial" w:cs="Arial"/>
                <w:b/>
                <w:bCs/>
                <w:sz w:val="20"/>
                <w:szCs w:val="20"/>
              </w:rPr>
              <w:t>Res G-3617, Advice Letter 1338-G, filed July 29, 2025 - Related matters.</w:t>
            </w:r>
          </w:p>
          <w:p w:rsidRPr="00395577" w:rsidR="00065B1F" w:rsidP="005E4C74" w:rsidRDefault="00065B1F" w14:paraId="6163CB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911F91" w:rsidP="005E4C74" w:rsidRDefault="00911F91" w14:paraId="64E76A4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065B1F" w:rsidR="00065B1F" w:rsidP="00065B1F" w:rsidRDefault="00065B1F" w14:paraId="107C1258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B1F">
              <w:rPr>
                <w:rFonts w:ascii="Arial" w:hAnsi="Arial" w:cs="Arial"/>
                <w:sz w:val="20"/>
                <w:szCs w:val="20"/>
              </w:rPr>
              <w:t>Conditionally approves biomethane procurement contract with Anew Climate</w:t>
            </w:r>
          </w:p>
          <w:p w:rsidRPr="00CD7966" w:rsidR="00911F91" w:rsidP="00065B1F" w:rsidRDefault="00065B1F" w14:paraId="5C544EE9" w14:textId="02D86CC6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B1F">
              <w:rPr>
                <w:rFonts w:ascii="Arial" w:hAnsi="Arial" w:cs="Arial"/>
                <w:sz w:val="20"/>
                <w:szCs w:val="20"/>
              </w:rPr>
              <w:t>proposed in Southwest Gas Corporation's Advice Letter 1338-G.</w:t>
            </w:r>
            <w:r w:rsidRPr="00065B1F">
              <w:rPr>
                <w:rFonts w:ascii="Arial" w:hAnsi="Arial" w:cs="Arial"/>
                <w:sz w:val="20"/>
                <w:szCs w:val="20"/>
              </w:rPr>
              <w:cr/>
            </w:r>
            <w:r w:rsidRPr="00CD7966" w:rsidR="00911F91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911F91" w:rsidP="005E4C74" w:rsidRDefault="00911F91" w14:paraId="29642B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911F91" w:rsidP="007B6725" w:rsidRDefault="007B6725" w14:paraId="64191DA5" w14:textId="718D4A4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proofErr w:type="gramStart"/>
            <w:r w:rsidRPr="007B6725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7B6725">
              <w:rPr>
                <w:rFonts w:ascii="Arial" w:hAnsi="Arial" w:cs="Arial"/>
                <w:sz w:val="20"/>
                <w:szCs w:val="20"/>
              </w:rPr>
              <w:t xml:space="preserve"> no safety considerations associated with this </w:t>
            </w:r>
            <w:r w:rsidR="00065B1F">
              <w:rPr>
                <w:rFonts w:ascii="Arial" w:hAnsi="Arial" w:cs="Arial"/>
                <w:sz w:val="20"/>
                <w:szCs w:val="20"/>
              </w:rPr>
              <w:t>resolution</w:t>
            </w:r>
            <w:r w:rsidRPr="007B6725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955AAA" w:rsidR="007B6725" w:rsidP="007B6725" w:rsidRDefault="007B6725" w14:paraId="26710D1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911F91" w:rsidP="005E4C74" w:rsidRDefault="00911F91" w14:paraId="329332F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065B1F" w:rsidR="00065B1F" w:rsidP="00431978" w:rsidRDefault="00065B1F" w14:paraId="57DDCCF4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B1F">
              <w:rPr>
                <w:rFonts w:ascii="Arial" w:hAnsi="Arial" w:cs="Arial"/>
                <w:sz w:val="20"/>
                <w:szCs w:val="20"/>
              </w:rPr>
              <w:t xml:space="preserve">Actual costs are confidential </w:t>
            </w:r>
            <w:proofErr w:type="gramStart"/>
            <w:r w:rsidRPr="00065B1F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 w:rsidRPr="00065B1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065B1F" w:rsidR="00911F91" w:rsidP="00065B1F" w:rsidRDefault="00065B1F" w14:paraId="2A9DC787" w14:textId="30340CDA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  <w:r w:rsidRPr="00065B1F">
              <w:rPr>
                <w:rFonts w:ascii="Arial" w:hAnsi="Arial" w:cs="Arial"/>
                <w:sz w:val="20"/>
                <w:szCs w:val="20"/>
              </w:rPr>
              <w:cr/>
            </w:r>
          </w:p>
          <w:p w:rsidRPr="007B6725" w:rsidR="00065B1F" w:rsidP="005E4C74" w:rsidRDefault="00065B1F" w14:paraId="0A1D1AA5" w14:textId="0FBE7887">
            <w:pPr>
              <w:autoSpaceDE w:val="0"/>
              <w:autoSpaceDN w:val="0"/>
              <w:adjustRightInd w:val="0"/>
              <w:rPr>
                <w:rStyle w:val="Hyperlink"/>
                <w:color w:val="auto"/>
                <w:u w:val="none"/>
              </w:rPr>
            </w:pPr>
            <w:hyperlink w:history="1" r:id="rId12">
              <w:r w:rsidRPr="00234F7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http://docs.cpuc.ca.gov/SearchRes.aspx?docformat=ALL&amp;docid=590670206</w:t>
              </w:r>
            </w:hyperlink>
          </w:p>
          <w:p w:rsidRPr="007B6725" w:rsidR="007B6725" w:rsidP="007B6725" w:rsidRDefault="007B6725" w14:paraId="4D6A35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Pub. Util. Code § 311 – This item was mailed for Public Comment.</w:t>
            </w:r>
          </w:p>
          <w:p w:rsidRPr="0035756D" w:rsidR="00911F91" w:rsidP="005E4C74" w:rsidRDefault="00911F91" w14:paraId="1C034A0E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911F91" w:rsidP="005E4C74" w:rsidRDefault="00911F91" w14:paraId="453CCAA9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0E7C98" w:rsidP="0010621F" w:rsidRDefault="000E7C98" w14:paraId="3E8DAD6E" w14:textId="77777777"/>
    <w:p w:rsidR="003C7110" w:rsidP="0010621F" w:rsidRDefault="003C7110" w14:paraId="1913401A" w14:textId="77777777"/>
    <w:p w:rsidR="00065B1F" w:rsidP="0010621F" w:rsidRDefault="00065B1F" w14:paraId="0D23C472" w14:textId="77777777"/>
    <w:p w:rsidR="003C7110" w:rsidP="0010621F" w:rsidRDefault="003C7110" w14:paraId="103B23D8" w14:textId="77777777"/>
    <w:p w:rsidR="003C7110" w:rsidP="0010621F" w:rsidRDefault="003C7110" w14:paraId="31EDFFF9" w14:textId="77777777"/>
    <w:p w:rsidR="003C7110" w:rsidP="0010621F" w:rsidRDefault="003C7110" w14:paraId="1529F6C3" w14:textId="77777777"/>
    <w:p w:rsidR="003C7110" w:rsidP="0010621F" w:rsidRDefault="003C7110" w14:paraId="586F8E9E" w14:textId="77777777"/>
    <w:p w:rsidR="003C7110" w:rsidP="0010621F" w:rsidRDefault="003C7110" w14:paraId="22EB06A6" w14:textId="77777777"/>
    <w:p w:rsidR="003C7110" w:rsidP="0010621F" w:rsidRDefault="003C7110" w14:paraId="78C60BB5" w14:textId="77777777"/>
    <w:p w:rsidR="003C7110" w:rsidP="0010621F" w:rsidRDefault="003C7110" w14:paraId="28EBB222" w14:textId="77777777"/>
    <w:p w:rsidR="003C7110" w:rsidP="0010621F" w:rsidRDefault="003C7110" w14:paraId="12161951" w14:textId="77777777"/>
    <w:p w:rsidR="003C7110" w:rsidP="0010621F" w:rsidRDefault="003C7110" w14:paraId="4C3280D3" w14:textId="77777777"/>
    <w:p w:rsidR="003C7110" w:rsidP="0010621F" w:rsidRDefault="003C7110" w14:paraId="31070265" w14:textId="77777777"/>
    <w:p w:rsidR="006A59A8" w:rsidP="0010621F" w:rsidRDefault="006A59A8" w14:paraId="6098E904" w14:textId="77777777"/>
    <w:p w:rsidR="006A59A8" w:rsidP="0010621F" w:rsidRDefault="006A59A8" w14:paraId="05B59228" w14:textId="77777777"/>
    <w:p w:rsidR="006A59A8" w:rsidP="0010621F" w:rsidRDefault="006A59A8" w14:paraId="2E891FCC" w14:textId="77777777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6A59A8" w:rsidTr="00631D67" w14:paraId="65795CF5" w14:textId="77777777">
        <w:trPr>
          <w:trHeight w:val="8793"/>
        </w:trPr>
        <w:tc>
          <w:tcPr>
            <w:tcW w:w="545" w:type="pct"/>
          </w:tcPr>
          <w:p w:rsidR="006A59A8" w:rsidP="00631D67" w:rsidRDefault="006A59A8" w14:paraId="00EA91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6A59A8" w:rsidP="00631D67" w:rsidRDefault="006A59A8" w14:paraId="41CD9B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6A59A8" w:rsidP="00631D67" w:rsidRDefault="006A59A8" w14:paraId="07CA4D1C" w14:textId="3CC6F3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</w:t>
            </w:r>
            <w:r w:rsidR="00065B1F">
              <w:rPr>
                <w:rFonts w:ascii="Arial" w:hAnsi="Arial" w:cs="Arial"/>
                <w:b/>
                <w:bCs/>
                <w:sz w:val="20"/>
                <w:szCs w:val="20"/>
              </w:rPr>
              <w:t>923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6A59A8" w:rsidP="00631D67" w:rsidRDefault="006A59A8" w14:paraId="76FCDC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6A59A8" w:rsidP="00631D67" w:rsidRDefault="006A59A8" w14:paraId="5D949C5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6A59A8" w:rsidP="00631D67" w:rsidRDefault="006A59A8" w14:paraId="293FDAEE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A59A8" w:rsidP="00631D67" w:rsidRDefault="006A59A8" w14:paraId="11BE9DF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65B1F" w:rsidR="00065B1F" w:rsidP="00065B1F" w:rsidRDefault="00065B1F" w14:paraId="4B7501D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B1F">
              <w:rPr>
                <w:rFonts w:ascii="Arial" w:hAnsi="Arial" w:cs="Arial"/>
                <w:b/>
                <w:bCs/>
                <w:sz w:val="20"/>
                <w:szCs w:val="20"/>
              </w:rPr>
              <w:t>Transfer of Control of Frontier Communications Parent, Inc. and its</w:t>
            </w:r>
          </w:p>
          <w:p w:rsidR="00771416" w:rsidP="00065B1F" w:rsidRDefault="00065B1F" w14:paraId="6E675A3A" w14:textId="62D4B0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B1F">
              <w:rPr>
                <w:rFonts w:ascii="Arial" w:hAnsi="Arial" w:cs="Arial"/>
                <w:b/>
                <w:bCs/>
                <w:sz w:val="20"/>
                <w:szCs w:val="20"/>
              </w:rPr>
              <w:t>California Subsidiaries to Verizon Communications, Inc</w:t>
            </w:r>
          </w:p>
          <w:p w:rsidR="00065B1F" w:rsidP="00065B1F" w:rsidRDefault="00065B1F" w14:paraId="4568BC8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065B1F" w:rsidR="00065B1F" w:rsidP="00065B1F" w:rsidRDefault="00065B1F" w14:paraId="197DECE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B1F">
              <w:rPr>
                <w:rFonts w:ascii="Arial" w:hAnsi="Arial" w:cs="Arial"/>
                <w:b/>
                <w:bCs/>
                <w:sz w:val="20"/>
                <w:szCs w:val="20"/>
              </w:rPr>
              <w:t>A.24-10-006</w:t>
            </w:r>
          </w:p>
          <w:p w:rsidRPr="00065B1F" w:rsidR="00771416" w:rsidP="00065B1F" w:rsidRDefault="00065B1F" w14:paraId="5559736A" w14:textId="1D7644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B1F">
              <w:rPr>
                <w:rFonts w:ascii="Arial" w:hAnsi="Arial" w:cs="Arial"/>
                <w:sz w:val="20"/>
                <w:szCs w:val="20"/>
              </w:rPr>
              <w:t>In the Matter of the Joint Application of Verizon Communications Inc., Frontier Communications</w:t>
            </w:r>
            <w:r w:rsidRPr="0006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1F">
              <w:rPr>
                <w:rFonts w:ascii="Arial" w:hAnsi="Arial" w:cs="Arial"/>
                <w:sz w:val="20"/>
                <w:szCs w:val="20"/>
              </w:rPr>
              <w:t>Parent, Inc., Frontier California Inc., Citizens Telecommunications Company of California Inc.,</w:t>
            </w:r>
            <w:r w:rsidRPr="0006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1F">
              <w:rPr>
                <w:rFonts w:ascii="Arial" w:hAnsi="Arial" w:cs="Arial"/>
                <w:sz w:val="20"/>
                <w:szCs w:val="20"/>
              </w:rPr>
              <w:t>Frontier Communications of the Southwest Inc., Frontier Communications Online and Long</w:t>
            </w:r>
            <w:r w:rsidRPr="0006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1F">
              <w:rPr>
                <w:rFonts w:ascii="Arial" w:hAnsi="Arial" w:cs="Arial"/>
                <w:sz w:val="20"/>
                <w:szCs w:val="20"/>
              </w:rPr>
              <w:t>Distance Inc., and Frontier Communications of America, Inc. for Approval of the Transfer of</w:t>
            </w:r>
            <w:r w:rsidRPr="0006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1F">
              <w:rPr>
                <w:rFonts w:ascii="Arial" w:hAnsi="Arial" w:cs="Arial"/>
                <w:sz w:val="20"/>
                <w:szCs w:val="20"/>
              </w:rPr>
              <w:t>Control of Frontier California Inc., Citizens Telecommunications Company of California, Frontier</w:t>
            </w:r>
            <w:r w:rsidRPr="0006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1F">
              <w:rPr>
                <w:rFonts w:ascii="Arial" w:hAnsi="Arial" w:cs="Arial"/>
                <w:sz w:val="20"/>
                <w:szCs w:val="20"/>
              </w:rPr>
              <w:t>Communications of the Southwest Inc, Frontier Communications Online and Long Distance Inc.,</w:t>
            </w:r>
            <w:r w:rsidR="006350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1F">
              <w:rPr>
                <w:rFonts w:ascii="Arial" w:hAnsi="Arial" w:cs="Arial"/>
                <w:sz w:val="20"/>
                <w:szCs w:val="20"/>
              </w:rPr>
              <w:t>and Frontier Communications of America, Inc., to Verizon Communications Inc. Pursuant to</w:t>
            </w:r>
            <w:r w:rsidRPr="0006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1F">
              <w:rPr>
                <w:rFonts w:ascii="Arial" w:hAnsi="Arial" w:cs="Arial"/>
                <w:sz w:val="20"/>
                <w:szCs w:val="20"/>
              </w:rPr>
              <w:t>California Public Utilities Code Section 854.</w:t>
            </w:r>
          </w:p>
          <w:p w:rsidRPr="00395577" w:rsidR="00065B1F" w:rsidP="00065B1F" w:rsidRDefault="00065B1F" w14:paraId="31F3356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6A59A8" w:rsidP="00631D67" w:rsidRDefault="006A59A8" w14:paraId="2C3A739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635060" w:rsidR="00635060" w:rsidP="00635060" w:rsidRDefault="00635060" w14:paraId="041A9BAD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Authorizes a parent-level transaction in which Verizon Communications, Inc. will</w:t>
            </w:r>
          </w:p>
          <w:p w:rsidRPr="00635060" w:rsidR="00635060" w:rsidP="00635060" w:rsidRDefault="00635060" w14:paraId="0BD2DEF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acquire 100 percent of Frontier Communications Parent, Inc. and its California</w:t>
            </w:r>
          </w:p>
          <w:p w:rsidRPr="00635060" w:rsidR="00635060" w:rsidP="00635060" w:rsidRDefault="00635060" w14:paraId="33C1710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subsidiaries, pursuant to Public Utilities Code Section 854.</w:t>
            </w:r>
          </w:p>
          <w:p w:rsidRPr="00635060" w:rsidR="00635060" w:rsidP="00635060" w:rsidRDefault="00635060" w14:paraId="1F198FE1" w14:textId="4DB97F3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Adopts three settlement agreements, subject to additional mitigation measures.</w:t>
            </w:r>
          </w:p>
          <w:p w:rsidRPr="00CD7966" w:rsidR="006A59A8" w:rsidP="00635060" w:rsidRDefault="00635060" w14:paraId="427F79C4" w14:textId="733F2AF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Closes the proceeding.</w:t>
            </w:r>
            <w:r w:rsidRPr="00CD7966" w:rsidR="006A59A8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6A59A8" w:rsidP="00631D67" w:rsidRDefault="006A59A8" w14:paraId="2F6F28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6A59A8" w:rsidP="005F5D5F" w:rsidRDefault="005F5D5F" w14:paraId="5B790047" w14:textId="17D102E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There are no safety considerations associated with this decision.</w:t>
            </w:r>
          </w:p>
          <w:p w:rsidRPr="00955AAA" w:rsidR="005F5D5F" w:rsidP="005F5D5F" w:rsidRDefault="005F5D5F" w14:paraId="11BEB161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6A59A8" w:rsidP="00631D67" w:rsidRDefault="006A59A8" w14:paraId="4C0C85E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635060" w:rsidR="00635060" w:rsidP="00635060" w:rsidRDefault="00635060" w14:paraId="5E27AE3D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Costs associated with the settlement agreements and mitigation measures are not</w:t>
            </w:r>
          </w:p>
          <w:p w:rsidRPr="005F5D5F" w:rsidR="006A59A8" w:rsidP="00635060" w:rsidRDefault="00635060" w14:paraId="0C834B0C" w14:textId="6255A8D9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 xml:space="preserve">quantifiable </w:t>
            </w:r>
            <w:proofErr w:type="gramStart"/>
            <w:r w:rsidRPr="00635060">
              <w:rPr>
                <w:rFonts w:ascii="Arial" w:hAnsi="Arial" w:cs="Arial"/>
                <w:sz w:val="20"/>
                <w:szCs w:val="20"/>
              </w:rPr>
              <w:t xml:space="preserve">at this </w:t>
            </w:r>
            <w:r w:rsidRPr="00635060">
              <w:rPr>
                <w:rFonts w:ascii="Arial" w:hAnsi="Arial" w:cs="Arial"/>
                <w:sz w:val="20"/>
                <w:szCs w:val="20"/>
              </w:rPr>
              <w:t>time</w:t>
            </w:r>
            <w:proofErr w:type="gramEnd"/>
            <w:r w:rsidRPr="0063506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59A8" w:rsidP="00631D67" w:rsidRDefault="006A59A8" w14:paraId="23E2B61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C7110" w:rsidR="006A59A8" w:rsidP="00631D67" w:rsidRDefault="006A59A8" w14:paraId="4B6F988B" w14:textId="50633C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C7110">
              <w:rPr>
                <w:rFonts w:ascii="Arial" w:hAnsi="Arial" w:cs="Arial"/>
                <w:iCs/>
                <w:sz w:val="20"/>
                <w:szCs w:val="20"/>
              </w:rPr>
              <w:t>(Comr.</w:t>
            </w:r>
            <w:r w:rsidR="005F5D5F">
              <w:t xml:space="preserve"> </w:t>
            </w:r>
            <w:r w:rsidRPr="00635060" w:rsidR="00635060">
              <w:rPr>
                <w:rFonts w:ascii="Arial" w:hAnsi="Arial" w:cs="Arial"/>
                <w:iCs/>
                <w:sz w:val="20"/>
                <w:szCs w:val="20"/>
              </w:rPr>
              <w:t>John Reynolds - Judge Fox</w:t>
            </w:r>
            <w:r w:rsidRPr="003C711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Pr="00CD7966" w:rsidR="006A59A8" w:rsidP="00631D67" w:rsidRDefault="006A59A8" w14:paraId="133BFBB1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635060" w:rsidP="00631D67" w:rsidRDefault="00635060" w14:paraId="1A6FBF4D" w14:textId="496624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hyperlink w:history="1" r:id="rId13">
              <w:r w:rsidRPr="00234F7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http://docs.cpuc.ca.gov/SearchRes.aspx?docformat=ALL&amp;docid=59090480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4</w:t>
              </w:r>
            </w:hyperlink>
          </w:p>
          <w:p w:rsidRPr="003C7110" w:rsidR="006A59A8" w:rsidP="00631D67" w:rsidRDefault="006A59A8" w14:paraId="7577C7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Pub. Util. Code § 311 </w:t>
            </w:r>
            <w:r w:rsidRPr="003C7110">
              <w:rPr>
                <w:rFonts w:ascii="Albany WT J" w:hAnsi="Albany WT J" w:cs="Albany WT J"/>
                <w:color w:val="000000"/>
                <w:sz w:val="20"/>
                <w:szCs w:val="20"/>
              </w:rPr>
              <w:t xml:space="preserve">– </w:t>
            </w: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 item was mailed for Public Comment.</w:t>
            </w:r>
          </w:p>
          <w:p w:rsidRPr="003C7110" w:rsidR="006A59A8" w:rsidP="00631D67" w:rsidRDefault="006A59A8" w14:paraId="0F23353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  <w:p w:rsidRPr="0035756D" w:rsidR="006A59A8" w:rsidP="00631D67" w:rsidRDefault="006A59A8" w14:paraId="54BD78E3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6A59A8" w:rsidP="00631D67" w:rsidRDefault="006A59A8" w14:paraId="03D38A9D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6A59A8" w:rsidP="0010621F" w:rsidRDefault="006A59A8" w14:paraId="47DCE92F" w14:textId="77777777"/>
    <w:sectPr w:rsidR="006A59A8" w:rsidSect="00B75350">
      <w:headerReference w:type="default" r:id="rId14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F345" w14:textId="77777777" w:rsidR="002974CE" w:rsidRDefault="002974CE">
      <w:r>
        <w:separator/>
      </w:r>
    </w:p>
  </w:endnote>
  <w:endnote w:type="continuationSeparator" w:id="0">
    <w:p w14:paraId="6486506F" w14:textId="77777777" w:rsidR="002974CE" w:rsidRDefault="0029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WT J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6819" w14:textId="77777777" w:rsidR="002974CE" w:rsidRDefault="002974CE">
      <w:r>
        <w:separator/>
      </w:r>
    </w:p>
  </w:footnote>
  <w:footnote w:type="continuationSeparator" w:id="0">
    <w:p w14:paraId="10FA4341" w14:textId="77777777" w:rsidR="002974CE" w:rsidRDefault="0029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5BA8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50ADF"/>
    <w:rsid w:val="0005766D"/>
    <w:rsid w:val="00057AC3"/>
    <w:rsid w:val="00060011"/>
    <w:rsid w:val="00060F1B"/>
    <w:rsid w:val="00063C60"/>
    <w:rsid w:val="000647AA"/>
    <w:rsid w:val="00065B1F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0F75E3"/>
    <w:rsid w:val="00102A33"/>
    <w:rsid w:val="00105623"/>
    <w:rsid w:val="0010621F"/>
    <w:rsid w:val="00131EDF"/>
    <w:rsid w:val="00135AC5"/>
    <w:rsid w:val="00136E5E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3409"/>
    <w:rsid w:val="00184472"/>
    <w:rsid w:val="00184B5E"/>
    <w:rsid w:val="00187A53"/>
    <w:rsid w:val="0019222E"/>
    <w:rsid w:val="0019248B"/>
    <w:rsid w:val="001A38C1"/>
    <w:rsid w:val="001A49E2"/>
    <w:rsid w:val="001A7FCE"/>
    <w:rsid w:val="001B14BC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773A4"/>
    <w:rsid w:val="00284360"/>
    <w:rsid w:val="00292251"/>
    <w:rsid w:val="00294431"/>
    <w:rsid w:val="00296975"/>
    <w:rsid w:val="0029720B"/>
    <w:rsid w:val="002974CE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075B7"/>
    <w:rsid w:val="00316081"/>
    <w:rsid w:val="003171A3"/>
    <w:rsid w:val="00322239"/>
    <w:rsid w:val="00322503"/>
    <w:rsid w:val="00327BD6"/>
    <w:rsid w:val="00332146"/>
    <w:rsid w:val="00343664"/>
    <w:rsid w:val="00343F6B"/>
    <w:rsid w:val="00350623"/>
    <w:rsid w:val="003530F8"/>
    <w:rsid w:val="0035756D"/>
    <w:rsid w:val="003640B4"/>
    <w:rsid w:val="00364E84"/>
    <w:rsid w:val="00365777"/>
    <w:rsid w:val="00367DED"/>
    <w:rsid w:val="00375BC5"/>
    <w:rsid w:val="00376561"/>
    <w:rsid w:val="00377F9C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C7110"/>
    <w:rsid w:val="003D5863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474B4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246A"/>
    <w:rsid w:val="0053363C"/>
    <w:rsid w:val="005449C7"/>
    <w:rsid w:val="00555FDB"/>
    <w:rsid w:val="00556848"/>
    <w:rsid w:val="00557C7D"/>
    <w:rsid w:val="005619F7"/>
    <w:rsid w:val="00562831"/>
    <w:rsid w:val="00562CC5"/>
    <w:rsid w:val="005659D6"/>
    <w:rsid w:val="00566CCC"/>
    <w:rsid w:val="00577A70"/>
    <w:rsid w:val="00584052"/>
    <w:rsid w:val="00591A6D"/>
    <w:rsid w:val="00596B85"/>
    <w:rsid w:val="00597B35"/>
    <w:rsid w:val="005A0A70"/>
    <w:rsid w:val="005A12BE"/>
    <w:rsid w:val="005A36D2"/>
    <w:rsid w:val="005A4CBF"/>
    <w:rsid w:val="005B079B"/>
    <w:rsid w:val="005B12CE"/>
    <w:rsid w:val="005B4399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5F5D5F"/>
    <w:rsid w:val="00607857"/>
    <w:rsid w:val="00626432"/>
    <w:rsid w:val="00633F5D"/>
    <w:rsid w:val="00635060"/>
    <w:rsid w:val="00640F8B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59A8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416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B6725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15E3B"/>
    <w:rsid w:val="00824A00"/>
    <w:rsid w:val="0082523F"/>
    <w:rsid w:val="00826BAC"/>
    <w:rsid w:val="00826BCD"/>
    <w:rsid w:val="00826C7B"/>
    <w:rsid w:val="00833469"/>
    <w:rsid w:val="00834A5A"/>
    <w:rsid w:val="0084424D"/>
    <w:rsid w:val="00844858"/>
    <w:rsid w:val="00845A31"/>
    <w:rsid w:val="008541D6"/>
    <w:rsid w:val="00855013"/>
    <w:rsid w:val="00856579"/>
    <w:rsid w:val="0086227D"/>
    <w:rsid w:val="00862BC1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2679C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20812"/>
    <w:rsid w:val="00A25A66"/>
    <w:rsid w:val="00A265FC"/>
    <w:rsid w:val="00A30E77"/>
    <w:rsid w:val="00A3131B"/>
    <w:rsid w:val="00A3191B"/>
    <w:rsid w:val="00A367C2"/>
    <w:rsid w:val="00A41E99"/>
    <w:rsid w:val="00A50962"/>
    <w:rsid w:val="00A512AE"/>
    <w:rsid w:val="00A5579B"/>
    <w:rsid w:val="00A563D4"/>
    <w:rsid w:val="00A56A47"/>
    <w:rsid w:val="00A56AA4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EC5"/>
    <w:rsid w:val="00AC60BA"/>
    <w:rsid w:val="00AC614D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D0A"/>
    <w:rsid w:val="00BF6E50"/>
    <w:rsid w:val="00C029E5"/>
    <w:rsid w:val="00C03903"/>
    <w:rsid w:val="00C07227"/>
    <w:rsid w:val="00C12321"/>
    <w:rsid w:val="00C15D63"/>
    <w:rsid w:val="00C25C96"/>
    <w:rsid w:val="00C25E3D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D7241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41EDA"/>
    <w:rsid w:val="00F45D81"/>
    <w:rsid w:val="00F45E91"/>
    <w:rsid w:val="00F50A13"/>
    <w:rsid w:val="00F62ED1"/>
    <w:rsid w:val="00F64FB2"/>
    <w:rsid w:val="00F654E5"/>
    <w:rsid w:val="00F74CE5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4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hyperlink" Target="http://docs.cpuc.ca.gov/SearchRes.aspx?docformat=ALL&amp;docid=5909048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puc.ca.gov/SearchRes.aspx?docformat=ALL&amp;docid=5906702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5873283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807</ap:Words>
  <ap:Characters>4602</ap:Characters>
  <ap:Application>Microsoft Office Word</ap:Application>
  <ap:DocSecurity>0</ap:DocSecurity>
  <ap:Lines>38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5399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2026-01-09T12:22:50Z</dcterms:created>
  <dcterms:modified xsi:type="dcterms:W3CDTF">2026-01-09T12:22:50Z</dcterms:modified>
</cp:coreProperties>
</file>