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929" w:rsidR="006A6A2A" w:rsidP="006A6A2A" w:rsidRDefault="006A6A2A" w14:paraId="2B58FF3D" w14:textId="51646D50">
      <w:pPr>
        <w:pStyle w:val="Header"/>
        <w:rPr>
          <w:rFonts w:ascii="Book Antiqua" w:hAnsi="Book Antiqua"/>
          <w:b/>
          <w:bCs/>
          <w:szCs w:val="26"/>
        </w:rPr>
      </w:pPr>
      <w:r w:rsidRPr="00EA6432">
        <w:rPr>
          <w:rFonts w:ascii="Book Antiqua" w:hAnsi="Book Antiqua"/>
          <w:szCs w:val="26"/>
        </w:rPr>
        <w:t>ALJ/</w:t>
      </w:r>
      <w:r>
        <w:rPr>
          <w:rFonts w:ascii="Book Antiqua" w:hAnsi="Book Antiqua"/>
          <w:szCs w:val="26"/>
        </w:rPr>
        <w:t>DVD/RP6/avs</w:t>
      </w:r>
      <w:r>
        <w:rPr>
          <w:rFonts w:ascii="Book Antiqua" w:hAnsi="Book Antiqua"/>
          <w:szCs w:val="26"/>
        </w:rPr>
        <w:tab/>
      </w:r>
      <w:r w:rsidRPr="00182929">
        <w:rPr>
          <w:rFonts w:ascii="Book Antiqua" w:hAnsi="Book Antiqua"/>
          <w:b/>
          <w:bCs/>
          <w:szCs w:val="26"/>
        </w:rPr>
        <w:t>PROPOSED DECISION</w:t>
      </w:r>
      <w:r w:rsidRPr="00182929">
        <w:rPr>
          <w:rFonts w:ascii="Book Antiqua" w:hAnsi="Book Antiqua"/>
          <w:b/>
          <w:bCs/>
          <w:szCs w:val="26"/>
        </w:rPr>
        <w:tab/>
        <w:t>Agenda ID</w:t>
      </w:r>
      <w:r w:rsidR="000F032E">
        <w:rPr>
          <w:rFonts w:ascii="Book Antiqua" w:hAnsi="Book Antiqua"/>
          <w:b/>
          <w:bCs/>
          <w:szCs w:val="26"/>
        </w:rPr>
        <w:t xml:space="preserve"> # 23901</w:t>
      </w:r>
      <w:r w:rsidR="008D2CFB">
        <w:rPr>
          <w:rFonts w:ascii="Book Antiqua" w:hAnsi="Book Antiqua"/>
          <w:b/>
          <w:bCs/>
          <w:szCs w:val="26"/>
        </w:rPr>
        <w:t xml:space="preserve"> (REV. 1)</w:t>
      </w:r>
    </w:p>
    <w:p w:rsidR="006A6A2A" w:rsidP="006A6A2A" w:rsidRDefault="006A6A2A" w14:paraId="1044A187" w14:textId="77777777">
      <w:pPr>
        <w:suppressAutoHyphens/>
        <w:jc w:val="right"/>
        <w:rPr>
          <w:rFonts w:ascii="Book Antiqua" w:hAnsi="Book Antiqua"/>
          <w:b/>
          <w:bCs/>
          <w:szCs w:val="26"/>
        </w:rPr>
      </w:pPr>
      <w:r>
        <w:rPr>
          <w:rFonts w:ascii="Book Antiqua" w:hAnsi="Book Antiqua"/>
          <w:b/>
          <w:bCs/>
          <w:szCs w:val="26"/>
        </w:rPr>
        <w:t>Ratesetting</w:t>
      </w:r>
    </w:p>
    <w:p w:rsidRPr="00182929" w:rsidR="008D2CFB" w:rsidP="006A6A2A" w:rsidRDefault="008D2CFB" w14:paraId="41547A6D" w14:textId="3B70EE20">
      <w:pPr>
        <w:suppressAutoHyphens/>
        <w:jc w:val="right"/>
        <w:rPr>
          <w:rFonts w:ascii="Book Antiqua" w:hAnsi="Book Antiqua"/>
          <w:b/>
          <w:bCs/>
          <w:szCs w:val="26"/>
        </w:rPr>
      </w:pPr>
      <w:r>
        <w:rPr>
          <w:rFonts w:ascii="Book Antiqua" w:hAnsi="Book Antiqua"/>
          <w:b/>
          <w:bCs/>
          <w:szCs w:val="26"/>
        </w:rPr>
        <w:t>1/15/2026 Item 33</w:t>
      </w:r>
    </w:p>
    <w:p w:rsidR="006A6A2A" w:rsidRDefault="006A6A2A" w14:paraId="629A81FA" w14:textId="77777777">
      <w:pPr>
        <w:suppressAutoHyphens/>
        <w:rPr>
          <w:color w:val="000000"/>
        </w:rPr>
      </w:pPr>
    </w:p>
    <w:p w:rsidR="006A6A2A" w:rsidRDefault="006A6A2A" w14:paraId="34D004E8" w14:textId="77777777">
      <w:pPr>
        <w:suppressAutoHyphens/>
        <w:rPr>
          <w:color w:val="000000"/>
        </w:rPr>
      </w:pPr>
    </w:p>
    <w:p w:rsidR="00770380" w:rsidRDefault="00A92D0B" w14:paraId="7E643BB3" w14:textId="77777777">
      <w:pPr>
        <w:suppressAutoHyphens/>
        <w:rPr>
          <w:b/>
          <w:bCs/>
          <w:color w:val="000000"/>
          <w:u w:val="single"/>
        </w:rPr>
      </w:pPr>
      <w:r w:rsidRPr="00074F3F">
        <w:rPr>
          <w:color w:val="000000"/>
        </w:rPr>
        <w:t xml:space="preserve">Decision </w:t>
      </w:r>
      <w:r w:rsidRPr="00074B37" w:rsidR="00770380">
        <w:rPr>
          <w:b/>
          <w:bCs/>
          <w:color w:val="000000"/>
          <w:u w:val="single"/>
        </w:rPr>
        <w:t xml:space="preserve">PROPOSED DECISION OF ALJ </w:t>
      </w:r>
      <w:r w:rsidR="00770380">
        <w:rPr>
          <w:b/>
          <w:bCs/>
          <w:color w:val="000000"/>
          <w:u w:val="single"/>
        </w:rPr>
        <w:t>VAN DYKEN and ALJ PURCHIA</w:t>
      </w:r>
    </w:p>
    <w:p w:rsidRPr="00074F3F" w:rsidR="00A92D0B" w:rsidP="00770380" w:rsidRDefault="00770380" w14:paraId="5BDA9FD4" w14:textId="475E9190">
      <w:pPr>
        <w:suppressAutoHyphens/>
        <w:ind w:left="900"/>
        <w:rPr>
          <w:color w:val="000000"/>
        </w:rPr>
      </w:pPr>
      <w:r w:rsidRPr="00C06A06">
        <w:rPr>
          <w:b/>
          <w:bCs/>
          <w:color w:val="000000"/>
        </w:rPr>
        <w:t xml:space="preserve">(Mailed </w:t>
      </w:r>
      <w:r>
        <w:rPr>
          <w:b/>
          <w:bCs/>
          <w:color w:val="000000"/>
        </w:rPr>
        <w:t>1</w:t>
      </w:r>
      <w:r w:rsidR="00AD03E2">
        <w:rPr>
          <w:b/>
          <w:bCs/>
          <w:color w:val="000000"/>
        </w:rPr>
        <w:t>2</w:t>
      </w:r>
      <w:r>
        <w:rPr>
          <w:b/>
          <w:bCs/>
          <w:color w:val="000000"/>
        </w:rPr>
        <w:t>/</w:t>
      </w:r>
      <w:r w:rsidR="00E968B6">
        <w:rPr>
          <w:b/>
          <w:bCs/>
          <w:color w:val="000000"/>
        </w:rPr>
        <w:t>2</w:t>
      </w:r>
      <w:r>
        <w:rPr>
          <w:b/>
          <w:bCs/>
          <w:color w:val="000000"/>
        </w:rPr>
        <w:t>/2025</w:t>
      </w:r>
      <w:r w:rsidRPr="00C06A06">
        <w:rPr>
          <w:b/>
          <w:bCs/>
          <w:color w:val="000000"/>
        </w:rPr>
        <w:t>)</w:t>
      </w:r>
    </w:p>
    <w:p w:rsidRPr="00074F3F" w:rsidR="00A92D0B" w:rsidRDefault="00A92D0B" w14:paraId="6D327C87" w14:textId="77777777">
      <w:pPr>
        <w:pStyle w:val="titlebar"/>
        <w:rPr>
          <w:rFonts w:ascii="Times New Roman" w:hAnsi="Times New Roman"/>
          <w:color w:val="000000"/>
          <w:sz w:val="24"/>
          <w:szCs w:val="24"/>
        </w:rPr>
      </w:pPr>
    </w:p>
    <w:p w:rsidRPr="00074F3F" w:rsidR="00A92D0B" w:rsidRDefault="00A92D0B" w14:paraId="44E03231" w14:textId="77777777">
      <w:pPr>
        <w:pStyle w:val="titlebar"/>
        <w:rPr>
          <w:rFonts w:ascii="Times New Roman" w:hAnsi="Times New Roman"/>
          <w:color w:val="000000"/>
          <w:sz w:val="24"/>
          <w:szCs w:val="24"/>
        </w:rPr>
      </w:pPr>
    </w:p>
    <w:p w:rsidRPr="00074F3F" w:rsidR="00A92D0B" w:rsidRDefault="00A92D0B" w14:paraId="67F2520C" w14:textId="77777777">
      <w:pPr>
        <w:pStyle w:val="titlebar"/>
        <w:rPr>
          <w:rFonts w:ascii="Arial" w:hAnsi="Arial"/>
          <w:color w:val="000000"/>
          <w:sz w:val="24"/>
          <w:szCs w:val="24"/>
        </w:rPr>
      </w:pPr>
      <w:r w:rsidRPr="00074F3F">
        <w:rPr>
          <w:rFonts w:ascii="Arial" w:hAnsi="Arial"/>
          <w:color w:val="000000"/>
          <w:sz w:val="24"/>
          <w:szCs w:val="24"/>
        </w:rPr>
        <w:t>BEFORE THE PUBLIC UTILITIES COMMISSION OF THE STATE OF CALIFORNIA</w:t>
      </w:r>
    </w:p>
    <w:p w:rsidRPr="00074F3F"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680"/>
        <w:gridCol w:w="5148"/>
      </w:tblGrid>
      <w:tr w:rsidRPr="00AA26C7" w:rsidR="00A92D0B" w:rsidTr="006A6A2A" w14:paraId="3942D7B4" w14:textId="77777777">
        <w:tc>
          <w:tcPr>
            <w:tcW w:w="4680" w:type="dxa"/>
            <w:vAlign w:val="center"/>
          </w:tcPr>
          <w:p w:rsidRPr="00AA26C7" w:rsidR="00A92D0B" w:rsidP="001343A6" w:rsidRDefault="008A0BF7" w14:paraId="60570DE2" w14:textId="77777777">
            <w:pPr>
              <w:tabs>
                <w:tab w:val="left" w:pos="1882"/>
              </w:tabs>
              <w:rPr>
                <w:rFonts w:ascii="Book Antiqua" w:hAnsi="Book Antiqua"/>
              </w:rPr>
            </w:pPr>
            <w:r w:rsidRPr="00AA26C7">
              <w:rPr>
                <w:rFonts w:ascii="Book Antiqua" w:hAnsi="Book Antiqua"/>
              </w:rPr>
              <w:t>Order Instituting Rulemaking to Establish Policies, Processes, and Rules to Ensure Safe and Reliable Gas Systems in California and Perform Long-Term Gas System Planning.</w:t>
            </w:r>
          </w:p>
          <w:p w:rsidRPr="00AA26C7" w:rsidR="006A6A2A" w:rsidP="001343A6" w:rsidRDefault="006A6A2A" w14:paraId="47850BD9" w14:textId="21D32160">
            <w:pPr>
              <w:tabs>
                <w:tab w:val="left" w:pos="1882"/>
              </w:tabs>
              <w:rPr>
                <w:rFonts w:ascii="Book Antiqua" w:hAnsi="Book Antiqua"/>
                <w:color w:val="000000"/>
              </w:rPr>
            </w:pPr>
          </w:p>
        </w:tc>
        <w:tc>
          <w:tcPr>
            <w:tcW w:w="5148" w:type="dxa"/>
            <w:tcBorders>
              <w:top w:val="nil"/>
              <w:bottom w:val="nil"/>
            </w:tcBorders>
            <w:vAlign w:val="center"/>
          </w:tcPr>
          <w:p w:rsidRPr="00AA26C7" w:rsidR="006A6A2A" w:rsidP="00342B45" w:rsidRDefault="006A6A2A" w14:paraId="451B34B7" w14:textId="77777777">
            <w:pPr>
              <w:tabs>
                <w:tab w:val="left" w:pos="1440"/>
                <w:tab w:val="left" w:pos="3600"/>
              </w:tabs>
              <w:jc w:val="center"/>
              <w:rPr>
                <w:rFonts w:ascii="Book Antiqua" w:hAnsi="Book Antiqua"/>
              </w:rPr>
            </w:pPr>
          </w:p>
          <w:p w:rsidRPr="00AA26C7" w:rsidR="00512047" w:rsidP="00342B45" w:rsidRDefault="008A0BF7" w14:paraId="618F25D3" w14:textId="70429356">
            <w:pPr>
              <w:tabs>
                <w:tab w:val="left" w:pos="1440"/>
                <w:tab w:val="left" w:pos="3600"/>
              </w:tabs>
              <w:jc w:val="center"/>
              <w:rPr>
                <w:rFonts w:ascii="Book Antiqua" w:hAnsi="Book Antiqua"/>
              </w:rPr>
            </w:pPr>
            <w:r w:rsidRPr="00AA26C7">
              <w:rPr>
                <w:rFonts w:ascii="Book Antiqua" w:hAnsi="Book Antiqua"/>
              </w:rPr>
              <w:t>Rulemaking 20-01-007</w:t>
            </w:r>
          </w:p>
          <w:p w:rsidRPr="00AA26C7" w:rsidR="008A0BF7" w:rsidP="00342B45" w:rsidRDefault="008A0BF7" w14:paraId="7EC7277D" w14:textId="06BC7B96">
            <w:pPr>
              <w:tabs>
                <w:tab w:val="left" w:pos="1440"/>
                <w:tab w:val="left" w:pos="3600"/>
              </w:tabs>
              <w:jc w:val="center"/>
              <w:rPr>
                <w:rFonts w:ascii="Book Antiqua" w:hAnsi="Book Antiqua"/>
                <w:color w:val="000000"/>
              </w:rPr>
            </w:pPr>
          </w:p>
        </w:tc>
      </w:tr>
    </w:tbl>
    <w:p w:rsidR="00FC72B7" w:rsidRDefault="00FC72B7" w14:paraId="5459E071" w14:textId="77777777">
      <w:pPr>
        <w:jc w:val="center"/>
        <w:rPr>
          <w:b/>
          <w:color w:val="000000"/>
        </w:rPr>
      </w:pPr>
    </w:p>
    <w:p w:rsidRPr="00074F3F" w:rsidR="006A6A2A" w:rsidRDefault="006A6A2A" w14:paraId="178515F6" w14:textId="77777777">
      <w:pPr>
        <w:jc w:val="center"/>
        <w:rPr>
          <w:b/>
          <w:color w:val="000000"/>
        </w:rPr>
      </w:pPr>
    </w:p>
    <w:p w:rsidRPr="00074F3F" w:rsidR="00A92D0B" w:rsidRDefault="005B562C" w14:paraId="170436E7" w14:textId="49449A2E">
      <w:pPr>
        <w:jc w:val="center"/>
        <w:rPr>
          <w:b/>
        </w:rPr>
      </w:pPr>
      <w:r w:rsidRPr="005B562C">
        <w:rPr>
          <w:b/>
        </w:rPr>
        <w:t xml:space="preserve">DECISION GRANTING COMPENSATION </w:t>
      </w:r>
      <w:r w:rsidRPr="00C5306A">
        <w:rPr>
          <w:b/>
        </w:rPr>
        <w:t xml:space="preserve">TO </w:t>
      </w:r>
      <w:r w:rsidRPr="00C5306A" w:rsidR="001573F4">
        <w:rPr>
          <w:b/>
          <w:bCs/>
        </w:rPr>
        <w:t>ENVIRONMENTAL DEFENSE FUND</w:t>
      </w:r>
      <w:r w:rsidRPr="00074F3F" w:rsidR="00A92D0B">
        <w:rPr>
          <w:b/>
          <w:shd w:val="clear" w:color="auto" w:fill="CCFFCC"/>
        </w:rPr>
        <w:t xml:space="preserve"> </w:t>
      </w:r>
    </w:p>
    <w:p w:rsidRPr="00074F3F" w:rsidR="00374FD1" w:rsidRDefault="001B6532" w14:paraId="7DD45571" w14:textId="1FDF5D88">
      <w:pPr>
        <w:jc w:val="center"/>
        <w:rPr>
          <w:b/>
          <w:shd w:val="clear" w:color="auto" w:fill="CCFFCC"/>
        </w:rPr>
      </w:pPr>
      <w:r w:rsidRPr="001B6532">
        <w:rPr>
          <w:b/>
        </w:rPr>
        <w:t>FOR SUBSTANTIAL CONTRIBUT</w:t>
      </w:r>
      <w:r w:rsidR="006B595B">
        <w:rPr>
          <w:b/>
        </w:rPr>
        <w:t>I</w:t>
      </w:r>
      <w:r w:rsidRPr="001B6532">
        <w:rPr>
          <w:b/>
        </w:rPr>
        <w:t>ON TO DECISION 23-12-003</w:t>
      </w:r>
    </w:p>
    <w:p w:rsidRPr="00074F3F" w:rsidR="00A92D0B" w:rsidRDefault="00A92D0B" w14:paraId="4BEAFF75" w14:textId="6A634730">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675"/>
        <w:gridCol w:w="4685"/>
      </w:tblGrid>
      <w:tr w:rsidRPr="00074F3F" w:rsidR="00A92D0B" w:rsidTr="00FA566D" w14:paraId="0FE98F62" w14:textId="77777777">
        <w:tc>
          <w:tcPr>
            <w:tcW w:w="4675" w:type="dxa"/>
          </w:tcPr>
          <w:p w:rsidRPr="00074F3F" w:rsidR="00A92D0B" w:rsidP="00C47A2B" w:rsidRDefault="005A63D4" w14:paraId="11570D4A" w14:textId="21871519">
            <w:pPr>
              <w:tabs>
                <w:tab w:val="left" w:pos="1620"/>
                <w:tab w:val="right" w:pos="4500"/>
              </w:tabs>
              <w:rPr>
                <w:color w:val="000000"/>
              </w:rPr>
            </w:pPr>
            <w:r w:rsidRPr="00074F3F">
              <w:rPr>
                <w:b/>
                <w:color w:val="000000"/>
              </w:rPr>
              <w:t>Intervenor</w:t>
            </w:r>
            <w:r w:rsidRPr="00074F3F" w:rsidR="00F63C29">
              <w:rPr>
                <w:b/>
                <w:color w:val="000000"/>
              </w:rPr>
              <w:t>:</w:t>
            </w:r>
            <w:r w:rsidRPr="00074F3F" w:rsidR="00691528">
              <w:rPr>
                <w:b/>
                <w:color w:val="000000"/>
              </w:rPr>
              <w:t xml:space="preserve"> </w:t>
            </w:r>
            <w:r w:rsidRPr="00FA566D" w:rsidR="00407800">
              <w:rPr>
                <w:bCs/>
                <w:color w:val="000000"/>
              </w:rPr>
              <w:t>Environmental Defense Fund</w:t>
            </w:r>
          </w:p>
        </w:tc>
        <w:tc>
          <w:tcPr>
            <w:tcW w:w="4685" w:type="dxa"/>
          </w:tcPr>
          <w:p w:rsidRPr="00074F3F" w:rsidR="00A92D0B" w:rsidP="00C47A2B" w:rsidRDefault="00A92D0B" w14:paraId="53A584EE" w14:textId="350522C0">
            <w:pPr>
              <w:tabs>
                <w:tab w:val="left" w:pos="1872"/>
                <w:tab w:val="right" w:pos="3672"/>
              </w:tabs>
              <w:rPr>
                <w:b/>
                <w:color w:val="000000"/>
              </w:rPr>
            </w:pPr>
            <w:r w:rsidRPr="00074F3F">
              <w:rPr>
                <w:b/>
                <w:color w:val="000000"/>
              </w:rPr>
              <w:t>For contribution to D</w:t>
            </w:r>
            <w:r w:rsidRPr="00074F3F" w:rsidR="00DE3A5D">
              <w:rPr>
                <w:b/>
                <w:color w:val="000000"/>
              </w:rPr>
              <w:t xml:space="preserve">ecision (D.) </w:t>
            </w:r>
            <w:r w:rsidRPr="00FA566D" w:rsidR="001F53DF">
              <w:rPr>
                <w:bCs/>
                <w:color w:val="000000"/>
              </w:rPr>
              <w:t>2</w:t>
            </w:r>
            <w:r w:rsidRPr="00FA566D" w:rsidR="000151F2">
              <w:rPr>
                <w:bCs/>
                <w:color w:val="000000"/>
              </w:rPr>
              <w:t>3-12-003</w:t>
            </w:r>
          </w:p>
        </w:tc>
      </w:tr>
      <w:tr w:rsidRPr="00074F3F" w:rsidR="00A92D0B" w:rsidTr="00F36E98" w14:paraId="47003B8E" w14:textId="77777777">
        <w:tc>
          <w:tcPr>
            <w:tcW w:w="4675" w:type="dxa"/>
          </w:tcPr>
          <w:p w:rsidRPr="00074F3F" w:rsidR="00A92D0B" w:rsidP="00C47A2B" w:rsidRDefault="00A92D0B" w14:paraId="0E2E4BD1" w14:textId="65CAA312">
            <w:pPr>
              <w:tabs>
                <w:tab w:val="left" w:pos="1620"/>
                <w:tab w:val="right" w:pos="4500"/>
              </w:tabs>
              <w:rPr>
                <w:b/>
                <w:color w:val="000000"/>
                <w:u w:val="single"/>
              </w:rPr>
            </w:pPr>
            <w:r w:rsidRPr="00074F3F">
              <w:rPr>
                <w:b/>
                <w:color w:val="000000"/>
              </w:rPr>
              <w:t>Claimed:</w:t>
            </w:r>
            <w:r w:rsidRPr="00074F3F" w:rsidR="00F63C29">
              <w:rPr>
                <w:b/>
                <w:color w:val="000000"/>
              </w:rPr>
              <w:t xml:space="preserve"> </w:t>
            </w:r>
            <w:r w:rsidRPr="00FA566D" w:rsidR="00FC72B7">
              <w:t>$</w:t>
            </w:r>
            <w:r w:rsidRPr="00FA566D" w:rsidR="008332F4">
              <w:t>64,408.30</w:t>
            </w:r>
          </w:p>
        </w:tc>
        <w:tc>
          <w:tcPr>
            <w:tcW w:w="4685" w:type="dxa"/>
            <w:tcBorders>
              <w:bottom w:val="single" w:color="auto" w:sz="4" w:space="0"/>
            </w:tcBorders>
          </w:tcPr>
          <w:p w:rsidRPr="00074F3F" w:rsidR="00A92D0B" w:rsidP="00C47A2B" w:rsidRDefault="00A92D0B" w14:paraId="211F40A8" w14:textId="65919F8B">
            <w:pPr>
              <w:tabs>
                <w:tab w:val="left" w:pos="1872"/>
                <w:tab w:val="right" w:pos="3672"/>
              </w:tabs>
              <w:rPr>
                <w:b/>
                <w:color w:val="000000"/>
                <w:u w:val="single"/>
              </w:rPr>
            </w:pPr>
            <w:r w:rsidRPr="00A27643">
              <w:rPr>
                <w:b/>
                <w:color w:val="000000"/>
              </w:rPr>
              <w:t>Awarded:</w:t>
            </w:r>
            <w:r w:rsidR="002D7B0F">
              <w:t xml:space="preserve"> </w:t>
            </w:r>
            <w:r w:rsidR="009005E4">
              <w:t>$</w:t>
            </w:r>
            <w:r w:rsidR="00602195">
              <w:t xml:space="preserve">31,152.50 </w:t>
            </w:r>
            <w:r w:rsidR="00E8450A">
              <w:t xml:space="preserve"> </w:t>
            </w:r>
            <w:r w:rsidR="009005E4">
              <w:t xml:space="preserve"> </w:t>
            </w:r>
            <w:r w:rsidR="00C3638A">
              <w:t xml:space="preserve"> </w:t>
            </w:r>
            <w:r w:rsidR="004F01FB">
              <w:t xml:space="preserve"> </w:t>
            </w:r>
            <w:r w:rsidR="006E0713">
              <w:t xml:space="preserve"> </w:t>
            </w:r>
            <w:r w:rsidR="002D7B0F">
              <w:t xml:space="preserve"> </w:t>
            </w:r>
            <w:r w:rsidR="009441AA">
              <w:t xml:space="preserve"> </w:t>
            </w:r>
            <w:r w:rsidR="006F193B">
              <w:t xml:space="preserve"> </w:t>
            </w:r>
          </w:p>
        </w:tc>
      </w:tr>
      <w:tr w:rsidRPr="00074F3F" w:rsidR="00A92D0B" w:rsidTr="00FA566D" w14:paraId="5C56877D" w14:textId="77777777">
        <w:tc>
          <w:tcPr>
            <w:tcW w:w="4675" w:type="dxa"/>
          </w:tcPr>
          <w:p w:rsidRPr="00074F3F" w:rsidR="00A92D0B" w:rsidP="00C47A2B" w:rsidRDefault="00A92D0B" w14:paraId="6EF99E36" w14:textId="255514E3">
            <w:pPr>
              <w:tabs>
                <w:tab w:val="left" w:pos="3060"/>
                <w:tab w:val="right" w:pos="4500"/>
              </w:tabs>
              <w:rPr>
                <w:color w:val="000000"/>
                <w:u w:val="single"/>
              </w:rPr>
            </w:pPr>
            <w:r w:rsidRPr="00074F3F">
              <w:rPr>
                <w:b/>
                <w:color w:val="000000"/>
              </w:rPr>
              <w:t xml:space="preserve">Assigned Commissioner: </w:t>
            </w:r>
            <w:r w:rsidRPr="00074F3F" w:rsidR="00857C05">
              <w:rPr>
                <w:b/>
                <w:color w:val="000000"/>
              </w:rPr>
              <w:t xml:space="preserve"> </w:t>
            </w:r>
            <w:r w:rsidRPr="00FA566D" w:rsidR="000151F2">
              <w:t>Karen Douglas</w:t>
            </w:r>
          </w:p>
        </w:tc>
        <w:tc>
          <w:tcPr>
            <w:tcW w:w="4685" w:type="dxa"/>
          </w:tcPr>
          <w:p w:rsidRPr="00074F3F" w:rsidR="00A92D0B" w:rsidP="00C47A2B" w:rsidRDefault="00A92D0B" w14:paraId="79375F78" w14:textId="285CE4CE">
            <w:pPr>
              <w:tabs>
                <w:tab w:val="left" w:pos="1872"/>
                <w:tab w:val="right" w:pos="3672"/>
              </w:tabs>
              <w:rPr>
                <w:color w:val="000000"/>
                <w:u w:val="single"/>
              </w:rPr>
            </w:pPr>
            <w:r w:rsidRPr="00074F3F">
              <w:rPr>
                <w:b/>
                <w:color w:val="000000"/>
              </w:rPr>
              <w:t>Assigned ALJ</w:t>
            </w:r>
            <w:r w:rsidR="007E1AAD">
              <w:rPr>
                <w:b/>
                <w:color w:val="000000"/>
              </w:rPr>
              <w:t>s</w:t>
            </w:r>
            <w:r w:rsidRPr="00074F3F">
              <w:rPr>
                <w:b/>
                <w:color w:val="000000"/>
              </w:rPr>
              <w:t>:</w:t>
            </w:r>
            <w:r w:rsidRPr="00074F3F" w:rsidR="00F63C29">
              <w:rPr>
                <w:b/>
                <w:color w:val="000000"/>
              </w:rPr>
              <w:t xml:space="preserve"> </w:t>
            </w:r>
            <w:r w:rsidRPr="00FA566D" w:rsidR="00F66E3B">
              <w:t>David Van Dyken</w:t>
            </w:r>
            <w:r w:rsidR="008C7A54">
              <w:t xml:space="preserve"> and Robyn Purchia</w:t>
            </w:r>
            <w:r w:rsidR="008C7A54">
              <w:rPr>
                <w:rStyle w:val="FootnoteReference"/>
              </w:rPr>
              <w:footnoteReference w:id="1"/>
            </w:r>
          </w:p>
        </w:tc>
      </w:tr>
    </w:tbl>
    <w:p w:rsidRPr="00074F3F" w:rsidR="00691528" w:rsidP="006A6A2A" w:rsidRDefault="00A92D0B" w14:paraId="3CEED871" w14:textId="326F45A5">
      <w:pPr>
        <w:keepNext/>
        <w:spacing w:before="240" w:after="240"/>
        <w:jc w:val="center"/>
        <w:rPr>
          <w:b/>
          <w:color w:val="000000"/>
        </w:rPr>
      </w:pPr>
      <w:r w:rsidRPr="00074F3F">
        <w:rPr>
          <w:b/>
          <w:color w:val="000000"/>
        </w:rPr>
        <w:t>PART I</w:t>
      </w:r>
      <w:r w:rsidRPr="00074F3F" w:rsidR="00CB52B1">
        <w:rPr>
          <w:b/>
          <w:color w:val="000000"/>
        </w:rPr>
        <w:t>: PROCEDURAL</w:t>
      </w:r>
      <w:r w:rsidRPr="00074F3F">
        <w:rPr>
          <w:b/>
          <w:color w:val="000000"/>
        </w:rPr>
        <w:t xml:space="preserve"> ISSUES</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074F3F" w:rsidR="00A92D0B" w:rsidTr="00FA566D" w14:paraId="3C5C25ED" w14:textId="77777777">
        <w:tc>
          <w:tcPr>
            <w:tcW w:w="3708" w:type="dxa"/>
          </w:tcPr>
          <w:p w:rsidRPr="00074F3F" w:rsidR="00A92D0B" w:rsidP="00915118" w:rsidRDefault="00A92D0B" w14:paraId="1576A0A6" w14:textId="77777777">
            <w:pPr>
              <w:rPr>
                <w:b/>
                <w:color w:val="000000"/>
              </w:rPr>
            </w:pPr>
            <w:r w:rsidRPr="00074F3F">
              <w:rPr>
                <w:b/>
                <w:color w:val="000000"/>
              </w:rPr>
              <w:t xml:space="preserve">A.  Brief </w:t>
            </w:r>
            <w:r w:rsidRPr="00074F3F" w:rsidR="00A319DE">
              <w:rPr>
                <w:b/>
                <w:color w:val="000000"/>
              </w:rPr>
              <w:t>d</w:t>
            </w:r>
            <w:r w:rsidRPr="00074F3F">
              <w:rPr>
                <w:b/>
                <w:color w:val="000000"/>
              </w:rPr>
              <w:t xml:space="preserve">escription of Decision: </w:t>
            </w:r>
          </w:p>
        </w:tc>
        <w:tc>
          <w:tcPr>
            <w:tcW w:w="6120" w:type="dxa"/>
          </w:tcPr>
          <w:p w:rsidRPr="00074F3F" w:rsidR="00000E23" w:rsidP="00EB3273" w:rsidRDefault="00B1258C" w14:paraId="67B8ECAA" w14:textId="3162FCBF">
            <w:r w:rsidRPr="00074F3F">
              <w:t>Decision on Phase 2 Issues Regarding Transmission Pipelines and Storage (D.23-12-003)</w:t>
            </w:r>
          </w:p>
        </w:tc>
      </w:tr>
    </w:tbl>
    <w:p w:rsidRPr="00074F3F" w:rsidR="00A92D0B" w:rsidP="00880855" w:rsidRDefault="005A63D4" w14:paraId="2FBF046C" w14:textId="13A042E0">
      <w:pPr>
        <w:keepNext/>
        <w:numPr>
          <w:ilvl w:val="0"/>
          <w:numId w:val="5"/>
        </w:numPr>
        <w:spacing w:before="240" w:after="240"/>
        <w:rPr>
          <w:b/>
          <w:color w:val="000000"/>
        </w:rPr>
      </w:pPr>
      <w:r w:rsidRPr="00074F3F">
        <w:rPr>
          <w:b/>
          <w:color w:val="000000"/>
        </w:rPr>
        <w:t xml:space="preserve">Intervenor </w:t>
      </w:r>
      <w:r w:rsidRPr="00074F3F" w:rsidR="00A92D0B">
        <w:rPr>
          <w:b/>
          <w:color w:val="000000"/>
        </w:rPr>
        <w:t xml:space="preserve">must satisfy intervenor compensation </w:t>
      </w:r>
      <w:r w:rsidRPr="00074F3F" w:rsidR="00DE3A5D">
        <w:rPr>
          <w:b/>
          <w:color w:val="000000"/>
        </w:rPr>
        <w:t>requirements set forth in Pub. Util.</w:t>
      </w:r>
      <w:r w:rsidRPr="00074F3F" w:rsidR="00A92D0B">
        <w:rPr>
          <w:b/>
          <w:color w:val="000000"/>
        </w:rPr>
        <w:t xml:space="preserve"> Code §§ 1801-1812</w:t>
      </w:r>
      <w:r w:rsidR="006A6A2A">
        <w:rPr>
          <w:b/>
          <w:color w:val="000000"/>
        </w:rPr>
        <w:t>:</w:t>
      </w:r>
      <w:r w:rsidRPr="00074F3F" w:rsidR="003B6A1B">
        <w:rPr>
          <w:rStyle w:val="FootnoteReference"/>
          <w:b/>
          <w:color w:val="000000"/>
        </w:rPr>
        <w:footnoteReference w:id="2"/>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074F3F" w:rsidR="00A92D0B" w:rsidTr="00F028C8" w14:paraId="640CF70A" w14:textId="77777777">
        <w:trPr>
          <w:tblHeader/>
        </w:trPr>
        <w:tc>
          <w:tcPr>
            <w:tcW w:w="4817" w:type="dxa"/>
            <w:tcBorders>
              <w:bottom w:val="single" w:color="auto" w:sz="4" w:space="0"/>
            </w:tcBorders>
          </w:tcPr>
          <w:p w:rsidRPr="00074F3F"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074F3F" w:rsidR="00A92D0B" w:rsidP="00F028C8" w:rsidRDefault="005A63D4" w14:paraId="1412A3C6" w14:textId="77777777">
            <w:pPr>
              <w:tabs>
                <w:tab w:val="left" w:pos="360"/>
              </w:tabs>
              <w:jc w:val="center"/>
              <w:rPr>
                <w:b/>
                <w:color w:val="000000"/>
              </w:rPr>
            </w:pPr>
            <w:r w:rsidRPr="00074F3F">
              <w:rPr>
                <w:b/>
                <w:color w:val="000000"/>
              </w:rPr>
              <w:t>Intervenor</w:t>
            </w:r>
          </w:p>
        </w:tc>
        <w:tc>
          <w:tcPr>
            <w:tcW w:w="2276" w:type="dxa"/>
            <w:tcBorders>
              <w:bottom w:val="single" w:color="auto" w:sz="4" w:space="0"/>
            </w:tcBorders>
          </w:tcPr>
          <w:p w:rsidRPr="00074F3F" w:rsidR="00A92D0B" w:rsidP="00F028C8" w:rsidRDefault="00A92D0B" w14:paraId="2A218C38" w14:textId="386C9A6A">
            <w:pPr>
              <w:tabs>
                <w:tab w:val="left" w:pos="360"/>
              </w:tabs>
              <w:jc w:val="center"/>
              <w:rPr>
                <w:b/>
                <w:color w:val="000000"/>
              </w:rPr>
            </w:pPr>
            <w:r w:rsidRPr="00074F3F">
              <w:rPr>
                <w:b/>
                <w:color w:val="000000"/>
              </w:rPr>
              <w:t xml:space="preserve">CPUC </w:t>
            </w:r>
            <w:r w:rsidRPr="00074F3F" w:rsidR="0081626F">
              <w:rPr>
                <w:b/>
                <w:color w:val="000000"/>
              </w:rPr>
              <w:t>Verification</w:t>
            </w:r>
          </w:p>
        </w:tc>
      </w:tr>
      <w:tr w:rsidRPr="00074F3F"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74F3F" w:rsidR="00A92D0B" w:rsidP="00F028C8" w:rsidRDefault="00A92D0B" w14:paraId="606E2B66" w14:textId="77777777">
            <w:pPr>
              <w:keepNext/>
              <w:tabs>
                <w:tab w:val="left" w:pos="360"/>
              </w:tabs>
              <w:jc w:val="center"/>
              <w:rPr>
                <w:b/>
              </w:rPr>
            </w:pPr>
            <w:r w:rsidRPr="00074F3F">
              <w:rPr>
                <w:b/>
              </w:rPr>
              <w:t>Timely filing of notice of intent to claim compensation (NOI) (§ 1804(a)):</w:t>
            </w:r>
          </w:p>
        </w:tc>
      </w:tr>
      <w:tr w:rsidRPr="00074F3F" w:rsidR="00A92D0B" w:rsidTr="00C625F5" w14:paraId="160E284A" w14:textId="77777777">
        <w:tc>
          <w:tcPr>
            <w:tcW w:w="4817" w:type="dxa"/>
            <w:tcBorders>
              <w:top w:val="single" w:color="auto" w:sz="4" w:space="0"/>
            </w:tcBorders>
          </w:tcPr>
          <w:p w:rsidRPr="00074F3F" w:rsidR="00A92D0B" w:rsidP="00F028C8" w:rsidRDefault="00A92D0B" w14:paraId="44D1876C" w14:textId="478A95F3">
            <w:pPr>
              <w:keepNext/>
              <w:tabs>
                <w:tab w:val="left" w:pos="360"/>
              </w:tabs>
              <w:ind w:left="360" w:hanging="360"/>
              <w:rPr>
                <w:color w:val="000000"/>
              </w:rPr>
            </w:pPr>
            <w:r w:rsidRPr="00074F3F">
              <w:rPr>
                <w:color w:val="000000"/>
              </w:rPr>
              <w:t>1.</w:t>
            </w:r>
            <w:r w:rsidRPr="00074F3F" w:rsidR="001E7EE2">
              <w:rPr>
                <w:color w:val="000000"/>
              </w:rPr>
              <w:tab/>
            </w:r>
            <w:r w:rsidRPr="00074F3F">
              <w:rPr>
                <w:color w:val="000000"/>
              </w:rPr>
              <w:t>Date of Prehearing Conference:</w:t>
            </w:r>
          </w:p>
        </w:tc>
        <w:tc>
          <w:tcPr>
            <w:tcW w:w="2267" w:type="dxa"/>
            <w:tcBorders>
              <w:top w:val="single" w:color="auto" w:sz="4" w:space="0"/>
            </w:tcBorders>
          </w:tcPr>
          <w:p w:rsidRPr="00074F3F" w:rsidR="00A92D0B" w:rsidP="00F028C8" w:rsidRDefault="00475E6E" w14:paraId="35450816" w14:textId="3339A773">
            <w:pPr>
              <w:keepNext/>
              <w:keepLines/>
              <w:tabs>
                <w:tab w:val="left" w:pos="360"/>
              </w:tabs>
              <w:ind w:left="360" w:hanging="360"/>
              <w:rPr>
                <w:color w:val="000000"/>
              </w:rPr>
            </w:pPr>
            <w:r w:rsidRPr="00074F3F">
              <w:rPr>
                <w:color w:val="000000"/>
              </w:rPr>
              <w:t>March 24, 202</w:t>
            </w:r>
            <w:r w:rsidRPr="00074F3F" w:rsidR="00440B07">
              <w:rPr>
                <w:color w:val="000000"/>
              </w:rPr>
              <w:t>0</w:t>
            </w:r>
          </w:p>
        </w:tc>
        <w:tc>
          <w:tcPr>
            <w:tcW w:w="2276" w:type="dxa"/>
            <w:tcBorders>
              <w:top w:val="single" w:color="auto" w:sz="4" w:space="0"/>
            </w:tcBorders>
          </w:tcPr>
          <w:p w:rsidRPr="00074F3F" w:rsidR="00A92D0B" w:rsidP="00F028C8" w:rsidRDefault="00C625F5" w14:paraId="34540344" w14:textId="3025C8F3">
            <w:pPr>
              <w:keepNext/>
              <w:tabs>
                <w:tab w:val="left" w:pos="360"/>
              </w:tabs>
              <w:jc w:val="both"/>
              <w:rPr>
                <w:color w:val="000000"/>
              </w:rPr>
            </w:pPr>
            <w:r>
              <w:rPr>
                <w:color w:val="000000"/>
              </w:rPr>
              <w:t xml:space="preserve">Verified </w:t>
            </w:r>
          </w:p>
        </w:tc>
      </w:tr>
      <w:tr w:rsidRPr="00074F3F" w:rsidR="00A92D0B" w:rsidTr="00C625F5" w14:paraId="24C85564" w14:textId="77777777">
        <w:tc>
          <w:tcPr>
            <w:tcW w:w="4817" w:type="dxa"/>
          </w:tcPr>
          <w:p w:rsidRPr="00074F3F" w:rsidR="00A92D0B" w:rsidP="00F028C8" w:rsidRDefault="00A92D0B" w14:paraId="382C5788" w14:textId="49F0E39E">
            <w:pPr>
              <w:tabs>
                <w:tab w:val="left" w:pos="360"/>
              </w:tabs>
              <w:ind w:left="360" w:hanging="360"/>
              <w:rPr>
                <w:color w:val="000000"/>
              </w:rPr>
            </w:pPr>
            <w:r w:rsidRPr="00074F3F">
              <w:rPr>
                <w:color w:val="000000"/>
              </w:rPr>
              <w:t>2.</w:t>
            </w:r>
            <w:r w:rsidRPr="00074F3F" w:rsidR="001E7EE2">
              <w:rPr>
                <w:color w:val="000000"/>
              </w:rPr>
              <w:tab/>
            </w:r>
            <w:r w:rsidRPr="00074F3F">
              <w:rPr>
                <w:color w:val="000000"/>
              </w:rPr>
              <w:t xml:space="preserve">Other </w:t>
            </w:r>
            <w:r w:rsidRPr="00074F3F" w:rsidR="00A319DE">
              <w:rPr>
                <w:color w:val="000000"/>
              </w:rPr>
              <w:t>s</w:t>
            </w:r>
            <w:r w:rsidRPr="00074F3F">
              <w:rPr>
                <w:color w:val="000000"/>
              </w:rPr>
              <w:t xml:space="preserve">pecified </w:t>
            </w:r>
            <w:r w:rsidRPr="00074F3F" w:rsidR="00A319DE">
              <w:rPr>
                <w:color w:val="000000"/>
              </w:rPr>
              <w:t>d</w:t>
            </w:r>
            <w:r w:rsidRPr="00074F3F">
              <w:rPr>
                <w:color w:val="000000"/>
              </w:rPr>
              <w:t>ate for NOI:</w:t>
            </w:r>
          </w:p>
        </w:tc>
        <w:tc>
          <w:tcPr>
            <w:tcW w:w="2267" w:type="dxa"/>
          </w:tcPr>
          <w:p w:rsidRPr="00074F3F" w:rsidR="00A92D0B" w:rsidP="00F028C8" w:rsidRDefault="001A2B48" w14:paraId="1826BC2C" w14:textId="11AA03F4">
            <w:pPr>
              <w:keepNext/>
              <w:keepLines/>
              <w:tabs>
                <w:tab w:val="left" w:pos="360"/>
              </w:tabs>
              <w:ind w:left="360" w:hanging="360"/>
              <w:rPr>
                <w:color w:val="000000"/>
              </w:rPr>
            </w:pPr>
            <w:r w:rsidRPr="00074F3F">
              <w:rPr>
                <w:color w:val="000000"/>
              </w:rPr>
              <w:t>N/A</w:t>
            </w:r>
          </w:p>
        </w:tc>
        <w:tc>
          <w:tcPr>
            <w:tcW w:w="2276" w:type="dxa"/>
          </w:tcPr>
          <w:p w:rsidRPr="00074F3F" w:rsidR="00A92D0B" w:rsidP="00F028C8" w:rsidRDefault="00A92D0B" w14:paraId="210DAD91" w14:textId="77777777">
            <w:pPr>
              <w:tabs>
                <w:tab w:val="left" w:pos="360"/>
              </w:tabs>
              <w:jc w:val="both"/>
              <w:rPr>
                <w:color w:val="000000"/>
              </w:rPr>
            </w:pPr>
          </w:p>
        </w:tc>
      </w:tr>
      <w:tr w:rsidRPr="00074F3F" w:rsidR="00A92D0B" w:rsidTr="00C625F5" w14:paraId="4836EEA6" w14:textId="77777777">
        <w:tc>
          <w:tcPr>
            <w:tcW w:w="4817" w:type="dxa"/>
          </w:tcPr>
          <w:p w:rsidRPr="00074F3F" w:rsidR="00A92D0B" w:rsidP="00F028C8" w:rsidRDefault="00A92D0B" w14:paraId="34809C45" w14:textId="2501A8A3">
            <w:pPr>
              <w:tabs>
                <w:tab w:val="left" w:pos="360"/>
              </w:tabs>
              <w:ind w:left="360" w:hanging="360"/>
              <w:rPr>
                <w:color w:val="000000"/>
              </w:rPr>
            </w:pPr>
            <w:r w:rsidRPr="00074F3F">
              <w:rPr>
                <w:color w:val="000000"/>
              </w:rPr>
              <w:lastRenderedPageBreak/>
              <w:t>3.</w:t>
            </w:r>
            <w:r w:rsidRPr="00074F3F" w:rsidR="001E7EE2">
              <w:rPr>
                <w:color w:val="000000"/>
              </w:rPr>
              <w:tab/>
            </w:r>
            <w:r w:rsidRPr="00074F3F">
              <w:rPr>
                <w:color w:val="000000"/>
              </w:rPr>
              <w:t xml:space="preserve">Date NOI </w:t>
            </w:r>
            <w:r w:rsidRPr="00074F3F" w:rsidR="00A319DE">
              <w:rPr>
                <w:color w:val="000000"/>
              </w:rPr>
              <w:t>f</w:t>
            </w:r>
            <w:r w:rsidRPr="00074F3F">
              <w:rPr>
                <w:color w:val="000000"/>
              </w:rPr>
              <w:t>iled:</w:t>
            </w:r>
          </w:p>
        </w:tc>
        <w:tc>
          <w:tcPr>
            <w:tcW w:w="2267" w:type="dxa"/>
            <w:tcBorders>
              <w:bottom w:val="single" w:color="auto" w:sz="4" w:space="0"/>
            </w:tcBorders>
          </w:tcPr>
          <w:p w:rsidRPr="00074F3F" w:rsidR="00A92D0B" w:rsidP="00F028C8" w:rsidRDefault="00E654A8" w14:paraId="44F7CCB9" w14:textId="795698C9">
            <w:pPr>
              <w:keepNext/>
              <w:keepLines/>
              <w:tabs>
                <w:tab w:val="left" w:pos="360"/>
              </w:tabs>
              <w:ind w:left="360" w:hanging="360"/>
              <w:rPr>
                <w:color w:val="000000"/>
              </w:rPr>
            </w:pPr>
            <w:r w:rsidRPr="00074F3F">
              <w:rPr>
                <w:color w:val="000000"/>
              </w:rPr>
              <w:t xml:space="preserve">April </w:t>
            </w:r>
            <w:r w:rsidRPr="00074F3F" w:rsidR="00475E6E">
              <w:rPr>
                <w:color w:val="000000"/>
              </w:rPr>
              <w:t>9, 2020</w:t>
            </w:r>
          </w:p>
        </w:tc>
        <w:tc>
          <w:tcPr>
            <w:tcW w:w="2276" w:type="dxa"/>
            <w:tcBorders>
              <w:bottom w:val="single" w:color="auto" w:sz="4" w:space="0"/>
            </w:tcBorders>
          </w:tcPr>
          <w:p w:rsidRPr="00074F3F" w:rsidR="00A92D0B" w:rsidP="00F028C8" w:rsidRDefault="00666356" w14:paraId="71759DE3" w14:textId="3C2124EB">
            <w:pPr>
              <w:tabs>
                <w:tab w:val="left" w:pos="360"/>
              </w:tabs>
              <w:jc w:val="both"/>
              <w:rPr>
                <w:color w:val="000000"/>
              </w:rPr>
            </w:pPr>
            <w:r>
              <w:rPr>
                <w:color w:val="000000"/>
              </w:rPr>
              <w:t>Verified</w:t>
            </w:r>
          </w:p>
        </w:tc>
      </w:tr>
      <w:tr w:rsidRPr="00074F3F" w:rsidR="00A92D0B" w:rsidTr="00F028C8" w14:paraId="22BBCDE3" w14:textId="77777777">
        <w:tc>
          <w:tcPr>
            <w:tcW w:w="7084" w:type="dxa"/>
            <w:gridSpan w:val="2"/>
            <w:tcBorders>
              <w:bottom w:val="single" w:color="auto" w:sz="4" w:space="0"/>
            </w:tcBorders>
          </w:tcPr>
          <w:p w:rsidRPr="00074F3F" w:rsidR="00A92D0B" w:rsidP="00F028C8" w:rsidRDefault="00A92D0B" w14:paraId="7E6E2068" w14:textId="1D4DD6B8">
            <w:pPr>
              <w:tabs>
                <w:tab w:val="left" w:pos="360"/>
              </w:tabs>
              <w:ind w:left="360" w:hanging="360"/>
              <w:rPr>
                <w:color w:val="000000"/>
              </w:rPr>
            </w:pPr>
            <w:r w:rsidRPr="00074F3F">
              <w:rPr>
                <w:color w:val="000000"/>
              </w:rPr>
              <w:t>4.</w:t>
            </w:r>
            <w:r w:rsidRPr="00074F3F" w:rsidR="001E7EE2">
              <w:rPr>
                <w:color w:val="000000"/>
              </w:rPr>
              <w:tab/>
            </w:r>
            <w:r w:rsidRPr="00074F3F">
              <w:rPr>
                <w:color w:val="000000"/>
              </w:rPr>
              <w:t>Was the NOI timely filed?</w:t>
            </w:r>
          </w:p>
        </w:tc>
        <w:tc>
          <w:tcPr>
            <w:tcW w:w="2276" w:type="dxa"/>
            <w:tcBorders>
              <w:bottom w:val="single" w:color="auto" w:sz="4" w:space="0"/>
            </w:tcBorders>
          </w:tcPr>
          <w:p w:rsidRPr="00074F3F" w:rsidR="00A92D0B" w:rsidP="00F028C8" w:rsidRDefault="00C625F5" w14:paraId="61DE2845" w14:textId="6F790D1D">
            <w:pPr>
              <w:tabs>
                <w:tab w:val="left" w:pos="360"/>
              </w:tabs>
              <w:rPr>
                <w:color w:val="000000"/>
              </w:rPr>
            </w:pPr>
            <w:r>
              <w:rPr>
                <w:color w:val="000000"/>
              </w:rPr>
              <w:t>Yes</w:t>
            </w:r>
          </w:p>
        </w:tc>
      </w:tr>
      <w:tr w:rsidRPr="00074F3F"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074F3F" w:rsidR="00F028C8" w:rsidP="00F028C8" w:rsidRDefault="00A92D0B" w14:paraId="003AB151" w14:textId="75841E30">
            <w:pPr>
              <w:keepNext/>
              <w:keepLines/>
              <w:tabs>
                <w:tab w:val="left" w:pos="360"/>
              </w:tabs>
              <w:jc w:val="center"/>
              <w:rPr>
                <w:b/>
                <w:color w:val="000000"/>
              </w:rPr>
            </w:pPr>
            <w:r w:rsidRPr="00074F3F">
              <w:rPr>
                <w:b/>
                <w:color w:val="000000"/>
              </w:rPr>
              <w:t xml:space="preserve">Showing of </w:t>
            </w:r>
            <w:r w:rsidRPr="00074F3F" w:rsidR="00F63C29">
              <w:rPr>
                <w:b/>
                <w:color w:val="000000"/>
              </w:rPr>
              <w:t xml:space="preserve">eligible </w:t>
            </w:r>
            <w:r w:rsidRPr="00074F3F">
              <w:rPr>
                <w:b/>
                <w:color w:val="000000"/>
              </w:rPr>
              <w:t xml:space="preserve">customer </w:t>
            </w:r>
            <w:r w:rsidRPr="00074F3F" w:rsidR="00F63C29">
              <w:rPr>
                <w:b/>
                <w:color w:val="000000"/>
              </w:rPr>
              <w:t>status (§ 1802(b)</w:t>
            </w:r>
            <w:r w:rsidRPr="00074F3F" w:rsidR="00F028C8">
              <w:rPr>
                <w:b/>
                <w:color w:val="000000"/>
              </w:rPr>
              <w:t>)</w:t>
            </w:r>
          </w:p>
          <w:p w:rsidRPr="00074F3F" w:rsidR="00A92D0B" w:rsidP="00F028C8" w:rsidRDefault="00F63C29" w14:paraId="19D649BF" w14:textId="31FAE647">
            <w:pPr>
              <w:keepNext/>
              <w:keepLines/>
              <w:tabs>
                <w:tab w:val="left" w:pos="360"/>
              </w:tabs>
              <w:jc w:val="center"/>
              <w:rPr>
                <w:b/>
                <w:color w:val="000000"/>
              </w:rPr>
            </w:pPr>
            <w:r w:rsidRPr="00074F3F">
              <w:rPr>
                <w:b/>
                <w:color w:val="000000"/>
              </w:rPr>
              <w:t xml:space="preserve"> or eligible local government entity </w:t>
            </w:r>
            <w:r w:rsidRPr="00074F3F" w:rsidR="00ED6B6B">
              <w:rPr>
                <w:b/>
                <w:color w:val="000000"/>
              </w:rPr>
              <w:t>status</w:t>
            </w:r>
            <w:r w:rsidRPr="00074F3F" w:rsidR="00F028C8">
              <w:rPr>
                <w:b/>
                <w:color w:val="000000"/>
              </w:rPr>
              <w:t xml:space="preserve"> </w:t>
            </w:r>
            <w:r w:rsidRPr="00074F3F">
              <w:rPr>
                <w:b/>
                <w:color w:val="000000"/>
              </w:rPr>
              <w:t>(§§ 1802(d), 1802.4)</w:t>
            </w:r>
            <w:r w:rsidRPr="00074F3F" w:rsidR="00A92D0B">
              <w:rPr>
                <w:b/>
                <w:color w:val="000000"/>
              </w:rPr>
              <w:t>:</w:t>
            </w:r>
          </w:p>
        </w:tc>
      </w:tr>
      <w:tr w:rsidRPr="00074F3F" w:rsidR="00A92D0B" w:rsidTr="00151B0B" w14:paraId="259EC227" w14:textId="77777777">
        <w:tc>
          <w:tcPr>
            <w:tcW w:w="4817" w:type="dxa"/>
            <w:tcBorders>
              <w:top w:val="single" w:color="auto" w:sz="4" w:space="0"/>
            </w:tcBorders>
          </w:tcPr>
          <w:p w:rsidRPr="00074F3F" w:rsidR="00A92D0B" w:rsidP="00F028C8" w:rsidRDefault="00A92D0B" w14:paraId="0EFCD0E9" w14:textId="1A5E3FBE">
            <w:pPr>
              <w:keepNext/>
              <w:keepLines/>
              <w:ind w:left="360" w:hanging="360"/>
              <w:rPr>
                <w:color w:val="000000"/>
              </w:rPr>
            </w:pPr>
            <w:r w:rsidRPr="00074F3F">
              <w:rPr>
                <w:color w:val="000000"/>
              </w:rPr>
              <w:t>5.</w:t>
            </w:r>
            <w:r w:rsidRPr="00074F3F" w:rsidR="001E7EE2">
              <w:rPr>
                <w:color w:val="000000"/>
              </w:rPr>
              <w:tab/>
            </w:r>
            <w:r w:rsidRPr="00074F3F">
              <w:rPr>
                <w:color w:val="000000"/>
              </w:rPr>
              <w:t xml:space="preserve">Based on ALJ ruling issued in proceeding </w:t>
            </w:r>
            <w:r w:rsidRPr="00074F3F" w:rsidR="00E3786F">
              <w:rPr>
                <w:color w:val="000000"/>
              </w:rPr>
              <w:t xml:space="preserve">  </w:t>
            </w:r>
            <w:r w:rsidRPr="00074F3F">
              <w:rPr>
                <w:color w:val="000000"/>
              </w:rPr>
              <w:t>number:</w:t>
            </w:r>
          </w:p>
        </w:tc>
        <w:tc>
          <w:tcPr>
            <w:tcW w:w="2267" w:type="dxa"/>
            <w:tcBorders>
              <w:top w:val="single" w:color="auto" w:sz="4" w:space="0"/>
            </w:tcBorders>
          </w:tcPr>
          <w:p w:rsidRPr="00074F3F" w:rsidR="00A92D0B" w:rsidP="00F028C8" w:rsidRDefault="002A51E2" w14:paraId="13E72B6D" w14:textId="602F6623">
            <w:pPr>
              <w:keepNext/>
              <w:keepLines/>
              <w:tabs>
                <w:tab w:val="left" w:pos="360"/>
              </w:tabs>
              <w:ind w:left="360" w:hanging="360"/>
              <w:rPr>
                <w:color w:val="000000"/>
              </w:rPr>
            </w:pPr>
            <w:r w:rsidRPr="00074F3F">
              <w:rPr>
                <w:color w:val="000000"/>
              </w:rPr>
              <w:t>R.12-06-013</w:t>
            </w:r>
          </w:p>
        </w:tc>
        <w:tc>
          <w:tcPr>
            <w:tcW w:w="2276" w:type="dxa"/>
            <w:tcBorders>
              <w:top w:val="single" w:color="auto" w:sz="4" w:space="0"/>
            </w:tcBorders>
          </w:tcPr>
          <w:p w:rsidRPr="00074F3F" w:rsidR="00A92D0B" w:rsidP="00F028C8" w:rsidRDefault="001B63CF" w14:paraId="2679B197" w14:textId="0F99C666">
            <w:pPr>
              <w:keepNext/>
              <w:keepLines/>
              <w:tabs>
                <w:tab w:val="left" w:pos="360"/>
              </w:tabs>
              <w:rPr>
                <w:color w:val="000000"/>
              </w:rPr>
            </w:pPr>
            <w:r>
              <w:rPr>
                <w:color w:val="000000"/>
              </w:rPr>
              <w:t>R.20-01-007</w:t>
            </w:r>
          </w:p>
        </w:tc>
      </w:tr>
      <w:tr w:rsidRPr="00074F3F" w:rsidR="00A92D0B" w:rsidTr="00151B0B" w14:paraId="4E0FB3B6" w14:textId="77777777">
        <w:tc>
          <w:tcPr>
            <w:tcW w:w="4817" w:type="dxa"/>
          </w:tcPr>
          <w:p w:rsidRPr="00074F3F" w:rsidR="00A92D0B" w:rsidP="00F028C8" w:rsidRDefault="00A92D0B" w14:paraId="568B12E8" w14:textId="6121FC05">
            <w:pPr>
              <w:tabs>
                <w:tab w:val="left" w:pos="360"/>
              </w:tabs>
              <w:ind w:left="360" w:hanging="360"/>
              <w:rPr>
                <w:color w:val="000000"/>
              </w:rPr>
            </w:pPr>
            <w:r w:rsidRPr="00074F3F">
              <w:rPr>
                <w:color w:val="000000"/>
              </w:rPr>
              <w:t>6.</w:t>
            </w:r>
            <w:r w:rsidRPr="00074F3F" w:rsidR="001E7EE2">
              <w:rPr>
                <w:color w:val="000000"/>
              </w:rPr>
              <w:tab/>
            </w:r>
            <w:r w:rsidRPr="00074F3F">
              <w:rPr>
                <w:color w:val="000000"/>
              </w:rPr>
              <w:t>Date of ALJ ruling:</w:t>
            </w:r>
          </w:p>
        </w:tc>
        <w:tc>
          <w:tcPr>
            <w:tcW w:w="2267" w:type="dxa"/>
          </w:tcPr>
          <w:p w:rsidRPr="00074F3F" w:rsidR="00A92D0B" w:rsidP="00F028C8" w:rsidRDefault="002A51E2" w14:paraId="306125B9" w14:textId="00603D11">
            <w:pPr>
              <w:tabs>
                <w:tab w:val="left" w:pos="360"/>
              </w:tabs>
              <w:ind w:left="360" w:hanging="360"/>
              <w:rPr>
                <w:color w:val="000000"/>
              </w:rPr>
            </w:pPr>
            <w:r w:rsidRPr="00074F3F">
              <w:rPr>
                <w:color w:val="000000"/>
              </w:rPr>
              <w:t>February 25, 2013</w:t>
            </w:r>
          </w:p>
        </w:tc>
        <w:tc>
          <w:tcPr>
            <w:tcW w:w="2276" w:type="dxa"/>
          </w:tcPr>
          <w:p w:rsidRPr="00074F3F" w:rsidR="00A92D0B" w:rsidP="00274CB2" w:rsidRDefault="00274CB2" w14:paraId="19F10313" w14:textId="0BB6C5A5">
            <w:pPr>
              <w:tabs>
                <w:tab w:val="left" w:pos="360"/>
              </w:tabs>
              <w:rPr>
                <w:color w:val="000000"/>
              </w:rPr>
            </w:pPr>
            <w:r>
              <w:rPr>
                <w:color w:val="000000"/>
              </w:rPr>
              <w:t>May 29, 2020</w:t>
            </w:r>
          </w:p>
        </w:tc>
      </w:tr>
      <w:tr w:rsidRPr="00074F3F" w:rsidR="00A92D0B" w:rsidTr="00151B0B" w14:paraId="7F6C1E54" w14:textId="77777777">
        <w:tc>
          <w:tcPr>
            <w:tcW w:w="4817" w:type="dxa"/>
          </w:tcPr>
          <w:p w:rsidRPr="00074F3F" w:rsidR="00A92D0B" w:rsidP="00F028C8" w:rsidRDefault="00A92D0B" w14:paraId="4B6E35B7" w14:textId="56E59D65">
            <w:pPr>
              <w:tabs>
                <w:tab w:val="left" w:pos="360"/>
              </w:tabs>
              <w:ind w:left="360" w:hanging="360"/>
              <w:rPr>
                <w:color w:val="000000"/>
              </w:rPr>
            </w:pPr>
            <w:r w:rsidRPr="00074F3F">
              <w:rPr>
                <w:color w:val="000000"/>
              </w:rPr>
              <w:t>7.</w:t>
            </w:r>
            <w:r w:rsidRPr="00074F3F" w:rsidR="001E7EE2">
              <w:rPr>
                <w:color w:val="000000"/>
              </w:rPr>
              <w:tab/>
            </w:r>
            <w:r w:rsidRPr="00074F3F">
              <w:rPr>
                <w:color w:val="000000"/>
              </w:rPr>
              <w:t>Based on another CPUC determination (specify):</w:t>
            </w:r>
          </w:p>
        </w:tc>
        <w:tc>
          <w:tcPr>
            <w:tcW w:w="2267" w:type="dxa"/>
            <w:tcBorders>
              <w:bottom w:val="single" w:color="auto" w:sz="4" w:space="0"/>
            </w:tcBorders>
          </w:tcPr>
          <w:p w:rsidRPr="00074F3F" w:rsidR="00A92D0B" w:rsidP="00F028C8" w:rsidRDefault="001A2B48" w14:paraId="5E0F9D32" w14:textId="3BAAD6F1">
            <w:pPr>
              <w:tabs>
                <w:tab w:val="left" w:pos="360"/>
              </w:tabs>
              <w:ind w:left="360" w:hanging="360"/>
              <w:rPr>
                <w:color w:val="000000"/>
              </w:rPr>
            </w:pPr>
            <w:r w:rsidRPr="00074F3F">
              <w:rPr>
                <w:color w:val="000000"/>
              </w:rPr>
              <w:t>N/A</w:t>
            </w:r>
          </w:p>
        </w:tc>
        <w:tc>
          <w:tcPr>
            <w:tcW w:w="2276" w:type="dxa"/>
            <w:tcBorders>
              <w:bottom w:val="single" w:color="auto" w:sz="4" w:space="0"/>
            </w:tcBorders>
          </w:tcPr>
          <w:p w:rsidRPr="00074F3F" w:rsidR="00A92D0B" w:rsidP="00F028C8" w:rsidRDefault="00A92D0B" w14:paraId="180E80B3" w14:textId="77777777">
            <w:pPr>
              <w:tabs>
                <w:tab w:val="left" w:pos="360"/>
              </w:tabs>
              <w:rPr>
                <w:color w:val="000000"/>
              </w:rPr>
            </w:pPr>
          </w:p>
        </w:tc>
      </w:tr>
      <w:tr w:rsidRPr="00074F3F" w:rsidR="00A92D0B" w:rsidTr="00F028C8" w14:paraId="397CC4AD" w14:textId="77777777">
        <w:tc>
          <w:tcPr>
            <w:tcW w:w="7084" w:type="dxa"/>
            <w:gridSpan w:val="2"/>
            <w:tcBorders>
              <w:bottom w:val="single" w:color="auto" w:sz="4" w:space="0"/>
            </w:tcBorders>
          </w:tcPr>
          <w:p w:rsidRPr="00074F3F" w:rsidR="00A92D0B" w:rsidP="00F028C8" w:rsidRDefault="00A92D0B" w14:paraId="71D46B68" w14:textId="56857D2E">
            <w:pPr>
              <w:tabs>
                <w:tab w:val="left" w:pos="360"/>
              </w:tabs>
              <w:ind w:left="360" w:hanging="360"/>
              <w:rPr>
                <w:color w:val="000000"/>
              </w:rPr>
            </w:pPr>
            <w:r w:rsidRPr="00074F3F">
              <w:rPr>
                <w:color w:val="000000"/>
              </w:rPr>
              <w:t>8.</w:t>
            </w:r>
            <w:r w:rsidRPr="00074F3F" w:rsidR="001E7EE2">
              <w:rPr>
                <w:color w:val="000000"/>
              </w:rPr>
              <w:tab/>
            </w:r>
            <w:r w:rsidRPr="00074F3F">
              <w:rPr>
                <w:color w:val="000000"/>
              </w:rPr>
              <w:t xml:space="preserve">Has the </w:t>
            </w:r>
            <w:r w:rsidRPr="00074F3F" w:rsidR="005A63D4">
              <w:rPr>
                <w:color w:val="000000"/>
              </w:rPr>
              <w:t xml:space="preserve">Intervenor </w:t>
            </w:r>
            <w:r w:rsidRPr="00074F3F">
              <w:rPr>
                <w:color w:val="000000"/>
              </w:rPr>
              <w:t xml:space="preserve">demonstrated </w:t>
            </w:r>
            <w:r w:rsidRPr="00074F3F">
              <w:t>customer</w:t>
            </w:r>
            <w:r w:rsidRPr="00074F3F">
              <w:rPr>
                <w:color w:val="000000"/>
              </w:rPr>
              <w:t xml:space="preserve"> </w:t>
            </w:r>
            <w:r w:rsidRPr="00074F3F" w:rsidR="00ED6B6B">
              <w:rPr>
                <w:color w:val="000000"/>
              </w:rPr>
              <w:t>status or eligible government entity status</w:t>
            </w:r>
            <w:r w:rsidRPr="00074F3F">
              <w:rPr>
                <w:color w:val="000000"/>
              </w:rPr>
              <w:t>?</w:t>
            </w:r>
          </w:p>
        </w:tc>
        <w:tc>
          <w:tcPr>
            <w:tcW w:w="2276" w:type="dxa"/>
            <w:tcBorders>
              <w:bottom w:val="single" w:color="auto" w:sz="4" w:space="0"/>
            </w:tcBorders>
          </w:tcPr>
          <w:p w:rsidRPr="00074F3F" w:rsidR="00A92D0B" w:rsidP="00F028C8" w:rsidRDefault="008842B6" w14:paraId="7D296E63" w14:textId="1F91C0C3">
            <w:pPr>
              <w:tabs>
                <w:tab w:val="left" w:pos="360"/>
              </w:tabs>
              <w:rPr>
                <w:color w:val="000000"/>
              </w:rPr>
            </w:pPr>
            <w:r>
              <w:rPr>
                <w:color w:val="000000"/>
              </w:rPr>
              <w:t>Yes</w:t>
            </w:r>
          </w:p>
        </w:tc>
      </w:tr>
      <w:tr w:rsidRPr="00074F3F"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074F3F" w:rsidR="00A92D0B" w:rsidP="00F028C8" w:rsidRDefault="00A92D0B" w14:paraId="0291EC4E" w14:textId="77777777">
            <w:pPr>
              <w:keepNext/>
              <w:tabs>
                <w:tab w:val="left" w:pos="360"/>
              </w:tabs>
              <w:jc w:val="center"/>
              <w:rPr>
                <w:color w:val="000000"/>
              </w:rPr>
            </w:pPr>
            <w:r w:rsidRPr="00074F3F">
              <w:rPr>
                <w:b/>
                <w:color w:val="000000"/>
              </w:rPr>
              <w:t>Showing of “significant</w:t>
            </w:r>
            <w:r w:rsidRPr="00074F3F" w:rsidR="00F63C29">
              <w:rPr>
                <w:b/>
                <w:color w:val="000000"/>
              </w:rPr>
              <w:t xml:space="preserve"> financial hardship” (§1802(</w:t>
            </w:r>
            <w:r w:rsidRPr="00074F3F" w:rsidR="00175865">
              <w:rPr>
                <w:b/>
                <w:color w:val="000000"/>
              </w:rPr>
              <w:t>h</w:t>
            </w:r>
            <w:r w:rsidRPr="00074F3F" w:rsidR="00F63C29">
              <w:rPr>
                <w:b/>
                <w:color w:val="000000"/>
              </w:rPr>
              <w:t xml:space="preserve">) or </w:t>
            </w:r>
            <w:r w:rsidRPr="00074F3F" w:rsidR="00ED6B6B">
              <w:rPr>
                <w:b/>
                <w:color w:val="000000"/>
              </w:rPr>
              <w:t>§</w:t>
            </w:r>
            <w:r w:rsidRPr="00074F3F" w:rsidR="00F63C29">
              <w:rPr>
                <w:b/>
                <w:color w:val="000000"/>
              </w:rPr>
              <w:t>1803.1(b))</w:t>
            </w:r>
            <w:r w:rsidRPr="00074F3F" w:rsidR="00C02649">
              <w:rPr>
                <w:b/>
                <w:color w:val="000000"/>
              </w:rPr>
              <w:t>:</w:t>
            </w:r>
          </w:p>
        </w:tc>
      </w:tr>
      <w:tr w:rsidRPr="00074F3F" w:rsidR="00274CB2" w:rsidTr="00151B0B" w14:paraId="77F91856" w14:textId="77777777">
        <w:tc>
          <w:tcPr>
            <w:tcW w:w="4817" w:type="dxa"/>
            <w:tcBorders>
              <w:top w:val="single" w:color="auto" w:sz="4" w:space="0"/>
            </w:tcBorders>
          </w:tcPr>
          <w:p w:rsidRPr="00074F3F" w:rsidR="00274CB2" w:rsidP="00274CB2" w:rsidRDefault="00274CB2" w14:paraId="6506E60E" w14:textId="7F0FF6A0">
            <w:pPr>
              <w:tabs>
                <w:tab w:val="left" w:pos="315"/>
              </w:tabs>
              <w:ind w:left="360" w:hanging="360"/>
              <w:rPr>
                <w:color w:val="000000"/>
              </w:rPr>
            </w:pPr>
            <w:r w:rsidRPr="00074F3F">
              <w:rPr>
                <w:color w:val="000000"/>
              </w:rPr>
              <w:t>9.</w:t>
            </w:r>
            <w:r w:rsidRPr="00074F3F">
              <w:rPr>
                <w:color w:val="000000"/>
              </w:rPr>
              <w:tab/>
              <w:t>Based on ALJ ruling issued in proceeding number:</w:t>
            </w:r>
          </w:p>
        </w:tc>
        <w:tc>
          <w:tcPr>
            <w:tcW w:w="2267" w:type="dxa"/>
            <w:tcBorders>
              <w:top w:val="single" w:color="auto" w:sz="4" w:space="0"/>
            </w:tcBorders>
          </w:tcPr>
          <w:p w:rsidRPr="00074F3F" w:rsidR="00274CB2" w:rsidP="00274CB2" w:rsidRDefault="00274CB2" w14:paraId="54B4911C" w14:textId="443EFB77">
            <w:pPr>
              <w:tabs>
                <w:tab w:val="left" w:pos="360"/>
              </w:tabs>
              <w:ind w:left="360" w:hanging="360"/>
              <w:rPr>
                <w:color w:val="000000"/>
              </w:rPr>
            </w:pPr>
            <w:r w:rsidRPr="00074F3F">
              <w:rPr>
                <w:color w:val="000000"/>
              </w:rPr>
              <w:t>D.21-11-017</w:t>
            </w:r>
          </w:p>
        </w:tc>
        <w:tc>
          <w:tcPr>
            <w:tcW w:w="2276" w:type="dxa"/>
            <w:tcBorders>
              <w:top w:val="single" w:color="auto" w:sz="4" w:space="0"/>
            </w:tcBorders>
          </w:tcPr>
          <w:p w:rsidRPr="003A6FB4" w:rsidR="00274CB2" w:rsidP="003A6FB4" w:rsidRDefault="00523611" w14:paraId="2E2FB9D6" w14:textId="2F14B353">
            <w:r>
              <w:rPr>
                <w:color w:val="000000"/>
              </w:rPr>
              <w:t xml:space="preserve">D.21-11-017 </w:t>
            </w:r>
            <w:r>
              <w:t>a</w:t>
            </w:r>
            <w:r w:rsidRPr="00AE4F43">
              <w:t>uthoriz</w:t>
            </w:r>
            <w:r>
              <w:t>ed</w:t>
            </w:r>
            <w:r w:rsidRPr="00AE4F43">
              <w:t xml:space="preserve"> </w:t>
            </w:r>
            <w:r>
              <w:t>P</w:t>
            </w:r>
            <w:r w:rsidRPr="00AE4F43">
              <w:t xml:space="preserve">acific </w:t>
            </w:r>
            <w:r>
              <w:t>G</w:t>
            </w:r>
            <w:r w:rsidRPr="00AE4F43">
              <w:t xml:space="preserve">as and </w:t>
            </w:r>
            <w:r>
              <w:t>E</w:t>
            </w:r>
            <w:r w:rsidRPr="00AE4F43">
              <w:t xml:space="preserve">lectric </w:t>
            </w:r>
            <w:r>
              <w:t>C</w:t>
            </w:r>
            <w:r w:rsidRPr="00AE4F43">
              <w:t>ompany to implement an optional day-ahead real time rate for commercial electric vehicle customers</w:t>
            </w:r>
            <w:r>
              <w:t xml:space="preserve">. A ruling issued in </w:t>
            </w:r>
            <w:r>
              <w:rPr>
                <w:color w:val="000000"/>
              </w:rPr>
              <w:t>R.20-01-007 granted EDF a showing of significant financial hardship.</w:t>
            </w:r>
          </w:p>
        </w:tc>
      </w:tr>
      <w:tr w:rsidRPr="00074F3F" w:rsidR="00274CB2" w:rsidTr="00151B0B" w14:paraId="4AD750C1" w14:textId="77777777">
        <w:tc>
          <w:tcPr>
            <w:tcW w:w="4817" w:type="dxa"/>
          </w:tcPr>
          <w:p w:rsidRPr="00074F3F" w:rsidR="00274CB2" w:rsidP="00274CB2" w:rsidRDefault="00274CB2" w14:paraId="2A279407" w14:textId="1E831EEE">
            <w:pPr>
              <w:ind w:left="360" w:hanging="360"/>
              <w:rPr>
                <w:color w:val="000000"/>
              </w:rPr>
            </w:pPr>
            <w:r w:rsidRPr="00074F3F">
              <w:rPr>
                <w:color w:val="000000"/>
              </w:rPr>
              <w:t>10.</w:t>
            </w:r>
            <w:r w:rsidRPr="00074F3F">
              <w:rPr>
                <w:color w:val="000000"/>
              </w:rPr>
              <w:tab/>
              <w:t>Date of ALJ ruling:</w:t>
            </w:r>
          </w:p>
        </w:tc>
        <w:tc>
          <w:tcPr>
            <w:tcW w:w="2267" w:type="dxa"/>
          </w:tcPr>
          <w:p w:rsidRPr="00074F3F" w:rsidR="00274CB2" w:rsidP="00274CB2" w:rsidRDefault="00274CB2" w14:paraId="4B66A2E4" w14:textId="0954FD86">
            <w:pPr>
              <w:tabs>
                <w:tab w:val="left" w:pos="360"/>
              </w:tabs>
              <w:ind w:left="360" w:hanging="360"/>
              <w:rPr>
                <w:color w:val="000000"/>
              </w:rPr>
            </w:pPr>
            <w:r w:rsidRPr="00074F3F">
              <w:rPr>
                <w:color w:val="000000"/>
              </w:rPr>
              <w:t>November 19, 2021</w:t>
            </w:r>
          </w:p>
        </w:tc>
        <w:tc>
          <w:tcPr>
            <w:tcW w:w="2276" w:type="dxa"/>
          </w:tcPr>
          <w:p w:rsidRPr="00074F3F" w:rsidR="00274CB2" w:rsidP="00274CB2" w:rsidRDefault="00274CB2" w14:paraId="3B83D035" w14:textId="480DFA79">
            <w:pPr>
              <w:tabs>
                <w:tab w:val="left" w:pos="360"/>
              </w:tabs>
              <w:rPr>
                <w:color w:val="000000"/>
              </w:rPr>
            </w:pPr>
            <w:r>
              <w:rPr>
                <w:color w:val="000000"/>
              </w:rPr>
              <w:t>May 29, 2020</w:t>
            </w:r>
          </w:p>
        </w:tc>
      </w:tr>
      <w:tr w:rsidRPr="00074F3F" w:rsidR="00357F1A" w:rsidTr="00151B0B" w14:paraId="7C183C5E" w14:textId="77777777">
        <w:tc>
          <w:tcPr>
            <w:tcW w:w="4817" w:type="dxa"/>
          </w:tcPr>
          <w:p w:rsidRPr="00074F3F" w:rsidR="00357F1A" w:rsidP="00F028C8" w:rsidRDefault="00357F1A" w14:paraId="4141CB3D" w14:textId="2DCA8797">
            <w:pPr>
              <w:ind w:left="360" w:hanging="360"/>
              <w:rPr>
                <w:color w:val="000000"/>
              </w:rPr>
            </w:pPr>
            <w:r w:rsidRPr="00074F3F">
              <w:rPr>
                <w:color w:val="000000"/>
              </w:rPr>
              <w:t>11.</w:t>
            </w:r>
            <w:r w:rsidRPr="00074F3F" w:rsidR="001E7EE2">
              <w:rPr>
                <w:color w:val="000000"/>
              </w:rPr>
              <w:tab/>
            </w:r>
            <w:r w:rsidRPr="00074F3F">
              <w:rPr>
                <w:color w:val="000000"/>
              </w:rPr>
              <w:t>Based on another CPUC determination (specify):</w:t>
            </w:r>
          </w:p>
        </w:tc>
        <w:tc>
          <w:tcPr>
            <w:tcW w:w="2267" w:type="dxa"/>
          </w:tcPr>
          <w:p w:rsidRPr="00074F3F" w:rsidR="00357F1A" w:rsidP="00F028C8" w:rsidRDefault="001A2B48" w14:paraId="141EB5CF" w14:textId="5044D4BF">
            <w:pPr>
              <w:tabs>
                <w:tab w:val="left" w:pos="360"/>
              </w:tabs>
              <w:ind w:left="360" w:hanging="360"/>
              <w:rPr>
                <w:color w:val="000000"/>
              </w:rPr>
            </w:pPr>
            <w:r w:rsidRPr="00074F3F">
              <w:rPr>
                <w:color w:val="000000"/>
              </w:rPr>
              <w:t>N/As</w:t>
            </w:r>
          </w:p>
        </w:tc>
        <w:tc>
          <w:tcPr>
            <w:tcW w:w="2276" w:type="dxa"/>
          </w:tcPr>
          <w:p w:rsidRPr="00074F3F" w:rsidR="00357F1A" w:rsidP="00F028C8" w:rsidRDefault="00357F1A" w14:paraId="79318715" w14:textId="77777777">
            <w:pPr>
              <w:tabs>
                <w:tab w:val="left" w:pos="360"/>
              </w:tabs>
              <w:rPr>
                <w:color w:val="000000"/>
              </w:rPr>
            </w:pPr>
          </w:p>
        </w:tc>
      </w:tr>
      <w:tr w:rsidRPr="00074F3F" w:rsidR="00A92D0B" w:rsidTr="00F028C8" w14:paraId="4E8D20BF" w14:textId="77777777">
        <w:tc>
          <w:tcPr>
            <w:tcW w:w="7084" w:type="dxa"/>
            <w:gridSpan w:val="2"/>
            <w:tcBorders>
              <w:bottom w:val="single" w:color="auto" w:sz="4" w:space="0"/>
            </w:tcBorders>
          </w:tcPr>
          <w:p w:rsidRPr="00074F3F" w:rsidR="00A92D0B" w:rsidP="00F028C8" w:rsidRDefault="00180E8C" w14:paraId="48D0D936" w14:textId="6A3DF8B8">
            <w:pPr>
              <w:tabs>
                <w:tab w:val="left" w:pos="360"/>
              </w:tabs>
              <w:ind w:left="360" w:hanging="360"/>
              <w:rPr>
                <w:color w:val="000000"/>
              </w:rPr>
            </w:pPr>
            <w:r w:rsidRPr="00074F3F">
              <w:rPr>
                <w:color w:val="000000"/>
              </w:rPr>
              <w:t>12</w:t>
            </w:r>
            <w:r w:rsidRPr="00074F3F" w:rsidR="00A92D0B">
              <w:rPr>
                <w:color w:val="000000"/>
              </w:rPr>
              <w:t>.</w:t>
            </w:r>
            <w:r w:rsidRPr="00074F3F" w:rsidR="001E7EE2">
              <w:rPr>
                <w:color w:val="000000"/>
              </w:rPr>
              <w:tab/>
            </w:r>
            <w:r w:rsidRPr="00074F3F" w:rsidR="00A92D0B">
              <w:rPr>
                <w:color w:val="000000"/>
              </w:rPr>
              <w:t>Has the</w:t>
            </w:r>
            <w:r w:rsidRPr="00074F3F" w:rsidR="00A319DE">
              <w:rPr>
                <w:color w:val="000000"/>
              </w:rPr>
              <w:t xml:space="preserve"> </w:t>
            </w:r>
            <w:r w:rsidRPr="00074F3F" w:rsidR="005A63D4">
              <w:rPr>
                <w:color w:val="000000"/>
              </w:rPr>
              <w:t>Intervenor</w:t>
            </w:r>
            <w:r w:rsidRPr="00074F3F" w:rsidR="00A92D0B">
              <w:rPr>
                <w:color w:val="000000"/>
              </w:rPr>
              <w:t xml:space="preserve"> demonstrated significant financial hardship?</w:t>
            </w:r>
          </w:p>
        </w:tc>
        <w:tc>
          <w:tcPr>
            <w:tcW w:w="2276" w:type="dxa"/>
            <w:tcBorders>
              <w:bottom w:val="single" w:color="auto" w:sz="4" w:space="0"/>
            </w:tcBorders>
          </w:tcPr>
          <w:p w:rsidRPr="00074F3F" w:rsidR="00A92D0B" w:rsidP="00F028C8" w:rsidRDefault="00B37826" w14:paraId="0F29B839" w14:textId="14A0B86B">
            <w:pPr>
              <w:tabs>
                <w:tab w:val="left" w:pos="360"/>
              </w:tabs>
              <w:rPr>
                <w:color w:val="000000"/>
              </w:rPr>
            </w:pPr>
            <w:r>
              <w:rPr>
                <w:color w:val="000000"/>
              </w:rPr>
              <w:t>Y</w:t>
            </w:r>
            <w:r w:rsidR="008842B6">
              <w:rPr>
                <w:color w:val="000000"/>
              </w:rPr>
              <w:t>es</w:t>
            </w:r>
          </w:p>
        </w:tc>
      </w:tr>
      <w:tr w:rsidRPr="00074F3F"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074F3F" w:rsidR="00A92D0B" w:rsidP="007056FC" w:rsidRDefault="00A92D0B" w14:paraId="172E2884" w14:textId="77777777">
            <w:pPr>
              <w:keepNext/>
              <w:tabs>
                <w:tab w:val="left" w:pos="360"/>
              </w:tabs>
              <w:jc w:val="center"/>
              <w:rPr>
                <w:color w:val="000000"/>
              </w:rPr>
            </w:pPr>
            <w:r w:rsidRPr="00074F3F">
              <w:rPr>
                <w:b/>
                <w:color w:val="000000"/>
              </w:rPr>
              <w:t>Timely request for compensation (§ 1804(c)):</w:t>
            </w:r>
          </w:p>
        </w:tc>
      </w:tr>
      <w:tr w:rsidRPr="00074F3F" w:rsidR="00A92D0B" w:rsidTr="009426B5" w14:paraId="3E7938B0" w14:textId="77777777">
        <w:tc>
          <w:tcPr>
            <w:tcW w:w="4817" w:type="dxa"/>
            <w:tcBorders>
              <w:top w:val="single" w:color="auto" w:sz="4" w:space="0"/>
            </w:tcBorders>
          </w:tcPr>
          <w:p w:rsidRPr="00074F3F" w:rsidR="00A92D0B" w:rsidP="00F028C8" w:rsidRDefault="00A92D0B" w14:paraId="66088F1B" w14:textId="2DB4A731">
            <w:pPr>
              <w:keepNext/>
              <w:tabs>
                <w:tab w:val="left" w:pos="612"/>
              </w:tabs>
              <w:ind w:left="360" w:hanging="360"/>
              <w:rPr>
                <w:color w:val="000000"/>
              </w:rPr>
            </w:pPr>
            <w:r w:rsidRPr="00074F3F">
              <w:rPr>
                <w:color w:val="000000"/>
              </w:rPr>
              <w:t>13.</w:t>
            </w:r>
            <w:r w:rsidRPr="00074F3F" w:rsidR="001E7EE2">
              <w:rPr>
                <w:color w:val="000000"/>
              </w:rPr>
              <w:tab/>
            </w:r>
            <w:r w:rsidRPr="00074F3F">
              <w:rPr>
                <w:color w:val="000000"/>
              </w:rPr>
              <w:t>Identify Final Decision:</w:t>
            </w:r>
          </w:p>
        </w:tc>
        <w:tc>
          <w:tcPr>
            <w:tcW w:w="2267" w:type="dxa"/>
            <w:tcBorders>
              <w:top w:val="single" w:color="auto" w:sz="4" w:space="0"/>
            </w:tcBorders>
          </w:tcPr>
          <w:p w:rsidRPr="00074F3F" w:rsidR="00A92D0B" w:rsidP="00F028C8" w:rsidRDefault="006D1C42" w14:paraId="7166F318" w14:textId="1556864D">
            <w:pPr>
              <w:tabs>
                <w:tab w:val="left" w:pos="360"/>
              </w:tabs>
              <w:rPr>
                <w:color w:val="000000"/>
              </w:rPr>
            </w:pPr>
            <w:r w:rsidRPr="00074F3F">
              <w:rPr>
                <w:color w:val="000000"/>
              </w:rPr>
              <w:t>D.2</w:t>
            </w:r>
            <w:r w:rsidRPr="00074F3F" w:rsidR="00E4190B">
              <w:rPr>
                <w:color w:val="000000"/>
              </w:rPr>
              <w:t>3-12-003</w:t>
            </w:r>
          </w:p>
        </w:tc>
        <w:tc>
          <w:tcPr>
            <w:tcW w:w="2276" w:type="dxa"/>
            <w:tcBorders>
              <w:top w:val="single" w:color="auto" w:sz="4" w:space="0"/>
            </w:tcBorders>
          </w:tcPr>
          <w:p w:rsidRPr="00074F3F" w:rsidR="00A92D0B" w:rsidP="00F028C8" w:rsidRDefault="00AE0E7A" w14:paraId="1588DC54" w14:textId="58A7A568">
            <w:pPr>
              <w:tabs>
                <w:tab w:val="left" w:pos="360"/>
              </w:tabs>
              <w:rPr>
                <w:color w:val="000000"/>
              </w:rPr>
            </w:pPr>
            <w:r>
              <w:rPr>
                <w:color w:val="000000"/>
              </w:rPr>
              <w:t>Verified</w:t>
            </w:r>
          </w:p>
        </w:tc>
      </w:tr>
      <w:tr w:rsidRPr="00074F3F" w:rsidR="00A92D0B" w:rsidTr="009426B5" w14:paraId="6360DE59" w14:textId="77777777">
        <w:tc>
          <w:tcPr>
            <w:tcW w:w="4817" w:type="dxa"/>
          </w:tcPr>
          <w:p w:rsidRPr="00074F3F" w:rsidR="00A92D0B" w:rsidP="00F028C8" w:rsidRDefault="00A92D0B" w14:paraId="4B809E4A" w14:textId="4BEED0BB">
            <w:pPr>
              <w:tabs>
                <w:tab w:val="left" w:pos="612"/>
              </w:tabs>
              <w:ind w:left="360" w:hanging="360"/>
              <w:rPr>
                <w:color w:val="000000"/>
              </w:rPr>
            </w:pPr>
            <w:r w:rsidRPr="00074F3F">
              <w:rPr>
                <w:color w:val="000000"/>
              </w:rPr>
              <w:t>14.</w:t>
            </w:r>
            <w:r w:rsidRPr="00074F3F" w:rsidR="001E7EE2">
              <w:rPr>
                <w:color w:val="000000"/>
              </w:rPr>
              <w:tab/>
            </w:r>
            <w:r w:rsidRPr="00074F3F">
              <w:rPr>
                <w:color w:val="000000"/>
              </w:rPr>
              <w:t xml:space="preserve">Date of </w:t>
            </w:r>
            <w:r w:rsidRPr="00074F3F" w:rsidR="00A319DE">
              <w:rPr>
                <w:color w:val="000000"/>
              </w:rPr>
              <w:t>i</w:t>
            </w:r>
            <w:r w:rsidRPr="00074F3F">
              <w:rPr>
                <w:color w:val="000000"/>
              </w:rPr>
              <w:t xml:space="preserve">ssuance of Final Order or Decision:    </w:t>
            </w:r>
          </w:p>
        </w:tc>
        <w:tc>
          <w:tcPr>
            <w:tcW w:w="2267" w:type="dxa"/>
          </w:tcPr>
          <w:p w:rsidRPr="00074F3F" w:rsidR="00A92D0B" w:rsidP="00F028C8" w:rsidRDefault="00CE5820" w14:paraId="20455B5F" w14:textId="779F57FC">
            <w:pPr>
              <w:tabs>
                <w:tab w:val="left" w:pos="360"/>
              </w:tabs>
              <w:rPr>
                <w:color w:val="000000"/>
              </w:rPr>
            </w:pPr>
            <w:r w:rsidRPr="00074F3F">
              <w:rPr>
                <w:color w:val="000000"/>
              </w:rPr>
              <w:t>December 2</w:t>
            </w:r>
            <w:r w:rsidRPr="00074F3F" w:rsidR="00D31220">
              <w:rPr>
                <w:color w:val="000000"/>
              </w:rPr>
              <w:t>1</w:t>
            </w:r>
            <w:r w:rsidRPr="00074F3F">
              <w:rPr>
                <w:color w:val="000000"/>
              </w:rPr>
              <w:t>, 202</w:t>
            </w:r>
            <w:r w:rsidRPr="00074F3F" w:rsidR="00D31220">
              <w:rPr>
                <w:color w:val="000000"/>
              </w:rPr>
              <w:t>3</w:t>
            </w:r>
          </w:p>
        </w:tc>
        <w:tc>
          <w:tcPr>
            <w:tcW w:w="2276" w:type="dxa"/>
          </w:tcPr>
          <w:p w:rsidRPr="00074F3F" w:rsidR="00A92D0B" w:rsidP="00F028C8" w:rsidRDefault="00AE0E7A" w14:paraId="1FCF00DD" w14:textId="6C280B75">
            <w:pPr>
              <w:tabs>
                <w:tab w:val="left" w:pos="360"/>
              </w:tabs>
              <w:rPr>
                <w:color w:val="000000"/>
              </w:rPr>
            </w:pPr>
            <w:r>
              <w:rPr>
                <w:color w:val="000000"/>
              </w:rPr>
              <w:t>Verified</w:t>
            </w:r>
          </w:p>
        </w:tc>
      </w:tr>
      <w:tr w:rsidRPr="00074F3F" w:rsidR="00A92D0B" w:rsidTr="009426B5" w14:paraId="723259E3" w14:textId="77777777">
        <w:tc>
          <w:tcPr>
            <w:tcW w:w="4817" w:type="dxa"/>
          </w:tcPr>
          <w:p w:rsidRPr="00074F3F" w:rsidR="00A92D0B" w:rsidP="00F028C8" w:rsidRDefault="00A92D0B" w14:paraId="163EE1CA" w14:textId="2B64EB9E">
            <w:pPr>
              <w:tabs>
                <w:tab w:val="left" w:pos="612"/>
              </w:tabs>
              <w:ind w:left="360" w:hanging="360"/>
              <w:rPr>
                <w:color w:val="000000"/>
              </w:rPr>
            </w:pPr>
            <w:r w:rsidRPr="00074F3F">
              <w:rPr>
                <w:color w:val="000000"/>
              </w:rPr>
              <w:t>15.</w:t>
            </w:r>
            <w:r w:rsidRPr="00074F3F" w:rsidR="001E7EE2">
              <w:rPr>
                <w:color w:val="000000"/>
              </w:rPr>
              <w:tab/>
            </w:r>
            <w:r w:rsidRPr="00074F3F">
              <w:rPr>
                <w:color w:val="000000"/>
              </w:rPr>
              <w:t>File date of compensation request:</w:t>
            </w:r>
          </w:p>
        </w:tc>
        <w:tc>
          <w:tcPr>
            <w:tcW w:w="2267" w:type="dxa"/>
          </w:tcPr>
          <w:p w:rsidRPr="00074F3F" w:rsidR="00A92D0B" w:rsidP="00F028C8" w:rsidRDefault="00A533B6" w14:paraId="0568B39D" w14:textId="16D9CE15">
            <w:pPr>
              <w:tabs>
                <w:tab w:val="left" w:pos="360"/>
              </w:tabs>
              <w:rPr>
                <w:color w:val="000000"/>
              </w:rPr>
            </w:pPr>
            <w:r w:rsidRPr="00074F3F">
              <w:rPr>
                <w:color w:val="000000"/>
              </w:rPr>
              <w:t xml:space="preserve">February </w:t>
            </w:r>
            <w:r w:rsidRPr="00074F3F" w:rsidR="00D31220">
              <w:rPr>
                <w:color w:val="000000"/>
              </w:rPr>
              <w:t>20</w:t>
            </w:r>
            <w:r w:rsidRPr="00074F3F">
              <w:rPr>
                <w:color w:val="000000"/>
              </w:rPr>
              <w:t>, 202</w:t>
            </w:r>
            <w:r w:rsidRPr="00074F3F" w:rsidR="00D31220">
              <w:rPr>
                <w:color w:val="000000"/>
              </w:rPr>
              <w:t>4</w:t>
            </w:r>
          </w:p>
        </w:tc>
        <w:tc>
          <w:tcPr>
            <w:tcW w:w="2276" w:type="dxa"/>
          </w:tcPr>
          <w:p w:rsidRPr="00074F3F" w:rsidR="00A92D0B" w:rsidP="00F028C8" w:rsidRDefault="00CF376D" w14:paraId="1CBF4E7A" w14:textId="267916AF">
            <w:pPr>
              <w:tabs>
                <w:tab w:val="left" w:pos="360"/>
              </w:tabs>
              <w:rPr>
                <w:color w:val="000000"/>
              </w:rPr>
            </w:pPr>
            <w:r>
              <w:rPr>
                <w:color w:val="000000"/>
              </w:rPr>
              <w:t>Verified</w:t>
            </w:r>
          </w:p>
        </w:tc>
      </w:tr>
      <w:tr w:rsidRPr="00074F3F" w:rsidR="00A92D0B" w:rsidTr="00F028C8" w14:paraId="406BCA3A" w14:textId="77777777">
        <w:tc>
          <w:tcPr>
            <w:tcW w:w="7084" w:type="dxa"/>
            <w:gridSpan w:val="2"/>
          </w:tcPr>
          <w:p w:rsidRPr="00074F3F" w:rsidR="00A92D0B" w:rsidP="00F028C8" w:rsidRDefault="00A92D0B" w14:paraId="10AF42D1" w14:textId="67695104">
            <w:pPr>
              <w:tabs>
                <w:tab w:val="left" w:pos="360"/>
              </w:tabs>
              <w:ind w:left="360" w:hanging="360"/>
              <w:rPr>
                <w:color w:val="000000"/>
              </w:rPr>
            </w:pPr>
            <w:r w:rsidRPr="00074F3F">
              <w:rPr>
                <w:color w:val="000000"/>
              </w:rPr>
              <w:t>16</w:t>
            </w:r>
            <w:r w:rsidRPr="00074F3F" w:rsidR="001E7EE2">
              <w:rPr>
                <w:color w:val="000000"/>
              </w:rPr>
              <w:t>.</w:t>
            </w:r>
            <w:r w:rsidRPr="00074F3F" w:rsidR="001E7EE2">
              <w:rPr>
                <w:color w:val="000000"/>
              </w:rPr>
              <w:tab/>
            </w:r>
            <w:r w:rsidRPr="00074F3F">
              <w:rPr>
                <w:color w:val="000000"/>
              </w:rPr>
              <w:t>Was the request for compensation timely?</w:t>
            </w:r>
          </w:p>
        </w:tc>
        <w:tc>
          <w:tcPr>
            <w:tcW w:w="2276" w:type="dxa"/>
          </w:tcPr>
          <w:p w:rsidRPr="00074F3F" w:rsidR="00A92D0B" w:rsidP="00F028C8" w:rsidRDefault="00BD2378" w14:paraId="2EA30E63" w14:textId="1945B166">
            <w:pPr>
              <w:tabs>
                <w:tab w:val="left" w:pos="360"/>
              </w:tabs>
              <w:rPr>
                <w:color w:val="000000"/>
              </w:rPr>
            </w:pPr>
            <w:r>
              <w:rPr>
                <w:color w:val="000000"/>
              </w:rPr>
              <w:t>Yes</w:t>
            </w:r>
          </w:p>
        </w:tc>
      </w:tr>
    </w:tbl>
    <w:p w:rsidRPr="00074F3F" w:rsidR="00A92D0B" w:rsidP="00880855" w:rsidRDefault="00A92D0B" w14:paraId="0068592B" w14:textId="65C6F923">
      <w:pPr>
        <w:keepNext/>
        <w:numPr>
          <w:ilvl w:val="0"/>
          <w:numId w:val="5"/>
        </w:numPr>
        <w:spacing w:before="240" w:after="240"/>
        <w:rPr>
          <w:b/>
          <w:color w:val="000000"/>
        </w:rPr>
      </w:pPr>
      <w:r w:rsidRPr="00074F3F">
        <w:rPr>
          <w:b/>
          <w:color w:val="000000"/>
        </w:rPr>
        <w:lastRenderedPageBreak/>
        <w:t>Additional Comments on Part I</w:t>
      </w:r>
      <w:r w:rsidRPr="00074F3F" w:rsidR="00C02649">
        <w:rPr>
          <w:b/>
          <w:color w:val="000000"/>
        </w:rPr>
        <w:t>:</w:t>
      </w:r>
      <w:r w:rsidRPr="00074F3F">
        <w:rPr>
          <w:b/>
          <w:color w:val="000000"/>
        </w:rPr>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60"/>
        <w:gridCol w:w="3759"/>
        <w:gridCol w:w="4741"/>
      </w:tblGrid>
      <w:tr w:rsidRPr="00074F3F" w:rsidR="003C608A" w:rsidTr="007056FC" w14:paraId="046F77BA" w14:textId="77777777">
        <w:trPr>
          <w:tblHeader/>
        </w:trPr>
        <w:tc>
          <w:tcPr>
            <w:tcW w:w="860" w:type="dxa"/>
            <w:tcBorders>
              <w:bottom w:val="single" w:color="auto" w:sz="4" w:space="0"/>
            </w:tcBorders>
            <w:shd w:val="clear" w:color="auto" w:fill="D9D9D9" w:themeFill="background1" w:themeFillShade="D9"/>
          </w:tcPr>
          <w:p w:rsidRPr="00074F3F" w:rsidR="003C608A" w:rsidP="007056FC" w:rsidRDefault="003C608A" w14:paraId="0CB867A6" w14:textId="77777777">
            <w:pPr>
              <w:tabs>
                <w:tab w:val="left" w:pos="360"/>
              </w:tabs>
              <w:jc w:val="center"/>
              <w:rPr>
                <w:b/>
                <w:color w:val="000000"/>
              </w:rPr>
            </w:pPr>
            <w:r w:rsidRPr="00074F3F">
              <w:rPr>
                <w:b/>
                <w:color w:val="000000"/>
              </w:rPr>
              <w:t>#</w:t>
            </w:r>
          </w:p>
        </w:tc>
        <w:tc>
          <w:tcPr>
            <w:tcW w:w="3759" w:type="dxa"/>
            <w:tcBorders>
              <w:bottom w:val="single" w:color="auto" w:sz="4" w:space="0"/>
            </w:tcBorders>
            <w:shd w:val="clear" w:color="auto" w:fill="D9D9D9" w:themeFill="background1" w:themeFillShade="D9"/>
          </w:tcPr>
          <w:p w:rsidRPr="00074F3F" w:rsidR="003C608A" w:rsidP="007056FC" w:rsidRDefault="003C608A" w14:paraId="196D09DF" w14:textId="77777777">
            <w:pPr>
              <w:tabs>
                <w:tab w:val="left" w:pos="360"/>
              </w:tabs>
              <w:jc w:val="center"/>
              <w:rPr>
                <w:b/>
                <w:color w:val="000000"/>
              </w:rPr>
            </w:pPr>
            <w:r w:rsidRPr="00074F3F">
              <w:rPr>
                <w:b/>
                <w:color w:val="000000"/>
              </w:rPr>
              <w:t>Intervenor’s Comment(s)</w:t>
            </w:r>
          </w:p>
        </w:tc>
        <w:tc>
          <w:tcPr>
            <w:tcW w:w="4741" w:type="dxa"/>
            <w:shd w:val="clear" w:color="auto" w:fill="D9D9D9" w:themeFill="background1" w:themeFillShade="D9"/>
          </w:tcPr>
          <w:p w:rsidRPr="00074F3F" w:rsidR="003C608A" w:rsidP="007056FC" w:rsidRDefault="003C608A" w14:paraId="07207D31" w14:textId="77777777">
            <w:pPr>
              <w:tabs>
                <w:tab w:val="left" w:pos="360"/>
              </w:tabs>
              <w:jc w:val="center"/>
              <w:rPr>
                <w:b/>
                <w:color w:val="000000"/>
              </w:rPr>
            </w:pPr>
            <w:r w:rsidRPr="00074F3F">
              <w:rPr>
                <w:b/>
                <w:color w:val="000000"/>
              </w:rPr>
              <w:t>CPUC Discussion</w:t>
            </w:r>
          </w:p>
        </w:tc>
      </w:tr>
      <w:tr w:rsidRPr="00074F3F" w:rsidR="003C608A" w:rsidTr="00151B0B" w14:paraId="1C6180A4" w14:textId="77777777">
        <w:trPr>
          <w:trHeight w:val="67"/>
        </w:trPr>
        <w:tc>
          <w:tcPr>
            <w:tcW w:w="860" w:type="dxa"/>
          </w:tcPr>
          <w:p w:rsidRPr="00074F3F" w:rsidR="003C608A" w:rsidP="007056FC" w:rsidRDefault="008A62E0" w14:paraId="4350D384" w14:textId="4F994825">
            <w:pPr>
              <w:tabs>
                <w:tab w:val="left" w:pos="360"/>
              </w:tabs>
              <w:rPr>
                <w:color w:val="000000"/>
              </w:rPr>
            </w:pPr>
            <w:r w:rsidRPr="00074F3F">
              <w:rPr>
                <w:color w:val="000000"/>
              </w:rPr>
              <w:t>9 / 10</w:t>
            </w:r>
          </w:p>
        </w:tc>
        <w:tc>
          <w:tcPr>
            <w:tcW w:w="3759" w:type="dxa"/>
          </w:tcPr>
          <w:p w:rsidRPr="00074F3F" w:rsidR="003C608A" w:rsidP="007056FC" w:rsidRDefault="008A62E0" w14:paraId="0ECF4A98" w14:textId="0E5879F4">
            <w:pPr>
              <w:tabs>
                <w:tab w:val="left" w:pos="360"/>
              </w:tabs>
              <w:rPr>
                <w:color w:val="000000"/>
              </w:rPr>
            </w:pPr>
            <w:r w:rsidRPr="00074F3F">
              <w:rPr>
                <w:color w:val="000000"/>
              </w:rPr>
              <w:t xml:space="preserve">In D.20-09-007, the CPUC found that EDF had demonstrated </w:t>
            </w:r>
            <w:r w:rsidRPr="00074F3F" w:rsidR="00CF0470">
              <w:rPr>
                <w:color w:val="000000"/>
              </w:rPr>
              <w:t>customer status and significant financial hardship.</w:t>
            </w:r>
          </w:p>
        </w:tc>
        <w:tc>
          <w:tcPr>
            <w:tcW w:w="4741" w:type="dxa"/>
          </w:tcPr>
          <w:p w:rsidRPr="00074F3F" w:rsidR="003C608A" w:rsidP="007056FC" w:rsidRDefault="006B595B" w14:paraId="416D6250" w14:textId="55FCED2A">
            <w:pPr>
              <w:tabs>
                <w:tab w:val="left" w:pos="360"/>
              </w:tabs>
              <w:rPr>
                <w:color w:val="000000"/>
              </w:rPr>
            </w:pPr>
            <w:r>
              <w:rPr>
                <w:color w:val="000000"/>
              </w:rPr>
              <w:t xml:space="preserve">D.20-09-007, issued in A.18-11-003, does not provide a finding of eligible customer status and significant financial hardship in this proceeding. We remind EDF to include relevant </w:t>
            </w:r>
            <w:r w:rsidRPr="00074F3F">
              <w:rPr>
                <w:color w:val="000000"/>
              </w:rPr>
              <w:t>customer status and significant financial hardship</w:t>
            </w:r>
            <w:r>
              <w:rPr>
                <w:color w:val="000000"/>
              </w:rPr>
              <w:t xml:space="preserve"> findings in their future requests for compensation.</w:t>
            </w:r>
          </w:p>
        </w:tc>
      </w:tr>
    </w:tbl>
    <w:p w:rsidR="00536F25" w:rsidP="006E78C5" w:rsidRDefault="00536F25" w14:paraId="7E9959B3" w14:textId="536DBDAF">
      <w:pPr>
        <w:ind w:left="2160"/>
        <w:rPr>
          <w:b/>
          <w:color w:val="000000"/>
        </w:rPr>
      </w:pPr>
    </w:p>
    <w:p w:rsidRPr="00074F3F" w:rsidR="003B6A1B" w:rsidP="006E78C5" w:rsidRDefault="00A92D0B" w14:paraId="501B5F3D" w14:textId="0385D46E">
      <w:pPr>
        <w:ind w:left="2160"/>
        <w:rPr>
          <w:b/>
          <w:color w:val="000000"/>
        </w:rPr>
      </w:pPr>
      <w:r w:rsidRPr="00074F3F">
        <w:rPr>
          <w:b/>
          <w:color w:val="000000"/>
        </w:rPr>
        <w:t>PART II</w:t>
      </w:r>
      <w:r w:rsidRPr="00074F3F" w:rsidR="00CB52B1">
        <w:rPr>
          <w:b/>
          <w:color w:val="000000"/>
        </w:rPr>
        <w:t>: SUBSTANTIAL</w:t>
      </w:r>
      <w:r w:rsidRPr="00074F3F">
        <w:rPr>
          <w:b/>
          <w:color w:val="000000"/>
        </w:rPr>
        <w:t xml:space="preserve"> CONTRIBUTION</w:t>
      </w:r>
    </w:p>
    <w:p w:rsidRPr="007E1AAD" w:rsidR="00647675" w:rsidP="007E1AAD" w:rsidRDefault="00D075B1" w14:paraId="00C5A1AA" w14:textId="1A099684">
      <w:pPr>
        <w:numPr>
          <w:ilvl w:val="0"/>
          <w:numId w:val="8"/>
        </w:numPr>
        <w:spacing w:before="240" w:after="240"/>
        <w:rPr>
          <w:b/>
          <w:color w:val="000000"/>
        </w:rPr>
      </w:pPr>
      <w:r w:rsidRPr="007E1AAD">
        <w:rPr>
          <w:b/>
          <w:color w:val="000000"/>
        </w:rPr>
        <w:t xml:space="preserve">Did the </w:t>
      </w:r>
      <w:r w:rsidRPr="007E1AAD" w:rsidR="005A63D4">
        <w:rPr>
          <w:b/>
          <w:color w:val="000000"/>
        </w:rPr>
        <w:t>Intervenor</w:t>
      </w:r>
      <w:r w:rsidRPr="007E1AAD">
        <w:rPr>
          <w:b/>
          <w:color w:val="000000"/>
        </w:rPr>
        <w:t xml:space="preserve"> substantially contribute to the final decision</w:t>
      </w:r>
      <w:r w:rsidRPr="007E1AAD" w:rsidR="00A92D0B">
        <w:rPr>
          <w:b/>
          <w:color w:val="000000"/>
        </w:rPr>
        <w:t xml:space="preserve"> (</w:t>
      </w:r>
      <w:r w:rsidRPr="007E1AAD" w:rsidR="00A92D0B">
        <w:rPr>
          <w:b/>
          <w:i/>
          <w:color w:val="000000"/>
        </w:rPr>
        <w:t>see</w:t>
      </w:r>
      <w:r w:rsidRPr="007E1AAD" w:rsidR="00A92D0B">
        <w:rPr>
          <w:b/>
          <w:color w:val="000000"/>
        </w:rPr>
        <w:t xml:space="preserve"> § 1802(</w:t>
      </w:r>
      <w:r w:rsidRPr="007E1AAD" w:rsidR="00ED6B6B">
        <w:rPr>
          <w:b/>
          <w:color w:val="000000"/>
        </w:rPr>
        <w:t>j</w:t>
      </w:r>
      <w:r w:rsidRPr="007E1AAD" w:rsidR="00A92D0B">
        <w:rPr>
          <w:b/>
          <w:color w:val="000000"/>
        </w:rPr>
        <w:t xml:space="preserve">), </w:t>
      </w:r>
      <w:r w:rsidRPr="007E1AAD" w:rsidR="001E77CF">
        <w:rPr>
          <w:b/>
          <w:color w:val="000000"/>
        </w:rPr>
        <w:br/>
      </w:r>
      <w:r w:rsidRPr="007E1AAD" w:rsidR="00A92D0B">
        <w:rPr>
          <w:b/>
          <w:color w:val="000000"/>
        </w:rPr>
        <w:t>§ 1803(a)</w:t>
      </w:r>
      <w:r w:rsidRPr="007E1AAD" w:rsidR="00F30DA8">
        <w:rPr>
          <w:b/>
          <w:color w:val="000000"/>
        </w:rPr>
        <w:t>,</w:t>
      </w:r>
      <w:r w:rsidRPr="007E1AAD" w:rsidR="00A92D0B">
        <w:rPr>
          <w:b/>
          <w:color w:val="000000"/>
        </w:rPr>
        <w:t xml:space="preserve"> </w:t>
      </w:r>
      <w:r w:rsidRPr="007E1AAD" w:rsidR="00ED6B6B">
        <w:rPr>
          <w:b/>
          <w:color w:val="000000"/>
        </w:rPr>
        <w:t xml:space="preserve">1803.1(a) </w:t>
      </w:r>
      <w:r w:rsidRPr="007E1AAD" w:rsidR="00F30DA8">
        <w:rPr>
          <w:b/>
          <w:color w:val="000000"/>
        </w:rPr>
        <w:t>and</w:t>
      </w:r>
      <w:r w:rsidRPr="007E1AAD" w:rsidR="00A92D0B">
        <w:rPr>
          <w:b/>
          <w:color w:val="000000"/>
        </w:rPr>
        <w:t xml:space="preserve"> D.98-04-059)</w:t>
      </w:r>
      <w:r w:rsidRPr="007E1AAD" w:rsidR="00C02649">
        <w:rPr>
          <w:b/>
          <w:color w:val="000000"/>
        </w:rPr>
        <w:t>:</w:t>
      </w:r>
      <w:r w:rsidRPr="007E1AAD" w:rsidR="00A92D0B">
        <w:rPr>
          <w:b/>
          <w:color w:val="000000"/>
        </w:rPr>
        <w:t xml:space="preserve"> </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954"/>
        <w:gridCol w:w="3801"/>
        <w:gridCol w:w="1983"/>
      </w:tblGrid>
      <w:tr w:rsidRPr="00074F3F" w:rsidR="00A92D0B" w:rsidTr="517C24CA" w14:paraId="67755362" w14:textId="77777777">
        <w:tc>
          <w:tcPr>
            <w:tcW w:w="3954" w:type="dxa"/>
            <w:tcBorders>
              <w:bottom w:val="single" w:color="auto" w:sz="4" w:space="0"/>
            </w:tcBorders>
            <w:vAlign w:val="center"/>
          </w:tcPr>
          <w:p w:rsidRPr="00074F3F" w:rsidR="00A92D0B" w:rsidP="00610DC8" w:rsidRDefault="00D075B1" w14:paraId="7CE2E5BB" w14:textId="77777777">
            <w:pPr>
              <w:jc w:val="center"/>
              <w:rPr>
                <w:b/>
                <w:color w:val="000000"/>
              </w:rPr>
            </w:pPr>
            <w:r w:rsidRPr="00074F3F">
              <w:rPr>
                <w:b/>
                <w:color w:val="000000"/>
              </w:rPr>
              <w:t>Intervenor’s Claimed Contribution(s)</w:t>
            </w:r>
          </w:p>
        </w:tc>
        <w:tc>
          <w:tcPr>
            <w:tcW w:w="3801" w:type="dxa"/>
            <w:tcBorders>
              <w:bottom w:val="single" w:color="auto" w:sz="4" w:space="0"/>
            </w:tcBorders>
            <w:vAlign w:val="center"/>
          </w:tcPr>
          <w:p w:rsidRPr="00074F3F" w:rsidR="00A92D0B" w:rsidP="00610DC8" w:rsidRDefault="00A92D0B" w14:paraId="2794272E" w14:textId="77777777">
            <w:pPr>
              <w:jc w:val="center"/>
              <w:rPr>
                <w:b/>
                <w:color w:val="000000"/>
              </w:rPr>
            </w:pPr>
            <w:r w:rsidRPr="00074F3F">
              <w:rPr>
                <w:b/>
                <w:color w:val="000000"/>
              </w:rPr>
              <w:t xml:space="preserve">Specific References to </w:t>
            </w:r>
            <w:r w:rsidRPr="00074F3F" w:rsidR="00D075B1">
              <w:rPr>
                <w:b/>
                <w:color w:val="000000"/>
              </w:rPr>
              <w:t>Intervenor’s Claimed Contribution(s)</w:t>
            </w:r>
          </w:p>
        </w:tc>
        <w:tc>
          <w:tcPr>
            <w:tcW w:w="1983" w:type="dxa"/>
            <w:vAlign w:val="center"/>
          </w:tcPr>
          <w:p w:rsidRPr="00074F3F" w:rsidR="00A92D0B" w:rsidP="00610DC8" w:rsidRDefault="00D075B1" w14:paraId="79AFC714" w14:textId="77777777">
            <w:pPr>
              <w:jc w:val="center"/>
              <w:rPr>
                <w:b/>
                <w:color w:val="000000"/>
              </w:rPr>
            </w:pPr>
            <w:r w:rsidRPr="00074F3F">
              <w:rPr>
                <w:b/>
                <w:color w:val="000000"/>
              </w:rPr>
              <w:t>CPUC Discussion</w:t>
            </w:r>
          </w:p>
        </w:tc>
      </w:tr>
      <w:tr w:rsidRPr="00074F3F" w:rsidR="00D77403" w:rsidTr="517C24CA" w14:paraId="073BD862" w14:textId="77777777">
        <w:trPr>
          <w:tblHeader/>
        </w:trPr>
        <w:tc>
          <w:tcPr>
            <w:tcW w:w="3954" w:type="dxa"/>
            <w:vAlign w:val="center"/>
          </w:tcPr>
          <w:p w:rsidRPr="00074F3F" w:rsidR="00B64DDD" w:rsidP="00610DC8" w:rsidRDefault="003E4AF4" w14:paraId="19BA1A11" w14:textId="77777777">
            <w:pPr>
              <w:rPr>
                <w:color w:val="000000"/>
              </w:rPr>
            </w:pPr>
            <w:r w:rsidRPr="00074F3F">
              <w:rPr>
                <w:color w:val="000000"/>
              </w:rPr>
              <w:t xml:space="preserve">EDF’s Opening and Reply Comments on the Proposed Decision focused on the need to provide better clarity and </w:t>
            </w:r>
            <w:r w:rsidRPr="00074F3F" w:rsidR="002F5E15">
              <w:rPr>
                <w:color w:val="000000"/>
              </w:rPr>
              <w:t xml:space="preserve">information on the rate impacts of transmission pipeline derating; and a new determination of the “used and usefulness” of the resulting distribution pipeline. </w:t>
            </w:r>
          </w:p>
          <w:p w:rsidRPr="00074F3F" w:rsidR="00021A40" w:rsidP="00610DC8" w:rsidRDefault="00021A40" w14:paraId="614D35A2" w14:textId="77777777">
            <w:pPr>
              <w:rPr>
                <w:color w:val="000000"/>
              </w:rPr>
            </w:pPr>
          </w:p>
          <w:p w:rsidRPr="00074F3F" w:rsidR="00021A40" w:rsidP="00610DC8" w:rsidRDefault="00F25C5A" w14:paraId="7D228114" w14:textId="019158C3">
            <w:pPr>
              <w:rPr>
                <w:color w:val="000000"/>
              </w:rPr>
            </w:pPr>
            <w:r w:rsidRPr="00074F3F">
              <w:rPr>
                <w:color w:val="000000"/>
              </w:rPr>
              <w:t xml:space="preserve">“Second, the Commission should require a comprehensive review </w:t>
            </w:r>
            <w:r w:rsidRPr="00074F3F" w:rsidR="00636052">
              <w:rPr>
                <w:color w:val="000000"/>
              </w:rPr>
              <w:t>of transmission pipeline derating, including an analysis of both the ‘used-and-usefulness’ of newly derated pipelines and potential non-pipeline alternatives through a Tier 2 Advice letter</w:t>
            </w:r>
            <w:r w:rsidRPr="00074F3F" w:rsidR="00862F79">
              <w:rPr>
                <w:color w:val="000000"/>
              </w:rPr>
              <w:t>.” (EDF Opening Comments on the Proposed Decision at 2)</w:t>
            </w:r>
          </w:p>
          <w:p w:rsidRPr="00074F3F" w:rsidR="00862F79" w:rsidP="00610DC8" w:rsidRDefault="00862F79" w14:paraId="461A306A" w14:textId="77777777">
            <w:pPr>
              <w:rPr>
                <w:color w:val="000000"/>
              </w:rPr>
            </w:pPr>
          </w:p>
          <w:p w:rsidRPr="00074F3F" w:rsidR="00862F79" w:rsidP="00610DC8" w:rsidRDefault="00593877" w14:paraId="72BBDEB7" w14:textId="2ABBCC17">
            <w:pPr>
              <w:rPr>
                <w:color w:val="000000"/>
              </w:rPr>
            </w:pPr>
            <w:r w:rsidRPr="00074F3F">
              <w:rPr>
                <w:color w:val="000000"/>
              </w:rPr>
              <w:t xml:space="preserve">“To the extent the Proposed Decision is intended to capture a broader decision regarding repair, replacement, derating, or decommissioning, the Commission should replace the proposed two-step </w:t>
            </w:r>
            <w:r w:rsidRPr="00074F3F">
              <w:rPr>
                <w:color w:val="000000"/>
              </w:rPr>
              <w:lastRenderedPageBreak/>
              <w:t xml:space="preserve">review process with a single comprehensive step examining the </w:t>
            </w:r>
            <w:r w:rsidRPr="00074F3F" w:rsidR="00FE57AC">
              <w:rPr>
                <w:color w:val="000000"/>
              </w:rPr>
              <w:t>‘used-and-usefulness’</w:t>
            </w:r>
            <w:r w:rsidRPr="00074F3F" w:rsidR="00AB57B9">
              <w:rPr>
                <w:color w:val="000000"/>
              </w:rPr>
              <w:t xml:space="preserve"> […]” (EDF Reply Comments on the Proposed Decision at 3)</w:t>
            </w:r>
          </w:p>
        </w:tc>
        <w:tc>
          <w:tcPr>
            <w:tcW w:w="3801" w:type="dxa"/>
            <w:vAlign w:val="center"/>
          </w:tcPr>
          <w:p w:rsidRPr="00074F3F" w:rsidR="00496E94" w:rsidP="00496E94" w:rsidRDefault="00496E94" w14:paraId="364B958C" w14:textId="17B183D3">
            <w:pPr>
              <w:rPr>
                <w:color w:val="000000"/>
              </w:rPr>
            </w:pPr>
            <w:r w:rsidRPr="636F7471">
              <w:rPr>
                <w:color w:val="000000" w:themeColor="text1"/>
              </w:rPr>
              <w:lastRenderedPageBreak/>
              <w:t xml:space="preserve">The Commission noted EDF’s arguments but did accept EDF’s recommendations. However, EDF developed the record on this matter. </w:t>
            </w:r>
          </w:p>
          <w:p w:rsidRPr="00074F3F" w:rsidR="00496E94" w:rsidP="00496E94" w:rsidRDefault="00496E94" w14:paraId="640976FF" w14:textId="77777777">
            <w:pPr>
              <w:rPr>
                <w:color w:val="000000"/>
              </w:rPr>
            </w:pPr>
          </w:p>
          <w:p w:rsidRPr="00074F3F" w:rsidR="00665C2D" w:rsidP="00665C2D" w:rsidRDefault="0074220E" w14:paraId="51C615BD" w14:textId="633EC13C">
            <w:pPr>
              <w:rPr>
                <w:color w:val="000000"/>
              </w:rPr>
            </w:pPr>
            <w:r w:rsidRPr="00074F3F">
              <w:rPr>
                <w:color w:val="000000"/>
              </w:rPr>
              <w:t>“</w:t>
            </w:r>
            <w:r w:rsidRPr="00074F3F" w:rsidR="006A1960">
              <w:rPr>
                <w:color w:val="000000"/>
              </w:rPr>
              <w:t xml:space="preserve">EDF recommends utilities be clear about which customers are on a transmission pipeline planned for derating or decommissioning. EDF comments that the utility should demonstrate that a distribution pipeline resulting from the deration of a transmission pipeline will be </w:t>
            </w:r>
            <w:r w:rsidRPr="00074F3F">
              <w:rPr>
                <w:color w:val="000000"/>
              </w:rPr>
              <w:t>‘</w:t>
            </w:r>
            <w:r w:rsidRPr="00074F3F" w:rsidR="006A1960">
              <w:rPr>
                <w:color w:val="000000"/>
              </w:rPr>
              <w:t>used and useful.</w:t>
            </w:r>
            <w:r w:rsidRPr="00074F3F">
              <w:rPr>
                <w:color w:val="000000"/>
              </w:rPr>
              <w:t>’”</w:t>
            </w:r>
            <w:r w:rsidRPr="00074F3F" w:rsidR="006A1960">
              <w:rPr>
                <w:color w:val="000000"/>
              </w:rPr>
              <w:t xml:space="preserve"> (Decision</w:t>
            </w:r>
            <w:r w:rsidR="000F6C60">
              <w:rPr>
                <w:color w:val="000000"/>
              </w:rPr>
              <w:t xml:space="preserve"> </w:t>
            </w:r>
            <w:r w:rsidRPr="00074F3F" w:rsidR="006A1960">
              <w:rPr>
                <w:color w:val="000000"/>
              </w:rPr>
              <w:t>at 18)</w:t>
            </w:r>
          </w:p>
          <w:p w:rsidRPr="00074F3F" w:rsidR="0074220E" w:rsidP="00665C2D" w:rsidRDefault="0074220E" w14:paraId="31A1C4D0" w14:textId="77777777">
            <w:pPr>
              <w:rPr>
                <w:color w:val="000000"/>
              </w:rPr>
            </w:pPr>
          </w:p>
          <w:p w:rsidRPr="00074F3F" w:rsidR="0074220E" w:rsidP="00665C2D" w:rsidRDefault="0074220E" w14:paraId="23F82EED" w14:textId="77777777">
            <w:pPr>
              <w:rPr>
                <w:color w:val="000000"/>
              </w:rPr>
            </w:pPr>
            <w:r w:rsidRPr="00074F3F">
              <w:rPr>
                <w:color w:val="000000"/>
              </w:rPr>
              <w:t>“Third, while we agree with EDF’s recommendation that the utility be clear about customers on a transmission pipeline for derating, we do not require any changes in existing utility practices regarding informing customers of planned derating at this time.” (Decision at 22)</w:t>
            </w:r>
          </w:p>
          <w:p w:rsidRPr="00074F3F" w:rsidR="00B32CD4" w:rsidP="00665C2D" w:rsidRDefault="00B32CD4" w14:paraId="7026D51A" w14:textId="77777777">
            <w:pPr>
              <w:rPr>
                <w:color w:val="000000"/>
              </w:rPr>
            </w:pPr>
          </w:p>
          <w:p w:rsidRPr="00074F3F" w:rsidR="00B32CD4" w:rsidP="00665C2D" w:rsidRDefault="00B32CD4" w14:paraId="2C5C189B" w14:textId="411DE9CE">
            <w:pPr>
              <w:rPr>
                <w:color w:val="000000"/>
              </w:rPr>
            </w:pPr>
            <w:r w:rsidRPr="00074F3F">
              <w:rPr>
                <w:color w:val="000000"/>
              </w:rPr>
              <w:lastRenderedPageBreak/>
              <w:t>“Fourth, we do not adopt EDF’s recommendation that we require the utilities to demonstrate that a distribution pipeline resulting from the deration of a transmission pipeline will be ‘used and useful.’” (</w:t>
            </w:r>
            <w:r w:rsidRPr="00074F3F" w:rsidR="00736418">
              <w:rPr>
                <w:color w:val="000000"/>
              </w:rPr>
              <w:t>Decision at 22)</w:t>
            </w:r>
          </w:p>
        </w:tc>
        <w:tc>
          <w:tcPr>
            <w:tcW w:w="1983" w:type="dxa"/>
            <w:vAlign w:val="center"/>
          </w:tcPr>
          <w:p w:rsidRPr="00074F3F" w:rsidR="00D77403" w:rsidP="00610DC8" w:rsidRDefault="0002568C" w14:paraId="6428AB2D" w14:textId="3A78EC44">
            <w:pPr>
              <w:rPr>
                <w:color w:val="000000"/>
              </w:rPr>
            </w:pPr>
            <w:r>
              <w:rPr>
                <w:color w:val="000000"/>
              </w:rPr>
              <w:lastRenderedPageBreak/>
              <w:t>Verified</w:t>
            </w:r>
          </w:p>
        </w:tc>
      </w:tr>
      <w:tr w:rsidRPr="00074F3F" w:rsidR="00F23231" w:rsidTr="517C24CA" w14:paraId="2FE9B1CF" w14:textId="77777777">
        <w:trPr>
          <w:tblHeader/>
        </w:trPr>
        <w:tc>
          <w:tcPr>
            <w:tcW w:w="3954" w:type="dxa"/>
            <w:vAlign w:val="center"/>
          </w:tcPr>
          <w:p w:rsidRPr="00074F3F" w:rsidR="008C6C32" w:rsidP="00610DC8" w:rsidRDefault="002843BD" w14:paraId="7E602C1D" w14:textId="77777777">
            <w:pPr>
              <w:rPr>
                <w:color w:val="000000"/>
              </w:rPr>
            </w:pPr>
            <w:r w:rsidRPr="00074F3F">
              <w:rPr>
                <w:color w:val="000000"/>
              </w:rPr>
              <w:t>EDF highlighted the possibility that derating of transmission pipelines can actually increase cost impacts to core customers.</w:t>
            </w:r>
          </w:p>
          <w:p w:rsidRPr="00074F3F" w:rsidR="002843BD" w:rsidP="00610DC8" w:rsidRDefault="002843BD" w14:paraId="0306397C" w14:textId="77777777">
            <w:pPr>
              <w:rPr>
                <w:color w:val="000000"/>
              </w:rPr>
            </w:pPr>
          </w:p>
          <w:p w:rsidRPr="00074F3F" w:rsidR="002843BD" w:rsidP="00610DC8" w:rsidRDefault="002843BD" w14:paraId="6E464F5F" w14:textId="1DC8182E">
            <w:pPr>
              <w:rPr>
                <w:color w:val="000000"/>
              </w:rPr>
            </w:pPr>
            <w:r w:rsidRPr="00074F3F">
              <w:rPr>
                <w:color w:val="000000"/>
              </w:rPr>
              <w:t>“</w:t>
            </w:r>
            <w:r w:rsidRPr="00074F3F" w:rsidR="00CC46CB">
              <w:rPr>
                <w:color w:val="000000"/>
              </w:rPr>
              <w:t>The Proposed Decision finds, erroneously, that ‘deration of transmission pipelines will reduce costs for all customers’</w:t>
            </w:r>
            <w:r w:rsidRPr="00074F3F" w:rsidR="00782CD3">
              <w:rPr>
                <w:color w:val="000000"/>
              </w:rPr>
              <w:t xml:space="preserve"> </w:t>
            </w:r>
            <w:r w:rsidRPr="00074F3F" w:rsidR="00CC46CB">
              <w:rPr>
                <w:color w:val="000000"/>
              </w:rPr>
              <w:t>[…]</w:t>
            </w:r>
            <w:r w:rsidRPr="00074F3F" w:rsidR="00782CD3">
              <w:rPr>
                <w:color w:val="000000"/>
              </w:rPr>
              <w:t xml:space="preserve"> EDF strongly objects to such a finding and urges the Commission to delete Findings of Fact 13 that includes such strong language; instead acknowledging upfront potential cost impacts to core customers of derating transmission pipelines.” (</w:t>
            </w:r>
            <w:r w:rsidRPr="00074F3F" w:rsidR="00CA60D1">
              <w:rPr>
                <w:color w:val="000000"/>
              </w:rPr>
              <w:t>EDF Opening Comments on the Proposed Decision at 3)</w:t>
            </w:r>
          </w:p>
          <w:p w:rsidRPr="00074F3F" w:rsidR="00CA60D1" w:rsidP="00610DC8" w:rsidRDefault="00CA60D1" w14:paraId="691B03AA" w14:textId="77777777">
            <w:pPr>
              <w:rPr>
                <w:color w:val="000000"/>
              </w:rPr>
            </w:pPr>
          </w:p>
          <w:p w:rsidRPr="00074F3F" w:rsidR="00CA60D1" w:rsidP="00610DC8" w:rsidRDefault="002671C0" w14:paraId="40399805" w14:textId="57FD8386">
            <w:pPr>
              <w:rPr>
                <w:color w:val="000000"/>
              </w:rPr>
            </w:pPr>
            <w:r w:rsidRPr="517C24CA">
              <w:rPr>
                <w:color w:val="000000" w:themeColor="text1"/>
              </w:rPr>
              <w:t>“EDF’s opening comments highlighted how this proposed process not only overlooks potential cost impacts to core customers but is inconsistent with both reasoning contained in the Proposed Decision itself and existing Commission guidance such as GO177.” (EDF Reply Comments on the Proposed Decision at 3)</w:t>
            </w:r>
          </w:p>
        </w:tc>
        <w:tc>
          <w:tcPr>
            <w:tcW w:w="3801" w:type="dxa"/>
            <w:vAlign w:val="center"/>
          </w:tcPr>
          <w:p w:rsidRPr="00074F3F" w:rsidR="00496E94" w:rsidP="00496E94" w:rsidRDefault="00496E94" w14:paraId="2FE09A37" w14:textId="77777777">
            <w:pPr>
              <w:rPr>
                <w:color w:val="000000"/>
              </w:rPr>
            </w:pPr>
            <w:r w:rsidRPr="00074F3F">
              <w:rPr>
                <w:color w:val="000000"/>
              </w:rPr>
              <w:t>The Commission noted EDF’s arguments and amended the Findings of Fact in the adopted Decision to reflect EDF’s points.</w:t>
            </w:r>
          </w:p>
          <w:p w:rsidRPr="00074F3F" w:rsidR="00496E94" w:rsidP="00F4074F" w:rsidRDefault="00496E94" w14:paraId="4611B1D9" w14:textId="77777777">
            <w:pPr>
              <w:rPr>
                <w:color w:val="000000"/>
              </w:rPr>
            </w:pPr>
          </w:p>
          <w:p w:rsidRPr="00074F3F" w:rsidR="00F4074F" w:rsidP="00F4074F" w:rsidRDefault="00A21AAD" w14:paraId="7C89C969" w14:textId="518DC028">
            <w:pPr>
              <w:rPr>
                <w:color w:val="000000"/>
              </w:rPr>
            </w:pPr>
            <w:r w:rsidRPr="00074F3F">
              <w:rPr>
                <w:color w:val="000000"/>
              </w:rPr>
              <w:t xml:space="preserve">“EDF comments that derating transmission pipelines to distribution pipelines may increase costs for core customers because non-core customers’ rates only include </w:t>
            </w:r>
            <w:r w:rsidRPr="00074F3F" w:rsidR="00FF41B2">
              <w:rPr>
                <w:color w:val="000000"/>
              </w:rPr>
              <w:t>distribution costs if the customer uses the distribution pipeline infrastructure in question. EDF recommends deletion of Finding of Fact 13.</w:t>
            </w:r>
            <w:r w:rsidRPr="00074F3F" w:rsidR="000F6444">
              <w:rPr>
                <w:color w:val="000000"/>
              </w:rPr>
              <w:t xml:space="preserve"> Instead, the final decision modifies Finding of Fact 13 to reflect that derating a transmission line to a distributio</w:t>
            </w:r>
            <w:r w:rsidRPr="00074F3F" w:rsidR="009F04F7">
              <w:rPr>
                <w:color w:val="000000"/>
              </w:rPr>
              <w:t>n line potentially reduces overall customer costs.” (Decision at 40)</w:t>
            </w:r>
          </w:p>
        </w:tc>
        <w:tc>
          <w:tcPr>
            <w:tcW w:w="1983" w:type="dxa"/>
            <w:vAlign w:val="center"/>
          </w:tcPr>
          <w:p w:rsidRPr="00074F3F" w:rsidR="00F23231" w:rsidP="00610DC8" w:rsidRDefault="00BA2600" w14:paraId="4D00B9EE" w14:textId="025193C4">
            <w:pPr>
              <w:rPr>
                <w:color w:val="000000"/>
              </w:rPr>
            </w:pPr>
            <w:r>
              <w:rPr>
                <w:color w:val="000000"/>
              </w:rPr>
              <w:t xml:space="preserve">Verified </w:t>
            </w:r>
          </w:p>
        </w:tc>
      </w:tr>
      <w:tr w:rsidRPr="00074F3F" w:rsidR="003E4438" w:rsidTr="517C24CA" w14:paraId="2F08E342" w14:textId="77777777">
        <w:trPr>
          <w:tblHeader/>
        </w:trPr>
        <w:tc>
          <w:tcPr>
            <w:tcW w:w="3954" w:type="dxa"/>
            <w:vAlign w:val="center"/>
          </w:tcPr>
          <w:p w:rsidRPr="00074F3F" w:rsidR="003E4438" w:rsidP="003E4438" w:rsidRDefault="003E4438" w14:paraId="61D81A4D" w14:textId="77777777">
            <w:pPr>
              <w:rPr>
                <w:color w:val="000000"/>
              </w:rPr>
            </w:pPr>
            <w:r w:rsidRPr="00074F3F">
              <w:rPr>
                <w:color w:val="000000"/>
              </w:rPr>
              <w:t>EDF recommended that transmission costs attributable to electric reliability should be reflected in dedicated electric generation rates.</w:t>
            </w:r>
          </w:p>
          <w:p w:rsidRPr="00074F3F" w:rsidR="003E4438" w:rsidP="003E4438" w:rsidRDefault="003E4438" w14:paraId="5A04EB47" w14:textId="77777777">
            <w:pPr>
              <w:rPr>
                <w:color w:val="000000"/>
              </w:rPr>
            </w:pPr>
          </w:p>
          <w:p w:rsidRPr="00074F3F" w:rsidR="003E4438" w:rsidP="003E4438" w:rsidRDefault="003E4438" w14:paraId="769AB0CC" w14:textId="60EACCB3">
            <w:pPr>
              <w:rPr>
                <w:color w:val="000000"/>
              </w:rPr>
            </w:pPr>
            <w:r w:rsidRPr="00074F3F">
              <w:rPr>
                <w:color w:val="000000"/>
              </w:rPr>
              <w:t xml:space="preserve">“EDF, however, also believes simply highlighting the importance of electric reliability is insufficient and may actually result in undue cost burden </w:t>
            </w:r>
            <w:r w:rsidRPr="00074F3F">
              <w:rPr>
                <w:color w:val="000000"/>
              </w:rPr>
              <w:lastRenderedPageBreak/>
              <w:t>for core customers. Electric reliability is indeed an important concern; and the best way to support it would be to make clear who relies on and who, as a result, pays for the necessary infrastructure.” (EDF Reply Comments on the Proposed Decision at 4)</w:t>
            </w:r>
          </w:p>
        </w:tc>
        <w:tc>
          <w:tcPr>
            <w:tcW w:w="3801" w:type="dxa"/>
            <w:vAlign w:val="center"/>
          </w:tcPr>
          <w:p w:rsidRPr="00074F3F" w:rsidR="003E4438" w:rsidP="003E4438" w:rsidRDefault="003E4438" w14:paraId="659110A7" w14:textId="77777777">
            <w:r w:rsidRPr="00074F3F">
              <w:lastRenderedPageBreak/>
              <w:t>The Commission did not adopt EDF’s recommendation and noted that “cost allocation questions and potential rate adjustments stemming from transmission pipeline derating will be considered in a later phase of this proceeding.” (Decision at 22)</w:t>
            </w:r>
          </w:p>
          <w:p w:rsidRPr="00074F3F" w:rsidR="003E4438" w:rsidP="003E4438" w:rsidRDefault="003E4438" w14:paraId="6480FBB7" w14:textId="77777777"/>
          <w:p w:rsidRPr="00074F3F" w:rsidR="003E4438" w:rsidP="003E4438" w:rsidRDefault="003E4438" w14:paraId="277D74E7" w14:textId="782047FC">
            <w:r w:rsidRPr="00074F3F">
              <w:lastRenderedPageBreak/>
              <w:t>However, EDF developed the record on this matter.</w:t>
            </w:r>
          </w:p>
        </w:tc>
        <w:tc>
          <w:tcPr>
            <w:tcW w:w="1983" w:type="dxa"/>
            <w:vAlign w:val="center"/>
          </w:tcPr>
          <w:p w:rsidRPr="00074F3F" w:rsidR="003E4438" w:rsidP="003E4438" w:rsidRDefault="0002568C" w14:paraId="12FA7FE3" w14:textId="336CC764">
            <w:pPr>
              <w:rPr>
                <w:color w:val="000000"/>
              </w:rPr>
            </w:pPr>
            <w:r>
              <w:rPr>
                <w:color w:val="000000"/>
              </w:rPr>
              <w:lastRenderedPageBreak/>
              <w:t>Verified</w:t>
            </w:r>
          </w:p>
        </w:tc>
      </w:tr>
      <w:tr w:rsidRPr="00074F3F" w:rsidR="003E4438" w:rsidTr="517C24CA" w14:paraId="7E58AF9C" w14:textId="77777777">
        <w:trPr>
          <w:tblHeader/>
        </w:trPr>
        <w:tc>
          <w:tcPr>
            <w:tcW w:w="3954" w:type="dxa"/>
            <w:vAlign w:val="center"/>
          </w:tcPr>
          <w:p w:rsidRPr="00074F3F" w:rsidR="003E4438" w:rsidP="003E4438" w:rsidRDefault="003E4438" w14:paraId="2C66E6CE" w14:textId="77777777">
            <w:pPr>
              <w:rPr>
                <w:color w:val="000000"/>
              </w:rPr>
            </w:pPr>
            <w:r w:rsidRPr="00074F3F">
              <w:rPr>
                <w:color w:val="000000"/>
              </w:rPr>
              <w:t xml:space="preserve">EDF recommended that the Proposed Decision’s section on gas storage should be struck. </w:t>
            </w:r>
          </w:p>
          <w:p w:rsidRPr="00074F3F" w:rsidR="003E4438" w:rsidP="003E4438" w:rsidRDefault="003E4438" w14:paraId="61736040" w14:textId="77777777">
            <w:pPr>
              <w:rPr>
                <w:color w:val="000000"/>
              </w:rPr>
            </w:pPr>
          </w:p>
          <w:p w:rsidRPr="00074F3F" w:rsidR="003E4438" w:rsidP="003E4438" w:rsidRDefault="003E4438" w14:paraId="7E9CAFC7" w14:textId="071B7907">
            <w:pPr>
              <w:rPr>
                <w:color w:val="000000"/>
              </w:rPr>
            </w:pPr>
            <w:r w:rsidRPr="00074F3F">
              <w:rPr>
                <w:color w:val="000000"/>
              </w:rPr>
              <w:t>“EDF urges the Commission to strike Section 7 of the Proposed Decision in its entirety.” (EDF Reply Comments on the Proposed Decision at 5)</w:t>
            </w:r>
          </w:p>
        </w:tc>
        <w:tc>
          <w:tcPr>
            <w:tcW w:w="3801" w:type="dxa"/>
            <w:vAlign w:val="center"/>
          </w:tcPr>
          <w:p w:rsidRPr="00074F3F" w:rsidR="003E4438" w:rsidP="003E4438" w:rsidRDefault="003E4438" w14:paraId="67FCF362" w14:textId="77777777">
            <w:pPr>
              <w:rPr>
                <w:color w:val="000000"/>
              </w:rPr>
            </w:pPr>
            <w:r w:rsidRPr="00074F3F">
              <w:rPr>
                <w:color w:val="000000"/>
              </w:rPr>
              <w:t>The Commission did not adopt EDF’s recommendations. However, EDF developed the record on this matter.</w:t>
            </w:r>
          </w:p>
          <w:p w:rsidRPr="00074F3F" w:rsidR="003E4438" w:rsidP="003E4438" w:rsidRDefault="003E4438" w14:paraId="4213900F" w14:textId="77777777">
            <w:pPr>
              <w:rPr>
                <w:color w:val="000000"/>
              </w:rPr>
            </w:pPr>
          </w:p>
          <w:p w:rsidRPr="00074F3F" w:rsidR="003E4438" w:rsidP="003E4438" w:rsidRDefault="003E4438" w14:paraId="5C105DDA" w14:textId="1C421C85">
            <w:pPr>
              <w:rPr>
                <w:color w:val="000000"/>
              </w:rPr>
            </w:pPr>
            <w:r w:rsidRPr="00074F3F">
              <w:rPr>
                <w:color w:val="000000"/>
              </w:rPr>
              <w:t>“This section [7] finds that natural gas storage facilities are necessary for reliability and cost management.” (Decision at 34-35)</w:t>
            </w:r>
          </w:p>
        </w:tc>
        <w:tc>
          <w:tcPr>
            <w:tcW w:w="1983" w:type="dxa"/>
            <w:vAlign w:val="center"/>
          </w:tcPr>
          <w:p w:rsidRPr="00074F3F" w:rsidR="003E4438" w:rsidP="003E4438" w:rsidRDefault="003E4438" w14:paraId="7AED5812" w14:textId="500CE533">
            <w:pPr>
              <w:rPr>
                <w:color w:val="000000"/>
              </w:rPr>
            </w:pPr>
          </w:p>
        </w:tc>
      </w:tr>
      <w:tr w:rsidRPr="00074F3F" w:rsidR="003E4438" w:rsidTr="517C24CA" w14:paraId="587B43AE" w14:textId="77777777">
        <w:trPr>
          <w:tblHeader/>
        </w:trPr>
        <w:tc>
          <w:tcPr>
            <w:tcW w:w="3954" w:type="dxa"/>
            <w:vAlign w:val="center"/>
          </w:tcPr>
          <w:p w:rsidRPr="00E644BF" w:rsidR="003E4438" w:rsidP="003E4438" w:rsidRDefault="003E4438" w14:paraId="13C3272B" w14:textId="0651DB8C">
            <w:pPr>
              <w:rPr>
                <w:color w:val="000000"/>
              </w:rPr>
            </w:pPr>
            <w:r w:rsidRPr="00E644BF">
              <w:rPr>
                <w:color w:val="000000"/>
              </w:rPr>
              <w:t xml:space="preserve">As part of the current proceeding, EDF filed comments on the GO 177 Annual Reports workshop presentations from the utilities. </w:t>
            </w:r>
          </w:p>
          <w:p w:rsidRPr="00E644BF" w:rsidR="003E4438" w:rsidP="003E4438" w:rsidRDefault="003E4438" w14:paraId="7CD4BABB" w14:textId="77777777">
            <w:pPr>
              <w:rPr>
                <w:color w:val="000000"/>
              </w:rPr>
            </w:pPr>
          </w:p>
          <w:p w:rsidRPr="00E644BF" w:rsidR="003E4438" w:rsidP="003E4438" w:rsidRDefault="003E4438" w14:paraId="5A6316A2" w14:textId="14F0BB66">
            <w:pPr>
              <w:rPr>
                <w:color w:val="000000"/>
              </w:rPr>
            </w:pPr>
            <w:r w:rsidRPr="00E644BF">
              <w:rPr>
                <w:color w:val="000000"/>
              </w:rPr>
              <w:t xml:space="preserve">EDF highlighted the lack of sufficient information and analysis provided by the utilities, contrary to the requirements of GO 177. EDF recommended that the Commission instruct the joint utilities to refile their reports to include information on project details, project justification, and non-pipeline alternative analyses. (EDF Comments of GO 177 Workshop at 4) </w:t>
            </w:r>
          </w:p>
        </w:tc>
        <w:tc>
          <w:tcPr>
            <w:tcW w:w="3801" w:type="dxa"/>
            <w:vAlign w:val="center"/>
          </w:tcPr>
          <w:p w:rsidRPr="00E644BF" w:rsidR="003E4438" w:rsidP="003E4438" w:rsidRDefault="003E4438" w14:paraId="623135E0" w14:textId="77777777">
            <w:pPr>
              <w:rPr>
                <w:color w:val="000000"/>
              </w:rPr>
            </w:pPr>
            <w:r w:rsidRPr="00E644BF">
              <w:rPr>
                <w:color w:val="000000"/>
              </w:rPr>
              <w:t xml:space="preserve">The Commission did not adopt EDF’s recommendations. However, EDF participated in the GO 177 process as laid out in the Commission’s decision and developed the record on this matter. </w:t>
            </w:r>
          </w:p>
          <w:p w:rsidRPr="00E644BF" w:rsidR="003E4438" w:rsidP="003E4438" w:rsidRDefault="003E4438" w14:paraId="57DF3CE8" w14:textId="77777777">
            <w:pPr>
              <w:rPr>
                <w:color w:val="000000"/>
              </w:rPr>
            </w:pPr>
          </w:p>
          <w:p w:rsidRPr="00E644BF" w:rsidR="003E4438" w:rsidP="003E4438" w:rsidRDefault="003E4438" w14:paraId="26682A75" w14:textId="7750811B">
            <w:pPr>
              <w:rPr>
                <w:color w:val="000000"/>
              </w:rPr>
            </w:pPr>
            <w:r w:rsidRPr="00E644BF">
              <w:rPr>
                <w:color w:val="000000"/>
              </w:rPr>
              <w:t>“Parties to Rulemaking 20-01-007, or a successor proceeding, may serve or file comments on the annual Report of Planned Gas Investments recommending changes to the reports, or to the report requirements […]” (D.22-12-021 at 101)</w:t>
            </w:r>
          </w:p>
        </w:tc>
        <w:tc>
          <w:tcPr>
            <w:tcW w:w="1983" w:type="dxa"/>
            <w:vAlign w:val="center"/>
          </w:tcPr>
          <w:p w:rsidRPr="00E644BF" w:rsidR="00E94809" w:rsidP="00E94809" w:rsidRDefault="00E94809" w14:paraId="72B48FFB" w14:textId="530DD64F">
            <w:pPr>
              <w:rPr>
                <w:color w:val="000000"/>
              </w:rPr>
            </w:pPr>
            <w:r w:rsidRPr="00E644BF">
              <w:rPr>
                <w:color w:val="000000"/>
              </w:rPr>
              <w:t>Noted, however, participating in the GO 177 process and developing the record on this matter d</w:t>
            </w:r>
            <w:r w:rsidRPr="00E644BF" w:rsidR="0099653C">
              <w:rPr>
                <w:color w:val="000000"/>
              </w:rPr>
              <w:t>id</w:t>
            </w:r>
            <w:r w:rsidRPr="00E644BF">
              <w:rPr>
                <w:color w:val="000000"/>
              </w:rPr>
              <w:t xml:space="preserve"> not contribute to the decision-making process </w:t>
            </w:r>
            <w:r w:rsidRPr="00E644BF" w:rsidR="0099653C">
              <w:rPr>
                <w:color w:val="000000"/>
              </w:rPr>
              <w:t>for</w:t>
            </w:r>
            <w:r w:rsidRPr="00E644BF">
              <w:rPr>
                <w:color w:val="000000"/>
              </w:rPr>
              <w:t xml:space="preserve"> </w:t>
            </w:r>
          </w:p>
          <w:p w:rsidRPr="00E644BF" w:rsidR="003E4438" w:rsidP="00E94809" w:rsidRDefault="00E94809" w14:paraId="053189AC" w14:textId="0D3F2DC4">
            <w:pPr>
              <w:rPr>
                <w:color w:val="000000"/>
              </w:rPr>
            </w:pPr>
            <w:r w:rsidRPr="00E644BF">
              <w:rPr>
                <w:color w:val="000000"/>
              </w:rPr>
              <w:t xml:space="preserve">D.23-12-003. </w:t>
            </w:r>
            <w:r w:rsidRPr="00E644BF">
              <w:t>See Part III.D CPUC Comments, Disallowances, and Adjustments [</w:t>
            </w:r>
            <w:r w:rsidRPr="00E644BF" w:rsidR="0099653C">
              <w:t>7</w:t>
            </w:r>
            <w:r w:rsidRPr="00E644BF">
              <w:t>]</w:t>
            </w:r>
            <w:r w:rsidRPr="00E644BF" w:rsidR="00523611">
              <w:t>.</w:t>
            </w:r>
          </w:p>
        </w:tc>
      </w:tr>
      <w:tr w:rsidRPr="00074F3F" w:rsidR="002D1F74" w:rsidTr="517C24CA" w14:paraId="7CF5BA32" w14:textId="77777777">
        <w:trPr>
          <w:tblHeader/>
        </w:trPr>
        <w:tc>
          <w:tcPr>
            <w:tcW w:w="3954" w:type="dxa"/>
            <w:vAlign w:val="center"/>
          </w:tcPr>
          <w:p w:rsidRPr="00E644BF" w:rsidR="002D1F74" w:rsidP="002D1F74" w:rsidRDefault="002D1F74" w14:paraId="38209AEC" w14:textId="77777777">
            <w:pPr>
              <w:rPr>
                <w:color w:val="000000"/>
              </w:rPr>
            </w:pPr>
            <w:r w:rsidRPr="00E644BF">
              <w:rPr>
                <w:color w:val="000000"/>
              </w:rPr>
              <w:t xml:space="preserve">As part of the current proceeding, EDF filed comments on the GO 177 Annual Reports workshop presentations from the utilities. </w:t>
            </w:r>
          </w:p>
          <w:p w:rsidRPr="00E644BF" w:rsidR="002D1F74" w:rsidP="002D1F74" w:rsidRDefault="002D1F74" w14:paraId="55E42C7F" w14:textId="77777777">
            <w:pPr>
              <w:rPr>
                <w:color w:val="000000"/>
              </w:rPr>
            </w:pPr>
          </w:p>
          <w:p w:rsidRPr="00E644BF" w:rsidR="002D1F74" w:rsidP="002D1F74" w:rsidRDefault="002D1F74" w14:paraId="737BC17A" w14:textId="474C7F6B">
            <w:pPr>
              <w:rPr>
                <w:color w:val="000000"/>
              </w:rPr>
            </w:pPr>
            <w:r w:rsidRPr="00E644BF">
              <w:rPr>
                <w:color w:val="000000"/>
              </w:rPr>
              <w:t xml:space="preserve">EDF noted that the exemptions from the GO 177 process claimed by the Sempra utilities were excessive, contrary to the requirements and intent of GO 177. EDF recommended the Commission to instruct the utilities to </w:t>
            </w:r>
            <w:r w:rsidRPr="00E644BF">
              <w:rPr>
                <w:color w:val="000000"/>
              </w:rPr>
              <w:lastRenderedPageBreak/>
              <w:t>refile their reports to limit exemptions to necessary cases and to provide detailed justification for their claims. (EDF Comments of GO 177 Workshop at 4)</w:t>
            </w:r>
          </w:p>
        </w:tc>
        <w:tc>
          <w:tcPr>
            <w:tcW w:w="3801" w:type="dxa"/>
            <w:vAlign w:val="center"/>
          </w:tcPr>
          <w:p w:rsidRPr="00E644BF" w:rsidR="002D1F74" w:rsidP="002D1F74" w:rsidRDefault="002D1F74" w14:paraId="399C5457" w14:textId="77777777">
            <w:pPr>
              <w:rPr>
                <w:color w:val="000000"/>
              </w:rPr>
            </w:pPr>
            <w:r w:rsidRPr="00E644BF">
              <w:rPr>
                <w:color w:val="000000"/>
              </w:rPr>
              <w:lastRenderedPageBreak/>
              <w:t xml:space="preserve">The Commission did not adopt EDF’s recommendations. However, EDF participated in the GO 177 process as laid out in the Commission’s decision and developed the record on this matter. </w:t>
            </w:r>
          </w:p>
          <w:p w:rsidRPr="00E644BF" w:rsidR="002D1F74" w:rsidP="002D1F74" w:rsidRDefault="002D1F74" w14:paraId="3D5C6532" w14:textId="77777777">
            <w:pPr>
              <w:rPr>
                <w:color w:val="000000"/>
              </w:rPr>
            </w:pPr>
          </w:p>
          <w:p w:rsidRPr="00E644BF" w:rsidR="002D1F74" w:rsidP="002D1F74" w:rsidRDefault="002D1F74" w14:paraId="6DBA68BE" w14:textId="1CA315F8">
            <w:pPr>
              <w:rPr>
                <w:color w:val="000000"/>
              </w:rPr>
            </w:pPr>
            <w:r w:rsidRPr="00E644BF">
              <w:rPr>
                <w:color w:val="000000"/>
              </w:rPr>
              <w:t xml:space="preserve">“Parties to Rulemaking 20-01-007, or a successor proceeding, may serve or file comments on the annual Report of Planned Gas Investments </w:t>
            </w:r>
            <w:r w:rsidRPr="00E644BF">
              <w:rPr>
                <w:color w:val="000000"/>
              </w:rPr>
              <w:lastRenderedPageBreak/>
              <w:t>recommending changes to the reports, or to the report requirements […]” (D.22-12-021 at 101)</w:t>
            </w:r>
          </w:p>
        </w:tc>
        <w:tc>
          <w:tcPr>
            <w:tcW w:w="1983" w:type="dxa"/>
            <w:vAlign w:val="center"/>
          </w:tcPr>
          <w:p w:rsidRPr="00E644BF" w:rsidR="002D1F74" w:rsidP="002D1F74" w:rsidRDefault="002D1F74" w14:paraId="72F94C10" w14:textId="7CA1CFB0">
            <w:pPr>
              <w:rPr>
                <w:color w:val="000000"/>
              </w:rPr>
            </w:pPr>
            <w:r w:rsidRPr="00E644BF">
              <w:rPr>
                <w:color w:val="000000"/>
              </w:rPr>
              <w:lastRenderedPageBreak/>
              <w:t xml:space="preserve">Noted, </w:t>
            </w:r>
            <w:r w:rsidRPr="00E644BF" w:rsidR="00E00ADB">
              <w:rPr>
                <w:color w:val="000000"/>
              </w:rPr>
              <w:t>however, participating</w:t>
            </w:r>
            <w:r w:rsidRPr="00E644BF">
              <w:rPr>
                <w:color w:val="000000"/>
              </w:rPr>
              <w:t xml:space="preserve"> in the GO 177 process and developing the record on this matter d</w:t>
            </w:r>
            <w:r w:rsidRPr="00E644BF" w:rsidR="0099653C">
              <w:rPr>
                <w:color w:val="000000"/>
              </w:rPr>
              <w:t>id</w:t>
            </w:r>
            <w:r w:rsidRPr="00E644BF">
              <w:rPr>
                <w:color w:val="000000"/>
              </w:rPr>
              <w:t xml:space="preserve"> not contribute to the decision-making process </w:t>
            </w:r>
            <w:r w:rsidRPr="00E644BF" w:rsidR="0099653C">
              <w:rPr>
                <w:color w:val="000000"/>
              </w:rPr>
              <w:t>for</w:t>
            </w:r>
            <w:r w:rsidRPr="00E644BF">
              <w:rPr>
                <w:color w:val="000000"/>
              </w:rPr>
              <w:t xml:space="preserve"> </w:t>
            </w:r>
          </w:p>
          <w:p w:rsidRPr="00E644BF" w:rsidR="002D1F74" w:rsidP="002D1F74" w:rsidRDefault="002D1F74" w14:paraId="235131F1" w14:textId="72A6D14B">
            <w:pPr>
              <w:rPr>
                <w:color w:val="000000"/>
              </w:rPr>
            </w:pPr>
            <w:r w:rsidRPr="00E644BF">
              <w:rPr>
                <w:color w:val="000000"/>
              </w:rPr>
              <w:lastRenderedPageBreak/>
              <w:t xml:space="preserve">D.23-12-003. </w:t>
            </w:r>
            <w:r w:rsidRPr="00E644BF">
              <w:t>See Part III.D CPUC Comments, Disallowances, and Adjustments [</w:t>
            </w:r>
            <w:r w:rsidRPr="00E644BF" w:rsidR="0099653C">
              <w:t>7</w:t>
            </w:r>
            <w:r w:rsidRPr="00E644BF">
              <w:t>]</w:t>
            </w:r>
            <w:r w:rsidRPr="00E644BF" w:rsidR="00523611">
              <w:t>.</w:t>
            </w:r>
          </w:p>
        </w:tc>
      </w:tr>
      <w:tr w:rsidRPr="00074F3F" w:rsidR="0099653C" w:rsidTr="517C24CA" w14:paraId="04911AFC" w14:textId="77777777">
        <w:trPr>
          <w:tblHeader/>
        </w:trPr>
        <w:tc>
          <w:tcPr>
            <w:tcW w:w="3954" w:type="dxa"/>
            <w:vAlign w:val="center"/>
          </w:tcPr>
          <w:p w:rsidRPr="003E0B67" w:rsidR="0099653C" w:rsidP="0099653C" w:rsidRDefault="0099653C" w14:paraId="20F0B1EA" w14:textId="77777777">
            <w:pPr>
              <w:rPr>
                <w:color w:val="000000"/>
              </w:rPr>
            </w:pPr>
            <w:r w:rsidRPr="003E0B67">
              <w:rPr>
                <w:color w:val="000000"/>
              </w:rPr>
              <w:lastRenderedPageBreak/>
              <w:t xml:space="preserve">As part of the current proceeding, EDF filed a motion requesting a technical workshop to ensure the reporting and implementation of GO 177 are done in a manner consistent with the Commission’s intent behind GO 177. </w:t>
            </w:r>
          </w:p>
          <w:p w:rsidRPr="003E0B67" w:rsidR="0099653C" w:rsidP="0099653C" w:rsidRDefault="0099653C" w14:paraId="33D475B7" w14:textId="77777777">
            <w:pPr>
              <w:rPr>
                <w:color w:val="000000"/>
              </w:rPr>
            </w:pPr>
          </w:p>
          <w:p w:rsidRPr="003E0B67" w:rsidR="0099653C" w:rsidP="0099653C" w:rsidRDefault="0099653C" w14:paraId="7C570EFC" w14:textId="5E1EE3D8">
            <w:pPr>
              <w:rPr>
                <w:color w:val="000000"/>
              </w:rPr>
            </w:pPr>
            <w:r w:rsidRPr="003E0B67">
              <w:rPr>
                <w:color w:val="000000"/>
              </w:rPr>
              <w:t>EDF filed an initial motion on April 11, 2023; and an additional reply on May 5, 2023. EDF further participated in discussions with the joint utilities on setting the agenda for the 2023 Annual Workshop, as directed by the ALJ.</w:t>
            </w:r>
          </w:p>
          <w:p w:rsidRPr="003E0B67" w:rsidR="0099653C" w:rsidP="0099653C" w:rsidRDefault="0099653C" w14:paraId="5D7E8999" w14:textId="77777777">
            <w:pPr>
              <w:rPr>
                <w:color w:val="000000"/>
              </w:rPr>
            </w:pPr>
          </w:p>
          <w:p w:rsidRPr="003E0B67" w:rsidR="0099653C" w:rsidP="0099653C" w:rsidRDefault="0099653C" w14:paraId="6D73FB68" w14:textId="77777777">
            <w:pPr>
              <w:rPr>
                <w:color w:val="000000"/>
              </w:rPr>
            </w:pPr>
            <w:r w:rsidRPr="003E0B67">
              <w:rPr>
                <w:color w:val="000000"/>
              </w:rPr>
              <w:t>“EDF observes that the Commission, the gas utilities, and the other stakeholders would benefit from more robust reporting and consistent interpretation and implementation of GO 177. To that end, EDF requests that a technical workshop to address these matters [sic].” (EDF Motion at 3)</w:t>
            </w:r>
          </w:p>
          <w:p w:rsidRPr="003E0B67" w:rsidR="0099653C" w:rsidP="0099653C" w:rsidRDefault="0099653C" w14:paraId="079BEEAD" w14:textId="77777777">
            <w:pPr>
              <w:rPr>
                <w:color w:val="000000"/>
              </w:rPr>
            </w:pPr>
          </w:p>
          <w:p w:rsidRPr="003E0B67" w:rsidR="0099653C" w:rsidP="0099653C" w:rsidRDefault="0099653C" w14:paraId="6F321219" w14:textId="3AA403BB">
            <w:pPr>
              <w:rPr>
                <w:color w:val="000000"/>
              </w:rPr>
            </w:pPr>
            <w:r w:rsidRPr="003E0B67">
              <w:rPr>
                <w:color w:val="000000"/>
              </w:rPr>
              <w:t>“EDF maintains its request for specific relief: a technical workshop facilitated by the Commission to inform the Commission’s next steps in this Rulemaking.” (EDF Reply Comments at 5)</w:t>
            </w:r>
          </w:p>
        </w:tc>
        <w:tc>
          <w:tcPr>
            <w:tcW w:w="3801" w:type="dxa"/>
            <w:vAlign w:val="center"/>
          </w:tcPr>
          <w:p w:rsidRPr="003E0B67" w:rsidR="0099653C" w:rsidP="0099653C" w:rsidRDefault="0099653C" w14:paraId="1E954995" w14:textId="01BCB8E0">
            <w:pPr>
              <w:rPr>
                <w:color w:val="000000"/>
              </w:rPr>
            </w:pPr>
            <w:r w:rsidRPr="003E0B67">
              <w:rPr>
                <w:color w:val="000000"/>
              </w:rPr>
              <w:t>The Commission denied EDF’s motion without prejudice. However, the Commission noted that the topics raised in EDF’s motion were appropriate for inclusion in the 2023 Annual Workshop; and directed the utilities to include those topics.</w:t>
            </w:r>
          </w:p>
          <w:p w:rsidRPr="003E0B67" w:rsidR="0099653C" w:rsidP="0099653C" w:rsidRDefault="0099653C" w14:paraId="5D86CB03" w14:textId="77777777">
            <w:pPr>
              <w:rPr>
                <w:color w:val="000000"/>
              </w:rPr>
            </w:pPr>
          </w:p>
          <w:p w:rsidRPr="003E0B67" w:rsidR="0099653C" w:rsidP="0099653C" w:rsidRDefault="0099653C" w14:paraId="6EED4755" w14:textId="3452B035">
            <w:pPr>
              <w:rPr>
                <w:color w:val="000000"/>
              </w:rPr>
            </w:pPr>
            <w:r w:rsidRPr="003E0B67">
              <w:rPr>
                <w:color w:val="000000"/>
              </w:rPr>
              <w:t>“The topics identified in the EDF motion for discussion are suitable to include in the 2023 Annual Workshop […] To provide discussion on these topics at the Annual Workshop, the Sempra companies and PG&amp;E shall work with interested parties to plan the agenda for the workshop, shall include time for the three identified topics in the workshop agenda and shall include sufficient time in the agenda for the parties to provide verbal input and for broad party discussions.” (ALJ Ruling Denying EDF Motion at 2)</w:t>
            </w:r>
          </w:p>
        </w:tc>
        <w:tc>
          <w:tcPr>
            <w:tcW w:w="1983" w:type="dxa"/>
            <w:vAlign w:val="center"/>
          </w:tcPr>
          <w:p w:rsidRPr="003E0B67" w:rsidR="0099653C" w:rsidP="0099653C" w:rsidRDefault="0099653C" w14:paraId="47A8B8CB" w14:textId="2E1CBCEA">
            <w:pPr>
              <w:rPr>
                <w:color w:val="000000"/>
              </w:rPr>
            </w:pPr>
            <w:r w:rsidRPr="003E0B67">
              <w:rPr>
                <w:color w:val="000000"/>
              </w:rPr>
              <w:t xml:space="preserve">Noted, </w:t>
            </w:r>
            <w:r w:rsidRPr="003E0B67" w:rsidR="00436E30">
              <w:rPr>
                <w:color w:val="000000"/>
              </w:rPr>
              <w:t>however, participating</w:t>
            </w:r>
            <w:r w:rsidRPr="003E0B67">
              <w:rPr>
                <w:color w:val="000000"/>
              </w:rPr>
              <w:t xml:space="preserve"> in the GO 177 process and developing the record on this matter did not contribute to the decision-making process for </w:t>
            </w:r>
          </w:p>
          <w:p w:rsidRPr="003E0B67" w:rsidR="0099653C" w:rsidP="0099653C" w:rsidRDefault="0099653C" w14:paraId="1FD68AA2" w14:textId="49804664">
            <w:pPr>
              <w:rPr>
                <w:color w:val="000000"/>
              </w:rPr>
            </w:pPr>
            <w:r w:rsidRPr="003E0B67">
              <w:rPr>
                <w:color w:val="000000"/>
              </w:rPr>
              <w:t xml:space="preserve">D.23-12-003. </w:t>
            </w:r>
            <w:r w:rsidRPr="003E0B67">
              <w:t>See Part III.D CPUC Comments, Disallowances, and Adjustments [7].</w:t>
            </w:r>
          </w:p>
        </w:tc>
      </w:tr>
      <w:tr w:rsidRPr="00074F3F" w:rsidR="0099653C" w:rsidTr="517C24CA" w14:paraId="2EAAA140" w14:textId="77777777">
        <w:trPr>
          <w:tblHeader/>
        </w:trPr>
        <w:tc>
          <w:tcPr>
            <w:tcW w:w="3954" w:type="dxa"/>
            <w:vAlign w:val="center"/>
          </w:tcPr>
          <w:p w:rsidRPr="00B47A9D" w:rsidR="0099653C" w:rsidP="0099653C" w:rsidRDefault="0099653C" w14:paraId="5D51AA7D" w14:textId="77777777">
            <w:pPr>
              <w:rPr>
                <w:color w:val="000000"/>
              </w:rPr>
            </w:pPr>
            <w:r w:rsidRPr="00B47A9D">
              <w:rPr>
                <w:color w:val="000000"/>
              </w:rPr>
              <w:t xml:space="preserve">As part of the current proceeding, EDF filed comments on the staff gas infrastructure decommissioning proposal which was provided by the Commission Energy Division staff in response to questions laid out in the Scoping Memo. (EDF Comments on </w:t>
            </w:r>
            <w:r w:rsidRPr="00B47A9D">
              <w:rPr>
                <w:color w:val="000000"/>
              </w:rPr>
              <w:lastRenderedPageBreak/>
              <w:t>Staff Proposal filed February 24, 2023)</w:t>
            </w:r>
          </w:p>
          <w:p w:rsidRPr="00B47A9D" w:rsidR="0099653C" w:rsidP="0099653C" w:rsidRDefault="0099653C" w14:paraId="2106553A" w14:textId="77777777">
            <w:pPr>
              <w:rPr>
                <w:color w:val="000000"/>
              </w:rPr>
            </w:pPr>
          </w:p>
          <w:p w:rsidRPr="00B47A9D" w:rsidR="0099653C" w:rsidP="0099653C" w:rsidRDefault="0099653C" w14:paraId="0B00676B" w14:textId="77777777">
            <w:pPr>
              <w:rPr>
                <w:color w:val="000000"/>
              </w:rPr>
            </w:pPr>
            <w:r w:rsidRPr="00B47A9D">
              <w:rPr>
                <w:color w:val="000000"/>
              </w:rPr>
              <w:t>EDF further conferred with various stakeholders to provide input on the staff proposal.</w:t>
            </w:r>
          </w:p>
          <w:p w:rsidRPr="00B47A9D" w:rsidR="0099653C" w:rsidP="0099653C" w:rsidRDefault="0099653C" w14:paraId="3A7B296D" w14:textId="46F91656">
            <w:pPr>
              <w:rPr>
                <w:color w:val="000000"/>
              </w:rPr>
            </w:pPr>
          </w:p>
        </w:tc>
        <w:tc>
          <w:tcPr>
            <w:tcW w:w="3801" w:type="dxa"/>
            <w:vAlign w:val="center"/>
          </w:tcPr>
          <w:p w:rsidRPr="00B47A9D" w:rsidR="0099653C" w:rsidP="0099653C" w:rsidRDefault="0099653C" w14:paraId="21F11424" w14:textId="298C2314">
            <w:pPr>
              <w:rPr>
                <w:color w:val="000000"/>
              </w:rPr>
            </w:pPr>
            <w:r w:rsidRPr="00B47A9D">
              <w:rPr>
                <w:color w:val="000000"/>
              </w:rPr>
              <w:lastRenderedPageBreak/>
              <w:t xml:space="preserve">The ALJ directed the parties to the current proceeding to respond to questions set out in the staff proposal; and if necessary, file additional comments on topics not covered in the staff proposal. (ALJ </w:t>
            </w:r>
            <w:r w:rsidRPr="00B47A9D">
              <w:rPr>
                <w:color w:val="000000"/>
              </w:rPr>
              <w:lastRenderedPageBreak/>
              <w:t>Ruling Directing Parties to File Comments at 2).</w:t>
            </w:r>
          </w:p>
        </w:tc>
        <w:tc>
          <w:tcPr>
            <w:tcW w:w="1983" w:type="dxa"/>
            <w:vAlign w:val="center"/>
          </w:tcPr>
          <w:p w:rsidRPr="00B47A9D" w:rsidR="0099653C" w:rsidP="0099653C" w:rsidRDefault="0099653C" w14:paraId="06245399" w14:textId="2CE3FCBD">
            <w:pPr>
              <w:rPr>
                <w:color w:val="000000"/>
              </w:rPr>
            </w:pPr>
            <w:r w:rsidRPr="00B47A9D">
              <w:rPr>
                <w:color w:val="000000"/>
              </w:rPr>
              <w:lastRenderedPageBreak/>
              <w:t xml:space="preserve">Noted, however, these hours did not contribute to the decision-making process for </w:t>
            </w:r>
          </w:p>
          <w:p w:rsidRPr="00B47A9D" w:rsidR="0099653C" w:rsidP="0099653C" w:rsidRDefault="0099653C" w14:paraId="389E5EE1" w14:textId="7A53F148">
            <w:pPr>
              <w:rPr>
                <w:color w:val="000000"/>
              </w:rPr>
            </w:pPr>
            <w:r w:rsidRPr="00B47A9D">
              <w:rPr>
                <w:color w:val="000000"/>
              </w:rPr>
              <w:lastRenderedPageBreak/>
              <w:t xml:space="preserve">D.23-12-003. </w:t>
            </w:r>
            <w:r w:rsidRPr="00B47A9D">
              <w:t>See Part III.D CPUC Comments, Disallowances, and Adjustments [6].</w:t>
            </w:r>
          </w:p>
        </w:tc>
      </w:tr>
      <w:tr w:rsidRPr="00074F3F" w:rsidR="0099653C" w:rsidTr="517C24CA" w14:paraId="7F82A81D" w14:textId="77777777">
        <w:trPr>
          <w:tblHeader/>
        </w:trPr>
        <w:tc>
          <w:tcPr>
            <w:tcW w:w="3954" w:type="dxa"/>
            <w:vAlign w:val="center"/>
          </w:tcPr>
          <w:p w:rsidRPr="00074F3F" w:rsidR="0099653C" w:rsidP="0099653C" w:rsidRDefault="0099653C" w14:paraId="17E1EFFE" w14:textId="77777777">
            <w:pPr>
              <w:rPr>
                <w:color w:val="000000"/>
              </w:rPr>
            </w:pPr>
            <w:r w:rsidRPr="00074F3F">
              <w:rPr>
                <w:color w:val="000000"/>
              </w:rPr>
              <w:lastRenderedPageBreak/>
              <w:t>On June 15, 2022, EDF filed opening comments on scoping questions 2.1(b)-2.1(k) which include various issues in scope for D.23-12-003. EDF further filed reply comments on these questions on June 27, 2022.</w:t>
            </w:r>
          </w:p>
          <w:p w:rsidRPr="00074F3F" w:rsidR="0099653C" w:rsidP="0099653C" w:rsidRDefault="0099653C" w14:paraId="66D6B93A" w14:textId="59D6F433">
            <w:pPr>
              <w:rPr>
                <w:color w:val="000000"/>
              </w:rPr>
            </w:pPr>
          </w:p>
          <w:p w:rsidRPr="00074F3F" w:rsidR="0099653C" w:rsidP="0099653C" w:rsidRDefault="0099653C" w14:paraId="43D6E592" w14:textId="36AECDEE">
            <w:pPr>
              <w:rPr>
                <w:color w:val="000000"/>
              </w:rPr>
            </w:pPr>
            <w:r w:rsidRPr="00074F3F">
              <w:rPr>
                <w:color w:val="000000"/>
              </w:rPr>
              <w:t>EDF raised key issues that were further developed as part of the proceeding.</w:t>
            </w:r>
          </w:p>
          <w:p w:rsidRPr="00074F3F" w:rsidR="0099653C" w:rsidP="0099653C" w:rsidRDefault="0099653C" w14:paraId="1F2A61AC" w14:textId="77777777">
            <w:pPr>
              <w:rPr>
                <w:color w:val="000000"/>
              </w:rPr>
            </w:pPr>
          </w:p>
          <w:p w:rsidRPr="00074F3F" w:rsidR="0099653C" w:rsidP="0099653C" w:rsidRDefault="0099653C" w14:paraId="52016AA3" w14:textId="1C7D4117">
            <w:pPr>
              <w:rPr>
                <w:color w:val="000000"/>
              </w:rPr>
            </w:pPr>
            <w:r w:rsidRPr="00074F3F">
              <w:rPr>
                <w:color w:val="000000"/>
              </w:rPr>
              <w:t>“So EDF encourages the Commission to direct the gas utilities to be very clear about what customers will/will not be on the transmission line planned for de-rating or decommission.” (Opening Comments of EDF on ALJ Ruling Seeking Comments at 6)</w:t>
            </w:r>
          </w:p>
          <w:p w:rsidRPr="00074F3F" w:rsidR="0099653C" w:rsidP="0099653C" w:rsidRDefault="0099653C" w14:paraId="0F3B62F4" w14:textId="77777777">
            <w:pPr>
              <w:rPr>
                <w:color w:val="000000"/>
              </w:rPr>
            </w:pPr>
          </w:p>
          <w:p w:rsidRPr="00074F3F" w:rsidR="0099653C" w:rsidP="0099653C" w:rsidRDefault="0099653C" w14:paraId="7E207DD6" w14:textId="3F30608F">
            <w:pPr>
              <w:rPr>
                <w:color w:val="000000"/>
              </w:rPr>
            </w:pPr>
            <w:r w:rsidRPr="00074F3F">
              <w:rPr>
                <w:color w:val="000000"/>
              </w:rPr>
              <w:t>“To the extent a transmission pipeline must be derated for safety or other reasons, the Commission will need to consider whether the line remains used and useful to customers, and if so, which customers. Simply derating a line from transmission to distribution may result in a cost shift, that is, a shift from a sharing of costs between core and non-core customers to one where cost recovery is solely from core (mostly residential) customers.” (Opening Comments of EDF on ALJ Ruling Seeking Comments at 7)</w:t>
            </w:r>
          </w:p>
        </w:tc>
        <w:tc>
          <w:tcPr>
            <w:tcW w:w="3801" w:type="dxa"/>
            <w:vAlign w:val="center"/>
          </w:tcPr>
          <w:p w:rsidRPr="00074F3F" w:rsidR="0099653C" w:rsidP="0099653C" w:rsidRDefault="0099653C" w14:paraId="14957897" w14:textId="0528CD66">
            <w:pPr>
              <w:rPr>
                <w:color w:val="000000"/>
              </w:rPr>
            </w:pPr>
            <w:r w:rsidRPr="00074F3F">
              <w:rPr>
                <w:color w:val="000000"/>
              </w:rPr>
              <w:t>The ALJ direct parties to file comments on Track 2a scoping questions 2.1(a) through 2.1(k) which include the issues discussed in D.23-12-003. The Decision further notes that this ruling and subsequent party comments were part of the procedural process for D.23-12-003.</w:t>
            </w:r>
          </w:p>
          <w:p w:rsidRPr="00074F3F" w:rsidR="0099653C" w:rsidP="0099653C" w:rsidRDefault="0099653C" w14:paraId="3FA252D4" w14:textId="77777777">
            <w:pPr>
              <w:rPr>
                <w:color w:val="000000"/>
              </w:rPr>
            </w:pPr>
          </w:p>
          <w:p w:rsidRPr="00074F3F" w:rsidR="0099653C" w:rsidP="0099653C" w:rsidRDefault="0099653C" w14:paraId="3435C64C" w14:textId="77777777">
            <w:pPr>
              <w:rPr>
                <w:color w:val="000000"/>
              </w:rPr>
            </w:pPr>
            <w:r w:rsidRPr="00074F3F">
              <w:rPr>
                <w:color w:val="000000"/>
              </w:rPr>
              <w:t>“Parties shall file comments on Track 2, Scoping Questions 2.1(b) through 2.1(k) set out in the Amended Scoping Memo dated January 5, 2022.” (ALJ Ruling Seeking Comments at 1)</w:t>
            </w:r>
          </w:p>
          <w:p w:rsidRPr="00074F3F" w:rsidR="0099653C" w:rsidP="0099653C" w:rsidRDefault="0099653C" w14:paraId="3B9CCE00" w14:textId="77777777">
            <w:pPr>
              <w:rPr>
                <w:color w:val="000000"/>
              </w:rPr>
            </w:pPr>
          </w:p>
          <w:p w:rsidRPr="00074F3F" w:rsidR="0099653C" w:rsidP="0099653C" w:rsidRDefault="0099653C" w14:paraId="3F886990" w14:textId="218B4EFF">
            <w:pPr>
              <w:rPr>
                <w:color w:val="000000"/>
              </w:rPr>
            </w:pPr>
            <w:r w:rsidRPr="00074F3F">
              <w:rPr>
                <w:color w:val="000000"/>
              </w:rPr>
              <w:t>“On May 5, 2022, the assigned ALJ issued a ruling seeking party comments on the Amended Scoping Memo, Track 2A Scoping Questions (b)-(k). Opening comments were filed on June 15, 2022. Reply comments were filed on June 27, 2022.” (Decision at 5)</w:t>
            </w:r>
          </w:p>
        </w:tc>
        <w:tc>
          <w:tcPr>
            <w:tcW w:w="1983" w:type="dxa"/>
            <w:vAlign w:val="center"/>
          </w:tcPr>
          <w:p w:rsidRPr="00074F3F" w:rsidR="0099653C" w:rsidP="0099653C" w:rsidRDefault="005E10EC" w14:paraId="6F4685A9" w14:textId="12D78F2A">
            <w:pPr>
              <w:rPr>
                <w:color w:val="000000"/>
              </w:rPr>
            </w:pPr>
            <w:r>
              <w:rPr>
                <w:color w:val="000000"/>
              </w:rPr>
              <w:t>Verified</w:t>
            </w:r>
          </w:p>
        </w:tc>
      </w:tr>
    </w:tbl>
    <w:p w:rsidRPr="00074F3F" w:rsidR="00A92D0B" w:rsidP="005B5B44" w:rsidRDefault="00A92D0B" w14:paraId="0D4BCD3A" w14:textId="65AC755F">
      <w:pPr>
        <w:keepNext/>
        <w:numPr>
          <w:ilvl w:val="0"/>
          <w:numId w:val="8"/>
        </w:numPr>
        <w:spacing w:before="240" w:after="240"/>
        <w:rPr>
          <w:b/>
          <w:color w:val="000000"/>
        </w:rPr>
      </w:pPr>
      <w:r w:rsidRPr="00074F3F">
        <w:rPr>
          <w:b/>
          <w:color w:val="000000"/>
        </w:rPr>
        <w:lastRenderedPageBreak/>
        <w:t xml:space="preserve">Duplication of Effort (§ 1801.3(f) </w:t>
      </w:r>
      <w:r w:rsidRPr="00074F3F" w:rsidR="00F30DA8">
        <w:rPr>
          <w:b/>
          <w:color w:val="000000"/>
        </w:rPr>
        <w:t xml:space="preserve">and § </w:t>
      </w:r>
      <w:r w:rsidRPr="00074F3F" w:rsidR="0022302F">
        <w:rPr>
          <w:b/>
          <w:color w:val="000000"/>
        </w:rPr>
        <w:t>1802.5)</w:t>
      </w:r>
      <w:r w:rsidRPr="00074F3F"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074F3F" w:rsidR="00A92D0B" w:rsidTr="0046410D" w14:paraId="76F3266C" w14:textId="77777777">
        <w:tc>
          <w:tcPr>
            <w:tcW w:w="6048" w:type="dxa"/>
            <w:shd w:val="clear" w:color="auto" w:fill="D9D9D9" w:themeFill="background1" w:themeFillShade="D9"/>
          </w:tcPr>
          <w:p w:rsidRPr="00074F3F"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074F3F" w:rsidR="00A92D0B" w:rsidP="00073262" w:rsidRDefault="005A63D4" w14:paraId="7B091096" w14:textId="77777777">
            <w:pPr>
              <w:keepNext/>
              <w:keepLines/>
              <w:jc w:val="center"/>
              <w:rPr>
                <w:b/>
                <w:color w:val="000000"/>
              </w:rPr>
            </w:pPr>
            <w:r w:rsidRPr="00074F3F">
              <w:rPr>
                <w:b/>
                <w:color w:val="000000"/>
              </w:rPr>
              <w:t>Interveno</w:t>
            </w:r>
            <w:r w:rsidRPr="00074F3F" w:rsidR="00204E3A">
              <w:rPr>
                <w:b/>
                <w:color w:val="000000"/>
              </w:rPr>
              <w:t>r</w:t>
            </w:r>
            <w:r w:rsidRPr="00074F3F">
              <w:rPr>
                <w:b/>
                <w:color w:val="000000"/>
              </w:rPr>
              <w:t xml:space="preserve">’s </w:t>
            </w:r>
            <w:r w:rsidRPr="00074F3F" w:rsidR="00D075B1">
              <w:rPr>
                <w:b/>
                <w:color w:val="000000"/>
              </w:rPr>
              <w:t>Assertion</w:t>
            </w:r>
          </w:p>
        </w:tc>
        <w:tc>
          <w:tcPr>
            <w:tcW w:w="1980" w:type="dxa"/>
            <w:shd w:val="clear" w:color="auto" w:fill="D9D9D9" w:themeFill="background1" w:themeFillShade="D9"/>
          </w:tcPr>
          <w:p w:rsidRPr="00074F3F" w:rsidR="00A92D0B" w:rsidP="00073262" w:rsidRDefault="00A92D0B" w14:paraId="25CE5081" w14:textId="77777777">
            <w:pPr>
              <w:keepNext/>
              <w:keepLines/>
              <w:jc w:val="center"/>
              <w:rPr>
                <w:b/>
                <w:color w:val="000000"/>
              </w:rPr>
            </w:pPr>
            <w:r w:rsidRPr="00074F3F">
              <w:rPr>
                <w:b/>
                <w:color w:val="000000"/>
              </w:rPr>
              <w:t xml:space="preserve">CPUC </w:t>
            </w:r>
            <w:r w:rsidRPr="00074F3F" w:rsidR="00D075B1">
              <w:rPr>
                <w:b/>
                <w:color w:val="000000"/>
              </w:rPr>
              <w:t>Discussion</w:t>
            </w:r>
          </w:p>
        </w:tc>
      </w:tr>
      <w:tr w:rsidRPr="00074F3F" w:rsidR="00A92D0B" w:rsidTr="00780683" w14:paraId="24A12BE1" w14:textId="77777777">
        <w:trPr>
          <w:tblHeader/>
        </w:trPr>
        <w:tc>
          <w:tcPr>
            <w:tcW w:w="6048" w:type="dxa"/>
          </w:tcPr>
          <w:p w:rsidRPr="00074F3F" w:rsidR="00A92D0B" w:rsidP="00073262" w:rsidRDefault="00A92D0B" w14:paraId="6915FAF6" w14:textId="1AA67532">
            <w:pPr>
              <w:keepLines/>
              <w:ind w:left="360" w:hanging="360"/>
              <w:rPr>
                <w:b/>
                <w:color w:val="000000"/>
              </w:rPr>
            </w:pPr>
            <w:r w:rsidRPr="00074F3F">
              <w:rPr>
                <w:b/>
                <w:color w:val="000000"/>
              </w:rPr>
              <w:t>a.</w:t>
            </w:r>
            <w:r w:rsidRPr="00074F3F">
              <w:rPr>
                <w:b/>
                <w:color w:val="000000"/>
              </w:rPr>
              <w:tab/>
            </w:r>
            <w:r w:rsidRPr="00074F3F">
              <w:rPr>
                <w:b/>
              </w:rPr>
              <w:t xml:space="preserve">Was the </w:t>
            </w:r>
            <w:r w:rsidRPr="00074F3F" w:rsidR="009E48E4">
              <w:rPr>
                <w:b/>
                <w:color w:val="000000"/>
                <w:sz w:val="22"/>
                <w:szCs w:val="22"/>
              </w:rPr>
              <w:t>Public Advocates Office of the Public Utilities Commission</w:t>
            </w:r>
            <w:r w:rsidRPr="00074F3F" w:rsidR="009E48E4">
              <w:rPr>
                <w:b/>
              </w:rPr>
              <w:t xml:space="preserve"> </w:t>
            </w:r>
            <w:r w:rsidRPr="00074F3F">
              <w:rPr>
                <w:b/>
                <w:color w:val="000000"/>
                <w:sz w:val="22"/>
                <w:szCs w:val="22"/>
              </w:rPr>
              <w:t>(</w:t>
            </w:r>
            <w:r w:rsidRPr="00074F3F" w:rsidR="00B55D78">
              <w:rPr>
                <w:b/>
                <w:color w:val="000000"/>
                <w:sz w:val="22"/>
                <w:szCs w:val="22"/>
              </w:rPr>
              <w:t>Cal Advocates</w:t>
            </w:r>
            <w:r w:rsidRPr="00074F3F">
              <w:rPr>
                <w:b/>
              </w:rPr>
              <w:t>) a party to the proceeding</w:t>
            </w:r>
            <w:r w:rsidRPr="00074F3F">
              <w:rPr>
                <w:b/>
                <w:color w:val="000000"/>
              </w:rPr>
              <w:t>?</w:t>
            </w:r>
          </w:p>
        </w:tc>
        <w:tc>
          <w:tcPr>
            <w:tcW w:w="1710" w:type="dxa"/>
          </w:tcPr>
          <w:p w:rsidRPr="00074F3F" w:rsidR="00A92D0B" w:rsidP="00073262" w:rsidRDefault="00F75F83" w14:paraId="0B49A7C8" w14:textId="76EFBE23">
            <w:pPr>
              <w:keepNext/>
              <w:keepLines/>
              <w:rPr>
                <w:color w:val="000000"/>
              </w:rPr>
            </w:pPr>
            <w:r w:rsidRPr="00074F3F">
              <w:rPr>
                <w:color w:val="000000"/>
              </w:rPr>
              <w:t>Yes</w:t>
            </w:r>
          </w:p>
        </w:tc>
        <w:tc>
          <w:tcPr>
            <w:tcW w:w="1980" w:type="dxa"/>
          </w:tcPr>
          <w:p w:rsidRPr="00074F3F" w:rsidR="00A92D0B" w:rsidP="00073262" w:rsidRDefault="001479FB" w14:paraId="23B6532A" w14:textId="0CF56857">
            <w:pPr>
              <w:keepNext/>
              <w:keepLines/>
              <w:rPr>
                <w:color w:val="000000"/>
              </w:rPr>
            </w:pPr>
            <w:r>
              <w:rPr>
                <w:color w:val="000000"/>
              </w:rPr>
              <w:t>Verified</w:t>
            </w:r>
          </w:p>
        </w:tc>
      </w:tr>
      <w:tr w:rsidRPr="00074F3F" w:rsidR="00A92D0B" w:rsidTr="00780683" w14:paraId="3317BD71" w14:textId="77777777">
        <w:tc>
          <w:tcPr>
            <w:tcW w:w="6048" w:type="dxa"/>
          </w:tcPr>
          <w:p w:rsidRPr="00074F3F" w:rsidR="00A92D0B" w:rsidP="00073262" w:rsidRDefault="00A92D0B" w14:paraId="561D245D" w14:textId="77777777">
            <w:pPr>
              <w:tabs>
                <w:tab w:val="left" w:pos="360"/>
              </w:tabs>
              <w:ind w:left="360" w:hanging="360"/>
              <w:rPr>
                <w:b/>
                <w:color w:val="000000"/>
              </w:rPr>
            </w:pPr>
            <w:r w:rsidRPr="00074F3F">
              <w:rPr>
                <w:b/>
                <w:color w:val="000000"/>
              </w:rPr>
              <w:t>b.</w:t>
            </w:r>
            <w:r w:rsidRPr="00074F3F">
              <w:rPr>
                <w:b/>
                <w:color w:val="000000"/>
              </w:rPr>
              <w:tab/>
              <w:t xml:space="preserve">Were there other parties to the proceeding with positions similar to yours? </w:t>
            </w:r>
          </w:p>
        </w:tc>
        <w:tc>
          <w:tcPr>
            <w:tcW w:w="1710" w:type="dxa"/>
          </w:tcPr>
          <w:p w:rsidRPr="00074F3F" w:rsidR="00A92D0B" w:rsidP="00073262" w:rsidRDefault="00F75F83" w14:paraId="3708E485" w14:textId="241C67B8">
            <w:pPr>
              <w:rPr>
                <w:color w:val="000000"/>
              </w:rPr>
            </w:pPr>
            <w:r w:rsidRPr="00074F3F">
              <w:rPr>
                <w:color w:val="000000"/>
              </w:rPr>
              <w:t>Yes</w:t>
            </w:r>
          </w:p>
        </w:tc>
        <w:tc>
          <w:tcPr>
            <w:tcW w:w="1980" w:type="dxa"/>
          </w:tcPr>
          <w:p w:rsidRPr="00074F3F" w:rsidR="00A92D0B" w:rsidP="00073262" w:rsidRDefault="001479FB" w14:paraId="6B3388E6" w14:textId="4D878ABD">
            <w:pPr>
              <w:rPr>
                <w:color w:val="000000"/>
              </w:rPr>
            </w:pPr>
            <w:r>
              <w:rPr>
                <w:color w:val="000000"/>
              </w:rPr>
              <w:t>Verified</w:t>
            </w:r>
          </w:p>
        </w:tc>
      </w:tr>
      <w:tr w:rsidRPr="00074F3F" w:rsidR="00A92D0B" w:rsidTr="00780683" w14:paraId="0A51B7D4" w14:textId="77777777">
        <w:tc>
          <w:tcPr>
            <w:tcW w:w="7758" w:type="dxa"/>
            <w:gridSpan w:val="2"/>
          </w:tcPr>
          <w:p w:rsidRPr="00074F3F" w:rsidR="00A92D0B" w:rsidP="00073262" w:rsidRDefault="00A92D0B" w14:paraId="30CB6275" w14:textId="7D63B4F2">
            <w:pPr>
              <w:ind w:left="360" w:hanging="360"/>
              <w:rPr>
                <w:color w:val="000000"/>
              </w:rPr>
            </w:pPr>
            <w:r w:rsidRPr="00074F3F">
              <w:rPr>
                <w:b/>
                <w:color w:val="000000"/>
              </w:rPr>
              <w:t>c.</w:t>
            </w:r>
            <w:r w:rsidRPr="00074F3F">
              <w:rPr>
                <w:b/>
                <w:color w:val="000000"/>
              </w:rPr>
              <w:tab/>
              <w:t>If so, provide name of other parties:</w:t>
            </w:r>
            <w:r w:rsidRPr="00074F3F" w:rsidR="00E25078">
              <w:rPr>
                <w:color w:val="000000"/>
              </w:rPr>
              <w:t xml:space="preserve"> </w:t>
            </w:r>
          </w:p>
          <w:p w:rsidRPr="00074F3F" w:rsidR="00A92D0B" w:rsidP="009E3142" w:rsidRDefault="00056075" w14:paraId="0919176B" w14:textId="6B3C50D7">
            <w:pPr>
              <w:pStyle w:val="Default"/>
              <w:rPr>
                <w:sz w:val="23"/>
                <w:szCs w:val="23"/>
              </w:rPr>
            </w:pPr>
            <w:r w:rsidRPr="00074F3F">
              <w:rPr>
                <w:sz w:val="23"/>
                <w:szCs w:val="23"/>
              </w:rPr>
              <w:t>Sierra Club/Rocky Mountain Institute (RMI)/California Environmental Justice Alliance (CEJA), Utility Consumers’ Action Network (UCAN), Natural Resources Defense Council (NRDC)</w:t>
            </w:r>
          </w:p>
        </w:tc>
        <w:tc>
          <w:tcPr>
            <w:tcW w:w="1980" w:type="dxa"/>
          </w:tcPr>
          <w:p w:rsidRPr="00074F3F" w:rsidR="00A92D0B" w:rsidP="00073262" w:rsidRDefault="00780683" w14:paraId="22A40B49" w14:textId="0FA29612">
            <w:pPr>
              <w:rPr>
                <w:color w:val="000000"/>
              </w:rPr>
            </w:pPr>
            <w:r>
              <w:rPr>
                <w:color w:val="000000"/>
              </w:rPr>
              <w:t>Noted</w:t>
            </w:r>
          </w:p>
        </w:tc>
      </w:tr>
      <w:tr w:rsidRPr="00074F3F" w:rsidR="00A92D0B" w:rsidTr="00780683" w14:paraId="744830F5" w14:textId="77777777">
        <w:tc>
          <w:tcPr>
            <w:tcW w:w="7758" w:type="dxa"/>
            <w:gridSpan w:val="2"/>
          </w:tcPr>
          <w:p w:rsidRPr="00074F3F" w:rsidR="00691528" w:rsidP="00073262" w:rsidRDefault="00A92D0B" w14:paraId="0CFBC7B2" w14:textId="1369A03D">
            <w:pPr>
              <w:tabs>
                <w:tab w:val="left" w:pos="360"/>
              </w:tabs>
              <w:ind w:left="360" w:hanging="360"/>
              <w:rPr>
                <w:color w:val="000000"/>
              </w:rPr>
            </w:pPr>
            <w:r w:rsidRPr="00074F3F">
              <w:rPr>
                <w:b/>
                <w:color w:val="000000"/>
              </w:rPr>
              <w:t>d.</w:t>
            </w:r>
            <w:r w:rsidRPr="00074F3F">
              <w:rPr>
                <w:b/>
                <w:color w:val="000000"/>
              </w:rPr>
              <w:tab/>
            </w:r>
            <w:r w:rsidRPr="00074F3F" w:rsidR="00D075B1">
              <w:rPr>
                <w:b/>
                <w:color w:val="000000"/>
              </w:rPr>
              <w:t xml:space="preserve">Intervenor’s </w:t>
            </w:r>
            <w:r w:rsidRPr="00074F3F" w:rsidR="00A319DE">
              <w:rPr>
                <w:b/>
                <w:color w:val="000000"/>
              </w:rPr>
              <w:t>c</w:t>
            </w:r>
            <w:r w:rsidRPr="00074F3F" w:rsidR="00D075B1">
              <w:rPr>
                <w:b/>
                <w:color w:val="000000"/>
              </w:rPr>
              <w:t xml:space="preserve">laim of </w:t>
            </w:r>
            <w:r w:rsidRPr="00074F3F" w:rsidR="00A319DE">
              <w:rPr>
                <w:b/>
                <w:color w:val="000000"/>
              </w:rPr>
              <w:t>n</w:t>
            </w:r>
            <w:r w:rsidRPr="00074F3F" w:rsidR="00D075B1">
              <w:rPr>
                <w:b/>
                <w:color w:val="000000"/>
              </w:rPr>
              <w:t>on-</w:t>
            </w:r>
            <w:r w:rsidRPr="00074F3F" w:rsidR="00A319DE">
              <w:rPr>
                <w:b/>
                <w:color w:val="000000"/>
              </w:rPr>
              <w:t>d</w:t>
            </w:r>
            <w:r w:rsidRPr="00074F3F" w:rsidR="00D075B1">
              <w:rPr>
                <w:b/>
                <w:color w:val="000000"/>
              </w:rPr>
              <w:t>uplication:</w:t>
            </w:r>
            <w:r w:rsidRPr="00074F3F" w:rsidR="00E25078">
              <w:rPr>
                <w:color w:val="000000"/>
              </w:rPr>
              <w:t xml:space="preserve"> </w:t>
            </w:r>
          </w:p>
          <w:p w:rsidRPr="00074F3F" w:rsidR="00ED2BF8" w:rsidP="001870BE" w:rsidRDefault="00D71B85" w14:paraId="3228BB07" w14:textId="11849303">
            <w:pPr>
              <w:pStyle w:val="Default"/>
              <w:rPr>
                <w:sz w:val="23"/>
                <w:szCs w:val="23"/>
              </w:rPr>
            </w:pPr>
            <w:r w:rsidRPr="00074F3F">
              <w:rPr>
                <w:sz w:val="23"/>
                <w:szCs w:val="23"/>
              </w:rPr>
              <w:t xml:space="preserve">In responding to the Decision and engaging with issues raised in the proceeding, different parties focused on different aspects. </w:t>
            </w:r>
            <w:r w:rsidRPr="00074F3F" w:rsidR="00E87780">
              <w:rPr>
                <w:sz w:val="23"/>
                <w:szCs w:val="23"/>
              </w:rPr>
              <w:t xml:space="preserve">EDF made unique points about the issue of cost-shifting from non-core to core customers as a result of </w:t>
            </w:r>
            <w:r w:rsidRPr="00074F3F" w:rsidR="00DF364B">
              <w:rPr>
                <w:sz w:val="23"/>
                <w:szCs w:val="23"/>
              </w:rPr>
              <w:t xml:space="preserve">transmission pipeline derating; and </w:t>
            </w:r>
            <w:r w:rsidRPr="00074F3F" w:rsidR="001431D6">
              <w:rPr>
                <w:sz w:val="23"/>
                <w:szCs w:val="23"/>
              </w:rPr>
              <w:t>the need for a more comprehensive review process in line with GO 177 requirements.</w:t>
            </w:r>
            <w:r w:rsidRPr="00074F3F" w:rsidR="006B3E58">
              <w:rPr>
                <w:sz w:val="23"/>
                <w:szCs w:val="23"/>
              </w:rPr>
              <w:t xml:space="preserve"> Moreover, EDF </w:t>
            </w:r>
            <w:r w:rsidRPr="00074F3F" w:rsidR="00515CB6">
              <w:rPr>
                <w:sz w:val="23"/>
                <w:szCs w:val="23"/>
              </w:rPr>
              <w:t xml:space="preserve">made significant contributions in </w:t>
            </w:r>
            <w:r w:rsidRPr="00074F3F" w:rsidR="00833377">
              <w:rPr>
                <w:sz w:val="23"/>
                <w:szCs w:val="23"/>
              </w:rPr>
              <w:t xml:space="preserve">the GO 177 process, including the annual </w:t>
            </w:r>
            <w:r w:rsidRPr="00074F3F" w:rsidR="00CD300F">
              <w:rPr>
                <w:sz w:val="23"/>
                <w:szCs w:val="23"/>
              </w:rPr>
              <w:t>reports from the investor-owned utilities and workshops</w:t>
            </w:r>
            <w:r w:rsidR="00E83DD1">
              <w:rPr>
                <w:sz w:val="23"/>
                <w:szCs w:val="23"/>
              </w:rPr>
              <w:t>.</w:t>
            </w:r>
          </w:p>
        </w:tc>
        <w:tc>
          <w:tcPr>
            <w:tcW w:w="1980" w:type="dxa"/>
          </w:tcPr>
          <w:p w:rsidRPr="00074F3F" w:rsidR="00A92D0B" w:rsidP="00073262" w:rsidRDefault="00780683" w14:paraId="5F9BBA55" w14:textId="76020216">
            <w:pPr>
              <w:tabs>
                <w:tab w:val="left" w:pos="360"/>
              </w:tabs>
              <w:ind w:left="360" w:hanging="360"/>
              <w:rPr>
                <w:color w:val="000000"/>
              </w:rPr>
            </w:pPr>
            <w:r>
              <w:rPr>
                <w:color w:val="000000"/>
              </w:rPr>
              <w:t>Noted</w:t>
            </w:r>
          </w:p>
        </w:tc>
      </w:tr>
    </w:tbl>
    <w:p w:rsidRPr="00074F3F" w:rsidR="009F6665" w:rsidRDefault="009F6665" w14:paraId="753E8BC1" w14:textId="5297E936">
      <w:pPr>
        <w:rPr>
          <w:b/>
          <w:color w:val="000000"/>
        </w:rPr>
      </w:pPr>
    </w:p>
    <w:p w:rsidRPr="00074F3F" w:rsidR="00B312DA" w:rsidP="005B5B44" w:rsidRDefault="00A92D0B" w14:paraId="175C3F89" w14:textId="2F504351">
      <w:pPr>
        <w:keepNext/>
        <w:tabs>
          <w:tab w:val="left" w:pos="1260"/>
        </w:tabs>
        <w:spacing w:before="480"/>
        <w:ind w:left="1267" w:hanging="1267"/>
        <w:jc w:val="center"/>
        <w:rPr>
          <w:b/>
          <w:color w:val="000000"/>
        </w:rPr>
      </w:pPr>
      <w:r w:rsidRPr="00074F3F">
        <w:rPr>
          <w:b/>
          <w:color w:val="000000"/>
        </w:rPr>
        <w:t>PART III</w:t>
      </w:r>
      <w:r w:rsidRPr="00074F3F" w:rsidR="00CB52B1">
        <w:rPr>
          <w:b/>
          <w:color w:val="000000"/>
        </w:rPr>
        <w:t>: REASONABLENESS</w:t>
      </w:r>
      <w:r w:rsidRPr="00074F3F">
        <w:rPr>
          <w:b/>
          <w:color w:val="000000"/>
        </w:rPr>
        <w:t xml:space="preserve"> OF REQUESTED COMPENSATION</w:t>
      </w:r>
    </w:p>
    <w:p w:rsidRPr="00074F3F" w:rsidR="00A92D0B" w:rsidP="005B5B44" w:rsidRDefault="00A92D0B" w14:paraId="6F74DAE2" w14:textId="77777777">
      <w:pPr>
        <w:keepNext/>
        <w:numPr>
          <w:ilvl w:val="0"/>
          <w:numId w:val="9"/>
        </w:numPr>
        <w:spacing w:before="240" w:after="240"/>
        <w:rPr>
          <w:b/>
          <w:color w:val="000000"/>
        </w:rPr>
      </w:pPr>
      <w:r w:rsidRPr="00074F3F">
        <w:rPr>
          <w:b/>
          <w:color w:val="000000"/>
        </w:rPr>
        <w:t xml:space="preserve">General Claim of Reasonableness </w:t>
      </w:r>
      <w:r w:rsidRPr="00074F3F" w:rsidR="00F30DA8">
        <w:rPr>
          <w:b/>
          <w:color w:val="000000"/>
        </w:rPr>
        <w:t xml:space="preserve">(§ </w:t>
      </w:r>
      <w:r w:rsidRPr="00074F3F">
        <w:rPr>
          <w:b/>
          <w:color w:val="000000"/>
        </w:rPr>
        <w:t xml:space="preserve">1801 </w:t>
      </w:r>
      <w:r w:rsidRPr="00074F3F" w:rsidR="00F30DA8">
        <w:rPr>
          <w:b/>
          <w:color w:val="000000"/>
        </w:rPr>
        <w:t>and §</w:t>
      </w:r>
      <w:r w:rsidRPr="00074F3F" w:rsidR="0022302F">
        <w:rPr>
          <w:b/>
          <w:color w:val="000000"/>
        </w:rPr>
        <w:t xml:space="preserve"> 1806)</w:t>
      </w:r>
      <w:r w:rsidRPr="00074F3F"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074F3F" w:rsidR="00FE3BAE" w:rsidTr="004329F6" w14:paraId="4078AC87" w14:textId="77777777">
        <w:tc>
          <w:tcPr>
            <w:tcW w:w="7488" w:type="dxa"/>
            <w:tcBorders>
              <w:bottom w:val="single" w:color="auto" w:sz="4" w:space="0"/>
            </w:tcBorders>
            <w:shd w:val="clear" w:color="auto" w:fill="D9D9D9" w:themeFill="background1" w:themeFillShade="D9"/>
          </w:tcPr>
          <w:p w:rsidRPr="00074F3F" w:rsidR="00FE3BAE" w:rsidP="00EC6387" w:rsidRDefault="00FE3BAE" w14:paraId="70FDF5DA" w14:textId="77777777">
            <w:pPr>
              <w:rPr>
                <w:b/>
                <w:color w:val="000000"/>
              </w:rPr>
            </w:pPr>
          </w:p>
        </w:tc>
        <w:tc>
          <w:tcPr>
            <w:tcW w:w="2250" w:type="dxa"/>
            <w:shd w:val="clear" w:color="auto" w:fill="D9D9D9" w:themeFill="background1" w:themeFillShade="D9"/>
          </w:tcPr>
          <w:p w:rsidRPr="00074F3F" w:rsidR="00FE3BAE" w:rsidP="00EC6387" w:rsidRDefault="00FE3BAE" w14:paraId="59CD9FCF" w14:textId="77777777">
            <w:pPr>
              <w:rPr>
                <w:color w:val="000000"/>
              </w:rPr>
            </w:pPr>
            <w:r w:rsidRPr="00074F3F">
              <w:rPr>
                <w:b/>
                <w:color w:val="000000"/>
              </w:rPr>
              <w:t>CPUC Discussion</w:t>
            </w:r>
          </w:p>
        </w:tc>
      </w:tr>
      <w:tr w:rsidRPr="00074F3F" w:rsidR="00FE3BAE" w:rsidTr="00E94F7E" w14:paraId="5708510E" w14:textId="77777777">
        <w:tc>
          <w:tcPr>
            <w:tcW w:w="7488" w:type="dxa"/>
            <w:tcBorders>
              <w:bottom w:val="single" w:color="auto" w:sz="4" w:space="0"/>
            </w:tcBorders>
          </w:tcPr>
          <w:p w:rsidRPr="00074F3F" w:rsidR="00FE3BAE" w:rsidP="00EC6387" w:rsidRDefault="00FE3BAE" w14:paraId="707F9932" w14:textId="24B1B5E0">
            <w:pPr>
              <w:rPr>
                <w:color w:val="000000"/>
              </w:rPr>
            </w:pPr>
            <w:r w:rsidRPr="00074F3F">
              <w:rPr>
                <w:b/>
                <w:color w:val="000000"/>
              </w:rPr>
              <w:t>a. Intervenor’s claim of cost reasonableness:</w:t>
            </w:r>
            <w:r w:rsidRPr="00074F3F" w:rsidR="00E25078">
              <w:rPr>
                <w:color w:val="000000"/>
              </w:rPr>
              <w:t xml:space="preserve"> </w:t>
            </w:r>
          </w:p>
          <w:p w:rsidRPr="00074F3F" w:rsidR="00691528" w:rsidP="00EC6387" w:rsidRDefault="008A590A" w14:paraId="6A25116A" w14:textId="0F9D4153">
            <w:pPr>
              <w:rPr>
                <w:color w:val="000000"/>
              </w:rPr>
            </w:pPr>
            <w:r w:rsidRPr="00074F3F">
              <w:t>EDF requests a total intervenor compensation claim of</w:t>
            </w:r>
            <w:r w:rsidRPr="00074F3F" w:rsidR="00B3046D">
              <w:t xml:space="preserve"> $</w:t>
            </w:r>
            <w:r w:rsidRPr="00074F3F" w:rsidR="008332F4">
              <w:t xml:space="preserve"> 64,408.30</w:t>
            </w:r>
            <w:r w:rsidRPr="00074F3F">
              <w:t>. This is reasonable for the scale of the proceeding, number of issues presented, and also given the fact that EDF addressed unique environmental issues in the proceeding.</w:t>
            </w:r>
          </w:p>
          <w:p w:rsidRPr="00074F3F" w:rsidR="00FE3BAE" w:rsidP="00EC6387" w:rsidRDefault="00FE3BAE" w14:paraId="2B1A1242" w14:textId="77777777">
            <w:pPr>
              <w:rPr>
                <w:color w:val="000000"/>
              </w:rPr>
            </w:pPr>
          </w:p>
        </w:tc>
        <w:tc>
          <w:tcPr>
            <w:tcW w:w="2250" w:type="dxa"/>
          </w:tcPr>
          <w:p w:rsidRPr="00074F3F" w:rsidR="00FE3BAE" w:rsidP="00EC6387" w:rsidRDefault="004329F6" w14:paraId="223B4665" w14:textId="34292426">
            <w:pPr>
              <w:rPr>
                <w:color w:val="000000"/>
              </w:rPr>
            </w:pPr>
            <w:r>
              <w:rPr>
                <w:color w:val="000000"/>
              </w:rPr>
              <w:t>Noted</w:t>
            </w:r>
          </w:p>
        </w:tc>
      </w:tr>
      <w:tr w:rsidRPr="00074F3F" w:rsidR="00FE3BAE" w:rsidTr="00001D77" w14:paraId="5548029C" w14:textId="77777777">
        <w:tc>
          <w:tcPr>
            <w:tcW w:w="7488" w:type="dxa"/>
          </w:tcPr>
          <w:p w:rsidRPr="00074F3F" w:rsidR="00FE3BAE" w:rsidP="00EC6387" w:rsidRDefault="00FE3BAE" w14:paraId="751A610C" w14:textId="509B1715">
            <w:pPr>
              <w:rPr>
                <w:color w:val="000000"/>
              </w:rPr>
            </w:pPr>
            <w:r w:rsidRPr="00074F3F">
              <w:rPr>
                <w:b/>
                <w:color w:val="000000"/>
              </w:rPr>
              <w:t>b. Reasonableness of hours claimed:</w:t>
            </w:r>
            <w:r w:rsidRPr="00074F3F" w:rsidR="00E25078">
              <w:rPr>
                <w:color w:val="000000"/>
              </w:rPr>
              <w:t xml:space="preserve"> </w:t>
            </w:r>
          </w:p>
          <w:p w:rsidRPr="00074F3F" w:rsidR="00842C96" w:rsidP="00842C96" w:rsidRDefault="00842C96" w14:paraId="4232562C" w14:textId="77777777">
            <w:pPr>
              <w:spacing w:after="240"/>
            </w:pPr>
            <w:r w:rsidRPr="00074F3F">
              <w:rPr>
                <w:u w:val="single"/>
              </w:rPr>
              <w:t>Attorney Time</w:t>
            </w:r>
            <w:r w:rsidRPr="00074F3F">
              <w:t>:</w:t>
            </w:r>
          </w:p>
          <w:p w:rsidRPr="00074F3F" w:rsidR="00842C96" w:rsidP="00842C96" w:rsidRDefault="00842C96" w14:paraId="2020BDC3" w14:textId="1AD78954">
            <w:pPr>
              <w:spacing w:after="240"/>
            </w:pPr>
            <w:r w:rsidRPr="00074F3F">
              <w:t>EDF devoted a total of approximately</w:t>
            </w:r>
            <w:r w:rsidRPr="00074F3F" w:rsidR="009E7F38">
              <w:t xml:space="preserve"> </w:t>
            </w:r>
            <w:r w:rsidRPr="00074F3F" w:rsidR="00CF7D3C">
              <w:t>7</w:t>
            </w:r>
            <w:r w:rsidRPr="00074F3F" w:rsidR="002C0523">
              <w:t>0.50</w:t>
            </w:r>
            <w:r w:rsidRPr="00074F3F" w:rsidR="00B3046D">
              <w:t xml:space="preserve"> </w:t>
            </w:r>
            <w:r w:rsidRPr="00074F3F">
              <w:t>hours of attorney time for work performed by EDF’s attorney, Elizabeth Kelly</w:t>
            </w:r>
            <w:r w:rsidRPr="00074F3F" w:rsidR="001870BE">
              <w:t xml:space="preserve">. </w:t>
            </w:r>
            <w:r w:rsidRPr="00074F3F">
              <w:t xml:space="preserve">This is reasonable for </w:t>
            </w:r>
            <w:r w:rsidRPr="00074F3F">
              <w:lastRenderedPageBreak/>
              <w:t>the scale of the proceeding</w:t>
            </w:r>
            <w:r w:rsidRPr="00074F3F" w:rsidR="00F1420B">
              <w:t xml:space="preserve"> and wide </w:t>
            </w:r>
            <w:r w:rsidRPr="00074F3F" w:rsidR="006D61A8">
              <w:t>range of issues presented in the proceeding</w:t>
            </w:r>
            <w:r w:rsidRPr="00074F3F">
              <w:t>.</w:t>
            </w:r>
          </w:p>
          <w:p w:rsidRPr="00074F3F" w:rsidR="00842C96" w:rsidP="00842C96" w:rsidRDefault="00842C96" w14:paraId="231CAB46" w14:textId="77777777">
            <w:pPr>
              <w:spacing w:after="240"/>
            </w:pPr>
            <w:r w:rsidRPr="00074F3F">
              <w:rPr>
                <w:u w:val="single"/>
              </w:rPr>
              <w:t>Expert Time</w:t>
            </w:r>
            <w:r w:rsidRPr="00074F3F">
              <w:t>:</w:t>
            </w:r>
          </w:p>
          <w:p w:rsidRPr="00074F3F" w:rsidR="001C1A1C" w:rsidP="00BD51A2" w:rsidRDefault="00842C96" w14:paraId="7F97D481" w14:textId="3151AA31">
            <w:r w:rsidRPr="00074F3F">
              <w:t>EDF utilized approximatel</w:t>
            </w:r>
            <w:r w:rsidRPr="00074F3F" w:rsidR="00357F5E">
              <w:t>y</w:t>
            </w:r>
            <w:r w:rsidRPr="00074F3F" w:rsidR="00E93174">
              <w:t xml:space="preserve"> </w:t>
            </w:r>
            <w:r w:rsidRPr="00074F3F" w:rsidR="00FC3F96">
              <w:t xml:space="preserve">7 </w:t>
            </w:r>
            <w:r w:rsidRPr="00074F3F">
              <w:t>hours of the expert time of M</w:t>
            </w:r>
            <w:r w:rsidRPr="00074F3F" w:rsidR="00EC5D0E">
              <w:t>ichael</w:t>
            </w:r>
            <w:r w:rsidRPr="00074F3F">
              <w:t> Colvin, EDF’s Director of Regulatory and Legislative Affairs, California Energy Program.</w:t>
            </w:r>
            <w:r w:rsidRPr="00074F3F" w:rsidR="00FD7438">
              <w:t xml:space="preserve"> EDF </w:t>
            </w:r>
            <w:r w:rsidRPr="00074F3F" w:rsidR="009E7F38">
              <w:t>u</w:t>
            </w:r>
            <w:r w:rsidRPr="00074F3F" w:rsidR="00FD7438">
              <w:t>tilized approximately</w:t>
            </w:r>
            <w:r w:rsidRPr="00074F3F" w:rsidR="000D7603">
              <w:t xml:space="preserve"> 2</w:t>
            </w:r>
            <w:r w:rsidR="00214C32">
              <w:t>9.9</w:t>
            </w:r>
            <w:r w:rsidRPr="00074F3F" w:rsidR="005968AB">
              <w:t xml:space="preserve"> </w:t>
            </w:r>
            <w:r w:rsidRPr="00074F3F" w:rsidR="00FD7438">
              <w:t xml:space="preserve">hours of the expert time of </w:t>
            </w:r>
            <w:r w:rsidRPr="00074F3F" w:rsidR="00EC5D0E">
              <w:t xml:space="preserve">Joon Hun Seong, EDF’s </w:t>
            </w:r>
            <w:r w:rsidRPr="00074F3F" w:rsidR="00772197">
              <w:t>Senior</w:t>
            </w:r>
            <w:r w:rsidRPr="00074F3F" w:rsidR="00EC5D0E">
              <w:t xml:space="preserve"> Decarbonization Analyst</w:t>
            </w:r>
            <w:r w:rsidRPr="00074F3F" w:rsidR="001C1A1C">
              <w:t>.</w:t>
            </w:r>
            <w:r w:rsidRPr="00074F3F" w:rsidR="009E7F38">
              <w:t xml:space="preserve"> </w:t>
            </w:r>
            <w:r w:rsidRPr="00074F3F">
              <w:t>This is reasonable in light of the issues presented</w:t>
            </w:r>
            <w:r w:rsidRPr="00074F3F" w:rsidR="006F55B1">
              <w:t>, particularly the issues uniquely raised</w:t>
            </w:r>
            <w:r w:rsidRPr="00074F3F" w:rsidR="00E93174">
              <w:t>.</w:t>
            </w:r>
          </w:p>
          <w:p w:rsidRPr="00074F3F" w:rsidR="00691528" w:rsidP="00EC6387" w:rsidRDefault="00691528" w14:paraId="694F0B63" w14:textId="77777777">
            <w:pPr>
              <w:rPr>
                <w:color w:val="000000"/>
              </w:rPr>
            </w:pPr>
          </w:p>
        </w:tc>
        <w:tc>
          <w:tcPr>
            <w:tcW w:w="2250" w:type="dxa"/>
          </w:tcPr>
          <w:p w:rsidRPr="00074F3F" w:rsidR="00FE3BAE" w:rsidP="00EC6387" w:rsidRDefault="004329F6" w14:paraId="1874D625" w14:textId="7320FA80">
            <w:pPr>
              <w:rPr>
                <w:color w:val="000000"/>
              </w:rPr>
            </w:pPr>
            <w:r>
              <w:rPr>
                <w:color w:val="000000"/>
              </w:rPr>
              <w:lastRenderedPageBreak/>
              <w:t>Noted</w:t>
            </w:r>
            <w:r w:rsidR="00001D77">
              <w:rPr>
                <w:color w:val="000000"/>
              </w:rPr>
              <w:t xml:space="preserve">. However, see Part III D. CPUC </w:t>
            </w:r>
            <w:r w:rsidRPr="0017012A" w:rsidR="00001D77">
              <w:rPr>
                <w:color w:val="000000"/>
              </w:rPr>
              <w:t>Comments, Disallowances, and Adjustments</w:t>
            </w:r>
            <w:r w:rsidR="00001D77">
              <w:rPr>
                <w:color w:val="000000"/>
              </w:rPr>
              <w:t>.</w:t>
            </w:r>
          </w:p>
        </w:tc>
      </w:tr>
      <w:tr w:rsidRPr="00074F3F" w:rsidR="00FE3BAE" w:rsidTr="00E94F7E" w14:paraId="3FD38B74" w14:textId="77777777">
        <w:tc>
          <w:tcPr>
            <w:tcW w:w="7488" w:type="dxa"/>
          </w:tcPr>
          <w:p w:rsidRPr="00074F3F" w:rsidR="00FE3BAE" w:rsidP="00EC6387" w:rsidRDefault="00FE3BAE" w14:paraId="46990B37" w14:textId="569E5E0F">
            <w:pPr>
              <w:rPr>
                <w:color w:val="000000"/>
              </w:rPr>
            </w:pPr>
            <w:r w:rsidRPr="00074F3F">
              <w:rPr>
                <w:b/>
                <w:color w:val="000000"/>
              </w:rPr>
              <w:t>c. Allocation of hours by issue:</w:t>
            </w:r>
            <w:r w:rsidRPr="00074F3F" w:rsidR="00E25078">
              <w:rPr>
                <w:color w:val="000000"/>
              </w:rPr>
              <w:t xml:space="preserve"> </w:t>
            </w:r>
          </w:p>
          <w:p w:rsidRPr="00074F3F" w:rsidR="00FA49BA" w:rsidP="002A5B42" w:rsidRDefault="00FA49BA" w14:paraId="236CBEF9" w14:textId="4956C329"/>
          <w:tbl>
            <w:tblPr>
              <w:tblStyle w:val="TableGrid"/>
              <w:tblW w:w="0" w:type="auto"/>
              <w:tblLayout w:type="fixed"/>
              <w:tblCellMar>
                <w:top w:w="58" w:type="dxa"/>
                <w:bottom w:w="58" w:type="dxa"/>
              </w:tblCellMar>
              <w:tblLook w:val="04A0" w:firstRow="1" w:lastRow="0" w:firstColumn="1" w:lastColumn="0" w:noHBand="0" w:noVBand="1"/>
            </w:tblPr>
            <w:tblGrid>
              <w:gridCol w:w="5284"/>
              <w:gridCol w:w="1611"/>
            </w:tblGrid>
            <w:tr w:rsidRPr="00074F3F" w:rsidR="00FA49BA" w:rsidTr="008B1FCB" w14:paraId="5ACBF659" w14:textId="77777777">
              <w:tc>
                <w:tcPr>
                  <w:tcW w:w="5284" w:type="dxa"/>
                </w:tcPr>
                <w:p w:rsidRPr="00074F3F" w:rsidR="00FA49BA" w:rsidP="00FA49BA" w:rsidRDefault="00FA49BA" w14:paraId="1DE71E9E" w14:textId="77777777">
                  <w:pPr>
                    <w:jc w:val="center"/>
                    <w:rPr>
                      <w:b/>
                      <w:bCs/>
                    </w:rPr>
                  </w:pPr>
                  <w:r w:rsidRPr="00074F3F">
                    <w:rPr>
                      <w:b/>
                      <w:bCs/>
                    </w:rPr>
                    <w:t>Issue</w:t>
                  </w:r>
                </w:p>
              </w:tc>
              <w:tc>
                <w:tcPr>
                  <w:tcW w:w="1611" w:type="dxa"/>
                </w:tcPr>
                <w:p w:rsidRPr="00074F3F" w:rsidR="00FA49BA" w:rsidP="00FA49BA" w:rsidRDefault="00FA49BA" w14:paraId="468E43CD" w14:textId="77777777">
                  <w:pPr>
                    <w:jc w:val="center"/>
                    <w:rPr>
                      <w:b/>
                      <w:bCs/>
                    </w:rPr>
                  </w:pPr>
                  <w:r w:rsidRPr="00074F3F">
                    <w:rPr>
                      <w:b/>
                      <w:bCs/>
                    </w:rPr>
                    <w:t>Allocation</w:t>
                  </w:r>
                </w:p>
              </w:tc>
            </w:tr>
            <w:tr w:rsidRPr="00074F3F" w:rsidR="00FA49BA" w:rsidTr="008B1FCB" w14:paraId="1EFF5B38" w14:textId="77777777">
              <w:tc>
                <w:tcPr>
                  <w:tcW w:w="5284" w:type="dxa"/>
                </w:tcPr>
                <w:p w:rsidRPr="00074F3F" w:rsidR="00FA49BA" w:rsidP="00FA49BA" w:rsidRDefault="005B48CB" w14:paraId="41BAC5A9" w14:textId="35423FAF">
                  <w:r w:rsidRPr="00074F3F">
                    <w:t xml:space="preserve">Scoping of </w:t>
                  </w:r>
                  <w:r w:rsidRPr="00074F3F" w:rsidR="006D0EF4">
                    <w:t>Track 2 Questions (b) – (k)</w:t>
                  </w:r>
                </w:p>
              </w:tc>
              <w:tc>
                <w:tcPr>
                  <w:tcW w:w="1611" w:type="dxa"/>
                </w:tcPr>
                <w:p w:rsidRPr="00074F3F" w:rsidR="00FA49BA" w:rsidP="00FA49BA" w:rsidRDefault="006925F0" w14:paraId="353DCD72" w14:textId="6773C619">
                  <w:pPr>
                    <w:jc w:val="center"/>
                  </w:pPr>
                  <w:r w:rsidRPr="00074F3F">
                    <w:t>3</w:t>
                  </w:r>
                  <w:r w:rsidRPr="00074F3F" w:rsidR="00FC3F96">
                    <w:t>0</w:t>
                  </w:r>
                  <w:r w:rsidRPr="00074F3F" w:rsidR="00125D5B">
                    <w:t>%</w:t>
                  </w:r>
                </w:p>
              </w:tc>
            </w:tr>
            <w:tr w:rsidRPr="00074F3F" w:rsidR="00FA49BA" w:rsidTr="008B1FCB" w14:paraId="7118308E" w14:textId="77777777">
              <w:tc>
                <w:tcPr>
                  <w:tcW w:w="5284" w:type="dxa"/>
                </w:tcPr>
                <w:p w:rsidRPr="00074F3F" w:rsidR="004C38C3" w:rsidP="00FA49BA" w:rsidRDefault="008B1FCB" w14:paraId="55F86BEF" w14:textId="545C33B2">
                  <w:r w:rsidRPr="00074F3F">
                    <w:t>Staff Gas Infrastructure Decommissioning Proposal</w:t>
                  </w:r>
                </w:p>
              </w:tc>
              <w:tc>
                <w:tcPr>
                  <w:tcW w:w="1611" w:type="dxa"/>
                </w:tcPr>
                <w:p w:rsidRPr="00074F3F" w:rsidR="00FA49BA" w:rsidP="00FA49BA" w:rsidRDefault="006925F0" w14:paraId="36518997" w14:textId="42464BBD">
                  <w:pPr>
                    <w:jc w:val="center"/>
                  </w:pPr>
                  <w:r w:rsidRPr="00074F3F">
                    <w:t>20</w:t>
                  </w:r>
                  <w:r w:rsidRPr="00074F3F" w:rsidR="00617A06">
                    <w:t>%</w:t>
                  </w:r>
                </w:p>
              </w:tc>
            </w:tr>
            <w:tr w:rsidRPr="00074F3F" w:rsidR="00FA49BA" w:rsidTr="008B1FCB" w14:paraId="7B16FC7A" w14:textId="77777777">
              <w:tc>
                <w:tcPr>
                  <w:tcW w:w="5284" w:type="dxa"/>
                </w:tcPr>
                <w:p w:rsidRPr="00074F3F" w:rsidR="00193E14" w:rsidP="00FA49BA" w:rsidRDefault="008B1FCB" w14:paraId="05236BB9" w14:textId="64A533FF">
                  <w:r w:rsidRPr="00074F3F">
                    <w:t>GO 177 Workshop and Reports</w:t>
                  </w:r>
                </w:p>
              </w:tc>
              <w:tc>
                <w:tcPr>
                  <w:tcW w:w="1611" w:type="dxa"/>
                </w:tcPr>
                <w:p w:rsidRPr="00074F3F" w:rsidR="00FA49BA" w:rsidP="00FA49BA" w:rsidRDefault="008D0AAC" w14:paraId="3AE8411E" w14:textId="57FDADD0">
                  <w:pPr>
                    <w:jc w:val="center"/>
                  </w:pPr>
                  <w:r w:rsidRPr="00074F3F">
                    <w:t>2</w:t>
                  </w:r>
                  <w:r w:rsidRPr="00074F3F" w:rsidR="00FC3F96">
                    <w:t>5</w:t>
                  </w:r>
                  <w:r w:rsidRPr="00074F3F">
                    <w:t>%</w:t>
                  </w:r>
                </w:p>
              </w:tc>
            </w:tr>
            <w:tr w:rsidRPr="00074F3F" w:rsidR="002A5B42" w:rsidTr="008B1FCB" w14:paraId="040DB2C6" w14:textId="77777777">
              <w:tc>
                <w:tcPr>
                  <w:tcW w:w="5284" w:type="dxa"/>
                </w:tcPr>
                <w:p w:rsidRPr="00074F3F" w:rsidR="002A5B42" w:rsidP="00FA49BA" w:rsidRDefault="00154761" w14:paraId="59EC318B" w14:textId="43537302">
                  <w:r w:rsidRPr="00074F3F">
                    <w:t>Transmission and Storage Decision</w:t>
                  </w:r>
                </w:p>
              </w:tc>
              <w:tc>
                <w:tcPr>
                  <w:tcW w:w="1611" w:type="dxa"/>
                </w:tcPr>
                <w:p w:rsidRPr="00074F3F" w:rsidR="002A5B42" w:rsidP="00FA49BA" w:rsidRDefault="00CF7D3C" w14:paraId="553597CF" w14:textId="085257CC">
                  <w:pPr>
                    <w:jc w:val="center"/>
                  </w:pPr>
                  <w:r w:rsidRPr="00074F3F">
                    <w:t>25%</w:t>
                  </w:r>
                </w:p>
              </w:tc>
            </w:tr>
          </w:tbl>
          <w:p w:rsidRPr="00074F3F" w:rsidR="00691528" w:rsidP="00EC6387" w:rsidRDefault="00691528" w14:paraId="3285939A" w14:textId="71AC3979">
            <w:pPr>
              <w:rPr>
                <w:color w:val="000000"/>
              </w:rPr>
            </w:pPr>
          </w:p>
        </w:tc>
        <w:tc>
          <w:tcPr>
            <w:tcW w:w="2250" w:type="dxa"/>
          </w:tcPr>
          <w:p w:rsidRPr="00074F3F" w:rsidR="00FE3BAE" w:rsidP="00EC6387" w:rsidRDefault="00512046" w14:paraId="497C4799" w14:textId="7C05A0BE">
            <w:pPr>
              <w:rPr>
                <w:color w:val="000000"/>
              </w:rPr>
            </w:pPr>
            <w:r>
              <w:rPr>
                <w:color w:val="000000"/>
              </w:rPr>
              <w:t>Noted, allocation of hours totals 100%.</w:t>
            </w:r>
          </w:p>
        </w:tc>
      </w:tr>
    </w:tbl>
    <w:p w:rsidRPr="00074F3F" w:rsidR="00A92D0B" w:rsidP="005B5B44" w:rsidRDefault="00A92D0B" w14:paraId="710BC7D6" w14:textId="15C8DA31">
      <w:pPr>
        <w:keepNext/>
        <w:numPr>
          <w:ilvl w:val="0"/>
          <w:numId w:val="9"/>
        </w:numPr>
        <w:spacing w:before="240" w:after="240"/>
        <w:rPr>
          <w:b/>
          <w:color w:val="000000"/>
        </w:rPr>
      </w:pPr>
      <w:r w:rsidRPr="00074F3F">
        <w:rPr>
          <w:b/>
          <w:color w:val="000000"/>
        </w:rPr>
        <w:t xml:space="preserve">Specific </w:t>
      </w:r>
      <w:r w:rsidRPr="00074F3F" w:rsidR="00CB52B1">
        <w:rPr>
          <w:b/>
          <w:color w:val="000000"/>
        </w:rPr>
        <w:t>Claim: *</w:t>
      </w:r>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810"/>
        <w:gridCol w:w="627"/>
        <w:gridCol w:w="273"/>
        <w:gridCol w:w="900"/>
        <w:gridCol w:w="736"/>
        <w:gridCol w:w="1424"/>
        <w:gridCol w:w="1260"/>
        <w:gridCol w:w="1080"/>
        <w:gridCol w:w="1260"/>
        <w:gridCol w:w="1535"/>
      </w:tblGrid>
      <w:tr w:rsidRPr="00074F3F" w:rsidR="00A92D0B" w:rsidTr="00357F5E" w14:paraId="780664A2" w14:textId="77777777">
        <w:trPr>
          <w:tblHeader/>
          <w:jc w:val="center"/>
        </w:trPr>
        <w:tc>
          <w:tcPr>
            <w:tcW w:w="7285" w:type="dxa"/>
            <w:gridSpan w:val="8"/>
            <w:tcBorders>
              <w:bottom w:val="single" w:color="auto" w:sz="4" w:space="0"/>
              <w:right w:val="single" w:color="auto" w:sz="24" w:space="0"/>
            </w:tcBorders>
          </w:tcPr>
          <w:p w:rsidRPr="00074F3F" w:rsidR="00A92D0B" w:rsidP="00DE3A5D" w:rsidRDefault="00A92D0B" w14:paraId="6BFE54DA" w14:textId="77777777">
            <w:pPr>
              <w:keepNext/>
              <w:keepLines/>
              <w:spacing w:before="60" w:after="60"/>
              <w:jc w:val="center"/>
              <w:rPr>
                <w:b/>
                <w:smallCaps/>
                <w:color w:val="000000"/>
              </w:rPr>
            </w:pPr>
            <w:r w:rsidRPr="00074F3F">
              <w:rPr>
                <w:b/>
                <w:smallCaps/>
                <w:color w:val="000000"/>
              </w:rPr>
              <w:t>Claimed</w:t>
            </w:r>
          </w:p>
        </w:tc>
        <w:tc>
          <w:tcPr>
            <w:tcW w:w="3875" w:type="dxa"/>
            <w:gridSpan w:val="3"/>
            <w:tcBorders>
              <w:left w:val="single" w:color="auto" w:sz="24" w:space="0"/>
              <w:bottom w:val="single" w:color="auto" w:sz="4" w:space="0"/>
            </w:tcBorders>
          </w:tcPr>
          <w:p w:rsidRPr="00074F3F" w:rsidR="00A92D0B" w:rsidP="00DE3A5D" w:rsidRDefault="00A92D0B" w14:paraId="170A0FA1" w14:textId="77777777">
            <w:pPr>
              <w:keepNext/>
              <w:keepLines/>
              <w:spacing w:before="60" w:after="60"/>
              <w:jc w:val="center"/>
              <w:rPr>
                <w:b/>
                <w:smallCaps/>
                <w:color w:val="000000"/>
              </w:rPr>
            </w:pPr>
            <w:r w:rsidRPr="00074F3F">
              <w:rPr>
                <w:b/>
                <w:smallCaps/>
                <w:color w:val="000000"/>
              </w:rPr>
              <w:t>CPUC Award</w:t>
            </w:r>
          </w:p>
        </w:tc>
      </w:tr>
      <w:tr w:rsidRPr="00074F3F" w:rsidR="00A92D0B" w:rsidTr="00EC6387" w14:paraId="0F5B6CAA"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E6E6E6"/>
          </w:tcPr>
          <w:p w:rsidRPr="00074F3F" w:rsidR="00A92D0B" w:rsidP="00DE3A5D" w:rsidRDefault="00A92D0B" w14:paraId="284F9031" w14:textId="77777777">
            <w:pPr>
              <w:keepNext/>
              <w:keepLines/>
              <w:spacing w:before="60" w:after="60"/>
              <w:jc w:val="center"/>
              <w:rPr>
                <w:b/>
              </w:rPr>
            </w:pPr>
            <w:r w:rsidRPr="00074F3F">
              <w:rPr>
                <w:b/>
              </w:rPr>
              <w:t>ATTORNEY, EXPERT, AND ADVOCATE FEES</w:t>
            </w:r>
          </w:p>
        </w:tc>
      </w:tr>
      <w:tr w:rsidRPr="00074F3F" w:rsidR="00A92D0B" w:rsidTr="00E85812" w14:paraId="5A70C962" w14:textId="77777777">
        <w:trPr>
          <w:jc w:val="center"/>
        </w:trPr>
        <w:tc>
          <w:tcPr>
            <w:tcW w:w="1255" w:type="dxa"/>
            <w:tcBorders>
              <w:top w:val="single" w:color="auto" w:sz="4" w:space="0"/>
              <w:bottom w:val="single" w:color="auto" w:sz="4" w:space="0"/>
            </w:tcBorders>
            <w:vAlign w:val="bottom"/>
          </w:tcPr>
          <w:p w:rsidRPr="00074F3F" w:rsidR="00A92D0B" w:rsidP="003B6A1B" w:rsidRDefault="00A92D0B" w14:paraId="41646676" w14:textId="77777777">
            <w:pPr>
              <w:keepNext/>
              <w:keepLines/>
              <w:spacing w:before="60" w:after="60"/>
              <w:jc w:val="center"/>
              <w:rPr>
                <w:b/>
                <w:color w:val="000000"/>
                <w:sz w:val="22"/>
                <w:szCs w:val="22"/>
              </w:rPr>
            </w:pPr>
            <w:r w:rsidRPr="00074F3F">
              <w:rPr>
                <w:b/>
                <w:color w:val="000000"/>
                <w:sz w:val="22"/>
                <w:szCs w:val="22"/>
              </w:rPr>
              <w:t>Item</w:t>
            </w:r>
          </w:p>
        </w:tc>
        <w:tc>
          <w:tcPr>
            <w:tcW w:w="810" w:type="dxa"/>
            <w:tcBorders>
              <w:top w:val="single" w:color="auto" w:sz="4" w:space="0"/>
              <w:bottom w:val="single" w:color="auto" w:sz="4" w:space="0"/>
            </w:tcBorders>
            <w:vAlign w:val="bottom"/>
          </w:tcPr>
          <w:p w:rsidRPr="00074F3F" w:rsidR="00A92D0B" w:rsidP="003B6A1B" w:rsidRDefault="00A92D0B" w14:paraId="43BB9941" w14:textId="77777777">
            <w:pPr>
              <w:keepNext/>
              <w:keepLines/>
              <w:spacing w:before="60" w:after="60"/>
              <w:jc w:val="center"/>
              <w:rPr>
                <w:b/>
                <w:color w:val="000000"/>
                <w:sz w:val="22"/>
                <w:szCs w:val="22"/>
              </w:rPr>
            </w:pPr>
            <w:r w:rsidRPr="00074F3F">
              <w:rPr>
                <w:b/>
                <w:color w:val="000000"/>
                <w:sz w:val="22"/>
                <w:szCs w:val="22"/>
              </w:rPr>
              <w:t>Year</w:t>
            </w:r>
          </w:p>
        </w:tc>
        <w:tc>
          <w:tcPr>
            <w:tcW w:w="900" w:type="dxa"/>
            <w:gridSpan w:val="2"/>
            <w:tcBorders>
              <w:top w:val="single" w:color="auto" w:sz="4" w:space="0"/>
              <w:bottom w:val="single" w:color="auto" w:sz="4" w:space="0"/>
            </w:tcBorders>
            <w:vAlign w:val="bottom"/>
          </w:tcPr>
          <w:p w:rsidRPr="00074F3F" w:rsidR="00A92D0B" w:rsidP="003B6A1B" w:rsidRDefault="00A92D0B" w14:paraId="0EF32B08" w14:textId="77777777">
            <w:pPr>
              <w:keepNext/>
              <w:keepLines/>
              <w:spacing w:before="60" w:after="60"/>
              <w:jc w:val="center"/>
              <w:rPr>
                <w:b/>
                <w:color w:val="000000"/>
                <w:sz w:val="22"/>
                <w:szCs w:val="22"/>
              </w:rPr>
            </w:pPr>
            <w:r w:rsidRPr="00074F3F">
              <w:rPr>
                <w:b/>
                <w:color w:val="000000"/>
                <w:sz w:val="22"/>
                <w:szCs w:val="22"/>
              </w:rPr>
              <w:t>Hours</w:t>
            </w:r>
          </w:p>
        </w:tc>
        <w:tc>
          <w:tcPr>
            <w:tcW w:w="900" w:type="dxa"/>
            <w:tcBorders>
              <w:top w:val="single" w:color="auto" w:sz="4" w:space="0"/>
              <w:bottom w:val="single" w:color="auto" w:sz="4" w:space="0"/>
            </w:tcBorders>
            <w:vAlign w:val="bottom"/>
          </w:tcPr>
          <w:p w:rsidRPr="00074F3F" w:rsidR="00A92D0B" w:rsidP="003B6A1B" w:rsidRDefault="00A92D0B" w14:paraId="21C69246" w14:textId="77777777">
            <w:pPr>
              <w:keepNext/>
              <w:keepLines/>
              <w:spacing w:before="60" w:after="60"/>
              <w:jc w:val="center"/>
              <w:rPr>
                <w:b/>
                <w:color w:val="000000"/>
                <w:sz w:val="22"/>
                <w:szCs w:val="22"/>
              </w:rPr>
            </w:pPr>
            <w:r w:rsidRPr="00074F3F">
              <w:rPr>
                <w:b/>
                <w:color w:val="000000"/>
                <w:sz w:val="22"/>
                <w:szCs w:val="22"/>
              </w:rPr>
              <w:t>Rate</w:t>
            </w:r>
            <w:r w:rsidRPr="00074F3F" w:rsidR="00E3786F">
              <w:rPr>
                <w:b/>
                <w:color w:val="000000"/>
                <w:sz w:val="22"/>
                <w:szCs w:val="22"/>
              </w:rPr>
              <w:t xml:space="preserve"> $</w:t>
            </w:r>
          </w:p>
        </w:tc>
        <w:tc>
          <w:tcPr>
            <w:tcW w:w="2160" w:type="dxa"/>
            <w:gridSpan w:val="2"/>
            <w:tcBorders>
              <w:top w:val="single" w:color="auto" w:sz="4" w:space="0"/>
              <w:bottom w:val="single" w:color="auto" w:sz="4" w:space="0"/>
              <w:right w:val="single" w:color="auto" w:sz="4" w:space="0"/>
            </w:tcBorders>
            <w:vAlign w:val="bottom"/>
          </w:tcPr>
          <w:p w:rsidRPr="00074F3F" w:rsidR="00A92D0B" w:rsidP="003B6A1B" w:rsidRDefault="00A92D0B" w14:paraId="59E63C07" w14:textId="77777777">
            <w:pPr>
              <w:keepNext/>
              <w:keepLines/>
              <w:spacing w:before="60" w:after="60"/>
              <w:jc w:val="center"/>
              <w:rPr>
                <w:b/>
                <w:color w:val="000000"/>
                <w:sz w:val="22"/>
                <w:szCs w:val="22"/>
              </w:rPr>
            </w:pPr>
            <w:r w:rsidRPr="00074F3F">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074F3F" w:rsidR="00A92D0B" w:rsidP="003B6A1B" w:rsidRDefault="00A92D0B" w14:paraId="7099C603" w14:textId="77777777">
            <w:pPr>
              <w:keepNext/>
              <w:keepLines/>
              <w:spacing w:before="60" w:after="60"/>
              <w:jc w:val="center"/>
              <w:rPr>
                <w:b/>
                <w:color w:val="000000"/>
                <w:sz w:val="22"/>
                <w:szCs w:val="22"/>
              </w:rPr>
            </w:pPr>
            <w:r w:rsidRPr="00074F3F">
              <w:rPr>
                <w:b/>
                <w:color w:val="000000"/>
                <w:sz w:val="22"/>
                <w:szCs w:val="22"/>
              </w:rPr>
              <w:t>Total $</w:t>
            </w:r>
          </w:p>
        </w:tc>
        <w:tc>
          <w:tcPr>
            <w:tcW w:w="1080" w:type="dxa"/>
            <w:tcBorders>
              <w:top w:val="single" w:color="auto" w:sz="4" w:space="0"/>
              <w:left w:val="single" w:color="auto" w:sz="4" w:space="0"/>
            </w:tcBorders>
            <w:vAlign w:val="bottom"/>
          </w:tcPr>
          <w:p w:rsidRPr="00074F3F" w:rsidR="00A92D0B" w:rsidP="003B6A1B" w:rsidRDefault="00A92D0B" w14:paraId="564E4964" w14:textId="77777777">
            <w:pPr>
              <w:keepNext/>
              <w:keepLines/>
              <w:spacing w:before="60" w:after="60"/>
              <w:jc w:val="center"/>
              <w:rPr>
                <w:b/>
                <w:color w:val="000000"/>
                <w:sz w:val="22"/>
                <w:szCs w:val="22"/>
              </w:rPr>
            </w:pPr>
            <w:r w:rsidRPr="00074F3F">
              <w:rPr>
                <w:b/>
                <w:color w:val="000000"/>
                <w:sz w:val="22"/>
                <w:szCs w:val="22"/>
              </w:rPr>
              <w:t>Hours</w:t>
            </w:r>
          </w:p>
        </w:tc>
        <w:tc>
          <w:tcPr>
            <w:tcW w:w="1260" w:type="dxa"/>
            <w:tcBorders>
              <w:top w:val="single" w:color="auto" w:sz="4" w:space="0"/>
            </w:tcBorders>
            <w:vAlign w:val="bottom"/>
          </w:tcPr>
          <w:p w:rsidRPr="00074F3F" w:rsidR="00A92D0B" w:rsidP="003B6A1B" w:rsidRDefault="00A92D0B" w14:paraId="1462552D" w14:textId="77777777">
            <w:pPr>
              <w:keepNext/>
              <w:keepLines/>
              <w:spacing w:before="60" w:after="60"/>
              <w:jc w:val="center"/>
              <w:rPr>
                <w:b/>
                <w:color w:val="000000"/>
                <w:sz w:val="22"/>
                <w:szCs w:val="22"/>
              </w:rPr>
            </w:pPr>
            <w:r w:rsidRPr="00074F3F">
              <w:rPr>
                <w:b/>
                <w:color w:val="000000"/>
                <w:sz w:val="22"/>
                <w:szCs w:val="22"/>
              </w:rPr>
              <w:t>Rate</w:t>
            </w:r>
            <w:r w:rsidRPr="00074F3F" w:rsidR="00E3786F">
              <w:rPr>
                <w:b/>
                <w:color w:val="000000"/>
                <w:sz w:val="22"/>
                <w:szCs w:val="22"/>
              </w:rPr>
              <w:t xml:space="preserve"> $</w:t>
            </w:r>
          </w:p>
        </w:tc>
        <w:tc>
          <w:tcPr>
            <w:tcW w:w="1535" w:type="dxa"/>
            <w:tcBorders>
              <w:top w:val="single" w:color="auto" w:sz="4" w:space="0"/>
            </w:tcBorders>
            <w:vAlign w:val="bottom"/>
          </w:tcPr>
          <w:p w:rsidRPr="00074F3F" w:rsidR="00A92D0B" w:rsidP="003B6A1B" w:rsidRDefault="00A92D0B" w14:paraId="1B6A5CA4" w14:textId="77777777">
            <w:pPr>
              <w:keepNext/>
              <w:keepLines/>
              <w:spacing w:before="60" w:after="60"/>
              <w:jc w:val="center"/>
              <w:rPr>
                <w:b/>
                <w:color w:val="000000"/>
                <w:sz w:val="22"/>
                <w:szCs w:val="22"/>
              </w:rPr>
            </w:pPr>
            <w:r w:rsidRPr="00074F3F">
              <w:rPr>
                <w:b/>
                <w:color w:val="000000"/>
                <w:sz w:val="22"/>
                <w:szCs w:val="22"/>
              </w:rPr>
              <w:t>Total $</w:t>
            </w:r>
          </w:p>
        </w:tc>
      </w:tr>
      <w:tr w:rsidRPr="00074F3F" w:rsidR="00771248" w:rsidTr="00E85812" w14:paraId="7F58BEFE" w14:textId="77777777">
        <w:trPr>
          <w:jc w:val="center"/>
        </w:trPr>
        <w:tc>
          <w:tcPr>
            <w:tcW w:w="1255" w:type="dxa"/>
          </w:tcPr>
          <w:p w:rsidRPr="00074F3F" w:rsidR="00771248" w:rsidP="00771248" w:rsidRDefault="00771248" w14:paraId="4B6D4A54" w14:textId="50797FB3">
            <w:pPr>
              <w:spacing w:before="60" w:after="60"/>
              <w:rPr>
                <w:color w:val="000000"/>
              </w:rPr>
            </w:pPr>
            <w:r w:rsidRPr="00074F3F">
              <w:rPr>
                <w:color w:val="000000"/>
              </w:rPr>
              <w:t>Elizabeth Kelly</w:t>
            </w:r>
          </w:p>
        </w:tc>
        <w:tc>
          <w:tcPr>
            <w:tcW w:w="810" w:type="dxa"/>
          </w:tcPr>
          <w:p w:rsidRPr="00074F3F" w:rsidR="00771248" w:rsidP="00771248" w:rsidRDefault="00771248" w14:paraId="3AC9622A" w14:textId="2B214F6B">
            <w:pPr>
              <w:spacing w:before="60" w:after="60"/>
              <w:jc w:val="center"/>
              <w:rPr>
                <w:color w:val="000000"/>
              </w:rPr>
            </w:pPr>
            <w:r w:rsidRPr="00074F3F">
              <w:rPr>
                <w:color w:val="000000"/>
              </w:rPr>
              <w:t>2022</w:t>
            </w:r>
          </w:p>
        </w:tc>
        <w:tc>
          <w:tcPr>
            <w:tcW w:w="900" w:type="dxa"/>
            <w:gridSpan w:val="2"/>
          </w:tcPr>
          <w:p w:rsidRPr="00074F3F" w:rsidR="00771248" w:rsidP="00771248" w:rsidRDefault="000162AD" w14:paraId="5AC7C371" w14:textId="06E8179D">
            <w:pPr>
              <w:spacing w:before="60" w:after="60"/>
              <w:jc w:val="center"/>
              <w:rPr>
                <w:color w:val="000000"/>
              </w:rPr>
            </w:pPr>
            <w:r w:rsidRPr="00074F3F">
              <w:rPr>
                <w:color w:val="000000"/>
              </w:rPr>
              <w:t>29.60</w:t>
            </w:r>
          </w:p>
        </w:tc>
        <w:tc>
          <w:tcPr>
            <w:tcW w:w="900" w:type="dxa"/>
          </w:tcPr>
          <w:p w:rsidRPr="00074F3F" w:rsidR="00771248" w:rsidP="00771248" w:rsidRDefault="004302EB" w14:paraId="3CA1AC41" w14:textId="59053E4A">
            <w:pPr>
              <w:spacing w:before="60" w:after="60"/>
              <w:jc w:val="right"/>
              <w:rPr>
                <w:color w:val="000000"/>
              </w:rPr>
            </w:pPr>
            <w:r w:rsidRPr="00074F3F">
              <w:rPr>
                <w:color w:val="000000"/>
              </w:rPr>
              <w:t>625</w:t>
            </w:r>
          </w:p>
        </w:tc>
        <w:tc>
          <w:tcPr>
            <w:tcW w:w="2160" w:type="dxa"/>
            <w:gridSpan w:val="2"/>
            <w:tcBorders>
              <w:right w:val="single" w:color="auto" w:sz="4" w:space="0"/>
            </w:tcBorders>
          </w:tcPr>
          <w:p w:rsidRPr="00074F3F" w:rsidR="00771248" w:rsidP="00771248" w:rsidRDefault="00771248" w14:paraId="215A0A2A" w14:textId="64FADDB5">
            <w:pPr>
              <w:spacing w:before="60" w:after="60"/>
              <w:rPr>
                <w:color w:val="000000"/>
              </w:rPr>
            </w:pPr>
            <w:r w:rsidRPr="00074F3F">
              <w:rPr>
                <w:color w:val="000000"/>
              </w:rPr>
              <w:t>Intervenor Compensation Rate for Attorney V</w:t>
            </w:r>
          </w:p>
        </w:tc>
        <w:tc>
          <w:tcPr>
            <w:tcW w:w="1260" w:type="dxa"/>
            <w:tcBorders>
              <w:top w:val="single" w:color="auto" w:sz="4" w:space="0"/>
              <w:left w:val="single" w:color="auto" w:sz="4" w:space="0"/>
              <w:bottom w:val="single" w:color="auto" w:sz="4" w:space="0"/>
              <w:right w:val="single" w:color="auto" w:sz="24" w:space="0"/>
            </w:tcBorders>
          </w:tcPr>
          <w:p w:rsidRPr="00074F3F" w:rsidR="00771248" w:rsidP="00771248" w:rsidRDefault="007E5D42" w14:paraId="1644AADA" w14:textId="1D106677">
            <w:pPr>
              <w:spacing w:before="60" w:after="60"/>
              <w:jc w:val="right"/>
              <w:rPr>
                <w:color w:val="000000"/>
              </w:rPr>
            </w:pPr>
            <w:r w:rsidRPr="00074F3F">
              <w:rPr>
                <w:color w:val="000000"/>
              </w:rPr>
              <w:t>18,500</w:t>
            </w:r>
          </w:p>
        </w:tc>
        <w:tc>
          <w:tcPr>
            <w:tcW w:w="1080" w:type="dxa"/>
            <w:tcBorders>
              <w:left w:val="single" w:color="auto" w:sz="4" w:space="0"/>
            </w:tcBorders>
          </w:tcPr>
          <w:p w:rsidRPr="00D5073D" w:rsidR="00771248" w:rsidP="0085358F" w:rsidRDefault="009F39D4" w14:paraId="635B2C82" w14:textId="246DFECD">
            <w:pPr>
              <w:spacing w:before="60" w:after="60"/>
              <w:jc w:val="center"/>
              <w:rPr>
                <w:color w:val="000000"/>
              </w:rPr>
            </w:pPr>
            <w:r>
              <w:rPr>
                <w:color w:val="000000"/>
              </w:rPr>
              <w:t>29.60</w:t>
            </w:r>
            <w:r w:rsidRPr="00D5073D" w:rsidR="006F3B19">
              <w:rPr>
                <w:color w:val="000000"/>
              </w:rPr>
              <w:t xml:space="preserve"> </w:t>
            </w:r>
          </w:p>
        </w:tc>
        <w:tc>
          <w:tcPr>
            <w:tcW w:w="1260" w:type="dxa"/>
          </w:tcPr>
          <w:p w:rsidRPr="00D5073D" w:rsidR="00771248" w:rsidP="0085358F" w:rsidRDefault="005A6454" w14:paraId="3BC763B9" w14:textId="7A11DB3B">
            <w:pPr>
              <w:spacing w:before="60" w:after="60"/>
              <w:jc w:val="center"/>
              <w:rPr>
                <w:color w:val="000000"/>
              </w:rPr>
            </w:pPr>
            <w:r w:rsidRPr="00D5073D">
              <w:rPr>
                <w:color w:val="000000"/>
              </w:rPr>
              <w:t>$</w:t>
            </w:r>
            <w:r w:rsidRPr="00D5073D" w:rsidR="00742CDC">
              <w:rPr>
                <w:color w:val="000000"/>
              </w:rPr>
              <w:t>570.00 [1]</w:t>
            </w:r>
            <w:r w:rsidR="00EA3745">
              <w:rPr>
                <w:color w:val="000000"/>
              </w:rPr>
              <w:t>, [</w:t>
            </w:r>
            <w:r w:rsidR="0015254F">
              <w:rPr>
                <w:color w:val="000000"/>
              </w:rPr>
              <w:t>8</w:t>
            </w:r>
            <w:r w:rsidR="00EA3745">
              <w:rPr>
                <w:color w:val="000000"/>
              </w:rPr>
              <w:t>]</w:t>
            </w:r>
          </w:p>
        </w:tc>
        <w:tc>
          <w:tcPr>
            <w:tcW w:w="1535" w:type="dxa"/>
          </w:tcPr>
          <w:p w:rsidRPr="00034C60" w:rsidR="00771248" w:rsidP="0085358F" w:rsidRDefault="00870A2D" w14:paraId="6B498AA5" w14:textId="7F6F9E08">
            <w:pPr>
              <w:spacing w:before="60" w:after="60"/>
              <w:jc w:val="center"/>
              <w:rPr>
                <w:color w:val="000000"/>
                <w:highlight w:val="yellow"/>
              </w:rPr>
            </w:pPr>
            <w:r w:rsidRPr="00870A2D">
              <w:rPr>
                <w:color w:val="000000"/>
              </w:rPr>
              <w:t xml:space="preserve">$16,872.00 </w:t>
            </w:r>
          </w:p>
        </w:tc>
      </w:tr>
      <w:tr w:rsidRPr="00074F3F" w:rsidR="00771248" w:rsidTr="00E85812" w14:paraId="0B874B12" w14:textId="77777777">
        <w:trPr>
          <w:jc w:val="center"/>
        </w:trPr>
        <w:tc>
          <w:tcPr>
            <w:tcW w:w="1255" w:type="dxa"/>
          </w:tcPr>
          <w:p w:rsidRPr="00074F3F" w:rsidR="00771248" w:rsidP="00771248" w:rsidRDefault="00771248" w14:paraId="16B0B06B" w14:textId="403D9242">
            <w:pPr>
              <w:spacing w:before="60" w:after="60"/>
              <w:rPr>
                <w:color w:val="000000"/>
              </w:rPr>
            </w:pPr>
            <w:r w:rsidRPr="00074F3F">
              <w:rPr>
                <w:color w:val="000000"/>
              </w:rPr>
              <w:t>Elizabeth Kelly</w:t>
            </w:r>
          </w:p>
        </w:tc>
        <w:tc>
          <w:tcPr>
            <w:tcW w:w="810" w:type="dxa"/>
          </w:tcPr>
          <w:p w:rsidRPr="00074F3F" w:rsidR="00771248" w:rsidP="00771248" w:rsidRDefault="00771248" w14:paraId="136CBA23" w14:textId="71F55193">
            <w:pPr>
              <w:spacing w:before="60" w:after="60"/>
              <w:jc w:val="center"/>
              <w:rPr>
                <w:color w:val="000000"/>
              </w:rPr>
            </w:pPr>
            <w:r w:rsidRPr="00074F3F">
              <w:rPr>
                <w:color w:val="000000"/>
              </w:rPr>
              <w:t>2023</w:t>
            </w:r>
          </w:p>
        </w:tc>
        <w:tc>
          <w:tcPr>
            <w:tcW w:w="900" w:type="dxa"/>
            <w:gridSpan w:val="2"/>
          </w:tcPr>
          <w:p w:rsidRPr="00074F3F" w:rsidR="00771248" w:rsidP="00771248" w:rsidRDefault="00CD3413" w14:paraId="4D2D8C35" w14:textId="57974DB5">
            <w:pPr>
              <w:spacing w:before="60" w:after="60"/>
              <w:jc w:val="center"/>
              <w:rPr>
                <w:color w:val="000000"/>
              </w:rPr>
            </w:pPr>
            <w:r w:rsidRPr="00074F3F">
              <w:rPr>
                <w:color w:val="000000"/>
              </w:rPr>
              <w:t>40.90</w:t>
            </w:r>
          </w:p>
        </w:tc>
        <w:tc>
          <w:tcPr>
            <w:tcW w:w="900" w:type="dxa"/>
          </w:tcPr>
          <w:p w:rsidRPr="00074F3F" w:rsidR="00771248" w:rsidP="00771248" w:rsidRDefault="003A541D" w14:paraId="6768AFA2" w14:textId="2C0D84B8">
            <w:pPr>
              <w:spacing w:before="60" w:after="60"/>
              <w:jc w:val="right"/>
              <w:rPr>
                <w:color w:val="000000"/>
              </w:rPr>
            </w:pPr>
            <w:r w:rsidRPr="00074F3F">
              <w:rPr>
                <w:color w:val="000000"/>
              </w:rPr>
              <w:t>710</w:t>
            </w:r>
          </w:p>
        </w:tc>
        <w:tc>
          <w:tcPr>
            <w:tcW w:w="2160" w:type="dxa"/>
            <w:gridSpan w:val="2"/>
            <w:tcBorders>
              <w:right w:val="single" w:color="auto" w:sz="4" w:space="0"/>
            </w:tcBorders>
          </w:tcPr>
          <w:p w:rsidRPr="00074F3F" w:rsidR="00771248" w:rsidP="00771248" w:rsidRDefault="00771248" w14:paraId="3626C6A6" w14:textId="1CA79381">
            <w:pPr>
              <w:spacing w:before="60" w:after="60"/>
              <w:rPr>
                <w:color w:val="000000"/>
              </w:rPr>
            </w:pPr>
            <w:r w:rsidRPr="00074F3F">
              <w:rPr>
                <w:color w:val="000000"/>
              </w:rPr>
              <w:t>Intervenor Compensation Rate for Attorney V</w:t>
            </w:r>
          </w:p>
        </w:tc>
        <w:tc>
          <w:tcPr>
            <w:tcW w:w="1260" w:type="dxa"/>
            <w:tcBorders>
              <w:top w:val="single" w:color="auto" w:sz="4" w:space="0"/>
              <w:left w:val="single" w:color="auto" w:sz="4" w:space="0"/>
              <w:bottom w:val="single" w:color="auto" w:sz="4" w:space="0"/>
              <w:right w:val="single" w:color="auto" w:sz="24" w:space="0"/>
            </w:tcBorders>
          </w:tcPr>
          <w:p w:rsidRPr="00074F3F" w:rsidR="00771248" w:rsidP="00771248" w:rsidRDefault="00E87BB7" w14:paraId="089F9E42" w14:textId="1D9D893B">
            <w:pPr>
              <w:spacing w:before="60" w:after="60"/>
              <w:jc w:val="right"/>
              <w:rPr>
                <w:color w:val="000000"/>
              </w:rPr>
            </w:pPr>
            <w:r w:rsidRPr="00074F3F">
              <w:rPr>
                <w:color w:val="000000"/>
              </w:rPr>
              <w:t>29,039</w:t>
            </w:r>
          </w:p>
        </w:tc>
        <w:tc>
          <w:tcPr>
            <w:tcW w:w="1080" w:type="dxa"/>
            <w:tcBorders>
              <w:left w:val="single" w:color="auto" w:sz="4" w:space="0"/>
            </w:tcBorders>
          </w:tcPr>
          <w:p w:rsidR="00CB7878" w:rsidP="0085358F" w:rsidRDefault="00CB7878" w14:paraId="665B9794" w14:textId="051BB59A">
            <w:pPr>
              <w:spacing w:before="60" w:after="60"/>
              <w:jc w:val="center"/>
              <w:rPr>
                <w:color w:val="000000"/>
              </w:rPr>
            </w:pPr>
            <w:r w:rsidRPr="00CB7878">
              <w:rPr>
                <w:color w:val="000000"/>
              </w:rPr>
              <w:t>11.00</w:t>
            </w:r>
            <w:r w:rsidRPr="00D5073D" w:rsidR="00361EB1">
              <w:rPr>
                <w:color w:val="000000"/>
              </w:rPr>
              <w:t xml:space="preserve"> </w:t>
            </w:r>
          </w:p>
          <w:p w:rsidRPr="00D5073D" w:rsidR="00771248" w:rsidP="0085358F" w:rsidRDefault="00BC6D13" w14:paraId="6E86F62F" w14:textId="64B2F046">
            <w:pPr>
              <w:spacing w:before="60" w:after="60"/>
              <w:jc w:val="center"/>
              <w:rPr>
                <w:color w:val="000000"/>
              </w:rPr>
            </w:pPr>
            <w:r w:rsidRPr="00D5073D">
              <w:rPr>
                <w:color w:val="000000"/>
              </w:rPr>
              <w:t>[4]</w:t>
            </w:r>
            <w:r w:rsidR="00D055A0">
              <w:rPr>
                <w:color w:val="000000"/>
              </w:rPr>
              <w:t>, [6]</w:t>
            </w:r>
            <w:r w:rsidR="00013B5B">
              <w:rPr>
                <w:color w:val="000000"/>
              </w:rPr>
              <w:t>,</w:t>
            </w:r>
            <w:r w:rsidR="00D20D43">
              <w:rPr>
                <w:color w:val="000000"/>
              </w:rPr>
              <w:t xml:space="preserve"> </w:t>
            </w:r>
            <w:r w:rsidR="00013B5B">
              <w:rPr>
                <w:color w:val="000000"/>
              </w:rPr>
              <w:t>[7]</w:t>
            </w:r>
          </w:p>
        </w:tc>
        <w:tc>
          <w:tcPr>
            <w:tcW w:w="1260" w:type="dxa"/>
          </w:tcPr>
          <w:p w:rsidRPr="00D5073D" w:rsidR="00771248" w:rsidP="0085358F" w:rsidRDefault="00742CDC" w14:paraId="4A9F495B" w14:textId="347068B5">
            <w:pPr>
              <w:spacing w:before="60" w:after="60"/>
              <w:jc w:val="center"/>
              <w:rPr>
                <w:color w:val="000000"/>
              </w:rPr>
            </w:pPr>
            <w:r w:rsidRPr="00D5073D">
              <w:rPr>
                <w:color w:val="000000"/>
              </w:rPr>
              <w:t>$</w:t>
            </w:r>
            <w:r w:rsidR="004F3749">
              <w:rPr>
                <w:color w:val="000000"/>
              </w:rPr>
              <w:t>625</w:t>
            </w:r>
            <w:r w:rsidRPr="00D5073D" w:rsidR="00AC51FB">
              <w:rPr>
                <w:color w:val="000000"/>
              </w:rPr>
              <w:t>.00</w:t>
            </w:r>
            <w:r w:rsidRPr="00D5073D">
              <w:rPr>
                <w:color w:val="000000"/>
              </w:rPr>
              <w:t xml:space="preserve"> [</w:t>
            </w:r>
            <w:r w:rsidRPr="00D5073D" w:rsidR="009E04B3">
              <w:rPr>
                <w:color w:val="000000"/>
              </w:rPr>
              <w:t>1</w:t>
            </w:r>
            <w:r w:rsidRPr="00D5073D">
              <w:rPr>
                <w:color w:val="000000"/>
              </w:rPr>
              <w:t>]</w:t>
            </w:r>
            <w:r w:rsidR="00864CBD">
              <w:rPr>
                <w:color w:val="000000"/>
              </w:rPr>
              <w:t>, [</w:t>
            </w:r>
            <w:r w:rsidR="0015254F">
              <w:rPr>
                <w:color w:val="000000"/>
              </w:rPr>
              <w:t>8</w:t>
            </w:r>
            <w:r w:rsidR="00864CBD">
              <w:rPr>
                <w:color w:val="000000"/>
              </w:rPr>
              <w:t>]</w:t>
            </w:r>
          </w:p>
        </w:tc>
        <w:tc>
          <w:tcPr>
            <w:tcW w:w="1535" w:type="dxa"/>
          </w:tcPr>
          <w:p w:rsidRPr="00074F3F" w:rsidR="00771248" w:rsidP="0085358F" w:rsidRDefault="00D14576" w14:paraId="5BCE11A2" w14:textId="47CDA4A2">
            <w:pPr>
              <w:spacing w:before="60" w:after="60"/>
              <w:jc w:val="center"/>
              <w:rPr>
                <w:color w:val="000000"/>
              </w:rPr>
            </w:pPr>
            <w:r w:rsidRPr="00D14576">
              <w:rPr>
                <w:color w:val="000000"/>
              </w:rPr>
              <w:t xml:space="preserve">$6,875.00 </w:t>
            </w:r>
          </w:p>
        </w:tc>
      </w:tr>
      <w:tr w:rsidRPr="00074F3F" w:rsidR="00FC3F96" w:rsidTr="00E85812" w14:paraId="3C51F1C3" w14:textId="77777777">
        <w:trPr>
          <w:jc w:val="center"/>
        </w:trPr>
        <w:tc>
          <w:tcPr>
            <w:tcW w:w="1255" w:type="dxa"/>
          </w:tcPr>
          <w:p w:rsidRPr="00074F3F" w:rsidR="00FC3F96" w:rsidP="00FC3F96" w:rsidRDefault="00FC3F96" w14:paraId="15B603CE" w14:textId="0FFEAE9D">
            <w:pPr>
              <w:spacing w:before="60" w:after="60"/>
              <w:rPr>
                <w:color w:val="000000"/>
              </w:rPr>
            </w:pPr>
            <w:r w:rsidRPr="00074F3F">
              <w:rPr>
                <w:color w:val="000000"/>
              </w:rPr>
              <w:t>Michael Colvin</w:t>
            </w:r>
          </w:p>
        </w:tc>
        <w:tc>
          <w:tcPr>
            <w:tcW w:w="810" w:type="dxa"/>
          </w:tcPr>
          <w:p w:rsidRPr="00074F3F" w:rsidR="00FC3F96" w:rsidP="00FC3F96" w:rsidRDefault="00FC3F96" w14:paraId="02BCA438" w14:textId="387D8425">
            <w:pPr>
              <w:spacing w:before="60" w:after="60"/>
              <w:jc w:val="center"/>
              <w:rPr>
                <w:color w:val="000000"/>
              </w:rPr>
            </w:pPr>
            <w:r w:rsidRPr="00074F3F">
              <w:rPr>
                <w:color w:val="000000"/>
              </w:rPr>
              <w:t>2023</w:t>
            </w:r>
          </w:p>
        </w:tc>
        <w:tc>
          <w:tcPr>
            <w:tcW w:w="900" w:type="dxa"/>
            <w:gridSpan w:val="2"/>
          </w:tcPr>
          <w:p w:rsidRPr="00074F3F" w:rsidR="00FC3F96" w:rsidP="00FC3F96" w:rsidRDefault="00074F3F" w14:paraId="19F4BC88" w14:textId="403C3693">
            <w:pPr>
              <w:spacing w:before="60" w:after="60"/>
              <w:jc w:val="center"/>
              <w:rPr>
                <w:color w:val="000000"/>
              </w:rPr>
            </w:pPr>
            <w:r w:rsidRPr="00074F3F">
              <w:rPr>
                <w:color w:val="000000"/>
              </w:rPr>
              <w:t>7</w:t>
            </w:r>
            <w:r w:rsidR="00214C32">
              <w:rPr>
                <w:color w:val="000000"/>
              </w:rPr>
              <w:t>.00</w:t>
            </w:r>
          </w:p>
        </w:tc>
        <w:tc>
          <w:tcPr>
            <w:tcW w:w="900" w:type="dxa"/>
          </w:tcPr>
          <w:p w:rsidRPr="00074F3F" w:rsidR="00FC3F96" w:rsidP="00FC3F96" w:rsidRDefault="00FC3F96" w14:paraId="5CF16C1F" w14:textId="42434161">
            <w:pPr>
              <w:spacing w:before="60" w:after="60"/>
              <w:jc w:val="right"/>
              <w:rPr>
                <w:color w:val="000000"/>
              </w:rPr>
            </w:pPr>
            <w:r w:rsidRPr="00074F3F">
              <w:rPr>
                <w:color w:val="000000"/>
              </w:rPr>
              <w:t>702</w:t>
            </w:r>
          </w:p>
        </w:tc>
        <w:tc>
          <w:tcPr>
            <w:tcW w:w="2160" w:type="dxa"/>
            <w:gridSpan w:val="2"/>
            <w:tcBorders>
              <w:right w:val="single" w:color="auto" w:sz="4" w:space="0"/>
            </w:tcBorders>
          </w:tcPr>
          <w:p w:rsidRPr="00074F3F" w:rsidR="00FC3F96" w:rsidP="00FC3F96" w:rsidRDefault="00FC3F96" w14:paraId="34CDD361" w14:textId="292FFA16">
            <w:pPr>
              <w:spacing w:before="60" w:after="60"/>
              <w:rPr>
                <w:color w:val="000000"/>
              </w:rPr>
            </w:pPr>
            <w:r w:rsidRPr="00074F3F">
              <w:rPr>
                <w:color w:val="000000"/>
              </w:rPr>
              <w:t>Intervenor Compensation Rate for Public Policy Analyst V</w:t>
            </w:r>
          </w:p>
        </w:tc>
        <w:tc>
          <w:tcPr>
            <w:tcW w:w="1260" w:type="dxa"/>
            <w:tcBorders>
              <w:top w:val="single" w:color="auto" w:sz="4" w:space="0"/>
              <w:left w:val="single" w:color="auto" w:sz="4" w:space="0"/>
              <w:bottom w:val="single" w:color="auto" w:sz="4" w:space="0"/>
              <w:right w:val="single" w:color="auto" w:sz="24" w:space="0"/>
            </w:tcBorders>
          </w:tcPr>
          <w:p w:rsidRPr="00074F3F" w:rsidR="00FC3F96" w:rsidP="00FC3F96" w:rsidRDefault="00074F3F" w14:paraId="5732FC37" w14:textId="229337E5">
            <w:pPr>
              <w:spacing w:before="60" w:after="60"/>
              <w:jc w:val="right"/>
              <w:rPr>
                <w:color w:val="000000"/>
              </w:rPr>
            </w:pPr>
            <w:r w:rsidRPr="00074F3F">
              <w:rPr>
                <w:color w:val="000000"/>
              </w:rPr>
              <w:t>4,914</w:t>
            </w:r>
          </w:p>
        </w:tc>
        <w:tc>
          <w:tcPr>
            <w:tcW w:w="1080" w:type="dxa"/>
            <w:tcBorders>
              <w:left w:val="single" w:color="auto" w:sz="4" w:space="0"/>
            </w:tcBorders>
          </w:tcPr>
          <w:p w:rsidR="00373D5C" w:rsidP="0085358F" w:rsidRDefault="00373D5C" w14:paraId="1D3E0F37" w14:textId="384A8615">
            <w:pPr>
              <w:spacing w:before="60" w:after="60"/>
              <w:jc w:val="center"/>
              <w:rPr>
                <w:color w:val="000000"/>
              </w:rPr>
            </w:pPr>
            <w:r w:rsidRPr="00373D5C">
              <w:rPr>
                <w:color w:val="000000"/>
              </w:rPr>
              <w:t>4.00</w:t>
            </w:r>
          </w:p>
          <w:p w:rsidRPr="00074F3F" w:rsidR="00FC3F96" w:rsidP="0085358F" w:rsidRDefault="00BC6D13" w14:paraId="5A02AADD" w14:textId="3026275F">
            <w:pPr>
              <w:spacing w:before="60" w:after="60"/>
              <w:jc w:val="center"/>
              <w:rPr>
                <w:color w:val="000000"/>
              </w:rPr>
            </w:pPr>
            <w:r>
              <w:rPr>
                <w:color w:val="000000"/>
              </w:rPr>
              <w:t>[5]</w:t>
            </w:r>
            <w:r w:rsidR="00D055A0">
              <w:rPr>
                <w:color w:val="000000"/>
              </w:rPr>
              <w:t>, [</w:t>
            </w:r>
            <w:r w:rsidR="0086578D">
              <w:rPr>
                <w:color w:val="000000"/>
              </w:rPr>
              <w:t>7</w:t>
            </w:r>
            <w:r w:rsidR="00D055A0">
              <w:rPr>
                <w:color w:val="000000"/>
              </w:rPr>
              <w:t>]</w:t>
            </w:r>
          </w:p>
        </w:tc>
        <w:tc>
          <w:tcPr>
            <w:tcW w:w="1260" w:type="dxa"/>
          </w:tcPr>
          <w:p w:rsidRPr="00420C38" w:rsidR="00FC3F96" w:rsidP="0085358F" w:rsidRDefault="0069546E" w14:paraId="3361B4CE" w14:textId="6734FEEB">
            <w:pPr>
              <w:spacing w:before="60" w:after="60"/>
              <w:jc w:val="center"/>
              <w:rPr>
                <w:color w:val="000000"/>
              </w:rPr>
            </w:pPr>
            <w:r w:rsidRPr="00420C38">
              <w:rPr>
                <w:color w:val="000000"/>
              </w:rPr>
              <w:t xml:space="preserve">$545.00 </w:t>
            </w:r>
            <w:r w:rsidRPr="00420C38" w:rsidR="00537916">
              <w:rPr>
                <w:color w:val="000000"/>
              </w:rPr>
              <w:t>[2</w:t>
            </w:r>
            <w:r w:rsidRPr="00420C38" w:rsidR="00F36E98">
              <w:rPr>
                <w:color w:val="000000"/>
              </w:rPr>
              <w:t>]</w:t>
            </w:r>
          </w:p>
        </w:tc>
        <w:tc>
          <w:tcPr>
            <w:tcW w:w="1535" w:type="dxa"/>
          </w:tcPr>
          <w:p w:rsidRPr="00DC3D77" w:rsidR="00FC3F96" w:rsidP="0085358F" w:rsidRDefault="00D14576" w14:paraId="4662187B" w14:textId="12BBCF4A">
            <w:pPr>
              <w:spacing w:before="60" w:after="60"/>
              <w:jc w:val="center"/>
              <w:rPr>
                <w:color w:val="000000"/>
                <w:highlight w:val="yellow"/>
              </w:rPr>
            </w:pPr>
            <w:r w:rsidRPr="00D14576">
              <w:rPr>
                <w:color w:val="000000"/>
              </w:rPr>
              <w:t xml:space="preserve">$2,180.00 </w:t>
            </w:r>
          </w:p>
        </w:tc>
      </w:tr>
      <w:tr w:rsidRPr="00074F3F" w:rsidR="00FC3F96" w:rsidTr="00E85812" w14:paraId="6A745078" w14:textId="77777777">
        <w:trPr>
          <w:jc w:val="center"/>
        </w:trPr>
        <w:tc>
          <w:tcPr>
            <w:tcW w:w="1255" w:type="dxa"/>
          </w:tcPr>
          <w:p w:rsidRPr="00074F3F" w:rsidR="00FC3F96" w:rsidP="00FC3F96" w:rsidRDefault="00FC3F96" w14:paraId="4A259F6D" w14:textId="3099DB49">
            <w:pPr>
              <w:spacing w:before="60" w:after="60"/>
              <w:rPr>
                <w:color w:val="000000"/>
              </w:rPr>
            </w:pPr>
            <w:r w:rsidRPr="00074F3F">
              <w:rPr>
                <w:color w:val="000000"/>
              </w:rPr>
              <w:t>Joon Hun Seong</w:t>
            </w:r>
          </w:p>
        </w:tc>
        <w:tc>
          <w:tcPr>
            <w:tcW w:w="810" w:type="dxa"/>
          </w:tcPr>
          <w:p w:rsidRPr="00074F3F" w:rsidR="00FC3F96" w:rsidP="00FC3F96" w:rsidRDefault="00FC3F96" w14:paraId="2061FFED" w14:textId="197E4954">
            <w:pPr>
              <w:spacing w:before="60" w:after="60"/>
              <w:jc w:val="center"/>
              <w:rPr>
                <w:color w:val="000000"/>
              </w:rPr>
            </w:pPr>
            <w:r w:rsidRPr="00074F3F">
              <w:rPr>
                <w:color w:val="000000"/>
              </w:rPr>
              <w:t>2023</w:t>
            </w:r>
          </w:p>
        </w:tc>
        <w:tc>
          <w:tcPr>
            <w:tcW w:w="900" w:type="dxa"/>
            <w:gridSpan w:val="2"/>
          </w:tcPr>
          <w:p w:rsidRPr="00074F3F" w:rsidR="00FC3F96" w:rsidP="00FC3F96" w:rsidRDefault="002C38AB" w14:paraId="1CCFCBC6" w14:textId="565F60F3">
            <w:pPr>
              <w:spacing w:before="60" w:after="60"/>
              <w:jc w:val="center"/>
              <w:rPr>
                <w:color w:val="000000"/>
              </w:rPr>
            </w:pPr>
            <w:r>
              <w:rPr>
                <w:color w:val="000000"/>
              </w:rPr>
              <w:t>29.90</w:t>
            </w:r>
          </w:p>
          <w:p w:rsidRPr="00074F3F" w:rsidR="00FC3F96" w:rsidP="00FC3F96" w:rsidRDefault="00FC3F96" w14:paraId="6AA3ED14" w14:textId="7EDE4200">
            <w:pPr>
              <w:spacing w:before="60" w:after="60"/>
              <w:jc w:val="center"/>
              <w:rPr>
                <w:color w:val="000000"/>
              </w:rPr>
            </w:pPr>
          </w:p>
        </w:tc>
        <w:tc>
          <w:tcPr>
            <w:tcW w:w="900" w:type="dxa"/>
          </w:tcPr>
          <w:p w:rsidRPr="00074F3F" w:rsidR="00FC3F96" w:rsidP="00FC3F96" w:rsidRDefault="00FC3F96" w14:paraId="2DCB0B22" w14:textId="6AC91D81">
            <w:pPr>
              <w:spacing w:before="60" w:after="60"/>
              <w:jc w:val="right"/>
              <w:rPr>
                <w:color w:val="000000"/>
              </w:rPr>
            </w:pPr>
            <w:r w:rsidRPr="00074F3F">
              <w:rPr>
                <w:color w:val="000000"/>
              </w:rPr>
              <w:t>357</w:t>
            </w:r>
          </w:p>
        </w:tc>
        <w:tc>
          <w:tcPr>
            <w:tcW w:w="2160" w:type="dxa"/>
            <w:gridSpan w:val="2"/>
            <w:tcBorders>
              <w:right w:val="single" w:color="auto" w:sz="4" w:space="0"/>
            </w:tcBorders>
          </w:tcPr>
          <w:p w:rsidRPr="00074F3F" w:rsidR="00FC3F96" w:rsidP="00FC3F96" w:rsidRDefault="00FC3F96" w14:paraId="6176DC49" w14:textId="407DCF01">
            <w:pPr>
              <w:spacing w:before="60" w:after="60"/>
              <w:rPr>
                <w:color w:val="000000"/>
              </w:rPr>
            </w:pPr>
            <w:r w:rsidRPr="00074F3F">
              <w:rPr>
                <w:color w:val="000000"/>
              </w:rPr>
              <w:t>Intervenor Compensation Rate for Public Policy Analyst III</w:t>
            </w:r>
          </w:p>
        </w:tc>
        <w:tc>
          <w:tcPr>
            <w:tcW w:w="1260" w:type="dxa"/>
            <w:tcBorders>
              <w:top w:val="single" w:color="auto" w:sz="4" w:space="0"/>
              <w:left w:val="single" w:color="auto" w:sz="4" w:space="0"/>
              <w:bottom w:val="single" w:color="auto" w:sz="4" w:space="0"/>
              <w:right w:val="single" w:color="auto" w:sz="24" w:space="0"/>
            </w:tcBorders>
          </w:tcPr>
          <w:p w:rsidRPr="00074F3F" w:rsidR="00FC3F96" w:rsidP="00FC3F96" w:rsidRDefault="002C38AB" w14:paraId="27EDBA8E" w14:textId="1EB6F3CE">
            <w:pPr>
              <w:spacing w:before="60" w:after="60"/>
              <w:jc w:val="right"/>
              <w:rPr>
                <w:color w:val="000000"/>
              </w:rPr>
            </w:pPr>
            <w:r>
              <w:rPr>
                <w:color w:val="000000"/>
              </w:rPr>
              <w:t>10,674.30</w:t>
            </w:r>
          </w:p>
        </w:tc>
        <w:tc>
          <w:tcPr>
            <w:tcW w:w="1080" w:type="dxa"/>
            <w:tcBorders>
              <w:left w:val="single" w:color="auto" w:sz="4" w:space="0"/>
            </w:tcBorders>
          </w:tcPr>
          <w:p w:rsidR="00373D5C" w:rsidP="00216912" w:rsidRDefault="00373D5C" w14:paraId="55430ABB" w14:textId="3BFC94F9">
            <w:pPr>
              <w:spacing w:before="60" w:after="60"/>
              <w:jc w:val="center"/>
              <w:rPr>
                <w:color w:val="000000"/>
              </w:rPr>
            </w:pPr>
            <w:r w:rsidRPr="00373D5C">
              <w:rPr>
                <w:color w:val="000000"/>
              </w:rPr>
              <w:t>17.40</w:t>
            </w:r>
          </w:p>
          <w:p w:rsidRPr="00074F3F" w:rsidR="00734371" w:rsidP="00216912" w:rsidRDefault="00DC38E7" w14:paraId="661AB1D9" w14:textId="409AA4E6">
            <w:pPr>
              <w:spacing w:before="60" w:after="60"/>
              <w:jc w:val="center"/>
              <w:rPr>
                <w:color w:val="000000"/>
              </w:rPr>
            </w:pPr>
            <w:r>
              <w:rPr>
                <w:color w:val="000000"/>
              </w:rPr>
              <w:t xml:space="preserve">[6], </w:t>
            </w:r>
            <w:r w:rsidR="00C1184B">
              <w:rPr>
                <w:color w:val="000000"/>
              </w:rPr>
              <w:t>[</w:t>
            </w:r>
            <w:r w:rsidR="00426F18">
              <w:rPr>
                <w:color w:val="000000"/>
              </w:rPr>
              <w:t>7</w:t>
            </w:r>
            <w:r w:rsidR="00C1184B">
              <w:rPr>
                <w:color w:val="000000"/>
              </w:rPr>
              <w:t>]</w:t>
            </w:r>
          </w:p>
        </w:tc>
        <w:tc>
          <w:tcPr>
            <w:tcW w:w="1260" w:type="dxa"/>
          </w:tcPr>
          <w:p w:rsidRPr="00420C38" w:rsidR="00FC3F96" w:rsidP="0085358F" w:rsidRDefault="00B0362C" w14:paraId="2925D0FD" w14:textId="6E0D8FCC">
            <w:pPr>
              <w:spacing w:before="60" w:after="60"/>
              <w:jc w:val="center"/>
              <w:rPr>
                <w:color w:val="000000"/>
              </w:rPr>
            </w:pPr>
            <w:r w:rsidRPr="00420C38">
              <w:rPr>
                <w:color w:val="000000"/>
              </w:rPr>
              <w:t>$2</w:t>
            </w:r>
            <w:r w:rsidRPr="00420C38" w:rsidR="00D35BFE">
              <w:rPr>
                <w:color w:val="000000"/>
              </w:rPr>
              <w:t>4</w:t>
            </w:r>
            <w:r w:rsidRPr="00420C38">
              <w:rPr>
                <w:color w:val="000000"/>
              </w:rPr>
              <w:t>5.</w:t>
            </w:r>
            <w:r w:rsidRPr="00420C38" w:rsidR="00086E1A">
              <w:rPr>
                <w:color w:val="000000"/>
              </w:rPr>
              <w:t>00 [</w:t>
            </w:r>
            <w:r w:rsidRPr="00420C38" w:rsidR="00724AE3">
              <w:rPr>
                <w:color w:val="000000"/>
              </w:rPr>
              <w:t>3]</w:t>
            </w:r>
          </w:p>
        </w:tc>
        <w:tc>
          <w:tcPr>
            <w:tcW w:w="1535" w:type="dxa"/>
          </w:tcPr>
          <w:p w:rsidRPr="00DC3D77" w:rsidR="00FC3F96" w:rsidP="0085358F" w:rsidRDefault="00D14576" w14:paraId="2ACF36C1" w14:textId="3B99DA7B">
            <w:pPr>
              <w:spacing w:before="60" w:after="60"/>
              <w:jc w:val="center"/>
              <w:rPr>
                <w:color w:val="000000"/>
                <w:highlight w:val="yellow"/>
              </w:rPr>
            </w:pPr>
            <w:r w:rsidRPr="00D14576">
              <w:rPr>
                <w:color w:val="000000"/>
              </w:rPr>
              <w:t xml:space="preserve">$4,263.00 </w:t>
            </w:r>
          </w:p>
        </w:tc>
      </w:tr>
      <w:tr w:rsidRPr="00074F3F" w:rsidR="00FC3F96" w:rsidTr="00357F5E" w14:paraId="1B237C11" w14:textId="77777777">
        <w:trPr>
          <w:jc w:val="center"/>
        </w:trPr>
        <w:tc>
          <w:tcPr>
            <w:tcW w:w="7285" w:type="dxa"/>
            <w:gridSpan w:val="8"/>
            <w:tcBorders>
              <w:bottom w:val="single" w:color="auto" w:sz="4" w:space="0"/>
              <w:right w:val="single" w:color="auto" w:sz="24" w:space="0"/>
            </w:tcBorders>
            <w:vAlign w:val="bottom"/>
          </w:tcPr>
          <w:p w:rsidRPr="00074F3F" w:rsidR="00FC3F96" w:rsidP="00FC3F96" w:rsidRDefault="00FC3F96" w14:paraId="2ECB6744" w14:textId="4672D09E">
            <w:pPr>
              <w:tabs>
                <w:tab w:val="left" w:pos="957"/>
              </w:tabs>
              <w:spacing w:before="60" w:after="60"/>
              <w:ind w:right="162"/>
              <w:jc w:val="right"/>
              <w:rPr>
                <w:b/>
                <w:i/>
                <w:color w:val="000000"/>
              </w:rPr>
            </w:pPr>
            <w:r w:rsidRPr="00074F3F">
              <w:rPr>
                <w:b/>
                <w:i/>
                <w:color w:val="000000"/>
              </w:rPr>
              <w:t>Subtotal: $</w:t>
            </w:r>
            <w:r w:rsidRPr="00074F3F" w:rsidR="00074F3F">
              <w:rPr>
                <w:b/>
                <w:i/>
                <w:color w:val="000000"/>
              </w:rPr>
              <w:t>63,127.30</w:t>
            </w:r>
          </w:p>
        </w:tc>
        <w:tc>
          <w:tcPr>
            <w:tcW w:w="3875" w:type="dxa"/>
            <w:gridSpan w:val="3"/>
            <w:tcBorders>
              <w:left w:val="single" w:color="auto" w:sz="24" w:space="0"/>
              <w:bottom w:val="single" w:color="auto" w:sz="4" w:space="0"/>
            </w:tcBorders>
            <w:vAlign w:val="bottom"/>
          </w:tcPr>
          <w:p w:rsidRPr="00074F3F" w:rsidR="00FC3F96" w:rsidP="00FC3F96" w:rsidRDefault="00FC3F96" w14:paraId="4C4556E5" w14:textId="1BB9509E">
            <w:pPr>
              <w:tabs>
                <w:tab w:val="left" w:pos="957"/>
              </w:tabs>
              <w:spacing w:before="60" w:after="60"/>
              <w:ind w:right="162"/>
              <w:jc w:val="right"/>
              <w:rPr>
                <w:color w:val="000000"/>
              </w:rPr>
            </w:pPr>
            <w:r w:rsidRPr="00074F3F">
              <w:rPr>
                <w:b/>
                <w:i/>
                <w:color w:val="000000"/>
              </w:rPr>
              <w:t xml:space="preserve">Subtotal: </w:t>
            </w:r>
            <w:r w:rsidRPr="001C7008" w:rsidR="001C7008">
              <w:rPr>
                <w:b/>
                <w:i/>
                <w:iCs/>
                <w:color w:val="000000"/>
              </w:rPr>
              <w:t>$30,190.00</w:t>
            </w:r>
          </w:p>
        </w:tc>
      </w:tr>
      <w:tr w:rsidRPr="00074F3F" w:rsidR="00FC3F96" w:rsidTr="00EC6387" w14:paraId="4F8FAF05"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E6E6E6"/>
          </w:tcPr>
          <w:p w:rsidRPr="00074F3F" w:rsidR="00FC3F96" w:rsidP="00FC3F96" w:rsidRDefault="00FC3F96" w14:paraId="41FE304C" w14:textId="46ECC6AA">
            <w:pPr>
              <w:keepNext/>
              <w:spacing w:before="60" w:after="60"/>
              <w:jc w:val="center"/>
              <w:rPr>
                <w:color w:val="000000"/>
              </w:rPr>
            </w:pPr>
            <w:r w:rsidRPr="00074F3F">
              <w:rPr>
                <w:b/>
                <w:color w:val="000000"/>
              </w:rPr>
              <w:lastRenderedPageBreak/>
              <w:t xml:space="preserve">INTERVENOR COMPENSATION CLAIM </w:t>
            </w:r>
            <w:r w:rsidRPr="00074F3F" w:rsidR="00CB52B1">
              <w:rPr>
                <w:b/>
                <w:color w:val="000000"/>
              </w:rPr>
              <w:t xml:space="preserve">PREPARATION </w:t>
            </w:r>
            <w:r w:rsidRPr="00074F3F" w:rsidR="00CB52B1">
              <w:rPr>
                <w:b/>
                <w:smallCaps/>
                <w:color w:val="000000"/>
              </w:rPr>
              <w:t>*</w:t>
            </w:r>
            <w:r w:rsidRPr="00074F3F">
              <w:rPr>
                <w:b/>
                <w:smallCaps/>
                <w:color w:val="000000"/>
              </w:rPr>
              <w:t>*</w:t>
            </w:r>
          </w:p>
        </w:tc>
      </w:tr>
      <w:tr w:rsidRPr="00074F3F" w:rsidR="00FC3F96" w:rsidTr="00E85812" w14:paraId="48B3E535" w14:textId="77777777">
        <w:trPr>
          <w:jc w:val="center"/>
        </w:trPr>
        <w:tc>
          <w:tcPr>
            <w:tcW w:w="1255" w:type="dxa"/>
            <w:tcBorders>
              <w:top w:val="single" w:color="auto" w:sz="4" w:space="0"/>
              <w:bottom w:val="single" w:color="auto" w:sz="4" w:space="0"/>
            </w:tcBorders>
            <w:vAlign w:val="bottom"/>
          </w:tcPr>
          <w:p w:rsidRPr="00074F3F" w:rsidR="00FC3F96" w:rsidP="00FC3F96" w:rsidRDefault="00FC3F96" w14:paraId="563A43BB" w14:textId="77777777">
            <w:pPr>
              <w:keepNext/>
              <w:spacing w:before="60" w:after="60"/>
              <w:jc w:val="center"/>
              <w:rPr>
                <w:b/>
                <w:color w:val="000000"/>
                <w:sz w:val="22"/>
                <w:szCs w:val="22"/>
              </w:rPr>
            </w:pPr>
            <w:r w:rsidRPr="00074F3F">
              <w:rPr>
                <w:b/>
                <w:color w:val="000000"/>
                <w:sz w:val="22"/>
                <w:szCs w:val="22"/>
              </w:rPr>
              <w:t>Item</w:t>
            </w:r>
          </w:p>
        </w:tc>
        <w:tc>
          <w:tcPr>
            <w:tcW w:w="810" w:type="dxa"/>
            <w:tcBorders>
              <w:top w:val="single" w:color="auto" w:sz="4" w:space="0"/>
              <w:bottom w:val="single" w:color="auto" w:sz="4" w:space="0"/>
            </w:tcBorders>
            <w:vAlign w:val="bottom"/>
          </w:tcPr>
          <w:p w:rsidRPr="00074F3F" w:rsidR="00FC3F96" w:rsidP="00FC3F96" w:rsidRDefault="00FC3F96" w14:paraId="144552E0" w14:textId="77777777">
            <w:pPr>
              <w:keepNext/>
              <w:spacing w:before="60" w:after="60"/>
              <w:jc w:val="center"/>
              <w:rPr>
                <w:b/>
                <w:color w:val="000000"/>
                <w:sz w:val="22"/>
                <w:szCs w:val="22"/>
              </w:rPr>
            </w:pPr>
            <w:r w:rsidRPr="00074F3F">
              <w:rPr>
                <w:b/>
                <w:color w:val="000000"/>
                <w:sz w:val="22"/>
                <w:szCs w:val="22"/>
              </w:rPr>
              <w:t>Year</w:t>
            </w:r>
          </w:p>
        </w:tc>
        <w:tc>
          <w:tcPr>
            <w:tcW w:w="900" w:type="dxa"/>
            <w:gridSpan w:val="2"/>
            <w:tcBorders>
              <w:top w:val="single" w:color="auto" w:sz="4" w:space="0"/>
              <w:bottom w:val="single" w:color="auto" w:sz="4" w:space="0"/>
            </w:tcBorders>
            <w:vAlign w:val="bottom"/>
          </w:tcPr>
          <w:p w:rsidRPr="00074F3F" w:rsidR="00FC3F96" w:rsidP="00FC3F96" w:rsidRDefault="00FC3F96" w14:paraId="42890B1B" w14:textId="77777777">
            <w:pPr>
              <w:keepNext/>
              <w:spacing w:before="60" w:after="60"/>
              <w:jc w:val="center"/>
              <w:rPr>
                <w:b/>
                <w:color w:val="000000"/>
                <w:sz w:val="22"/>
                <w:szCs w:val="22"/>
              </w:rPr>
            </w:pPr>
            <w:r w:rsidRPr="00074F3F">
              <w:rPr>
                <w:b/>
                <w:color w:val="000000"/>
                <w:sz w:val="22"/>
                <w:szCs w:val="22"/>
              </w:rPr>
              <w:t>Hours</w:t>
            </w:r>
          </w:p>
        </w:tc>
        <w:tc>
          <w:tcPr>
            <w:tcW w:w="900" w:type="dxa"/>
            <w:tcBorders>
              <w:top w:val="single" w:color="auto" w:sz="4" w:space="0"/>
              <w:bottom w:val="single" w:color="auto" w:sz="4" w:space="0"/>
            </w:tcBorders>
            <w:vAlign w:val="bottom"/>
          </w:tcPr>
          <w:p w:rsidRPr="00074F3F" w:rsidR="00FC3F96" w:rsidP="00FC3F96" w:rsidRDefault="00FC3F96" w14:paraId="1E7BD956" w14:textId="243077B9">
            <w:pPr>
              <w:keepNext/>
              <w:spacing w:before="60" w:after="60"/>
              <w:jc w:val="center"/>
              <w:rPr>
                <w:b/>
                <w:color w:val="000000"/>
                <w:sz w:val="22"/>
                <w:szCs w:val="22"/>
              </w:rPr>
            </w:pPr>
            <w:r w:rsidRPr="00074F3F">
              <w:rPr>
                <w:b/>
                <w:color w:val="000000"/>
                <w:sz w:val="22"/>
                <w:szCs w:val="22"/>
              </w:rPr>
              <w:t>Rate $</w:t>
            </w:r>
          </w:p>
        </w:tc>
        <w:tc>
          <w:tcPr>
            <w:tcW w:w="2160" w:type="dxa"/>
            <w:gridSpan w:val="2"/>
            <w:tcBorders>
              <w:top w:val="single" w:color="auto" w:sz="4" w:space="0"/>
              <w:bottom w:val="single" w:color="auto" w:sz="4" w:space="0"/>
              <w:right w:val="single" w:color="auto" w:sz="4" w:space="0"/>
            </w:tcBorders>
            <w:vAlign w:val="bottom"/>
          </w:tcPr>
          <w:p w:rsidRPr="00074F3F" w:rsidR="00FC3F96" w:rsidP="00FC3F96" w:rsidRDefault="00FC3F96" w14:paraId="104D7982" w14:textId="77777777">
            <w:pPr>
              <w:keepNext/>
              <w:spacing w:before="60" w:after="60"/>
              <w:jc w:val="center"/>
              <w:rPr>
                <w:b/>
                <w:color w:val="000000"/>
                <w:sz w:val="22"/>
                <w:szCs w:val="22"/>
              </w:rPr>
            </w:pPr>
            <w:r w:rsidRPr="00074F3F">
              <w:rPr>
                <w:b/>
                <w:color w:val="000000"/>
                <w:sz w:val="22"/>
                <w:szCs w:val="22"/>
              </w:rPr>
              <w:t>Basis for Rate*</w:t>
            </w:r>
          </w:p>
        </w:tc>
        <w:tc>
          <w:tcPr>
            <w:tcW w:w="1260" w:type="dxa"/>
            <w:tcBorders>
              <w:top w:val="single" w:color="auto" w:sz="4" w:space="0"/>
              <w:left w:val="single" w:color="auto" w:sz="4" w:space="0"/>
              <w:bottom w:val="single" w:color="auto" w:sz="4" w:space="0"/>
              <w:right w:val="single" w:color="auto" w:sz="24" w:space="0"/>
            </w:tcBorders>
            <w:vAlign w:val="bottom"/>
          </w:tcPr>
          <w:p w:rsidRPr="00074F3F" w:rsidR="00FC3F96" w:rsidP="00FC3F96" w:rsidRDefault="00FC3F96" w14:paraId="073B2BB9" w14:textId="77777777">
            <w:pPr>
              <w:keepNext/>
              <w:spacing w:before="60" w:after="60"/>
              <w:jc w:val="center"/>
              <w:rPr>
                <w:b/>
                <w:color w:val="000000"/>
                <w:sz w:val="22"/>
                <w:szCs w:val="22"/>
              </w:rPr>
            </w:pPr>
            <w:r w:rsidRPr="00074F3F">
              <w:rPr>
                <w:b/>
                <w:color w:val="000000"/>
                <w:sz w:val="22"/>
                <w:szCs w:val="22"/>
              </w:rPr>
              <w:t>Total $</w:t>
            </w:r>
          </w:p>
        </w:tc>
        <w:tc>
          <w:tcPr>
            <w:tcW w:w="1080" w:type="dxa"/>
            <w:tcBorders>
              <w:top w:val="single" w:color="auto" w:sz="4" w:space="0"/>
              <w:left w:val="single" w:color="auto" w:sz="4" w:space="0"/>
            </w:tcBorders>
            <w:vAlign w:val="bottom"/>
          </w:tcPr>
          <w:p w:rsidRPr="00074F3F" w:rsidR="00FC3F96" w:rsidP="00FC3F96" w:rsidRDefault="00FC3F96" w14:paraId="0409143B" w14:textId="77777777">
            <w:pPr>
              <w:keepNext/>
              <w:spacing w:before="60" w:after="60"/>
              <w:jc w:val="center"/>
              <w:rPr>
                <w:b/>
                <w:color w:val="000000"/>
                <w:sz w:val="22"/>
                <w:szCs w:val="22"/>
              </w:rPr>
            </w:pPr>
            <w:r w:rsidRPr="00074F3F">
              <w:rPr>
                <w:b/>
                <w:color w:val="000000"/>
                <w:sz w:val="22"/>
                <w:szCs w:val="22"/>
              </w:rPr>
              <w:t>Hours</w:t>
            </w:r>
          </w:p>
        </w:tc>
        <w:tc>
          <w:tcPr>
            <w:tcW w:w="1260" w:type="dxa"/>
            <w:tcBorders>
              <w:top w:val="single" w:color="auto" w:sz="4" w:space="0"/>
            </w:tcBorders>
            <w:vAlign w:val="bottom"/>
          </w:tcPr>
          <w:p w:rsidRPr="00074F3F" w:rsidR="00FC3F96" w:rsidP="00FC3F96" w:rsidRDefault="00FC3F96" w14:paraId="6B59BB80" w14:textId="2C791D8E">
            <w:pPr>
              <w:keepNext/>
              <w:spacing w:before="60" w:after="60"/>
              <w:jc w:val="center"/>
              <w:rPr>
                <w:b/>
                <w:color w:val="000000"/>
                <w:sz w:val="22"/>
                <w:szCs w:val="22"/>
              </w:rPr>
            </w:pPr>
            <w:r w:rsidRPr="00074F3F">
              <w:rPr>
                <w:b/>
                <w:color w:val="000000"/>
                <w:sz w:val="22"/>
                <w:szCs w:val="22"/>
              </w:rPr>
              <w:t>Rate $</w:t>
            </w:r>
          </w:p>
        </w:tc>
        <w:tc>
          <w:tcPr>
            <w:tcW w:w="1535" w:type="dxa"/>
            <w:tcBorders>
              <w:top w:val="single" w:color="auto" w:sz="4" w:space="0"/>
            </w:tcBorders>
            <w:vAlign w:val="bottom"/>
          </w:tcPr>
          <w:p w:rsidRPr="00074F3F" w:rsidR="00FC3F96" w:rsidP="00FC3F96" w:rsidRDefault="00FC3F96" w14:paraId="6C7B13CF" w14:textId="77777777">
            <w:pPr>
              <w:keepNext/>
              <w:spacing w:before="60" w:after="60"/>
              <w:jc w:val="center"/>
              <w:rPr>
                <w:b/>
                <w:color w:val="000000"/>
                <w:sz w:val="22"/>
                <w:szCs w:val="22"/>
              </w:rPr>
            </w:pPr>
            <w:r w:rsidRPr="00074F3F">
              <w:rPr>
                <w:b/>
                <w:color w:val="000000"/>
                <w:sz w:val="22"/>
                <w:szCs w:val="22"/>
              </w:rPr>
              <w:t>Total $</w:t>
            </w:r>
          </w:p>
        </w:tc>
      </w:tr>
      <w:tr w:rsidRPr="00074F3F" w:rsidR="00FC3F96" w:rsidTr="00E85812" w14:paraId="25086E67" w14:textId="77777777">
        <w:trPr>
          <w:jc w:val="center"/>
        </w:trPr>
        <w:tc>
          <w:tcPr>
            <w:tcW w:w="1255" w:type="dxa"/>
          </w:tcPr>
          <w:p w:rsidRPr="00074F3F" w:rsidR="00FC3F96" w:rsidP="00FC3F96" w:rsidRDefault="00FC3F96" w14:paraId="386D0995" w14:textId="76F31C8E">
            <w:pPr>
              <w:spacing w:before="60" w:after="60"/>
              <w:rPr>
                <w:color w:val="000000"/>
              </w:rPr>
            </w:pPr>
            <w:r w:rsidRPr="00074F3F">
              <w:rPr>
                <w:color w:val="000000"/>
              </w:rPr>
              <w:t>Joon Hun Seong</w:t>
            </w:r>
          </w:p>
        </w:tc>
        <w:tc>
          <w:tcPr>
            <w:tcW w:w="810" w:type="dxa"/>
          </w:tcPr>
          <w:p w:rsidRPr="00074F3F" w:rsidR="00FC3F96" w:rsidP="00FC3F96" w:rsidRDefault="00FC3F96" w14:paraId="4A155F1D" w14:textId="5606CE96">
            <w:pPr>
              <w:spacing w:before="60" w:after="60"/>
              <w:jc w:val="center"/>
              <w:rPr>
                <w:color w:val="000000"/>
              </w:rPr>
            </w:pPr>
            <w:r w:rsidRPr="00074F3F">
              <w:rPr>
                <w:color w:val="000000"/>
              </w:rPr>
              <w:t>2024</w:t>
            </w:r>
          </w:p>
        </w:tc>
        <w:tc>
          <w:tcPr>
            <w:tcW w:w="900" w:type="dxa"/>
            <w:gridSpan w:val="2"/>
          </w:tcPr>
          <w:p w:rsidRPr="00074F3F" w:rsidR="00FC3F96" w:rsidP="00FC3F96" w:rsidRDefault="00FC3F96" w14:paraId="18B9D97B" w14:textId="77777777">
            <w:pPr>
              <w:spacing w:before="60" w:after="60"/>
              <w:jc w:val="center"/>
              <w:rPr>
                <w:color w:val="000000"/>
              </w:rPr>
            </w:pPr>
            <w:r w:rsidRPr="00074F3F">
              <w:rPr>
                <w:color w:val="000000"/>
              </w:rPr>
              <w:t>7</w:t>
            </w:r>
          </w:p>
          <w:p w:rsidRPr="00074F3F" w:rsidR="00FC3F96" w:rsidP="00FC3F96" w:rsidRDefault="00FC3F96" w14:paraId="30EEA80A" w14:textId="2BDB1B82">
            <w:pPr>
              <w:spacing w:before="60" w:after="60"/>
              <w:jc w:val="center"/>
              <w:rPr>
                <w:color w:val="000000"/>
              </w:rPr>
            </w:pPr>
          </w:p>
        </w:tc>
        <w:tc>
          <w:tcPr>
            <w:tcW w:w="900" w:type="dxa"/>
          </w:tcPr>
          <w:p w:rsidRPr="00074F3F" w:rsidR="00FC3F96" w:rsidP="00FC3F96" w:rsidRDefault="00FC3F96" w14:paraId="4EB14C91" w14:textId="2A22853B">
            <w:pPr>
              <w:spacing w:before="60" w:after="60"/>
              <w:rPr>
                <w:color w:val="000000"/>
              </w:rPr>
            </w:pPr>
            <w:r w:rsidRPr="00074F3F">
              <w:rPr>
                <w:color w:val="000000"/>
              </w:rPr>
              <w:t>183</w:t>
            </w:r>
          </w:p>
        </w:tc>
        <w:tc>
          <w:tcPr>
            <w:tcW w:w="2160" w:type="dxa"/>
            <w:gridSpan w:val="2"/>
            <w:tcBorders>
              <w:right w:val="single" w:color="auto" w:sz="4" w:space="0"/>
            </w:tcBorders>
          </w:tcPr>
          <w:p w:rsidRPr="00074F3F" w:rsidR="00FC3F96" w:rsidP="00FC3F96" w:rsidRDefault="00FC3F96" w14:paraId="02D334B7" w14:textId="622B1F3F">
            <w:pPr>
              <w:spacing w:before="60" w:after="60"/>
              <w:rPr>
                <w:color w:val="000000"/>
              </w:rPr>
            </w:pPr>
            <w:r w:rsidRPr="00074F3F">
              <w:rPr>
                <w:color w:val="000000"/>
              </w:rPr>
              <w:t>Intervenor Compensation Rate for Public Policy Analyst III; escalated by 5% (divided by two)</w:t>
            </w:r>
          </w:p>
        </w:tc>
        <w:tc>
          <w:tcPr>
            <w:tcW w:w="1260" w:type="dxa"/>
            <w:tcBorders>
              <w:top w:val="single" w:color="auto" w:sz="4" w:space="0"/>
              <w:left w:val="single" w:color="auto" w:sz="4" w:space="0"/>
              <w:bottom w:val="single" w:color="auto" w:sz="4" w:space="0"/>
              <w:right w:val="single" w:color="auto" w:sz="24" w:space="0"/>
            </w:tcBorders>
          </w:tcPr>
          <w:p w:rsidRPr="00074F3F" w:rsidR="00FC3F96" w:rsidP="00FC3F96" w:rsidRDefault="00FC3F96" w14:paraId="20B1FE36" w14:textId="77777777">
            <w:pPr>
              <w:spacing w:before="60" w:after="60"/>
              <w:jc w:val="right"/>
              <w:rPr>
                <w:color w:val="000000"/>
              </w:rPr>
            </w:pPr>
            <w:r w:rsidRPr="00074F3F">
              <w:rPr>
                <w:color w:val="000000"/>
              </w:rPr>
              <w:t>1,281</w:t>
            </w:r>
          </w:p>
          <w:p w:rsidRPr="00074F3F" w:rsidR="00FC3F96" w:rsidP="00FC3F96" w:rsidRDefault="00FC3F96" w14:paraId="7B9A0261" w14:textId="015C415F">
            <w:pPr>
              <w:spacing w:before="60" w:after="60"/>
              <w:jc w:val="right"/>
              <w:rPr>
                <w:color w:val="000000"/>
              </w:rPr>
            </w:pPr>
          </w:p>
        </w:tc>
        <w:tc>
          <w:tcPr>
            <w:tcW w:w="1080" w:type="dxa"/>
            <w:tcBorders>
              <w:left w:val="single" w:color="auto" w:sz="4" w:space="0"/>
              <w:right w:val="single" w:color="auto" w:sz="4" w:space="0"/>
            </w:tcBorders>
          </w:tcPr>
          <w:p w:rsidRPr="00074F3F" w:rsidR="00FC3F96" w:rsidP="0085358F" w:rsidRDefault="009C548A" w14:paraId="5E5A4264" w14:textId="364478B4">
            <w:pPr>
              <w:spacing w:before="60" w:after="60"/>
              <w:jc w:val="center"/>
              <w:rPr>
                <w:color w:val="000000"/>
              </w:rPr>
            </w:pPr>
            <w:r>
              <w:rPr>
                <w:color w:val="000000"/>
              </w:rPr>
              <w:t>7.00</w:t>
            </w:r>
          </w:p>
        </w:tc>
        <w:tc>
          <w:tcPr>
            <w:tcW w:w="1260" w:type="dxa"/>
            <w:tcBorders>
              <w:left w:val="single" w:color="auto" w:sz="4" w:space="0"/>
            </w:tcBorders>
          </w:tcPr>
          <w:p w:rsidRPr="00DC3D77" w:rsidR="00FC3F96" w:rsidP="0085358F" w:rsidRDefault="00B63F54" w14:paraId="47B1F089" w14:textId="13E65621">
            <w:pPr>
              <w:spacing w:before="60" w:after="60"/>
              <w:jc w:val="center"/>
              <w:rPr>
                <w:color w:val="000000"/>
                <w:highlight w:val="yellow"/>
              </w:rPr>
            </w:pPr>
            <w:r w:rsidRPr="00B63F54">
              <w:rPr>
                <w:color w:val="000000"/>
              </w:rPr>
              <w:t>$</w:t>
            </w:r>
            <w:r w:rsidRPr="00B63F54" w:rsidR="000B5D85">
              <w:rPr>
                <w:color w:val="000000"/>
              </w:rPr>
              <w:t>1</w:t>
            </w:r>
            <w:r w:rsidR="000B5D85">
              <w:rPr>
                <w:color w:val="000000"/>
              </w:rPr>
              <w:t>37</w:t>
            </w:r>
            <w:r w:rsidRPr="00B63F54">
              <w:rPr>
                <w:color w:val="000000"/>
              </w:rPr>
              <w:t>.</w:t>
            </w:r>
            <w:r w:rsidRPr="00B63F54" w:rsidR="00086E1A">
              <w:rPr>
                <w:color w:val="000000"/>
              </w:rPr>
              <w:t xml:space="preserve">50 </w:t>
            </w:r>
            <w:r w:rsidRPr="00420C38" w:rsidR="00086E1A">
              <w:rPr>
                <w:color w:val="000000"/>
              </w:rPr>
              <w:t>[</w:t>
            </w:r>
            <w:r w:rsidRPr="00420C38" w:rsidR="00724AE3">
              <w:rPr>
                <w:color w:val="000000"/>
              </w:rPr>
              <w:t>3]</w:t>
            </w:r>
          </w:p>
        </w:tc>
        <w:tc>
          <w:tcPr>
            <w:tcW w:w="1535" w:type="dxa"/>
          </w:tcPr>
          <w:p w:rsidRPr="00DC3D77" w:rsidR="00522ED4" w:rsidP="0085358F" w:rsidRDefault="00651C64" w14:paraId="10659B6D" w14:textId="5628A868">
            <w:pPr>
              <w:jc w:val="center"/>
              <w:rPr>
                <w:highlight w:val="yellow"/>
              </w:rPr>
            </w:pPr>
            <w:r w:rsidRPr="00651C64">
              <w:rPr>
                <w:color w:val="000000"/>
              </w:rPr>
              <w:t>$962.50</w:t>
            </w:r>
          </w:p>
        </w:tc>
      </w:tr>
      <w:tr w:rsidRPr="00074F3F" w:rsidR="00FC3F96" w:rsidTr="00357F5E" w14:paraId="266CEDD5" w14:textId="77777777">
        <w:trPr>
          <w:jc w:val="center"/>
        </w:trPr>
        <w:tc>
          <w:tcPr>
            <w:tcW w:w="7285" w:type="dxa"/>
            <w:gridSpan w:val="8"/>
            <w:tcBorders>
              <w:bottom w:val="single" w:color="auto" w:sz="4" w:space="0"/>
              <w:right w:val="single" w:color="auto" w:sz="24" w:space="0"/>
            </w:tcBorders>
            <w:vAlign w:val="bottom"/>
          </w:tcPr>
          <w:p w:rsidRPr="00074F3F" w:rsidR="00FC3F96" w:rsidP="00FC3F96" w:rsidRDefault="00FC3F96" w14:paraId="4A1F5988" w14:textId="258A51DA">
            <w:pPr>
              <w:tabs>
                <w:tab w:val="left" w:pos="957"/>
              </w:tabs>
              <w:spacing w:before="60" w:after="60"/>
              <w:ind w:right="162"/>
              <w:jc w:val="right"/>
              <w:rPr>
                <w:b/>
                <w:i/>
                <w:color w:val="000000"/>
              </w:rPr>
            </w:pPr>
            <w:r w:rsidRPr="00074F3F">
              <w:rPr>
                <w:b/>
                <w:i/>
                <w:color w:val="000000"/>
              </w:rPr>
              <w:t>Subtotal: $1,281</w:t>
            </w:r>
          </w:p>
        </w:tc>
        <w:tc>
          <w:tcPr>
            <w:tcW w:w="3875" w:type="dxa"/>
            <w:gridSpan w:val="3"/>
            <w:tcBorders>
              <w:left w:val="single" w:color="auto" w:sz="24" w:space="0"/>
              <w:bottom w:val="single" w:color="auto" w:sz="4" w:space="0"/>
            </w:tcBorders>
            <w:vAlign w:val="bottom"/>
          </w:tcPr>
          <w:p w:rsidRPr="00074F3F" w:rsidR="00FC3F96" w:rsidP="00FC3F96" w:rsidRDefault="00FC3F96" w14:paraId="2FBAA587" w14:textId="479D5B23">
            <w:pPr>
              <w:tabs>
                <w:tab w:val="left" w:pos="957"/>
              </w:tabs>
              <w:spacing w:before="60" w:after="60"/>
              <w:ind w:right="162"/>
              <w:jc w:val="right"/>
              <w:rPr>
                <w:b/>
                <w:i/>
                <w:color w:val="000000"/>
              </w:rPr>
            </w:pPr>
            <w:r w:rsidRPr="00074F3F">
              <w:rPr>
                <w:b/>
                <w:i/>
                <w:color w:val="000000"/>
              </w:rPr>
              <w:t xml:space="preserve">Subtotal: </w:t>
            </w:r>
            <w:r w:rsidRPr="00774E67" w:rsidR="00774E67">
              <w:rPr>
                <w:b/>
                <w:i/>
                <w:color w:val="000000"/>
              </w:rPr>
              <w:t>$962.50</w:t>
            </w:r>
          </w:p>
        </w:tc>
      </w:tr>
      <w:tr w:rsidRPr="00074F3F" w:rsidR="00FC3F96" w:rsidTr="00357F5E" w14:paraId="06E7371A" w14:textId="77777777">
        <w:trPr>
          <w:jc w:val="center"/>
        </w:trPr>
        <w:tc>
          <w:tcPr>
            <w:tcW w:w="7285" w:type="dxa"/>
            <w:gridSpan w:val="8"/>
            <w:tcBorders>
              <w:top w:val="single" w:color="auto" w:sz="4" w:space="0"/>
              <w:bottom w:val="single" w:color="auto" w:sz="4" w:space="0"/>
              <w:right w:val="single" w:color="auto" w:sz="24" w:space="0"/>
            </w:tcBorders>
            <w:shd w:val="clear" w:color="auto" w:fill="E6E6E6"/>
            <w:vAlign w:val="bottom"/>
          </w:tcPr>
          <w:p w:rsidRPr="00074F3F" w:rsidR="00FC3F96" w:rsidP="00FC3F96" w:rsidRDefault="00FC3F96" w14:paraId="11B3B704" w14:textId="041B4748">
            <w:pPr>
              <w:tabs>
                <w:tab w:val="left" w:pos="957"/>
              </w:tabs>
              <w:spacing w:before="60" w:after="60"/>
              <w:ind w:right="72"/>
              <w:jc w:val="right"/>
              <w:rPr>
                <w:b/>
                <w:color w:val="000000"/>
              </w:rPr>
            </w:pPr>
            <w:r w:rsidRPr="00074F3F">
              <w:rPr>
                <w:b/>
                <w:i/>
                <w:color w:val="000000"/>
              </w:rPr>
              <w:t>TOTAL REQUEST: $</w:t>
            </w:r>
            <w:r w:rsidRPr="00074F3F" w:rsidR="00074F3F">
              <w:rPr>
                <w:b/>
                <w:i/>
                <w:color w:val="000000"/>
              </w:rPr>
              <w:t>64,408.30</w:t>
            </w:r>
          </w:p>
        </w:tc>
        <w:tc>
          <w:tcPr>
            <w:tcW w:w="3875" w:type="dxa"/>
            <w:gridSpan w:val="3"/>
            <w:tcBorders>
              <w:left w:val="single" w:color="auto" w:sz="24" w:space="0"/>
            </w:tcBorders>
            <w:shd w:val="clear" w:color="auto" w:fill="E6E6E6"/>
            <w:vAlign w:val="bottom"/>
          </w:tcPr>
          <w:p w:rsidRPr="00074F3F" w:rsidR="00FC3F96" w:rsidP="00FC3F96" w:rsidRDefault="00FC3F96" w14:paraId="3680D139" w14:textId="4DF96985">
            <w:pPr>
              <w:tabs>
                <w:tab w:val="left" w:pos="957"/>
              </w:tabs>
              <w:spacing w:before="60" w:after="60"/>
              <w:ind w:right="72"/>
              <w:jc w:val="right"/>
              <w:rPr>
                <w:b/>
                <w:color w:val="000000"/>
              </w:rPr>
            </w:pPr>
            <w:r w:rsidRPr="00074F3F">
              <w:rPr>
                <w:b/>
                <w:i/>
                <w:color w:val="000000"/>
              </w:rPr>
              <w:t xml:space="preserve">TOTAL AWARD: </w:t>
            </w:r>
            <w:r w:rsidRPr="001C7008" w:rsidR="001C7008">
              <w:rPr>
                <w:b/>
                <w:i/>
                <w:color w:val="000000"/>
              </w:rPr>
              <w:t xml:space="preserve">$31,152.50 </w:t>
            </w:r>
            <w:r w:rsidRPr="00774E67" w:rsidR="00774E67">
              <w:rPr>
                <w:b/>
                <w:i/>
                <w:color w:val="000000"/>
              </w:rPr>
              <w:t xml:space="preserve"> </w:t>
            </w:r>
            <w:r w:rsidRPr="00E8450A" w:rsidR="00E8450A">
              <w:rPr>
                <w:b/>
                <w:i/>
                <w:color w:val="000000"/>
              </w:rPr>
              <w:t xml:space="preserve"> </w:t>
            </w:r>
            <w:r w:rsidR="009005E4">
              <w:rPr>
                <w:b/>
                <w:i/>
                <w:color w:val="000000"/>
              </w:rPr>
              <w:t xml:space="preserve"> </w:t>
            </w:r>
            <w:r w:rsidR="00C3638A">
              <w:rPr>
                <w:b/>
                <w:i/>
                <w:color w:val="000000"/>
              </w:rPr>
              <w:t xml:space="preserve"> </w:t>
            </w:r>
            <w:r w:rsidR="004F01FB">
              <w:rPr>
                <w:b/>
                <w:i/>
                <w:color w:val="000000"/>
              </w:rPr>
              <w:t xml:space="preserve"> </w:t>
            </w:r>
            <w:r w:rsidRPr="002531A7" w:rsidR="002531A7">
              <w:rPr>
                <w:b/>
                <w:i/>
                <w:color w:val="000000"/>
              </w:rPr>
              <w:t xml:space="preserve"> </w:t>
            </w:r>
            <w:r w:rsidR="002D7B0F">
              <w:rPr>
                <w:b/>
                <w:i/>
                <w:color w:val="000000"/>
              </w:rPr>
              <w:t xml:space="preserve"> </w:t>
            </w:r>
            <w:r w:rsidR="009441AA">
              <w:rPr>
                <w:b/>
                <w:i/>
                <w:color w:val="000000"/>
              </w:rPr>
              <w:t xml:space="preserve"> </w:t>
            </w:r>
          </w:p>
        </w:tc>
      </w:tr>
      <w:tr w:rsidRPr="00074F3F" w:rsidR="00FC3F96" w:rsidTr="00EC6387" w14:paraId="6A909BC1" w14:textId="77777777">
        <w:trPr>
          <w:jc w:val="center"/>
        </w:trPr>
        <w:tc>
          <w:tcPr>
            <w:tcW w:w="11160" w:type="dxa"/>
            <w:gridSpan w:val="11"/>
            <w:tcBorders>
              <w:top w:val="single" w:color="auto" w:sz="4" w:space="0"/>
              <w:bottom w:val="single" w:color="auto" w:sz="4" w:space="0"/>
            </w:tcBorders>
          </w:tcPr>
          <w:p w:rsidRPr="00074F3F" w:rsidR="00FC3F96" w:rsidP="00FC3F96" w:rsidRDefault="00FC3F96" w14:paraId="6F39872E" w14:textId="77777777">
            <w:pPr>
              <w:spacing w:before="60" w:after="60"/>
              <w:rPr>
                <w:color w:val="000000"/>
              </w:rPr>
            </w:pPr>
            <w:r w:rsidRPr="00074F3F">
              <w:rPr>
                <w:color w:val="000000"/>
              </w:rPr>
              <w:t xml:space="preserve">  *We remind all intervenors that Commission staff may audit </w:t>
            </w:r>
            <w:r w:rsidRPr="00074F3F">
              <w:t>the records and books of the intervenors to the extent necessary to verify the basis for the award (§1804(d)).  I</w:t>
            </w:r>
            <w:r w:rsidRPr="00074F3F">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074F3F" w:rsidR="00FC3F96" w:rsidP="00FC3F96" w:rsidRDefault="00FC3F96" w14:paraId="0D03EC65" w14:textId="77777777">
            <w:pPr>
              <w:spacing w:before="60" w:after="60"/>
              <w:rPr>
                <w:color w:val="000000"/>
              </w:rPr>
            </w:pPr>
            <w:r w:rsidRPr="00074F3F">
              <w:rPr>
                <w:color w:val="000000"/>
              </w:rPr>
              <w:t>**Travel and Reasonable Claim preparation time are typically compensated at ½ of preparer’s normal hourly rate</w:t>
            </w:r>
            <w:r w:rsidRPr="00074F3F" w:rsidDel="00D075B1">
              <w:rPr>
                <w:color w:val="000000"/>
              </w:rPr>
              <w:t xml:space="preserve"> </w:t>
            </w:r>
          </w:p>
        </w:tc>
      </w:tr>
      <w:tr w:rsidRPr="00074F3F" w:rsidR="00FC3F96" w:rsidTr="00EC6387" w14:paraId="458B01A4" w14:textId="77777777">
        <w:trPr>
          <w:jc w:val="center"/>
        </w:trPr>
        <w:tc>
          <w:tcPr>
            <w:tcW w:w="11160" w:type="dxa"/>
            <w:gridSpan w:val="11"/>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74F3F" w:rsidR="00FC3F96" w:rsidP="00FC3F96" w:rsidRDefault="00FC3F96" w14:paraId="48B43CBD" w14:textId="77777777">
            <w:pPr>
              <w:keepNext/>
              <w:spacing w:before="60" w:after="60"/>
              <w:jc w:val="center"/>
              <w:rPr>
                <w:b/>
                <w:smallCaps/>
                <w:color w:val="000000"/>
              </w:rPr>
            </w:pPr>
            <w:r w:rsidRPr="00074F3F">
              <w:rPr>
                <w:b/>
                <w:smallCaps/>
                <w:color w:val="000000"/>
              </w:rPr>
              <w:t>ATTORNEY INFORMATION</w:t>
            </w:r>
          </w:p>
        </w:tc>
      </w:tr>
      <w:tr w:rsidRPr="00074F3F" w:rsidR="00FC3F96" w:rsidTr="00495D53"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074F3F" w:rsidR="00FC3F96" w:rsidP="00FC3F96" w:rsidRDefault="00FC3F96" w14:paraId="00CAC866" w14:textId="77777777">
            <w:pPr>
              <w:keepNext/>
              <w:keepLines/>
              <w:spacing w:before="60" w:after="60"/>
              <w:jc w:val="center"/>
              <w:rPr>
                <w:b/>
                <w:color w:val="000000"/>
                <w:sz w:val="22"/>
                <w:szCs w:val="22"/>
              </w:rPr>
            </w:pPr>
            <w:r w:rsidRPr="00074F3F">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074F3F" w:rsidR="00FC3F96" w:rsidP="00FC3F96" w:rsidRDefault="00FC3F96" w14:paraId="7E76A008" w14:textId="77777777">
            <w:pPr>
              <w:keepNext/>
              <w:keepLines/>
              <w:spacing w:before="60" w:after="60"/>
              <w:jc w:val="center"/>
              <w:rPr>
                <w:b/>
                <w:color w:val="000000"/>
                <w:sz w:val="22"/>
                <w:szCs w:val="22"/>
              </w:rPr>
            </w:pPr>
            <w:r w:rsidRPr="00074F3F">
              <w:rPr>
                <w:b/>
                <w:sz w:val="22"/>
                <w:szCs w:val="22"/>
              </w:rPr>
              <w:t>Date Admitted to CA BAR</w:t>
            </w:r>
            <w:r w:rsidRPr="00074F3F">
              <w:rPr>
                <w:rStyle w:val="FootnoteReference"/>
                <w:b/>
                <w:sz w:val="22"/>
                <w:szCs w:val="22"/>
              </w:rPr>
              <w:footnoteReference w:id="3"/>
            </w:r>
          </w:p>
        </w:tc>
        <w:tc>
          <w:tcPr>
            <w:tcW w:w="2684" w:type="dxa"/>
            <w:gridSpan w:val="2"/>
            <w:tcBorders>
              <w:top w:val="single" w:color="auto" w:sz="4" w:space="0"/>
              <w:bottom w:val="single" w:color="auto" w:sz="4" w:space="0"/>
            </w:tcBorders>
            <w:shd w:val="clear" w:color="auto" w:fill="FFFFFF"/>
            <w:vAlign w:val="bottom"/>
          </w:tcPr>
          <w:p w:rsidRPr="00074F3F" w:rsidR="00FC3F96" w:rsidP="00FC3F96" w:rsidRDefault="00FC3F96" w14:paraId="27E64ED7" w14:textId="77777777">
            <w:pPr>
              <w:keepNext/>
              <w:keepLines/>
              <w:spacing w:before="60" w:after="60"/>
              <w:jc w:val="center"/>
              <w:rPr>
                <w:b/>
                <w:color w:val="000000"/>
                <w:sz w:val="22"/>
                <w:szCs w:val="22"/>
              </w:rPr>
            </w:pPr>
            <w:r w:rsidRPr="00074F3F">
              <w:rPr>
                <w:b/>
                <w:sz w:val="22"/>
                <w:szCs w:val="22"/>
              </w:rPr>
              <w:t>Member Number</w:t>
            </w:r>
          </w:p>
        </w:tc>
        <w:tc>
          <w:tcPr>
            <w:tcW w:w="3875" w:type="dxa"/>
            <w:gridSpan w:val="3"/>
            <w:tcBorders>
              <w:top w:val="single" w:color="auto" w:sz="4" w:space="0"/>
              <w:bottom w:val="single" w:color="auto" w:sz="4" w:space="0"/>
            </w:tcBorders>
            <w:shd w:val="clear" w:color="auto" w:fill="FFFFFF"/>
            <w:vAlign w:val="bottom"/>
          </w:tcPr>
          <w:p w:rsidRPr="00074F3F" w:rsidR="00FC3F96" w:rsidP="00FC3F96" w:rsidRDefault="00FC3F96" w14:paraId="496B5DC1" w14:textId="77777777">
            <w:pPr>
              <w:keepNext/>
              <w:keepLines/>
              <w:spacing w:before="60" w:after="60"/>
              <w:jc w:val="center"/>
              <w:rPr>
                <w:b/>
                <w:sz w:val="22"/>
                <w:szCs w:val="22"/>
              </w:rPr>
            </w:pPr>
            <w:r w:rsidRPr="00074F3F">
              <w:rPr>
                <w:b/>
                <w:sz w:val="22"/>
                <w:szCs w:val="22"/>
              </w:rPr>
              <w:t>Actions Affecting Eligibility (Yes/No?)</w:t>
            </w:r>
          </w:p>
          <w:p w:rsidRPr="00074F3F" w:rsidR="00FC3F96" w:rsidP="00FC3F96" w:rsidRDefault="00FC3F96" w14:paraId="36F8922D" w14:textId="77777777">
            <w:pPr>
              <w:keepNext/>
              <w:keepLines/>
              <w:spacing w:before="60" w:after="60"/>
              <w:jc w:val="center"/>
              <w:rPr>
                <w:b/>
                <w:color w:val="000000"/>
                <w:sz w:val="22"/>
                <w:szCs w:val="22"/>
              </w:rPr>
            </w:pPr>
            <w:r w:rsidRPr="00074F3F">
              <w:rPr>
                <w:b/>
                <w:sz w:val="22"/>
                <w:szCs w:val="22"/>
              </w:rPr>
              <w:t>If “Yes”, attach explanation</w:t>
            </w:r>
          </w:p>
        </w:tc>
      </w:tr>
      <w:tr w:rsidRPr="00074F3F" w:rsidR="00FC3F96" w:rsidTr="00CF15AF" w14:paraId="4DC5EE9B" w14:textId="77777777">
        <w:trPr>
          <w:trHeight w:val="172"/>
          <w:jc w:val="center"/>
        </w:trPr>
        <w:tc>
          <w:tcPr>
            <w:tcW w:w="2692" w:type="dxa"/>
            <w:gridSpan w:val="3"/>
            <w:tcBorders>
              <w:top w:val="single" w:color="auto" w:sz="4" w:space="0"/>
              <w:bottom w:val="single" w:color="auto" w:sz="4" w:space="0"/>
            </w:tcBorders>
          </w:tcPr>
          <w:p w:rsidRPr="00074F3F" w:rsidR="00FC3F96" w:rsidP="00FC3F96" w:rsidRDefault="00FC3F96" w14:paraId="7266B7BF" w14:textId="034CA116">
            <w:pPr>
              <w:keepLines/>
              <w:spacing w:before="60" w:after="60"/>
              <w:jc w:val="center"/>
              <w:rPr>
                <w:color w:val="000000"/>
              </w:rPr>
            </w:pPr>
            <w:r w:rsidRPr="00074F3F">
              <w:rPr>
                <w:color w:val="000000"/>
              </w:rPr>
              <w:t>Elizabeth Kelly</w:t>
            </w:r>
          </w:p>
        </w:tc>
        <w:tc>
          <w:tcPr>
            <w:tcW w:w="1909" w:type="dxa"/>
            <w:gridSpan w:val="3"/>
            <w:tcBorders>
              <w:top w:val="single" w:color="auto" w:sz="4" w:space="0"/>
              <w:bottom w:val="single" w:color="auto" w:sz="4" w:space="0"/>
            </w:tcBorders>
          </w:tcPr>
          <w:p w:rsidRPr="00074F3F" w:rsidR="00FC3F96" w:rsidP="00FC3F96" w:rsidRDefault="00FC3F96" w14:paraId="6E872E3B" w14:textId="6A99E8DD">
            <w:pPr>
              <w:keepLines/>
              <w:spacing w:before="60" w:after="60"/>
              <w:jc w:val="center"/>
              <w:rPr>
                <w:color w:val="000000"/>
              </w:rPr>
            </w:pPr>
            <w:r w:rsidRPr="00074F3F">
              <w:rPr>
                <w:color w:val="000000"/>
              </w:rPr>
              <w:t>12/28/2009 (CA)</w:t>
            </w:r>
          </w:p>
          <w:p w:rsidRPr="00074F3F" w:rsidR="00FC3F96" w:rsidP="00FC3F96" w:rsidRDefault="00FC3F96" w14:paraId="69A41F15" w14:textId="713D6E96">
            <w:pPr>
              <w:keepLines/>
              <w:spacing w:before="60" w:after="60"/>
              <w:jc w:val="center"/>
              <w:rPr>
                <w:color w:val="000000"/>
              </w:rPr>
            </w:pPr>
            <w:r w:rsidRPr="00074F3F">
              <w:rPr>
                <w:color w:val="000000"/>
              </w:rPr>
              <w:t>3/5/2007 (NY)</w:t>
            </w:r>
          </w:p>
        </w:tc>
        <w:tc>
          <w:tcPr>
            <w:tcW w:w="2684" w:type="dxa"/>
            <w:gridSpan w:val="2"/>
            <w:tcBorders>
              <w:top w:val="single" w:color="auto" w:sz="4" w:space="0"/>
              <w:bottom w:val="single" w:color="auto" w:sz="4" w:space="0"/>
            </w:tcBorders>
          </w:tcPr>
          <w:p w:rsidRPr="00074F3F" w:rsidR="00FC3F96" w:rsidP="00FC3F96" w:rsidRDefault="00FC3F96" w14:paraId="61F92075" w14:textId="44DCE407">
            <w:pPr>
              <w:keepLines/>
              <w:spacing w:before="60" w:after="60"/>
              <w:jc w:val="center"/>
              <w:rPr>
                <w:color w:val="000000"/>
              </w:rPr>
            </w:pPr>
            <w:r w:rsidRPr="00074F3F">
              <w:rPr>
                <w:color w:val="000000"/>
              </w:rPr>
              <w:t>268401 (CA)</w:t>
            </w:r>
          </w:p>
          <w:p w:rsidRPr="00074F3F" w:rsidR="00FC3F96" w:rsidP="00FC3F96" w:rsidRDefault="00FC3F96" w14:paraId="58495CD7" w14:textId="2B711AD6">
            <w:pPr>
              <w:keepLines/>
              <w:spacing w:before="60" w:after="60"/>
              <w:jc w:val="center"/>
              <w:rPr>
                <w:color w:val="000000"/>
              </w:rPr>
            </w:pPr>
            <w:r w:rsidRPr="00074F3F">
              <w:rPr>
                <w:color w:val="000000"/>
              </w:rPr>
              <w:t>4488938 (NY)</w:t>
            </w:r>
          </w:p>
        </w:tc>
        <w:tc>
          <w:tcPr>
            <w:tcW w:w="3875" w:type="dxa"/>
            <w:gridSpan w:val="3"/>
            <w:tcBorders>
              <w:top w:val="single" w:color="auto" w:sz="4" w:space="0"/>
              <w:bottom w:val="single" w:color="auto" w:sz="4" w:space="0"/>
            </w:tcBorders>
          </w:tcPr>
          <w:p w:rsidRPr="00074F3F" w:rsidR="00FC3F96" w:rsidP="00FC3F96" w:rsidRDefault="00FC3F96" w14:paraId="117B99BF" w14:textId="60F56424">
            <w:pPr>
              <w:keepLines/>
              <w:spacing w:before="60" w:after="60"/>
              <w:jc w:val="center"/>
              <w:rPr>
                <w:color w:val="000000"/>
              </w:rPr>
            </w:pPr>
            <w:r w:rsidRPr="00074F3F">
              <w:rPr>
                <w:color w:val="000000"/>
              </w:rPr>
              <w:t>No</w:t>
            </w:r>
          </w:p>
        </w:tc>
      </w:tr>
    </w:tbl>
    <w:p w:rsidRPr="00545A84" w:rsidR="00A92D0B" w:rsidP="00E26F39" w:rsidRDefault="00A92D0B" w14:paraId="04BC309E" w14:textId="4EB20126">
      <w:pPr>
        <w:keepNext/>
        <w:numPr>
          <w:ilvl w:val="0"/>
          <w:numId w:val="9"/>
        </w:numPr>
        <w:spacing w:before="240" w:after="240"/>
        <w:rPr>
          <w:b/>
          <w:i/>
          <w:color w:val="000000"/>
        </w:rPr>
      </w:pPr>
      <w:r w:rsidRPr="0016795F">
        <w:rPr>
          <w:b/>
          <w:color w:val="000000"/>
        </w:rPr>
        <w:t>Attachments</w:t>
      </w:r>
      <w:r w:rsidRPr="0016795F">
        <w:rPr>
          <w:b/>
        </w:rPr>
        <w:t xml:space="preserve"> Documenting Specific Claim and Comments on Part III</w:t>
      </w:r>
      <w:r w:rsidRPr="0016795F" w:rsidR="00C02649">
        <w:rPr>
          <w:b/>
        </w:rPr>
        <w:t>:</w:t>
      </w:r>
      <w:r w:rsidR="0016795F">
        <w:rPr>
          <w:b/>
          <w:i/>
          <w:color w:val="000000"/>
        </w:rPr>
        <w:t xml:space="preserve"> </w:t>
      </w:r>
      <w:r w:rsidRPr="00545A84" w:rsidR="0016795F">
        <w:rPr>
          <w:b/>
          <w:i/>
          <w:color w:val="000000"/>
        </w:rPr>
        <w:t>(intervenor completes; attachments not attached to final decision)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074F3F" w:rsidR="00A92D0B" w:rsidTr="001A3CF3" w14:paraId="0C2B760A" w14:textId="77777777">
        <w:trPr>
          <w:tblHeader/>
        </w:trPr>
        <w:tc>
          <w:tcPr>
            <w:tcW w:w="1795" w:type="dxa"/>
            <w:shd w:val="clear" w:color="auto" w:fill="D9D9D9" w:themeFill="background1" w:themeFillShade="D9"/>
            <w:vAlign w:val="bottom"/>
          </w:tcPr>
          <w:p w:rsidRPr="00074F3F" w:rsidR="00A92D0B" w:rsidP="001A3CF3" w:rsidRDefault="00A92D0B" w14:paraId="42A1D838" w14:textId="6265C602">
            <w:pPr>
              <w:tabs>
                <w:tab w:val="left" w:pos="1260"/>
              </w:tabs>
              <w:jc w:val="center"/>
              <w:rPr>
                <w:b/>
                <w:color w:val="000000"/>
              </w:rPr>
            </w:pPr>
            <w:r w:rsidRPr="00074F3F">
              <w:rPr>
                <w:b/>
                <w:color w:val="000000"/>
              </w:rPr>
              <w:t xml:space="preserve">Attachment or </w:t>
            </w:r>
            <w:r w:rsidRPr="00074F3F" w:rsidR="00CB52B1">
              <w:rPr>
                <w:b/>
                <w:color w:val="000000"/>
              </w:rPr>
              <w:t>Comment #</w:t>
            </w:r>
          </w:p>
        </w:tc>
        <w:tc>
          <w:tcPr>
            <w:tcW w:w="7565" w:type="dxa"/>
            <w:tcBorders>
              <w:bottom w:val="single" w:color="auto" w:sz="4" w:space="0"/>
            </w:tcBorders>
            <w:shd w:val="clear" w:color="auto" w:fill="D9D9D9" w:themeFill="background1" w:themeFillShade="D9"/>
            <w:vAlign w:val="bottom"/>
          </w:tcPr>
          <w:p w:rsidRPr="00074F3F" w:rsidR="00A92D0B" w:rsidP="001A3CF3" w:rsidRDefault="00A92D0B" w14:paraId="55F0A65F" w14:textId="77777777">
            <w:pPr>
              <w:tabs>
                <w:tab w:val="left" w:pos="1260"/>
              </w:tabs>
              <w:jc w:val="center"/>
              <w:rPr>
                <w:b/>
                <w:color w:val="000000"/>
              </w:rPr>
            </w:pPr>
            <w:r w:rsidRPr="00074F3F">
              <w:rPr>
                <w:b/>
                <w:color w:val="000000"/>
              </w:rPr>
              <w:t>Description/Comment</w:t>
            </w:r>
          </w:p>
        </w:tc>
      </w:tr>
      <w:tr w:rsidRPr="00074F3F" w:rsidR="00A92D0B" w:rsidTr="00F36E98" w14:paraId="71F47148" w14:textId="77777777">
        <w:tc>
          <w:tcPr>
            <w:tcW w:w="1795" w:type="dxa"/>
            <w:tcBorders>
              <w:bottom w:val="single" w:color="auto" w:sz="4" w:space="0"/>
            </w:tcBorders>
          </w:tcPr>
          <w:p w:rsidRPr="00074F3F" w:rsidR="00A92D0B" w:rsidP="000645C3" w:rsidRDefault="000645C3" w14:paraId="7A5C03D8" w14:textId="7953B3CD">
            <w:pPr>
              <w:tabs>
                <w:tab w:val="center" w:pos="789"/>
              </w:tabs>
              <w:rPr>
                <w:color w:val="000000"/>
              </w:rPr>
            </w:pPr>
            <w:r w:rsidRPr="00074F3F">
              <w:rPr>
                <w:color w:val="000000"/>
              </w:rPr>
              <w:t>Attachment 1</w:t>
            </w:r>
            <w:r w:rsidRPr="00074F3F">
              <w:rPr>
                <w:color w:val="000000"/>
              </w:rPr>
              <w:tab/>
            </w:r>
          </w:p>
        </w:tc>
        <w:tc>
          <w:tcPr>
            <w:tcW w:w="7565" w:type="dxa"/>
            <w:tcBorders>
              <w:bottom w:val="single" w:color="auto" w:sz="4" w:space="0"/>
            </w:tcBorders>
          </w:tcPr>
          <w:p w:rsidRPr="00074F3F" w:rsidR="00A92D0B" w:rsidP="001A3CF3" w:rsidRDefault="00A92D0B" w14:paraId="370C67BC" w14:textId="77777777">
            <w:pPr>
              <w:tabs>
                <w:tab w:val="left" w:pos="1260"/>
              </w:tabs>
              <w:rPr>
                <w:color w:val="000000"/>
              </w:rPr>
            </w:pPr>
            <w:r w:rsidRPr="00074F3F">
              <w:rPr>
                <w:color w:val="000000"/>
              </w:rPr>
              <w:t>Certificate of Service</w:t>
            </w:r>
          </w:p>
        </w:tc>
      </w:tr>
      <w:tr w:rsidRPr="00074F3F" w:rsidR="00A92D0B" w:rsidTr="00F36E98" w14:paraId="72C869B0" w14:textId="77777777">
        <w:tc>
          <w:tcPr>
            <w:tcW w:w="1795" w:type="dxa"/>
          </w:tcPr>
          <w:p w:rsidRPr="00074F3F" w:rsidR="00544A2C" w:rsidP="001A3CF3" w:rsidRDefault="00544A2C" w14:paraId="49AADD21" w14:textId="1FE39174">
            <w:pPr>
              <w:tabs>
                <w:tab w:val="left" w:pos="1260"/>
              </w:tabs>
              <w:rPr>
                <w:color w:val="000000"/>
              </w:rPr>
            </w:pPr>
            <w:r w:rsidRPr="00074F3F">
              <w:rPr>
                <w:color w:val="000000"/>
              </w:rPr>
              <w:t>Attachment 2</w:t>
            </w:r>
          </w:p>
        </w:tc>
        <w:tc>
          <w:tcPr>
            <w:tcW w:w="7565" w:type="dxa"/>
          </w:tcPr>
          <w:p w:rsidRPr="00074F3F" w:rsidR="00A92D0B" w:rsidP="001A3CF3" w:rsidRDefault="00322213" w14:paraId="3AF20C23" w14:textId="0F0E801E">
            <w:pPr>
              <w:tabs>
                <w:tab w:val="left" w:pos="1260"/>
              </w:tabs>
              <w:rPr>
                <w:bCs/>
                <w:color w:val="000000"/>
              </w:rPr>
            </w:pPr>
            <w:r w:rsidRPr="00074F3F">
              <w:rPr>
                <w:bCs/>
                <w:color w:val="000000"/>
              </w:rPr>
              <w:t>Resume of Elizabeth Kelly</w:t>
            </w:r>
          </w:p>
        </w:tc>
      </w:tr>
      <w:tr w:rsidRPr="00074F3F" w:rsidR="00322213" w:rsidTr="00F36E98" w14:paraId="1D6DC867" w14:textId="77777777">
        <w:tc>
          <w:tcPr>
            <w:tcW w:w="1795" w:type="dxa"/>
          </w:tcPr>
          <w:p w:rsidRPr="00074F3F" w:rsidR="00322213" w:rsidP="001A3CF3" w:rsidRDefault="00544A2C" w14:paraId="1C3CCE01" w14:textId="070D8742">
            <w:pPr>
              <w:tabs>
                <w:tab w:val="left" w:pos="1260"/>
              </w:tabs>
              <w:rPr>
                <w:color w:val="000000"/>
              </w:rPr>
            </w:pPr>
            <w:r w:rsidRPr="00074F3F">
              <w:rPr>
                <w:color w:val="000000"/>
              </w:rPr>
              <w:t>Attachment 3</w:t>
            </w:r>
          </w:p>
        </w:tc>
        <w:tc>
          <w:tcPr>
            <w:tcW w:w="7565" w:type="dxa"/>
          </w:tcPr>
          <w:p w:rsidRPr="00074F3F" w:rsidR="00322213" w:rsidP="001A3CF3" w:rsidRDefault="00322213" w14:paraId="63B7CE2F" w14:textId="615CD38C">
            <w:pPr>
              <w:tabs>
                <w:tab w:val="left" w:pos="1260"/>
              </w:tabs>
              <w:rPr>
                <w:bCs/>
                <w:color w:val="000000"/>
              </w:rPr>
            </w:pPr>
            <w:r w:rsidRPr="00074F3F">
              <w:rPr>
                <w:bCs/>
                <w:color w:val="000000"/>
              </w:rPr>
              <w:t>Resume of Michael Colvin</w:t>
            </w:r>
          </w:p>
        </w:tc>
      </w:tr>
      <w:tr w:rsidRPr="00074F3F" w:rsidR="00695415" w:rsidTr="00F36E98" w14:paraId="3022F3AC" w14:textId="77777777">
        <w:tc>
          <w:tcPr>
            <w:tcW w:w="1795" w:type="dxa"/>
          </w:tcPr>
          <w:p w:rsidRPr="00074F3F" w:rsidR="00695415" w:rsidP="00695415" w:rsidRDefault="00695415" w14:paraId="4235DE84" w14:textId="57D14717">
            <w:pPr>
              <w:tabs>
                <w:tab w:val="left" w:pos="1260"/>
              </w:tabs>
              <w:rPr>
                <w:color w:val="000000"/>
              </w:rPr>
            </w:pPr>
            <w:r w:rsidRPr="00074F3F">
              <w:rPr>
                <w:color w:val="000000"/>
              </w:rPr>
              <w:t>Attachment 4</w:t>
            </w:r>
          </w:p>
        </w:tc>
        <w:tc>
          <w:tcPr>
            <w:tcW w:w="7565" w:type="dxa"/>
          </w:tcPr>
          <w:p w:rsidRPr="00074F3F" w:rsidR="00695415" w:rsidP="00695415" w:rsidRDefault="00695415" w14:paraId="27A64146" w14:textId="1C2B9051">
            <w:pPr>
              <w:tabs>
                <w:tab w:val="left" w:pos="1260"/>
              </w:tabs>
              <w:rPr>
                <w:bCs/>
                <w:color w:val="000000"/>
              </w:rPr>
            </w:pPr>
            <w:r w:rsidRPr="00074F3F">
              <w:rPr>
                <w:bCs/>
                <w:color w:val="000000"/>
              </w:rPr>
              <w:t>Resume of Joon Hun Seong</w:t>
            </w:r>
          </w:p>
        </w:tc>
      </w:tr>
      <w:tr w:rsidRPr="00074F3F" w:rsidR="00695415" w:rsidTr="00F36E98" w14:paraId="47AA01D3" w14:textId="77777777">
        <w:tc>
          <w:tcPr>
            <w:tcW w:w="1795" w:type="dxa"/>
          </w:tcPr>
          <w:p w:rsidRPr="00074F3F" w:rsidR="00695415" w:rsidP="00695415" w:rsidRDefault="00695415" w14:paraId="0F28465D" w14:textId="495F5314">
            <w:pPr>
              <w:tabs>
                <w:tab w:val="left" w:pos="1260"/>
              </w:tabs>
              <w:rPr>
                <w:color w:val="000000"/>
              </w:rPr>
            </w:pPr>
            <w:r w:rsidRPr="00074F3F">
              <w:rPr>
                <w:color w:val="000000"/>
              </w:rPr>
              <w:t>Attachment 5</w:t>
            </w:r>
          </w:p>
        </w:tc>
        <w:tc>
          <w:tcPr>
            <w:tcW w:w="7565" w:type="dxa"/>
          </w:tcPr>
          <w:p w:rsidRPr="00074F3F" w:rsidR="00695415" w:rsidP="00695415" w:rsidRDefault="00695415" w14:paraId="172027F8" w14:textId="2B52801D">
            <w:pPr>
              <w:tabs>
                <w:tab w:val="left" w:pos="1260"/>
              </w:tabs>
              <w:rPr>
                <w:bCs/>
                <w:color w:val="000000"/>
              </w:rPr>
            </w:pPr>
            <w:r w:rsidRPr="00074F3F">
              <w:rPr>
                <w:bCs/>
                <w:color w:val="000000"/>
              </w:rPr>
              <w:t>Timesheet</w:t>
            </w:r>
            <w:r w:rsidRPr="00074F3F" w:rsidR="00D31310">
              <w:rPr>
                <w:bCs/>
                <w:color w:val="000000"/>
              </w:rPr>
              <w:t>s</w:t>
            </w:r>
          </w:p>
        </w:tc>
      </w:tr>
      <w:tr w:rsidRPr="00074F3F" w:rsidR="00CA7A3E" w:rsidTr="00F36E98" w14:paraId="024F107E" w14:textId="77777777">
        <w:tc>
          <w:tcPr>
            <w:tcW w:w="1795" w:type="dxa"/>
          </w:tcPr>
          <w:p w:rsidRPr="00074F3F" w:rsidR="00CA7A3E" w:rsidP="00CA7A3E" w:rsidRDefault="00CA7A3E" w14:paraId="1E91F5CE" w14:textId="1B87F794">
            <w:pPr>
              <w:tabs>
                <w:tab w:val="left" w:pos="1260"/>
              </w:tabs>
              <w:rPr>
                <w:color w:val="000000"/>
              </w:rPr>
            </w:pPr>
            <w:r w:rsidRPr="00074F3F">
              <w:rPr>
                <w:color w:val="000000"/>
              </w:rPr>
              <w:lastRenderedPageBreak/>
              <w:t>Comment 1</w:t>
            </w:r>
          </w:p>
        </w:tc>
        <w:tc>
          <w:tcPr>
            <w:tcW w:w="7565" w:type="dxa"/>
          </w:tcPr>
          <w:p w:rsidRPr="00074F3F" w:rsidR="00CA7A3E" w:rsidP="00CA7A3E" w:rsidRDefault="00CA7A3E" w14:paraId="419E6FDB" w14:textId="77777777">
            <w:pPr>
              <w:tabs>
                <w:tab w:val="left" w:pos="1260"/>
              </w:tabs>
              <w:spacing w:after="240"/>
            </w:pPr>
            <w:r w:rsidRPr="00074F3F">
              <w:t>Rate for Elizabeth Kelly, Attorney</w:t>
            </w:r>
          </w:p>
          <w:p w:rsidRPr="00074F3F" w:rsidR="00CA7A3E" w:rsidP="00CA7A3E" w:rsidRDefault="00CA7A3E" w14:paraId="672E6CCB" w14:textId="541B654D">
            <w:pPr>
              <w:tabs>
                <w:tab w:val="left" w:pos="1260"/>
              </w:tabs>
              <w:spacing w:after="240"/>
            </w:pPr>
            <w:r w:rsidRPr="00074F3F">
              <w:t xml:space="preserve">Ms. Kelly’s legal energy experience </w:t>
            </w:r>
            <w:r w:rsidRPr="00074F3F" w:rsidR="00322213">
              <w:t xml:space="preserve">(15+ years) </w:t>
            </w:r>
            <w:r w:rsidRPr="00074F3F">
              <w:t xml:space="preserve">and expert energy economics and rate design experience prior to becoming an attorney are set forth on her resume, Attachment </w:t>
            </w:r>
            <w:r w:rsidRPr="00074F3F" w:rsidR="00C42C4A">
              <w:t>2</w:t>
            </w:r>
            <w:r w:rsidRPr="00074F3F">
              <w:t>.</w:t>
            </w:r>
          </w:p>
          <w:p w:rsidRPr="00074F3F" w:rsidR="00CA7A3E" w:rsidP="00CA7A3E" w:rsidRDefault="00322213" w14:paraId="7B109763" w14:textId="46B8DC37">
            <w:pPr>
              <w:tabs>
                <w:tab w:val="left" w:pos="1260"/>
              </w:tabs>
              <w:spacing w:after="240"/>
            </w:pPr>
            <w:r w:rsidRPr="00074F3F">
              <w:t>Above the midpoint of the range</w:t>
            </w:r>
            <w:r w:rsidRPr="00074F3F" w:rsidR="00CA7A3E">
              <w:t xml:space="preserve"> is appropriate for Ms. Kelly due to her unique and extensive energy and regulatory experience, including:</w:t>
            </w:r>
          </w:p>
          <w:p w:rsidRPr="00074F3F" w:rsidR="00CA7A3E" w:rsidP="00CA7A3E" w:rsidRDefault="00CA7A3E" w14:paraId="1C6A67E8"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Her economics degree which allows for a greater degree of understanding of financial and technical matters before the Commission;</w:t>
            </w:r>
          </w:p>
          <w:p w:rsidRPr="00074F3F" w:rsidR="00CA7A3E" w:rsidP="00CA7A3E" w:rsidRDefault="00CA7A3E" w14:paraId="3920FE68"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Her experience in energy economic and rate design consulting which contributes to her substantive knowledge in energy;</w:t>
            </w:r>
          </w:p>
          <w:p w:rsidRPr="00074F3F" w:rsidR="00CA7A3E" w:rsidP="00CA7A3E" w:rsidRDefault="00CA7A3E" w14:paraId="41CCAE6D"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The extent and depth of her experience in energy and project finance transactions;</w:t>
            </w:r>
          </w:p>
          <w:p w:rsidRPr="00074F3F" w:rsidR="00CA7A3E" w:rsidP="00CA7A3E" w:rsidRDefault="00CA7A3E" w14:paraId="644C72D9"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Her experience in launching MCE, California’s first Community Choice Aggregator, which required extensive legal and regulatory advocacy, in many cases without specific precedent before the California Public Utilities Commission;</w:t>
            </w:r>
          </w:p>
          <w:p w:rsidRPr="00074F3F" w:rsidR="00CA7A3E" w:rsidP="00CA7A3E" w:rsidRDefault="00CA7A3E" w14:paraId="63DED435"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Her experience serving clients specifically before the California Public Utilities Commission; and</w:t>
            </w:r>
          </w:p>
          <w:p w:rsidRPr="00074F3F" w:rsidR="00CA7A3E" w:rsidP="00CA7A3E" w:rsidRDefault="00CA7A3E" w14:paraId="767FEC3D" w14:textId="77777777">
            <w:pPr>
              <w:pStyle w:val="ListParagraph"/>
              <w:numPr>
                <w:ilvl w:val="0"/>
                <w:numId w:val="11"/>
              </w:numPr>
              <w:spacing w:after="240"/>
              <w:rPr>
                <w:rFonts w:ascii="Times New Roman" w:hAnsi="Times New Roman"/>
                <w:sz w:val="24"/>
                <w:szCs w:val="24"/>
              </w:rPr>
            </w:pPr>
            <w:r w:rsidRPr="00074F3F">
              <w:rPr>
                <w:rFonts w:ascii="Times New Roman" w:hAnsi="Times New Roman"/>
                <w:sz w:val="24"/>
                <w:szCs w:val="24"/>
              </w:rPr>
              <w:t xml:space="preserve">Her service within energy and legal groups that have advanced her knowledge and experience, including: </w:t>
            </w:r>
          </w:p>
          <w:p w:rsidRPr="00074F3F" w:rsidR="002016A8" w:rsidP="00CA7A3E" w:rsidRDefault="002016A8" w14:paraId="342FCB2D" w14:textId="76C9770B">
            <w:pPr>
              <w:pStyle w:val="ListParagraph"/>
              <w:numPr>
                <w:ilvl w:val="1"/>
                <w:numId w:val="11"/>
              </w:numPr>
              <w:spacing w:after="240"/>
              <w:ind w:left="1080"/>
              <w:rPr>
                <w:rFonts w:ascii="Times New Roman" w:hAnsi="Times New Roman"/>
                <w:sz w:val="24"/>
                <w:szCs w:val="24"/>
              </w:rPr>
            </w:pPr>
            <w:r w:rsidRPr="00074F3F">
              <w:rPr>
                <w:rFonts w:ascii="Times New Roman" w:hAnsi="Times New Roman"/>
                <w:sz w:val="24"/>
                <w:szCs w:val="24"/>
              </w:rPr>
              <w:t>Founder of the San Francisco Women General Counsel Circle</w:t>
            </w:r>
          </w:p>
          <w:p w:rsidRPr="00074F3F" w:rsidR="00CA7A3E" w:rsidP="00CA7A3E" w:rsidRDefault="00CA7A3E" w14:paraId="2496CB16" w14:textId="537B170A">
            <w:pPr>
              <w:pStyle w:val="ListParagraph"/>
              <w:numPr>
                <w:ilvl w:val="1"/>
                <w:numId w:val="11"/>
              </w:numPr>
              <w:spacing w:after="240"/>
              <w:ind w:left="1080"/>
              <w:rPr>
                <w:rFonts w:ascii="Times New Roman" w:hAnsi="Times New Roman"/>
                <w:sz w:val="24"/>
                <w:szCs w:val="24"/>
              </w:rPr>
            </w:pPr>
            <w:r w:rsidRPr="00074F3F">
              <w:rPr>
                <w:rFonts w:ascii="Times New Roman" w:hAnsi="Times New Roman"/>
                <w:sz w:val="24"/>
                <w:szCs w:val="24"/>
              </w:rPr>
              <w:t xml:space="preserve">2018 National Association of Women Lawyers General Counsel Institute, Member of Planning Committee and Workshops Subcommittee </w:t>
            </w:r>
          </w:p>
          <w:p w:rsidRPr="00074F3F" w:rsidR="00CA7A3E" w:rsidP="00CA7A3E" w:rsidRDefault="00CA7A3E" w14:paraId="47F9C643" w14:textId="77777777">
            <w:pPr>
              <w:pStyle w:val="ListParagraph"/>
              <w:numPr>
                <w:ilvl w:val="1"/>
                <w:numId w:val="11"/>
              </w:numPr>
              <w:spacing w:after="240"/>
              <w:ind w:left="1080"/>
              <w:rPr>
                <w:rFonts w:ascii="Times New Roman" w:hAnsi="Times New Roman"/>
                <w:sz w:val="24"/>
                <w:szCs w:val="24"/>
              </w:rPr>
            </w:pPr>
            <w:r w:rsidRPr="00074F3F">
              <w:rPr>
                <w:rFonts w:ascii="Times New Roman" w:hAnsi="Times New Roman"/>
                <w:sz w:val="24"/>
                <w:szCs w:val="24"/>
              </w:rPr>
              <w:t xml:space="preserve">2017 National Association of Women Lawyers General Counsel Institute, Member of Planning Committee, Workshops Subcommittee, and Logistics Subcommittee. </w:t>
            </w:r>
          </w:p>
          <w:p w:rsidRPr="00074F3F" w:rsidR="00CA7A3E" w:rsidP="00CA7A3E" w:rsidRDefault="00CA7A3E" w14:paraId="5437C5D1" w14:textId="77777777">
            <w:pPr>
              <w:pStyle w:val="ListParagraph"/>
              <w:numPr>
                <w:ilvl w:val="1"/>
                <w:numId w:val="11"/>
              </w:numPr>
              <w:spacing w:after="240"/>
              <w:ind w:left="1080"/>
              <w:rPr>
                <w:rFonts w:ascii="Times New Roman" w:hAnsi="Times New Roman"/>
                <w:sz w:val="24"/>
                <w:szCs w:val="24"/>
              </w:rPr>
            </w:pPr>
            <w:r w:rsidRPr="00074F3F">
              <w:rPr>
                <w:rFonts w:ascii="Times New Roman" w:hAnsi="Times New Roman"/>
                <w:sz w:val="24"/>
                <w:szCs w:val="24"/>
              </w:rPr>
              <w:t xml:space="preserve">2016 CAISO Energy Imbalance Market Governing Body Nominating Committee, Public Interest and Consumer Advocate Committee Member </w:t>
            </w:r>
          </w:p>
          <w:p w:rsidRPr="00074F3F" w:rsidR="00CA7A3E" w:rsidP="00322213" w:rsidRDefault="00CA7A3E" w14:paraId="608FA8E4" w14:textId="4C234E22">
            <w:pPr>
              <w:pStyle w:val="ListParagraph"/>
              <w:numPr>
                <w:ilvl w:val="1"/>
                <w:numId w:val="11"/>
              </w:numPr>
              <w:spacing w:after="240"/>
              <w:ind w:left="1080"/>
              <w:rPr>
                <w:b/>
                <w:color w:val="000000"/>
              </w:rPr>
            </w:pPr>
            <w:r w:rsidRPr="00074F3F">
              <w:rPr>
                <w:rFonts w:ascii="Times New Roman" w:hAnsi="Times New Roman"/>
                <w:sz w:val="24"/>
                <w:szCs w:val="24"/>
              </w:rPr>
              <w:lastRenderedPageBreak/>
              <w:t xml:space="preserve">2015 CAISO Board of Governors Nominee Review Committee, End User and Retail Provider Committee Member </w:t>
            </w:r>
          </w:p>
        </w:tc>
      </w:tr>
      <w:tr w:rsidRPr="00074F3F" w:rsidR="00322213" w:rsidTr="00F36E98" w14:paraId="18A84A57" w14:textId="77777777">
        <w:tc>
          <w:tcPr>
            <w:tcW w:w="1795" w:type="dxa"/>
          </w:tcPr>
          <w:p w:rsidRPr="00074F3F" w:rsidR="00322213" w:rsidP="00CA7A3E" w:rsidRDefault="00322213" w14:paraId="550DE5EF" w14:textId="5E5F9067">
            <w:pPr>
              <w:tabs>
                <w:tab w:val="left" w:pos="1260"/>
              </w:tabs>
              <w:rPr>
                <w:color w:val="000000"/>
              </w:rPr>
            </w:pPr>
            <w:r w:rsidRPr="00074F3F">
              <w:rPr>
                <w:color w:val="000000"/>
              </w:rPr>
              <w:lastRenderedPageBreak/>
              <w:t>Comment 2</w:t>
            </w:r>
          </w:p>
        </w:tc>
        <w:tc>
          <w:tcPr>
            <w:tcW w:w="7565" w:type="dxa"/>
          </w:tcPr>
          <w:p w:rsidRPr="00074F3F" w:rsidR="00322213" w:rsidP="00CA7A3E" w:rsidRDefault="00322213" w14:paraId="40AA66B2" w14:textId="77777777">
            <w:pPr>
              <w:tabs>
                <w:tab w:val="left" w:pos="1260"/>
              </w:tabs>
              <w:spacing w:after="240"/>
            </w:pPr>
            <w:r w:rsidRPr="00074F3F">
              <w:t>Rate for Michael Colvin, Expert</w:t>
            </w:r>
          </w:p>
          <w:p w:rsidRPr="00074F3F" w:rsidR="00322213" w:rsidP="00CA7A3E" w:rsidRDefault="00104733" w14:paraId="113AD273" w14:textId="56D2F200">
            <w:pPr>
              <w:tabs>
                <w:tab w:val="left" w:pos="1260"/>
              </w:tabs>
              <w:spacing w:after="240"/>
            </w:pPr>
            <w:r w:rsidRPr="00074F3F">
              <w:t xml:space="preserve">Michael Colvin spent over 10 years at the California Public Utilities Commission and another </w:t>
            </w:r>
            <w:r w:rsidRPr="00074F3F" w:rsidR="000155FB">
              <w:t>5</w:t>
            </w:r>
            <w:r w:rsidRPr="00074F3F">
              <w:t xml:space="preserve"> at Environmental Defense Fund.</w:t>
            </w:r>
            <w:r w:rsidRPr="00074F3F" w:rsidR="000155FB">
              <w:t xml:space="preserve"> He holds a Master</w:t>
            </w:r>
            <w:r w:rsidRPr="00074F3F" w:rsidR="00B953A6">
              <w:t xml:space="preserve"> of Public Policy degree from UC Berkeley.</w:t>
            </w:r>
            <w:r w:rsidRPr="00074F3F">
              <w:t xml:space="preserve"> Given his experience</w:t>
            </w:r>
            <w:r w:rsidRPr="00074F3F" w:rsidR="00525118">
              <w:t xml:space="preserve"> (15+ years of professional experience and a Master’s degree)</w:t>
            </w:r>
            <w:r w:rsidRPr="00074F3F" w:rsidR="00B953A6">
              <w:t>,</w:t>
            </w:r>
            <w:r w:rsidRPr="00074F3F">
              <w:t xml:space="preserve"> he is classified as public policy analyst V</w:t>
            </w:r>
            <w:r w:rsidRPr="00074F3F" w:rsidR="003646B2">
              <w:t>.</w:t>
            </w:r>
            <w:r w:rsidRPr="00074F3F">
              <w:t xml:space="preserve"> </w:t>
            </w:r>
          </w:p>
        </w:tc>
      </w:tr>
      <w:tr w:rsidRPr="00074F3F" w:rsidR="007D4718" w:rsidTr="00F36E98" w14:paraId="7370F30A" w14:textId="77777777">
        <w:tc>
          <w:tcPr>
            <w:tcW w:w="1795" w:type="dxa"/>
          </w:tcPr>
          <w:p w:rsidRPr="00074F3F" w:rsidR="007D4718" w:rsidP="007D4718" w:rsidRDefault="007D4718" w14:paraId="38B25839" w14:textId="4DAAF8B3">
            <w:pPr>
              <w:tabs>
                <w:tab w:val="left" w:pos="1260"/>
              </w:tabs>
              <w:rPr>
                <w:color w:val="000000"/>
              </w:rPr>
            </w:pPr>
            <w:r w:rsidRPr="00074F3F">
              <w:rPr>
                <w:color w:val="000000"/>
              </w:rPr>
              <w:t xml:space="preserve">Comment </w:t>
            </w:r>
            <w:r w:rsidRPr="00074F3F" w:rsidR="00E10A2C">
              <w:rPr>
                <w:color w:val="000000"/>
              </w:rPr>
              <w:t>3</w:t>
            </w:r>
          </w:p>
        </w:tc>
        <w:tc>
          <w:tcPr>
            <w:tcW w:w="7565" w:type="dxa"/>
          </w:tcPr>
          <w:p w:rsidRPr="00074F3F" w:rsidR="007D4718" w:rsidP="007D4718" w:rsidRDefault="007D4718" w14:paraId="138D0724" w14:textId="77777777">
            <w:pPr>
              <w:tabs>
                <w:tab w:val="left" w:pos="1260"/>
              </w:tabs>
              <w:spacing w:after="240"/>
            </w:pPr>
            <w:r w:rsidRPr="00074F3F">
              <w:t>Rate for Joon Hun Seong, Expert</w:t>
            </w:r>
          </w:p>
          <w:p w:rsidRPr="00074F3F" w:rsidR="007D4718" w:rsidP="007D4718" w:rsidRDefault="007D4718" w14:paraId="2CEF4D30" w14:textId="74403CEA">
            <w:pPr>
              <w:pStyle w:val="ListParagraph"/>
              <w:numPr>
                <w:ilvl w:val="0"/>
                <w:numId w:val="16"/>
              </w:numPr>
              <w:tabs>
                <w:tab w:val="left" w:pos="1260"/>
              </w:tabs>
              <w:rPr>
                <w:rFonts w:ascii="Times New Roman" w:hAnsi="Times New Roman"/>
                <w:sz w:val="24"/>
                <w:szCs w:val="24"/>
              </w:rPr>
            </w:pPr>
            <w:r w:rsidRPr="00074F3F">
              <w:rPr>
                <w:rFonts w:ascii="Times New Roman" w:hAnsi="Times New Roman"/>
                <w:sz w:val="24"/>
                <w:szCs w:val="24"/>
              </w:rPr>
              <w:t>Joon Hun Seong has received a Master of Public Policy degree from UC Berkeley and has two years of previous policy analysis experience working for American Solar Partners, a solar developer based in Mt. Vernon, New York.</w:t>
            </w:r>
            <w:r w:rsidRPr="00074F3F" w:rsidR="004B457E">
              <w:rPr>
                <w:rFonts w:ascii="Times New Roman" w:hAnsi="Times New Roman"/>
                <w:sz w:val="24"/>
                <w:szCs w:val="24"/>
              </w:rPr>
              <w:t xml:space="preserve"> He has worked as an analyst at Environmental Defense Fund focusing on gas utility regulatory issues for </w:t>
            </w:r>
            <w:r w:rsidRPr="00074F3F" w:rsidR="006356FE">
              <w:rPr>
                <w:rFonts w:ascii="Times New Roman" w:hAnsi="Times New Roman"/>
                <w:sz w:val="24"/>
                <w:szCs w:val="24"/>
              </w:rPr>
              <w:t>a little less than two years.</w:t>
            </w:r>
            <w:r w:rsidRPr="00074F3F">
              <w:rPr>
                <w:rFonts w:ascii="Times New Roman" w:hAnsi="Times New Roman"/>
                <w:sz w:val="24"/>
                <w:szCs w:val="24"/>
              </w:rPr>
              <w:t xml:space="preserve"> Given his academic qualifications and professional experience, he is classified as public policy analyst III. </w:t>
            </w:r>
          </w:p>
        </w:tc>
      </w:tr>
    </w:tbl>
    <w:p w:rsidRPr="00074F3F" w:rsidR="00A92D0B" w:rsidP="005B5B44" w:rsidRDefault="00A92D0B" w14:paraId="0D8B7003" w14:textId="4B088F2D">
      <w:pPr>
        <w:keepNext/>
        <w:numPr>
          <w:ilvl w:val="0"/>
          <w:numId w:val="9"/>
        </w:numPr>
        <w:spacing w:before="240" w:after="240"/>
        <w:rPr>
          <w:b/>
          <w:color w:val="000000"/>
        </w:rPr>
      </w:pPr>
      <w:r w:rsidRPr="00074F3F">
        <w:rPr>
          <w:b/>
          <w:color w:val="000000"/>
        </w:rPr>
        <w:t xml:space="preserve">CPUC </w:t>
      </w:r>
      <w:r w:rsidRPr="00074F3F" w:rsidR="008C09F7">
        <w:rPr>
          <w:b/>
          <w:color w:val="000000"/>
        </w:rPr>
        <w:t xml:space="preserve">Comments, </w:t>
      </w:r>
      <w:r w:rsidRPr="00074F3F">
        <w:rPr>
          <w:b/>
          <w:color w:val="000000"/>
        </w:rPr>
        <w:t>Disallowances</w:t>
      </w:r>
      <w:r w:rsidRPr="00074F3F" w:rsidR="008C09F7">
        <w:rPr>
          <w:b/>
          <w:color w:val="000000"/>
        </w:rPr>
        <w:t>,</w:t>
      </w:r>
      <w:r w:rsidRPr="00074F3F" w:rsidR="00D075B1">
        <w:rPr>
          <w:b/>
          <w:color w:val="000000"/>
        </w:rPr>
        <w:t xml:space="preserve"> </w:t>
      </w:r>
      <w:r w:rsidRPr="00074F3F" w:rsidR="00A319DE">
        <w:rPr>
          <w:b/>
          <w:color w:val="000000"/>
        </w:rPr>
        <w:t>and</w:t>
      </w:r>
      <w:r w:rsidRPr="00074F3F" w:rsidR="00D075B1">
        <w:rPr>
          <w:b/>
          <w:color w:val="000000"/>
        </w:rPr>
        <w:t xml:space="preserve"> </w:t>
      </w:r>
      <w:r w:rsidRPr="00074F3F">
        <w:rPr>
          <w:b/>
          <w:color w:val="000000"/>
        </w:rPr>
        <w:t xml:space="preserve">Adjustments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16"/>
        <w:gridCol w:w="7744"/>
      </w:tblGrid>
      <w:tr w:rsidRPr="00074F3F" w:rsidR="00A92D0B" w:rsidTr="007C2CCB" w14:paraId="52CD0603" w14:textId="77777777">
        <w:trPr>
          <w:tblHeader/>
        </w:trPr>
        <w:tc>
          <w:tcPr>
            <w:tcW w:w="1616" w:type="dxa"/>
            <w:shd w:val="pct12" w:color="auto" w:fill="auto"/>
          </w:tcPr>
          <w:p w:rsidRPr="00074F3F" w:rsidR="00A92D0B" w:rsidP="00EB64CF" w:rsidRDefault="00072C81" w14:paraId="3954EC4C" w14:textId="77777777">
            <w:pPr>
              <w:tabs>
                <w:tab w:val="left" w:pos="1440"/>
              </w:tabs>
              <w:jc w:val="center"/>
              <w:rPr>
                <w:b/>
                <w:color w:val="000000"/>
              </w:rPr>
            </w:pPr>
            <w:r w:rsidRPr="00074F3F">
              <w:rPr>
                <w:b/>
                <w:color w:val="000000"/>
              </w:rPr>
              <w:t>Item</w:t>
            </w:r>
          </w:p>
        </w:tc>
        <w:tc>
          <w:tcPr>
            <w:tcW w:w="7744" w:type="dxa"/>
            <w:shd w:val="pct12" w:color="auto" w:fill="auto"/>
          </w:tcPr>
          <w:p w:rsidRPr="00074F3F" w:rsidR="00A92D0B" w:rsidP="00EB64CF" w:rsidRDefault="00A92D0B" w14:paraId="09F9E4D9" w14:textId="77777777">
            <w:pPr>
              <w:tabs>
                <w:tab w:val="left" w:pos="1440"/>
              </w:tabs>
              <w:jc w:val="center"/>
              <w:rPr>
                <w:b/>
                <w:color w:val="000000"/>
              </w:rPr>
            </w:pPr>
            <w:r w:rsidRPr="00074F3F">
              <w:rPr>
                <w:b/>
                <w:color w:val="000000"/>
              </w:rPr>
              <w:t>Reason</w:t>
            </w:r>
          </w:p>
        </w:tc>
      </w:tr>
      <w:tr w:rsidRPr="00074F3F" w:rsidR="00A92D0B" w:rsidTr="007C2CCB" w14:paraId="69DEE01C" w14:textId="77777777">
        <w:tc>
          <w:tcPr>
            <w:tcW w:w="1616" w:type="dxa"/>
          </w:tcPr>
          <w:p w:rsidRPr="006B16AF" w:rsidR="00A92D0B" w:rsidP="00EB64CF" w:rsidRDefault="009E04B3" w14:paraId="1E6C8F3D" w14:textId="75245F54">
            <w:pPr>
              <w:tabs>
                <w:tab w:val="left" w:pos="1440"/>
              </w:tabs>
              <w:rPr>
                <w:color w:val="000000"/>
              </w:rPr>
            </w:pPr>
            <w:r w:rsidRPr="006B16AF">
              <w:rPr>
                <w:color w:val="000000"/>
              </w:rPr>
              <w:t>[1] Kelly</w:t>
            </w:r>
            <w:r w:rsidR="000001F7">
              <w:rPr>
                <w:color w:val="000000"/>
              </w:rPr>
              <w:t>’s</w:t>
            </w:r>
            <w:r w:rsidRPr="006B16AF">
              <w:rPr>
                <w:color w:val="000000"/>
              </w:rPr>
              <w:t xml:space="preserve"> 2022 and 2023 Hourly Rate</w:t>
            </w:r>
            <w:r w:rsidR="000001F7">
              <w:rPr>
                <w:color w:val="000000"/>
              </w:rPr>
              <w:t>s</w:t>
            </w:r>
          </w:p>
        </w:tc>
        <w:tc>
          <w:tcPr>
            <w:tcW w:w="7744" w:type="dxa"/>
          </w:tcPr>
          <w:p w:rsidR="00C3546B" w:rsidP="005B5C94" w:rsidRDefault="006018E4" w14:paraId="4932C92A" w14:textId="3F8D3A0D">
            <w:pPr>
              <w:rPr>
                <w:color w:val="000000"/>
              </w:rPr>
            </w:pPr>
            <w:r>
              <w:rPr>
                <w:color w:val="000000"/>
              </w:rPr>
              <w:t xml:space="preserve">EDF </w:t>
            </w:r>
            <w:r w:rsidR="00CB7A52">
              <w:rPr>
                <w:color w:val="000000"/>
              </w:rPr>
              <w:t>verified</w:t>
            </w:r>
            <w:r>
              <w:rPr>
                <w:color w:val="000000"/>
              </w:rPr>
              <w:t xml:space="preserve"> Kelly</w:t>
            </w:r>
            <w:r w:rsidR="00CB7A52">
              <w:rPr>
                <w:color w:val="000000"/>
              </w:rPr>
              <w:t>’s</w:t>
            </w:r>
            <w:r>
              <w:rPr>
                <w:color w:val="000000"/>
              </w:rPr>
              <w:t xml:space="preserve"> </w:t>
            </w:r>
            <w:r w:rsidR="00CB7A52">
              <w:rPr>
                <w:color w:val="000000"/>
              </w:rPr>
              <w:t>consultant status</w:t>
            </w:r>
            <w:r>
              <w:rPr>
                <w:color w:val="000000"/>
              </w:rPr>
              <w:t xml:space="preserve"> </w:t>
            </w:r>
            <w:r w:rsidR="0004500F">
              <w:rPr>
                <w:color w:val="000000"/>
              </w:rPr>
              <w:t>in</w:t>
            </w:r>
            <w:r w:rsidR="00473776">
              <w:rPr>
                <w:color w:val="000000"/>
              </w:rPr>
              <w:t xml:space="preserve"> the resume submitted with this claim. </w:t>
            </w:r>
            <w:r w:rsidR="005B5C94">
              <w:rPr>
                <w:color w:val="000000"/>
              </w:rPr>
              <w:t xml:space="preserve">The Commission requested supplemental documentation be submitted by </w:t>
            </w:r>
            <w:r w:rsidR="001C356D">
              <w:rPr>
                <w:color w:val="000000"/>
              </w:rPr>
              <w:t>EDF</w:t>
            </w:r>
            <w:r w:rsidR="005B5C94">
              <w:rPr>
                <w:color w:val="000000"/>
              </w:rPr>
              <w:t xml:space="preserve"> to confirm the </w:t>
            </w:r>
            <w:r w:rsidR="00344870">
              <w:rPr>
                <w:color w:val="000000"/>
              </w:rPr>
              <w:t xml:space="preserve">agreement and </w:t>
            </w:r>
            <w:r w:rsidR="005B5C94">
              <w:rPr>
                <w:color w:val="000000"/>
              </w:rPr>
              <w:t>rate</w:t>
            </w:r>
            <w:r w:rsidR="00830D21">
              <w:rPr>
                <w:color w:val="000000"/>
              </w:rPr>
              <w:t>s</w:t>
            </w:r>
            <w:r w:rsidR="005B5C94">
              <w:rPr>
                <w:color w:val="000000"/>
              </w:rPr>
              <w:t xml:space="preserve"> charged by </w:t>
            </w:r>
            <w:r w:rsidR="001C356D">
              <w:rPr>
                <w:color w:val="000000"/>
              </w:rPr>
              <w:t>Kelly</w:t>
            </w:r>
            <w:r w:rsidR="005B5C94">
              <w:rPr>
                <w:color w:val="000000"/>
              </w:rPr>
              <w:t xml:space="preserve">. </w:t>
            </w:r>
            <w:r w:rsidR="003A4175">
              <w:rPr>
                <w:color w:val="000000"/>
              </w:rPr>
              <w:t>EDF</w:t>
            </w:r>
            <w:r w:rsidR="005B5C94">
              <w:rPr>
                <w:color w:val="000000"/>
              </w:rPr>
              <w:t xml:space="preserve"> has confirmed that </w:t>
            </w:r>
            <w:r w:rsidR="001C356D">
              <w:rPr>
                <w:color w:val="000000"/>
              </w:rPr>
              <w:t>Kelly</w:t>
            </w:r>
            <w:r w:rsidR="00F97EBD">
              <w:rPr>
                <w:color w:val="000000"/>
              </w:rPr>
              <w:t xml:space="preserve"> is a member of </w:t>
            </w:r>
            <w:r w:rsidRPr="00014B4B" w:rsidR="00F97EBD">
              <w:rPr>
                <w:color w:val="000000"/>
              </w:rPr>
              <w:t>EMK</w:t>
            </w:r>
            <w:r w:rsidR="00F97EBD">
              <w:rPr>
                <w:color w:val="000000"/>
              </w:rPr>
              <w:t xml:space="preserve"> law </w:t>
            </w:r>
            <w:r w:rsidR="00E331D8">
              <w:rPr>
                <w:color w:val="000000"/>
              </w:rPr>
              <w:t>serving</w:t>
            </w:r>
            <w:r w:rsidR="005B5C94">
              <w:rPr>
                <w:color w:val="000000"/>
              </w:rPr>
              <w:t xml:space="preserve"> </w:t>
            </w:r>
            <w:r w:rsidR="00AF7A65">
              <w:rPr>
                <w:color w:val="000000"/>
              </w:rPr>
              <w:t>EDF</w:t>
            </w:r>
            <w:r w:rsidR="005B5C94">
              <w:rPr>
                <w:color w:val="000000"/>
              </w:rPr>
              <w:t xml:space="preserve"> on a contingency basis</w:t>
            </w:r>
            <w:r w:rsidR="00565DE0">
              <w:rPr>
                <w:color w:val="000000"/>
              </w:rPr>
              <w:t xml:space="preserve"> where </w:t>
            </w:r>
            <w:r w:rsidR="00DB1A8D">
              <w:rPr>
                <w:color w:val="000000"/>
              </w:rPr>
              <w:t>Kelly</w:t>
            </w:r>
            <w:r w:rsidRPr="00786461" w:rsidR="00786461">
              <w:rPr>
                <w:color w:val="000000"/>
              </w:rPr>
              <w:t xml:space="preserve"> has agreed to </w:t>
            </w:r>
            <w:r w:rsidR="00FC195F">
              <w:rPr>
                <w:color w:val="000000"/>
              </w:rPr>
              <w:t>defer</w:t>
            </w:r>
            <w:r w:rsidR="00E10257">
              <w:rPr>
                <w:color w:val="000000"/>
              </w:rPr>
              <w:t xml:space="preserve"> </w:t>
            </w:r>
            <w:r w:rsidR="0072644B">
              <w:rPr>
                <w:color w:val="000000"/>
              </w:rPr>
              <w:t>its</w:t>
            </w:r>
            <w:r w:rsidRPr="00786461" w:rsidR="00786461">
              <w:rPr>
                <w:color w:val="000000"/>
              </w:rPr>
              <w:t xml:space="preserve"> consulting fee contingent upon receipt of this Intervenor Compensation award.</w:t>
            </w:r>
            <w:r w:rsidR="005B5C94">
              <w:rPr>
                <w:color w:val="000000"/>
              </w:rPr>
              <w:t xml:space="preserve"> </w:t>
            </w:r>
            <w:r w:rsidRPr="00E6751D" w:rsidR="00E6751D">
              <w:rPr>
                <w:color w:val="000000"/>
              </w:rPr>
              <w:t xml:space="preserve">Given this contingency, we utilize the reasonable rates established by Resolution ALJ-393 based on </w:t>
            </w:r>
            <w:r w:rsidR="00F17D95">
              <w:rPr>
                <w:color w:val="000000"/>
              </w:rPr>
              <w:t>Kelly’s</w:t>
            </w:r>
            <w:r w:rsidRPr="00E6751D" w:rsidR="00E6751D">
              <w:rPr>
                <w:color w:val="000000"/>
              </w:rPr>
              <w:t xml:space="preserve"> experience.</w:t>
            </w:r>
            <w:r w:rsidR="005B5C94">
              <w:rPr>
                <w:color w:val="000000"/>
              </w:rPr>
              <w:t xml:space="preserve"> </w:t>
            </w:r>
          </w:p>
          <w:p w:rsidR="00C3546B" w:rsidP="005B5C94" w:rsidRDefault="00C3546B" w14:paraId="35F03C74" w14:textId="77777777">
            <w:pPr>
              <w:rPr>
                <w:color w:val="000000"/>
              </w:rPr>
            </w:pPr>
          </w:p>
          <w:p w:rsidR="002F4256" w:rsidP="002F4256" w:rsidRDefault="00004009" w14:paraId="3EFB0D00" w14:textId="41505CB9">
            <w:pPr>
              <w:rPr>
                <w:color w:val="000000"/>
              </w:rPr>
            </w:pPr>
            <w:r>
              <w:rPr>
                <w:color w:val="000000"/>
              </w:rPr>
              <w:t>Given the</w:t>
            </w:r>
            <w:r w:rsidR="00830E8B">
              <w:rPr>
                <w:color w:val="000000"/>
              </w:rPr>
              <w:t xml:space="preserve"> 2022</w:t>
            </w:r>
            <w:r>
              <w:rPr>
                <w:color w:val="000000"/>
              </w:rPr>
              <w:t xml:space="preserve"> </w:t>
            </w:r>
            <w:r w:rsidR="008445B3">
              <w:rPr>
                <w:color w:val="000000"/>
              </w:rPr>
              <w:t>Attorney V rate range is $5</w:t>
            </w:r>
            <w:r w:rsidR="002F4256">
              <w:rPr>
                <w:color w:val="000000"/>
              </w:rPr>
              <w:t>06</w:t>
            </w:r>
            <w:r w:rsidR="008445B3">
              <w:rPr>
                <w:color w:val="000000"/>
              </w:rPr>
              <w:t>.3</w:t>
            </w:r>
            <w:r w:rsidR="002F4256">
              <w:rPr>
                <w:color w:val="000000"/>
              </w:rPr>
              <w:t xml:space="preserve">8 </w:t>
            </w:r>
            <w:r w:rsidR="008445B3">
              <w:rPr>
                <w:color w:val="000000"/>
              </w:rPr>
              <w:t>to $7</w:t>
            </w:r>
            <w:r w:rsidR="002F4256">
              <w:rPr>
                <w:color w:val="000000"/>
              </w:rPr>
              <w:t>19</w:t>
            </w:r>
            <w:r w:rsidR="008445B3">
              <w:rPr>
                <w:color w:val="000000"/>
              </w:rPr>
              <w:t>.</w:t>
            </w:r>
            <w:r w:rsidR="002F4256">
              <w:rPr>
                <w:color w:val="000000"/>
              </w:rPr>
              <w:t>10</w:t>
            </w:r>
            <w:r w:rsidR="008445B3">
              <w:rPr>
                <w:color w:val="000000"/>
              </w:rPr>
              <w:t>, we find the 202</w:t>
            </w:r>
            <w:r w:rsidR="002F4256">
              <w:rPr>
                <w:color w:val="000000"/>
              </w:rPr>
              <w:t>2</w:t>
            </w:r>
            <w:r w:rsidR="008445B3">
              <w:rPr>
                <w:color w:val="000000"/>
              </w:rPr>
              <w:t xml:space="preserve"> hourly rate of $</w:t>
            </w:r>
            <w:r w:rsidR="00BF0480">
              <w:rPr>
                <w:color w:val="000000"/>
              </w:rPr>
              <w:t>570</w:t>
            </w:r>
            <w:r w:rsidR="008445B3">
              <w:rPr>
                <w:color w:val="000000"/>
              </w:rPr>
              <w:t>.00 to be reasonable and we apply it here.</w:t>
            </w:r>
          </w:p>
          <w:p w:rsidR="00AB7A28" w:rsidP="002F4256" w:rsidRDefault="00AB7A28" w14:paraId="24B10EDA" w14:textId="77777777">
            <w:pPr>
              <w:rPr>
                <w:color w:val="000000"/>
              </w:rPr>
            </w:pPr>
          </w:p>
          <w:p w:rsidR="00A92D0B" w:rsidP="002F4256" w:rsidRDefault="005B5C94" w14:paraId="7CF1CBC5" w14:textId="1DDC2603">
            <w:pPr>
              <w:rPr>
                <w:color w:val="000000"/>
              </w:rPr>
            </w:pPr>
            <w:r>
              <w:rPr>
                <w:color w:val="000000"/>
              </w:rPr>
              <w:t>Given the 2023 Attorney V rate range is $534.32 to $747.04, we find the 2023 hourly rate of $</w:t>
            </w:r>
            <w:r w:rsidR="004379EB">
              <w:rPr>
                <w:color w:val="000000"/>
              </w:rPr>
              <w:t>625</w:t>
            </w:r>
            <w:r w:rsidR="00DE7E5A">
              <w:rPr>
                <w:color w:val="000000"/>
              </w:rPr>
              <w:t>.00</w:t>
            </w:r>
            <w:r>
              <w:rPr>
                <w:color w:val="000000"/>
              </w:rPr>
              <w:t xml:space="preserve"> to be reasonable and we apply it here.</w:t>
            </w:r>
          </w:p>
          <w:p w:rsidR="00465ECA" w:rsidP="002F4256" w:rsidRDefault="00465ECA" w14:paraId="0A9F0E25" w14:textId="77777777">
            <w:pPr>
              <w:rPr>
                <w:color w:val="000000"/>
              </w:rPr>
            </w:pPr>
          </w:p>
          <w:p w:rsidR="00465ECA" w:rsidP="002F4256" w:rsidRDefault="00146651" w14:paraId="6AE36DC2" w14:textId="490725BB">
            <w:pPr>
              <w:rPr>
                <w:color w:val="000000"/>
              </w:rPr>
            </w:pPr>
            <w:r w:rsidRPr="00146651">
              <w:rPr>
                <w:color w:val="000000"/>
              </w:rPr>
              <w:t xml:space="preserve">The award determined herein for the consultant’s contribution in this proceeding shall be paid in full to the consultant, and no portion of this part of </w:t>
            </w:r>
            <w:r w:rsidRPr="00146651">
              <w:rPr>
                <w:color w:val="000000"/>
              </w:rPr>
              <w:lastRenderedPageBreak/>
              <w:t xml:space="preserve">the award shall be kept by the intervenor. Additionally, the rates approved here are specific to work in this proceeding and the contract terms between the consultant and intervenor, as they are established in accordance with the Commission’s policy on consultant </w:t>
            </w:r>
            <w:r w:rsidRPr="00146651" w:rsidR="00B333EA">
              <w:rPr>
                <w:color w:val="000000"/>
              </w:rPr>
              <w:t>compensation,</w:t>
            </w:r>
            <w:r w:rsidRPr="00146651">
              <w:rPr>
                <w:color w:val="000000"/>
              </w:rPr>
              <w:t xml:space="preserve"> and the understanding that the consultant has not billed or collected full compensation for the work performed until final award is given.</w:t>
            </w:r>
          </w:p>
          <w:p w:rsidR="00465ECA" w:rsidP="002F4256" w:rsidRDefault="00465ECA" w14:paraId="6F997A39" w14:textId="77777777">
            <w:pPr>
              <w:rPr>
                <w:color w:val="000000"/>
              </w:rPr>
            </w:pPr>
          </w:p>
          <w:p w:rsidRPr="006B16AF" w:rsidR="00465ECA" w:rsidP="002F4256" w:rsidRDefault="00491205" w14:paraId="45BFCB16" w14:textId="4051BF78">
            <w:pPr>
              <w:rPr>
                <w:color w:val="000000"/>
              </w:rPr>
            </w:pPr>
            <w:r w:rsidRPr="00491205">
              <w:rPr>
                <w:color w:val="000000"/>
              </w:rPr>
              <w:t xml:space="preserve">We reiterate that it is the responsibility of the intervenor to be forthcoming about engaging consultants, to adhere to the Commission’s policy on compensation for consultant fees, and to provide the appropriate documentation with the initial claim to ensure efficient processing, and thus avoid the need for the Commission to request supplemental documentation. In this instance, </w:t>
            </w:r>
            <w:r>
              <w:rPr>
                <w:color w:val="000000"/>
              </w:rPr>
              <w:t>EDF</w:t>
            </w:r>
            <w:r w:rsidRPr="00491205">
              <w:rPr>
                <w:color w:val="000000"/>
              </w:rPr>
              <w:t xml:space="preserve"> did not provide all the documentation pertaining to the contract terms between </w:t>
            </w:r>
            <w:r w:rsidR="00773B5F">
              <w:rPr>
                <w:color w:val="000000"/>
              </w:rPr>
              <w:t>EDF</w:t>
            </w:r>
            <w:r w:rsidRPr="00491205">
              <w:rPr>
                <w:color w:val="000000"/>
              </w:rPr>
              <w:t xml:space="preserve"> and </w:t>
            </w:r>
            <w:r w:rsidR="00D91EC1">
              <w:rPr>
                <w:color w:val="000000"/>
              </w:rPr>
              <w:t>Kelly</w:t>
            </w:r>
            <w:r w:rsidRPr="00491205">
              <w:rPr>
                <w:color w:val="000000"/>
              </w:rPr>
              <w:t xml:space="preserve"> in the initial claim and waited until the Commission requested supplemental documentation, which delays the processing of the claim.</w:t>
            </w:r>
          </w:p>
        </w:tc>
      </w:tr>
      <w:tr w:rsidRPr="00074F3F" w:rsidR="00A92D0B" w:rsidTr="007C2CCB" w14:paraId="52155EFC" w14:textId="77777777">
        <w:tc>
          <w:tcPr>
            <w:tcW w:w="1616" w:type="dxa"/>
          </w:tcPr>
          <w:p w:rsidRPr="00B359CF" w:rsidR="00A92D0B" w:rsidP="00EB64CF" w:rsidRDefault="00CF0320" w14:paraId="26487933" w14:textId="5A73E9B3">
            <w:pPr>
              <w:tabs>
                <w:tab w:val="left" w:pos="1440"/>
              </w:tabs>
              <w:rPr>
                <w:color w:val="000000"/>
              </w:rPr>
            </w:pPr>
            <w:r w:rsidRPr="00B359CF">
              <w:rPr>
                <w:color w:val="000000"/>
              </w:rPr>
              <w:lastRenderedPageBreak/>
              <w:t>[2] Colvin</w:t>
            </w:r>
            <w:r w:rsidRPr="00B359CF" w:rsidR="00755A42">
              <w:rPr>
                <w:color w:val="000000"/>
              </w:rPr>
              <w:t>’s</w:t>
            </w:r>
            <w:r w:rsidRPr="00B359CF">
              <w:rPr>
                <w:color w:val="000000"/>
              </w:rPr>
              <w:t xml:space="preserve"> 2023 Hourly Rate</w:t>
            </w:r>
          </w:p>
        </w:tc>
        <w:tc>
          <w:tcPr>
            <w:tcW w:w="7744" w:type="dxa"/>
          </w:tcPr>
          <w:p w:rsidRPr="00B359CF" w:rsidR="00A92D0B" w:rsidP="00EB64CF" w:rsidRDefault="000A019E" w14:paraId="455E6A00" w14:textId="2573C582">
            <w:pPr>
              <w:tabs>
                <w:tab w:val="left" w:pos="1440"/>
              </w:tabs>
              <w:rPr>
                <w:color w:val="000000"/>
              </w:rPr>
            </w:pPr>
            <w:r w:rsidRPr="00B359CF">
              <w:rPr>
                <w:color w:val="000000"/>
              </w:rPr>
              <w:t>D</w:t>
            </w:r>
            <w:r w:rsidRPr="00B359CF" w:rsidR="006A2DB5">
              <w:rPr>
                <w:color w:val="000000"/>
              </w:rPr>
              <w:t>.</w:t>
            </w:r>
            <w:r w:rsidRPr="00045FAA" w:rsidR="00B359CF">
              <w:rPr>
                <w:color w:val="000000"/>
              </w:rPr>
              <w:t>25-0</w:t>
            </w:r>
            <w:r w:rsidR="00B359CF">
              <w:rPr>
                <w:color w:val="000000"/>
              </w:rPr>
              <w:t>8-047</w:t>
            </w:r>
            <w:r w:rsidRPr="00B359CF" w:rsidR="006A2DB5">
              <w:rPr>
                <w:color w:val="000000"/>
              </w:rPr>
              <w:t xml:space="preserve"> adopted a 2023 hourly rate of </w:t>
            </w:r>
            <w:r w:rsidRPr="00B359CF" w:rsidR="00F04AAF">
              <w:rPr>
                <w:color w:val="000000"/>
              </w:rPr>
              <w:t>$545.00 for Colvin</w:t>
            </w:r>
          </w:p>
        </w:tc>
      </w:tr>
      <w:tr w:rsidRPr="00074F3F" w:rsidR="00CF0320" w:rsidTr="007C2CCB" w14:paraId="507AB647" w14:textId="77777777">
        <w:tc>
          <w:tcPr>
            <w:tcW w:w="1616" w:type="dxa"/>
          </w:tcPr>
          <w:p w:rsidRPr="00B359CF" w:rsidR="00CF0320" w:rsidP="00EB64CF" w:rsidRDefault="00CF0320" w14:paraId="7362FD44" w14:textId="19AEC777">
            <w:pPr>
              <w:tabs>
                <w:tab w:val="left" w:pos="1440"/>
              </w:tabs>
              <w:rPr>
                <w:color w:val="000000"/>
              </w:rPr>
            </w:pPr>
            <w:r w:rsidRPr="00B359CF">
              <w:rPr>
                <w:color w:val="000000"/>
              </w:rPr>
              <w:t>[3]</w:t>
            </w:r>
            <w:r w:rsidRPr="00B359CF" w:rsidR="00677DCB">
              <w:rPr>
                <w:color w:val="000000"/>
              </w:rPr>
              <w:t xml:space="preserve"> Seong</w:t>
            </w:r>
            <w:r w:rsidRPr="00B359CF" w:rsidR="00755A42">
              <w:rPr>
                <w:color w:val="000000"/>
              </w:rPr>
              <w:t>’s</w:t>
            </w:r>
            <w:r w:rsidRPr="00B359CF" w:rsidR="00677DCB">
              <w:rPr>
                <w:color w:val="000000"/>
              </w:rPr>
              <w:t xml:space="preserve"> 2023 Hourly Rate and 2024 Intervenor Compensation Preparation Rate</w:t>
            </w:r>
          </w:p>
        </w:tc>
        <w:tc>
          <w:tcPr>
            <w:tcW w:w="7744" w:type="dxa"/>
          </w:tcPr>
          <w:p w:rsidRPr="00B359CF" w:rsidR="00F8122C" w:rsidP="00AA0817" w:rsidRDefault="00F04AAF" w14:paraId="379B00CE" w14:textId="1BDC02E7">
            <w:pPr>
              <w:rPr>
                <w:color w:val="000000"/>
              </w:rPr>
            </w:pPr>
            <w:r w:rsidRPr="00B359CF">
              <w:rPr>
                <w:color w:val="000000"/>
              </w:rPr>
              <w:t>D.</w:t>
            </w:r>
            <w:r w:rsidRPr="00332775" w:rsidR="00B359CF">
              <w:rPr>
                <w:color w:val="000000"/>
              </w:rPr>
              <w:t>25-09-025</w:t>
            </w:r>
            <w:r w:rsidRPr="00B359CF">
              <w:rPr>
                <w:color w:val="000000"/>
              </w:rPr>
              <w:t xml:space="preserve"> adopted a 2023 hourly rate of $</w:t>
            </w:r>
            <w:r w:rsidRPr="00B359CF" w:rsidR="005A4B35">
              <w:rPr>
                <w:color w:val="000000"/>
              </w:rPr>
              <w:t>2</w:t>
            </w:r>
            <w:r w:rsidRPr="00B359CF">
              <w:rPr>
                <w:color w:val="000000"/>
              </w:rPr>
              <w:t>45.00 for Seong</w:t>
            </w:r>
            <w:r w:rsidRPr="00332775" w:rsidR="00B359CF">
              <w:rPr>
                <w:color w:val="000000"/>
              </w:rPr>
              <w:t xml:space="preserve"> and a </w:t>
            </w:r>
            <w:r w:rsidRPr="00B359CF" w:rsidR="0027450D">
              <w:rPr>
                <w:color w:val="000000"/>
              </w:rPr>
              <w:t xml:space="preserve">2024 hourly rate of </w:t>
            </w:r>
            <w:r w:rsidRPr="00B359CF" w:rsidR="005A4B35">
              <w:rPr>
                <w:color w:val="000000"/>
              </w:rPr>
              <w:t>$275.00 for Seong.</w:t>
            </w:r>
          </w:p>
        </w:tc>
      </w:tr>
      <w:tr w:rsidRPr="00074F3F" w:rsidR="00CF0320" w:rsidTr="007C2CCB" w14:paraId="31E6F87E" w14:textId="77777777">
        <w:tc>
          <w:tcPr>
            <w:tcW w:w="1616" w:type="dxa"/>
          </w:tcPr>
          <w:p w:rsidRPr="006B16AF" w:rsidR="00CF0320" w:rsidP="00EB64CF" w:rsidRDefault="00AB4F6C" w14:paraId="0EAF9AA9" w14:textId="031B73AB">
            <w:pPr>
              <w:tabs>
                <w:tab w:val="left" w:pos="1440"/>
              </w:tabs>
              <w:rPr>
                <w:color w:val="000000"/>
              </w:rPr>
            </w:pPr>
            <w:r w:rsidRPr="006B16AF">
              <w:rPr>
                <w:color w:val="000000"/>
              </w:rPr>
              <w:t>[4] Kelly</w:t>
            </w:r>
            <w:r w:rsidR="00755A42">
              <w:rPr>
                <w:color w:val="000000"/>
              </w:rPr>
              <w:t>’s</w:t>
            </w:r>
            <w:r w:rsidRPr="006B16AF">
              <w:rPr>
                <w:color w:val="000000"/>
              </w:rPr>
              <w:t xml:space="preserve"> 2023 </w:t>
            </w:r>
            <w:r w:rsidRPr="006B16AF" w:rsidR="00953F28">
              <w:rPr>
                <w:color w:val="000000"/>
              </w:rPr>
              <w:t>Disallowances</w:t>
            </w:r>
          </w:p>
        </w:tc>
        <w:tc>
          <w:tcPr>
            <w:tcW w:w="7744" w:type="dxa"/>
          </w:tcPr>
          <w:p w:rsidRPr="007608D7" w:rsidR="00C05C02" w:rsidP="00951E80" w:rsidRDefault="00951E80" w14:paraId="78F7364B" w14:textId="018ECF92">
            <w:pPr>
              <w:rPr>
                <w:b/>
                <w:bCs/>
                <w:color w:val="000000"/>
              </w:rPr>
            </w:pPr>
            <w:r w:rsidRPr="007608D7">
              <w:rPr>
                <w:b/>
                <w:bCs/>
                <w:color w:val="000000"/>
              </w:rPr>
              <w:t>Kelly</w:t>
            </w:r>
            <w:r w:rsidR="0094103C">
              <w:rPr>
                <w:b/>
                <w:bCs/>
                <w:color w:val="000000"/>
              </w:rPr>
              <w:t>’s</w:t>
            </w:r>
            <w:r w:rsidRPr="007608D7">
              <w:rPr>
                <w:b/>
                <w:bCs/>
                <w:color w:val="000000"/>
              </w:rPr>
              <w:t xml:space="preserve"> 2023 </w:t>
            </w:r>
            <w:r w:rsidR="00C77014">
              <w:rPr>
                <w:b/>
                <w:bCs/>
                <w:color w:val="000000"/>
              </w:rPr>
              <w:t>D</w:t>
            </w:r>
            <w:r w:rsidRPr="007608D7">
              <w:rPr>
                <w:b/>
                <w:bCs/>
                <w:color w:val="000000"/>
              </w:rPr>
              <w:t>isallowances</w:t>
            </w:r>
            <w:r w:rsidR="0060253B">
              <w:rPr>
                <w:b/>
                <w:bCs/>
                <w:color w:val="000000"/>
              </w:rPr>
              <w:t xml:space="preserve"> (</w:t>
            </w:r>
            <w:r w:rsidR="00965989">
              <w:rPr>
                <w:b/>
                <w:bCs/>
                <w:color w:val="000000"/>
              </w:rPr>
              <w:t>2.20 hours)</w:t>
            </w:r>
            <w:r w:rsidRPr="007608D7">
              <w:rPr>
                <w:b/>
                <w:bCs/>
                <w:color w:val="000000"/>
              </w:rPr>
              <w:t xml:space="preserve"> </w:t>
            </w:r>
          </w:p>
          <w:p w:rsidR="00C05C02" w:rsidP="00951E80" w:rsidRDefault="00C05C02" w14:paraId="52EBDCC8" w14:textId="5B577A11">
            <w:pPr>
              <w:rPr>
                <w:color w:val="000000"/>
                <w:u w:val="single"/>
              </w:rPr>
            </w:pPr>
            <w:r w:rsidRPr="006B16AF">
              <w:rPr>
                <w:color w:val="000000"/>
                <w:u w:val="single"/>
              </w:rPr>
              <w:t>Internal duplication (</w:t>
            </w:r>
            <w:r w:rsidR="00696F29">
              <w:rPr>
                <w:color w:val="000000"/>
                <w:u w:val="single"/>
              </w:rPr>
              <w:t>0.60</w:t>
            </w:r>
            <w:r w:rsidRPr="006B16AF">
              <w:rPr>
                <w:color w:val="000000"/>
                <w:u w:val="single"/>
              </w:rPr>
              <w:t>):</w:t>
            </w:r>
          </w:p>
          <w:p w:rsidRPr="006C2A65" w:rsidR="008B55C8" w:rsidP="00951E80" w:rsidRDefault="008B55C8" w14:paraId="7AC5BBD1" w14:textId="09A3A463">
            <w:pPr>
              <w:rPr>
                <w:color w:val="000000"/>
              </w:rPr>
            </w:pPr>
            <w:r w:rsidRPr="006C2A65">
              <w:rPr>
                <w:color w:val="000000"/>
              </w:rPr>
              <w:t>The Commission compensates for the efficient effort that contributed to the proceeding’s outcomes. In the past, the Commission has disallowed inefficient activities and applied reductions to hours that reflected excessive internal duplicative efforts, such as numerous internal communications, review of each other’s documents, working on the same materials, engaging in the same tasks, and participating in the same events.</w:t>
            </w:r>
          </w:p>
          <w:p w:rsidRPr="006B16AF" w:rsidR="008B55C8" w:rsidP="00951E80" w:rsidRDefault="008B55C8" w14:paraId="632A5A83" w14:textId="77777777">
            <w:pPr>
              <w:rPr>
                <w:color w:val="000000"/>
                <w:u w:val="single"/>
              </w:rPr>
            </w:pPr>
          </w:p>
          <w:p w:rsidRPr="006B16AF" w:rsidR="005575F2" w:rsidP="00951E80" w:rsidRDefault="00C05C02" w14:paraId="661D3AF0" w14:textId="68B74C15">
            <w:r w:rsidRPr="006B16AF">
              <w:t>We disallow the following hours as internal duplication of efforts as</w:t>
            </w:r>
            <w:r w:rsidR="00597986">
              <w:t xml:space="preserve"> Colvin and</w:t>
            </w:r>
            <w:r w:rsidRPr="006B16AF">
              <w:t xml:space="preserve"> Seong also attended</w:t>
            </w:r>
            <w:r w:rsidRPr="006B16AF" w:rsidR="003278CD">
              <w:t>.</w:t>
            </w:r>
          </w:p>
          <w:p w:rsidR="005575F2" w:rsidP="003E4013" w:rsidRDefault="005575F2" w14:paraId="59F524C0" w14:textId="1A021709">
            <w:pPr>
              <w:pStyle w:val="ListParagraph"/>
              <w:numPr>
                <w:ilvl w:val="0"/>
                <w:numId w:val="19"/>
              </w:numPr>
              <w:spacing w:before="120"/>
              <w:rPr>
                <w:rFonts w:ascii="Times New Roman" w:hAnsi="Times New Roman"/>
                <w:sz w:val="24"/>
                <w:szCs w:val="24"/>
              </w:rPr>
            </w:pPr>
            <w:r w:rsidRPr="006B16AF">
              <w:rPr>
                <w:rFonts w:ascii="Times New Roman" w:hAnsi="Times New Roman"/>
                <w:sz w:val="24"/>
                <w:szCs w:val="24"/>
              </w:rPr>
              <w:t xml:space="preserve">2/6/2023 – “Questions (d) and (e) - Call with PG&amp;E re decommissioning” </w:t>
            </w:r>
          </w:p>
          <w:p w:rsidRPr="007E038B" w:rsidR="00982DC3" w:rsidP="009A5D65" w:rsidRDefault="0025046D" w14:paraId="75C4368E" w14:textId="7DC66D99">
            <w:pPr>
              <w:spacing w:before="120"/>
              <w:rPr>
                <w:u w:val="single"/>
              </w:rPr>
            </w:pPr>
            <w:r w:rsidRPr="007E038B">
              <w:rPr>
                <w:u w:val="single"/>
              </w:rPr>
              <w:t>Outside of Scope</w:t>
            </w:r>
            <w:r w:rsidRPr="007E038B" w:rsidR="00982DC3">
              <w:rPr>
                <w:u w:val="single"/>
              </w:rPr>
              <w:t xml:space="preserve"> (</w:t>
            </w:r>
            <w:r w:rsidRPr="007E038B" w:rsidR="003D3C9E">
              <w:rPr>
                <w:u w:val="single"/>
              </w:rPr>
              <w:t>1.40</w:t>
            </w:r>
            <w:r w:rsidRPr="007E038B" w:rsidR="00982DC3">
              <w:rPr>
                <w:u w:val="single"/>
              </w:rPr>
              <w:t>):</w:t>
            </w:r>
          </w:p>
          <w:p w:rsidRPr="007E038B" w:rsidR="00301356" w:rsidP="006C2A65" w:rsidRDefault="00301356" w14:paraId="0E0B2D8D" w14:textId="0A3386BA">
            <w:r w:rsidRPr="007E038B">
              <w:t xml:space="preserve">EDF requests compensation </w:t>
            </w:r>
            <w:r w:rsidRPr="007E038B" w:rsidR="0004793A">
              <w:t>for attending an en banc</w:t>
            </w:r>
            <w:r w:rsidRPr="007E038B" w:rsidR="00476961">
              <w:t xml:space="preserve"> held on February</w:t>
            </w:r>
            <w:r w:rsidRPr="007E038B" w:rsidR="008F5BE4">
              <w:t xml:space="preserve"> 7, 2023. The en banc was part of proceeding I.23-03-008</w:t>
            </w:r>
            <w:r w:rsidRPr="007E038B" w:rsidR="006943F5">
              <w:t xml:space="preserve"> </w:t>
            </w:r>
            <w:r w:rsidRPr="007E038B" w:rsidR="00FF1A75">
              <w:t>in</w:t>
            </w:r>
            <w:r w:rsidRPr="007E038B" w:rsidR="006943F5">
              <w:t xml:space="preserve"> which EDF </w:t>
            </w:r>
            <w:r w:rsidRPr="007E038B" w:rsidR="00FF1A75">
              <w:lastRenderedPageBreak/>
              <w:t>participated</w:t>
            </w:r>
            <w:r w:rsidRPr="007E038B" w:rsidR="006943F5">
              <w:t xml:space="preserve">. </w:t>
            </w:r>
            <w:r w:rsidRPr="007E038B" w:rsidR="00E761B5">
              <w:t xml:space="preserve">The </w:t>
            </w:r>
            <w:r w:rsidRPr="007E038B" w:rsidR="001F0846">
              <w:t xml:space="preserve">following </w:t>
            </w:r>
            <w:r w:rsidRPr="007E038B" w:rsidR="00E761B5">
              <w:t xml:space="preserve">hours requested for attending the en banc are out of scope for proceeding R.20-01-007 and </w:t>
            </w:r>
            <w:r w:rsidRPr="007E038B" w:rsidR="00E3112C">
              <w:t>therefore</w:t>
            </w:r>
            <w:r w:rsidRPr="007E038B" w:rsidR="00E761B5">
              <w:t xml:space="preserve"> disallowed</w:t>
            </w:r>
            <w:r w:rsidRPr="007E038B" w:rsidR="001F0846">
              <w:t>:</w:t>
            </w:r>
          </w:p>
          <w:p w:rsidRPr="007E038B" w:rsidR="009A5D65" w:rsidP="00D11875" w:rsidRDefault="00D11875" w14:paraId="2C1819F6" w14:textId="70247C7D">
            <w:pPr>
              <w:pStyle w:val="ListParagraph"/>
              <w:numPr>
                <w:ilvl w:val="0"/>
                <w:numId w:val="19"/>
              </w:numPr>
              <w:spacing w:before="120"/>
              <w:rPr>
                <w:rFonts w:ascii="Times New Roman" w:hAnsi="Times New Roman"/>
                <w:sz w:val="24"/>
                <w:szCs w:val="24"/>
              </w:rPr>
            </w:pPr>
            <w:r w:rsidRPr="007E038B">
              <w:rPr>
                <w:rFonts w:ascii="Times New Roman" w:hAnsi="Times New Roman"/>
                <w:sz w:val="24"/>
                <w:szCs w:val="24"/>
              </w:rPr>
              <w:t xml:space="preserve">2/7/2023 </w:t>
            </w:r>
            <w:r w:rsidRPr="007E038B" w:rsidR="003D55C7">
              <w:rPr>
                <w:rFonts w:ascii="Times New Roman" w:hAnsi="Times New Roman"/>
                <w:sz w:val="24"/>
                <w:szCs w:val="24"/>
              </w:rPr>
              <w:t>–</w:t>
            </w:r>
            <w:r w:rsidRPr="007E038B">
              <w:rPr>
                <w:rFonts w:ascii="Times New Roman" w:hAnsi="Times New Roman"/>
                <w:sz w:val="24"/>
                <w:szCs w:val="24"/>
              </w:rPr>
              <w:t xml:space="preserve"> </w:t>
            </w:r>
            <w:r w:rsidR="009A266D">
              <w:rPr>
                <w:rFonts w:ascii="Times New Roman" w:hAnsi="Times New Roman"/>
                <w:sz w:val="24"/>
                <w:szCs w:val="24"/>
              </w:rPr>
              <w:t>“</w:t>
            </w:r>
            <w:r w:rsidRPr="007E038B" w:rsidR="003D55C7">
              <w:rPr>
                <w:rFonts w:ascii="Times New Roman" w:hAnsi="Times New Roman"/>
                <w:sz w:val="24"/>
                <w:szCs w:val="24"/>
              </w:rPr>
              <w:t>Attend Gas Price En Banc</w:t>
            </w:r>
            <w:r w:rsidR="009A266D">
              <w:rPr>
                <w:rFonts w:ascii="Times New Roman" w:hAnsi="Times New Roman"/>
                <w:sz w:val="24"/>
                <w:szCs w:val="24"/>
              </w:rPr>
              <w:t>”</w:t>
            </w:r>
          </w:p>
          <w:p w:rsidRPr="007E038B" w:rsidR="00D11875" w:rsidP="00D11875" w:rsidRDefault="00D11875" w14:paraId="0E391939" w14:textId="7C14CDDA">
            <w:pPr>
              <w:pStyle w:val="ListParagraph"/>
              <w:numPr>
                <w:ilvl w:val="0"/>
                <w:numId w:val="19"/>
              </w:numPr>
              <w:spacing w:before="120"/>
              <w:rPr>
                <w:rFonts w:ascii="Times New Roman" w:hAnsi="Times New Roman"/>
                <w:sz w:val="24"/>
                <w:szCs w:val="24"/>
              </w:rPr>
            </w:pPr>
            <w:r w:rsidRPr="007E038B">
              <w:rPr>
                <w:rFonts w:ascii="Times New Roman" w:hAnsi="Times New Roman"/>
                <w:sz w:val="24"/>
                <w:szCs w:val="24"/>
              </w:rPr>
              <w:t xml:space="preserve">2/7/2023 </w:t>
            </w:r>
            <w:r w:rsidRPr="007E038B" w:rsidR="003D55C7">
              <w:rPr>
                <w:rFonts w:ascii="Times New Roman" w:hAnsi="Times New Roman"/>
                <w:sz w:val="24"/>
                <w:szCs w:val="24"/>
              </w:rPr>
              <w:t>–</w:t>
            </w:r>
            <w:r w:rsidRPr="007E038B">
              <w:rPr>
                <w:rFonts w:ascii="Times New Roman" w:hAnsi="Times New Roman"/>
                <w:sz w:val="24"/>
                <w:szCs w:val="24"/>
              </w:rPr>
              <w:t xml:space="preserve"> </w:t>
            </w:r>
            <w:r w:rsidR="009A266D">
              <w:rPr>
                <w:rFonts w:ascii="Times New Roman" w:hAnsi="Times New Roman"/>
                <w:sz w:val="24"/>
                <w:szCs w:val="24"/>
              </w:rPr>
              <w:t>“</w:t>
            </w:r>
            <w:r w:rsidRPr="007E038B" w:rsidR="003D55C7">
              <w:rPr>
                <w:rFonts w:ascii="Times New Roman" w:hAnsi="Times New Roman"/>
                <w:sz w:val="24"/>
                <w:szCs w:val="24"/>
              </w:rPr>
              <w:t>Review Gas Price En Banc Materials</w:t>
            </w:r>
            <w:r w:rsidR="009A266D">
              <w:rPr>
                <w:rFonts w:ascii="Times New Roman" w:hAnsi="Times New Roman"/>
                <w:sz w:val="24"/>
                <w:szCs w:val="24"/>
              </w:rPr>
              <w:t>”</w:t>
            </w:r>
          </w:p>
          <w:p w:rsidRPr="007E038B" w:rsidR="003233DF" w:rsidP="003233DF" w:rsidRDefault="003233DF" w14:paraId="7AD58994" w14:textId="77777777">
            <w:pPr>
              <w:pStyle w:val="ListParagraph"/>
              <w:rPr>
                <w:rFonts w:ascii="Times New Roman" w:hAnsi="Times New Roman"/>
                <w:sz w:val="24"/>
                <w:szCs w:val="24"/>
              </w:rPr>
            </w:pPr>
          </w:p>
          <w:p w:rsidRPr="007E038B" w:rsidR="003278CD" w:rsidP="003278CD" w:rsidRDefault="00A6251F" w14:paraId="796B273B" w14:textId="797CE46E">
            <w:pPr>
              <w:rPr>
                <w:u w:val="single"/>
              </w:rPr>
            </w:pPr>
            <w:r w:rsidRPr="007E038B">
              <w:rPr>
                <w:u w:val="single"/>
              </w:rPr>
              <w:t>Vagueness (</w:t>
            </w:r>
            <w:r w:rsidRPr="007E038B" w:rsidR="003278CD">
              <w:rPr>
                <w:u w:val="single"/>
              </w:rPr>
              <w:t>0.20):</w:t>
            </w:r>
          </w:p>
          <w:p w:rsidRPr="006B16AF" w:rsidR="003233DF" w:rsidP="003278CD" w:rsidRDefault="00CD1A08" w14:paraId="7B9AC6B0" w14:textId="2FDD9B37">
            <w:r w:rsidRPr="007E038B">
              <w:t>EDF failed to provide an adequate description for the following time entr</w:t>
            </w:r>
            <w:r w:rsidRPr="007E038B" w:rsidR="00BC448B">
              <w:t>y</w:t>
            </w:r>
            <w:r w:rsidRPr="007E038B">
              <w:t xml:space="preserve">, leaving it unclear how this time contributed to the decision-making process. It is the responsibility of the intervenor to provide adequate descriptions that clearly support how their time led to a decision. See </w:t>
            </w:r>
            <w:r w:rsidR="005D7D85">
              <w:t>R</w:t>
            </w:r>
            <w:r w:rsidRPr="007E038B">
              <w:t>ule 17.4 of the Rules of Practice and Procedure, and D.10-02-010, Part III.D. Therefore, the following hours are disallowed</w:t>
            </w:r>
            <w:r w:rsidR="005D7D85">
              <w:t>:</w:t>
            </w:r>
          </w:p>
          <w:p w:rsidRPr="006B16AF" w:rsidR="008B11A1" w:rsidP="003E4013" w:rsidRDefault="00C60910" w14:paraId="01CD0935" w14:textId="72997651">
            <w:pPr>
              <w:pStyle w:val="ListParagraph"/>
              <w:numPr>
                <w:ilvl w:val="0"/>
                <w:numId w:val="19"/>
              </w:numPr>
              <w:spacing w:before="120"/>
              <w:rPr>
                <w:rFonts w:ascii="Times New Roman" w:hAnsi="Times New Roman"/>
                <w:sz w:val="24"/>
                <w:szCs w:val="24"/>
              </w:rPr>
            </w:pPr>
            <w:r w:rsidRPr="006B16AF">
              <w:rPr>
                <w:rFonts w:ascii="Times New Roman" w:hAnsi="Times New Roman"/>
                <w:sz w:val="24"/>
                <w:szCs w:val="24"/>
              </w:rPr>
              <w:t>2/13/2023 – “Draft email to Energy Division in advance of meeting”</w:t>
            </w:r>
          </w:p>
        </w:tc>
      </w:tr>
      <w:tr w:rsidRPr="00074F3F" w:rsidR="00CF0320" w:rsidTr="007C2CCB" w14:paraId="2C97147F" w14:textId="77777777">
        <w:tc>
          <w:tcPr>
            <w:tcW w:w="1616" w:type="dxa"/>
          </w:tcPr>
          <w:p w:rsidRPr="006B16AF" w:rsidR="00CF0320" w:rsidP="00EB64CF" w:rsidRDefault="00C60910" w14:paraId="04D7C322" w14:textId="664F5BB2">
            <w:pPr>
              <w:tabs>
                <w:tab w:val="left" w:pos="1440"/>
              </w:tabs>
              <w:rPr>
                <w:color w:val="000000"/>
              </w:rPr>
            </w:pPr>
            <w:r w:rsidRPr="006B16AF">
              <w:rPr>
                <w:color w:val="000000"/>
              </w:rPr>
              <w:lastRenderedPageBreak/>
              <w:t>[5] Colvin</w:t>
            </w:r>
            <w:r w:rsidR="00755A42">
              <w:rPr>
                <w:color w:val="000000"/>
              </w:rPr>
              <w:t>’s</w:t>
            </w:r>
            <w:r w:rsidRPr="006B16AF">
              <w:rPr>
                <w:color w:val="000000"/>
              </w:rPr>
              <w:t xml:space="preserve"> 2023 Disallowances</w:t>
            </w:r>
          </w:p>
        </w:tc>
        <w:tc>
          <w:tcPr>
            <w:tcW w:w="7744" w:type="dxa"/>
          </w:tcPr>
          <w:p w:rsidRPr="007608D7" w:rsidR="003278CD" w:rsidP="00C60910" w:rsidRDefault="00C60910" w14:paraId="7802F047" w14:textId="68B4A22C">
            <w:pPr>
              <w:rPr>
                <w:b/>
                <w:bCs/>
                <w:color w:val="000000"/>
              </w:rPr>
            </w:pPr>
            <w:r w:rsidRPr="007608D7">
              <w:rPr>
                <w:b/>
                <w:bCs/>
                <w:color w:val="000000"/>
              </w:rPr>
              <w:t>Colvin</w:t>
            </w:r>
            <w:r w:rsidR="00794564">
              <w:rPr>
                <w:b/>
                <w:bCs/>
                <w:color w:val="000000"/>
              </w:rPr>
              <w:t>’s</w:t>
            </w:r>
            <w:r w:rsidRPr="007608D7">
              <w:rPr>
                <w:b/>
                <w:bCs/>
                <w:color w:val="000000"/>
              </w:rPr>
              <w:t xml:space="preserve"> 2023 </w:t>
            </w:r>
            <w:r w:rsidR="00C77014">
              <w:rPr>
                <w:b/>
                <w:bCs/>
                <w:color w:val="000000"/>
              </w:rPr>
              <w:t>D</w:t>
            </w:r>
            <w:r w:rsidRPr="007608D7">
              <w:rPr>
                <w:b/>
                <w:bCs/>
                <w:color w:val="000000"/>
              </w:rPr>
              <w:t xml:space="preserve">isallowances </w:t>
            </w:r>
            <w:r w:rsidR="00E83387">
              <w:rPr>
                <w:b/>
                <w:bCs/>
                <w:color w:val="000000"/>
              </w:rPr>
              <w:t>(2.00 hours)</w:t>
            </w:r>
          </w:p>
          <w:p w:rsidRPr="006B16AF" w:rsidR="003278CD" w:rsidP="003278CD" w:rsidRDefault="003278CD" w14:paraId="340C543D" w14:textId="120C979C">
            <w:pPr>
              <w:rPr>
                <w:color w:val="000000"/>
                <w:u w:val="single"/>
              </w:rPr>
            </w:pPr>
            <w:r w:rsidRPr="007E038B">
              <w:rPr>
                <w:color w:val="000000"/>
                <w:u w:val="single"/>
              </w:rPr>
              <w:t>Internal duplication (</w:t>
            </w:r>
            <w:r w:rsidRPr="007E038B" w:rsidR="00032D0A">
              <w:rPr>
                <w:color w:val="000000"/>
                <w:u w:val="single"/>
              </w:rPr>
              <w:t>1.00</w:t>
            </w:r>
            <w:r w:rsidRPr="007E038B">
              <w:rPr>
                <w:color w:val="000000"/>
                <w:u w:val="single"/>
              </w:rPr>
              <w:t>):</w:t>
            </w:r>
          </w:p>
          <w:p w:rsidR="00AE5E4D" w:rsidP="00C60910" w:rsidRDefault="00AE5E4D" w14:paraId="214D8F33" w14:textId="5C2104E2">
            <w:r w:rsidRPr="00AE5E4D">
              <w:t>The Commission compensates for the efficient effort that contributed to the proceeding’s outcomes. In the past, the Commission has disallowed inefficient activities and applied reductions to hours that reflected excessive internal duplicative efforts, such as numerous internal communications, review of each other’s documents, working on the same materials, engaging in the same tasks, and participating in the same events.</w:t>
            </w:r>
          </w:p>
          <w:p w:rsidR="00AE5E4D" w:rsidP="00C60910" w:rsidRDefault="00AE5E4D" w14:paraId="6086C07E" w14:textId="77777777"/>
          <w:p w:rsidRPr="007608D7" w:rsidR="00C60910" w:rsidP="00C60910" w:rsidRDefault="003278CD" w14:paraId="069209BA" w14:textId="3D6ED8FA">
            <w:r w:rsidRPr="006B16AF">
              <w:t>We disallow the following hours as internal duplication of efforts as Seong</w:t>
            </w:r>
            <w:r w:rsidR="002942C4">
              <w:t xml:space="preserve"> and Kelly</w:t>
            </w:r>
            <w:r w:rsidRPr="006B16AF">
              <w:t xml:space="preserve"> also attended.</w:t>
            </w:r>
            <w:r w:rsidR="00815C10">
              <w:t xml:space="preserve"> Additionally, Colvin’s work in this proceeding was </w:t>
            </w:r>
            <w:r w:rsidR="00091EE2">
              <w:t>focused on document review. We do not find a connection between Colvin’s</w:t>
            </w:r>
            <w:r w:rsidR="00BA6D30">
              <w:t xml:space="preserve"> attendance on this call and his documented work output. </w:t>
            </w:r>
          </w:p>
          <w:p w:rsidRPr="007E038B" w:rsidR="00647675" w:rsidP="007D3BAF" w:rsidRDefault="00763DEA" w14:paraId="7201EB07" w14:textId="4764DB4E">
            <w:pPr>
              <w:pStyle w:val="ListParagraph"/>
              <w:numPr>
                <w:ilvl w:val="0"/>
                <w:numId w:val="20"/>
              </w:numPr>
              <w:spacing w:before="120"/>
              <w:rPr>
                <w:rFonts w:ascii="Times New Roman" w:hAnsi="Times New Roman"/>
                <w:sz w:val="24"/>
                <w:szCs w:val="24"/>
              </w:rPr>
            </w:pPr>
            <w:r w:rsidRPr="007E038B">
              <w:rPr>
                <w:rFonts w:ascii="Times New Roman" w:hAnsi="Times New Roman"/>
                <w:sz w:val="24"/>
                <w:szCs w:val="24"/>
              </w:rPr>
              <w:t xml:space="preserve">2/6/2023 – “Call with PG&amp;E on decommissioning” </w:t>
            </w:r>
          </w:p>
          <w:p w:rsidRPr="007E038B" w:rsidR="00B23D19" w:rsidP="00852FFD" w:rsidRDefault="0025046D" w14:paraId="15C58872" w14:textId="006B5E00">
            <w:pPr>
              <w:spacing w:before="120"/>
              <w:rPr>
                <w:u w:val="single"/>
              </w:rPr>
            </w:pPr>
            <w:r w:rsidRPr="007E038B">
              <w:rPr>
                <w:u w:val="single"/>
              </w:rPr>
              <w:t>Outside of Scope</w:t>
            </w:r>
            <w:r w:rsidRPr="007E038B" w:rsidR="00B23D19">
              <w:rPr>
                <w:u w:val="single"/>
              </w:rPr>
              <w:t xml:space="preserve"> (</w:t>
            </w:r>
            <w:r w:rsidRPr="007E038B" w:rsidR="00A856B2">
              <w:rPr>
                <w:u w:val="single"/>
              </w:rPr>
              <w:t>1.00</w:t>
            </w:r>
            <w:r w:rsidRPr="007E038B" w:rsidR="00B23D19">
              <w:rPr>
                <w:u w:val="single"/>
              </w:rPr>
              <w:t>):</w:t>
            </w:r>
          </w:p>
          <w:p w:rsidRPr="007E038B" w:rsidR="00852FFD" w:rsidP="00852FFD" w:rsidRDefault="00852FFD" w14:paraId="492771F9" w14:textId="56A1BC66">
            <w:pPr>
              <w:spacing w:before="120"/>
            </w:pPr>
            <w:r w:rsidRPr="007E038B">
              <w:t>EDF requests compensation for attending an en banc held on February 7, 2023. The en banc was part of proceeding I.23-03-008 in which EDF participated. The following hours requested for attending the en banc are out of scope for proceeding R.20-01-007 and therefore disallowed:</w:t>
            </w:r>
          </w:p>
          <w:p w:rsidRPr="006B16AF" w:rsidR="00CF0320" w:rsidP="00E231D7" w:rsidRDefault="003872A8" w14:paraId="6465B329" w14:textId="2FD054D1">
            <w:pPr>
              <w:pStyle w:val="ListParagraph"/>
              <w:numPr>
                <w:ilvl w:val="0"/>
                <w:numId w:val="20"/>
              </w:numPr>
              <w:spacing w:before="120"/>
              <w:rPr>
                <w:rFonts w:ascii="Times New Roman" w:hAnsi="Times New Roman"/>
                <w:sz w:val="24"/>
                <w:szCs w:val="24"/>
              </w:rPr>
            </w:pPr>
            <w:r w:rsidRPr="006B16AF">
              <w:rPr>
                <w:rFonts w:ascii="Times New Roman" w:hAnsi="Times New Roman"/>
                <w:sz w:val="24"/>
                <w:szCs w:val="24"/>
              </w:rPr>
              <w:t>2/7/2023</w:t>
            </w:r>
            <w:r w:rsidR="00A0319F">
              <w:rPr>
                <w:rFonts w:ascii="Times New Roman" w:hAnsi="Times New Roman"/>
                <w:sz w:val="24"/>
                <w:szCs w:val="24"/>
              </w:rPr>
              <w:t xml:space="preserve"> </w:t>
            </w:r>
            <w:r w:rsidRPr="006B16AF">
              <w:rPr>
                <w:rFonts w:ascii="Times New Roman" w:hAnsi="Times New Roman"/>
                <w:sz w:val="24"/>
                <w:szCs w:val="24"/>
              </w:rPr>
              <w:t>– “</w:t>
            </w:r>
            <w:r w:rsidRPr="006B16AF" w:rsidR="00911B5A">
              <w:rPr>
                <w:rFonts w:ascii="Times New Roman" w:hAnsi="Times New Roman"/>
                <w:sz w:val="24"/>
                <w:szCs w:val="24"/>
              </w:rPr>
              <w:t>Attend en banc</w:t>
            </w:r>
            <w:r w:rsidRPr="006B16AF">
              <w:rPr>
                <w:rFonts w:ascii="Times New Roman" w:hAnsi="Times New Roman"/>
                <w:sz w:val="24"/>
                <w:szCs w:val="24"/>
              </w:rPr>
              <w:t>”</w:t>
            </w:r>
          </w:p>
        </w:tc>
      </w:tr>
      <w:tr w:rsidRPr="00074F3F" w:rsidR="00A25AB6" w:rsidTr="007C2CCB" w14:paraId="6039D280" w14:textId="77777777">
        <w:tc>
          <w:tcPr>
            <w:tcW w:w="1616" w:type="dxa"/>
          </w:tcPr>
          <w:p w:rsidRPr="006B16AF" w:rsidR="00A25AB6" w:rsidP="00EB64CF" w:rsidRDefault="00A25AB6" w14:paraId="72A170EB" w14:textId="04244FE5">
            <w:pPr>
              <w:tabs>
                <w:tab w:val="left" w:pos="1440"/>
              </w:tabs>
              <w:rPr>
                <w:color w:val="000000"/>
              </w:rPr>
            </w:pPr>
            <w:r>
              <w:rPr>
                <w:color w:val="000000"/>
              </w:rPr>
              <w:t>[6] Disallowances</w:t>
            </w:r>
            <w:r w:rsidR="008B5C08">
              <w:rPr>
                <w:color w:val="000000"/>
              </w:rPr>
              <w:t xml:space="preserve"> Related to Track</w:t>
            </w:r>
            <w:r w:rsidR="0015254F">
              <w:rPr>
                <w:color w:val="000000"/>
              </w:rPr>
              <w:t xml:space="preserve"> 2.1.d,</w:t>
            </w:r>
            <w:r w:rsidR="00934947">
              <w:rPr>
                <w:color w:val="000000"/>
              </w:rPr>
              <w:t xml:space="preserve"> </w:t>
            </w:r>
            <w:r w:rsidR="0015254F">
              <w:rPr>
                <w:color w:val="000000"/>
              </w:rPr>
              <w:t>2.1.e, and 2.1.k</w:t>
            </w:r>
            <w:r w:rsidR="008B5C08">
              <w:rPr>
                <w:color w:val="000000"/>
              </w:rPr>
              <w:t xml:space="preserve"> and Similar Issues </w:t>
            </w:r>
            <w:r w:rsidR="0015254F">
              <w:rPr>
                <w:color w:val="000000"/>
              </w:rPr>
              <w:lastRenderedPageBreak/>
              <w:t>Denied</w:t>
            </w:r>
            <w:r>
              <w:rPr>
                <w:color w:val="000000"/>
              </w:rPr>
              <w:t xml:space="preserve"> Without Prejudice</w:t>
            </w:r>
          </w:p>
        </w:tc>
        <w:tc>
          <w:tcPr>
            <w:tcW w:w="7744" w:type="dxa"/>
          </w:tcPr>
          <w:p w:rsidR="00414312" w:rsidP="00A25AB6" w:rsidRDefault="00C77014" w14:paraId="5472564A" w14:textId="77777777">
            <w:pPr>
              <w:rPr>
                <w:b/>
                <w:bCs/>
                <w:color w:val="000000"/>
              </w:rPr>
            </w:pPr>
            <w:r w:rsidRPr="008744AA">
              <w:rPr>
                <w:b/>
                <w:bCs/>
                <w:color w:val="000000"/>
              </w:rPr>
              <w:lastRenderedPageBreak/>
              <w:t xml:space="preserve">EDF’s 2023 Disallowances </w:t>
            </w:r>
            <w:r w:rsidRPr="008744AA" w:rsidR="00B37F6F">
              <w:rPr>
                <w:b/>
                <w:bCs/>
                <w:color w:val="000000"/>
              </w:rPr>
              <w:t>(14.30 hours</w:t>
            </w:r>
            <w:r w:rsidR="00B212D9">
              <w:rPr>
                <w:b/>
                <w:bCs/>
                <w:color w:val="000000"/>
              </w:rPr>
              <w:t xml:space="preserve"> total</w:t>
            </w:r>
            <w:r w:rsidR="00B37F6F">
              <w:rPr>
                <w:b/>
                <w:bCs/>
                <w:color w:val="000000"/>
              </w:rPr>
              <w:t xml:space="preserve">; </w:t>
            </w:r>
            <w:r w:rsidR="00B212D9">
              <w:rPr>
                <w:b/>
                <w:bCs/>
                <w:color w:val="000000"/>
              </w:rPr>
              <w:t>Kelly - 12.80 hours; Seong - 1.50 hours</w:t>
            </w:r>
            <w:r w:rsidRPr="008744AA" w:rsidR="00B37F6F">
              <w:rPr>
                <w:b/>
                <w:bCs/>
                <w:color w:val="000000"/>
              </w:rPr>
              <w:t>)</w:t>
            </w:r>
          </w:p>
          <w:p w:rsidRPr="00E247F5" w:rsidR="008B5C08" w:rsidP="00A25AB6" w:rsidRDefault="008B5C08" w14:paraId="6AF1C703" w14:textId="5EAAAB16">
            <w:pPr>
              <w:rPr>
                <w:b/>
                <w:bCs/>
                <w:color w:val="000000"/>
              </w:rPr>
            </w:pPr>
            <w:r w:rsidRPr="00E00ADB">
              <w:rPr>
                <w:color w:val="000000"/>
              </w:rPr>
              <w:t xml:space="preserve">According to the R2001007 </w:t>
            </w:r>
            <w:r w:rsidRPr="00E00ADB" w:rsidR="000909D3">
              <w:rPr>
                <w:color w:val="000000"/>
              </w:rPr>
              <w:t>January 5, 2022</w:t>
            </w:r>
            <w:r w:rsidRPr="00E00ADB">
              <w:rPr>
                <w:color w:val="000000"/>
              </w:rPr>
              <w:t>, scoping memo, the Track 2</w:t>
            </w:r>
            <w:r w:rsidRPr="00E00ADB" w:rsidR="00076B42">
              <w:rPr>
                <w:color w:val="000000"/>
              </w:rPr>
              <w:t>a Issues 2.1.d, 2.1.e, and 2.1.k considered issues related to the decommissioning of gas distribution lines.</w:t>
            </w:r>
          </w:p>
          <w:p w:rsidRPr="00E00ADB" w:rsidR="008B5C08" w:rsidP="00A25AB6" w:rsidRDefault="008B5C08" w14:paraId="3A9D4F1B" w14:textId="77777777">
            <w:pPr>
              <w:rPr>
                <w:color w:val="000000"/>
              </w:rPr>
            </w:pPr>
          </w:p>
          <w:p w:rsidRPr="00E00ADB" w:rsidR="00A25AB6" w:rsidP="00A25AB6" w:rsidRDefault="008B5C08" w14:paraId="577CAC5E" w14:textId="35444661">
            <w:pPr>
              <w:rPr>
                <w:color w:val="000000"/>
              </w:rPr>
            </w:pPr>
            <w:r w:rsidRPr="00E00ADB">
              <w:rPr>
                <w:color w:val="000000"/>
              </w:rPr>
              <w:lastRenderedPageBreak/>
              <w:t xml:space="preserve">The Commission’s consideration of these and similar issues has not yet been resolved. On February 22, 2024, the assigned Commissioner issued a ruling scheduling a Phase 3 Prehearing Conference and noting that consideration of distribution system issues would happen at a later date.  </w:t>
            </w:r>
          </w:p>
          <w:p w:rsidRPr="00E00ADB" w:rsidR="008B5C08" w:rsidP="00A25AB6" w:rsidRDefault="008B5C08" w14:paraId="6628E92C" w14:textId="77777777">
            <w:pPr>
              <w:rPr>
                <w:color w:val="000000"/>
              </w:rPr>
            </w:pPr>
          </w:p>
          <w:p w:rsidRPr="00E00ADB" w:rsidR="00E00ADB" w:rsidP="00194662" w:rsidRDefault="008B5C08" w14:paraId="5C734480" w14:textId="7D7D38CE">
            <w:pPr>
              <w:rPr>
                <w:color w:val="C00000"/>
                <w:highlight w:val="yellow"/>
              </w:rPr>
            </w:pPr>
            <w:r w:rsidRPr="00E00ADB">
              <w:rPr>
                <w:color w:val="000000"/>
              </w:rPr>
              <w:t xml:space="preserve">Therefore, EDF’s claim for hours related to decommissioning the gas distribution system is denied without prejudice. These hours may be reconsidered in Rulemaking 24-09-012 if the hours contribute to the Rulemaking’s resolution of the issue. </w:t>
            </w:r>
            <w:r w:rsidRPr="007466F7" w:rsidR="007466F7">
              <w:rPr>
                <w:color w:val="000000"/>
              </w:rPr>
              <w:t>The following hours are denied without prejudice</w:t>
            </w:r>
            <w:r w:rsidRPr="00E00ADB">
              <w:rPr>
                <w:color w:val="000000"/>
              </w:rPr>
              <w:t>:</w:t>
            </w:r>
          </w:p>
          <w:p w:rsidR="00A25AB6" w:rsidP="00A25AB6" w:rsidRDefault="00A25AB6" w14:paraId="7CAD1051" w14:textId="77777777">
            <w:pPr>
              <w:rPr>
                <w:color w:val="000000"/>
                <w:u w:val="single"/>
              </w:rPr>
            </w:pPr>
          </w:p>
          <w:p w:rsidR="00A25AB6" w:rsidP="00A25AB6" w:rsidRDefault="00C702E8" w14:paraId="1657F7C1" w14:textId="6A3AB096">
            <w:pPr>
              <w:rPr>
                <w:color w:val="000000"/>
                <w:u w:val="single"/>
              </w:rPr>
            </w:pPr>
            <w:r>
              <w:rPr>
                <w:color w:val="000000"/>
                <w:u w:val="single"/>
              </w:rPr>
              <w:t>Comments of E</w:t>
            </w:r>
            <w:r w:rsidR="008945AF">
              <w:rPr>
                <w:color w:val="000000"/>
                <w:u w:val="single"/>
              </w:rPr>
              <w:t xml:space="preserve">nvironmental Defense Fund on Staff Gas Infrastructure </w:t>
            </w:r>
            <w:r w:rsidR="00972FBF">
              <w:rPr>
                <w:color w:val="000000"/>
                <w:u w:val="single"/>
              </w:rPr>
              <w:t>Decommissioning</w:t>
            </w:r>
            <w:r w:rsidR="008945AF">
              <w:rPr>
                <w:color w:val="000000"/>
                <w:u w:val="single"/>
              </w:rPr>
              <w:t xml:space="preserve"> Proposal</w:t>
            </w:r>
            <w:r w:rsidR="00972FBF">
              <w:rPr>
                <w:color w:val="000000"/>
                <w:u w:val="single"/>
              </w:rPr>
              <w:t xml:space="preserve"> </w:t>
            </w:r>
            <w:r w:rsidR="004C60E0">
              <w:rPr>
                <w:color w:val="000000"/>
                <w:u w:val="single"/>
              </w:rPr>
              <w:t>(14.30 hours)</w:t>
            </w:r>
            <w:r w:rsidR="002D75D6">
              <w:rPr>
                <w:color w:val="000000"/>
                <w:u w:val="single"/>
              </w:rPr>
              <w:t xml:space="preserve"> </w:t>
            </w:r>
            <w:r w:rsidR="00972FBF">
              <w:rPr>
                <w:color w:val="000000"/>
                <w:u w:val="single"/>
              </w:rPr>
              <w:t>– Filed 2/24/23</w:t>
            </w:r>
            <w:r w:rsidR="00A25AB6">
              <w:rPr>
                <w:color w:val="000000"/>
                <w:u w:val="single"/>
              </w:rPr>
              <w:t>:</w:t>
            </w:r>
          </w:p>
          <w:p w:rsidRPr="005C2C1C" w:rsidR="005C2C1C" w:rsidP="005C2C1C" w:rsidRDefault="005C2C1C" w14:paraId="4EE60CAF" w14:textId="30C2C64D">
            <w:pPr>
              <w:rPr>
                <w:color w:val="000000"/>
              </w:rPr>
            </w:pPr>
            <w:r w:rsidRPr="005C2C1C">
              <w:rPr>
                <w:color w:val="000000"/>
              </w:rPr>
              <w:t>The following hours associated with the drafting and completion of the Comments on the Staff Proposal have been disallowed:</w:t>
            </w:r>
          </w:p>
          <w:p w:rsidRPr="009D1383" w:rsidR="003D38D9" w:rsidP="009D1383" w:rsidRDefault="005C2C1C" w14:paraId="60875F7C" w14:textId="2999259C">
            <w:pPr>
              <w:pStyle w:val="ListParagraph"/>
              <w:numPr>
                <w:ilvl w:val="0"/>
                <w:numId w:val="24"/>
              </w:numPr>
              <w:spacing w:before="120"/>
              <w:rPr>
                <w:rFonts w:ascii="Times New Roman" w:hAnsi="Times New Roman" w:eastAsia="Times New Roman"/>
                <w:color w:val="000000"/>
                <w:sz w:val="24"/>
                <w:szCs w:val="24"/>
              </w:rPr>
            </w:pPr>
            <w:r w:rsidRPr="00E00ADB">
              <w:rPr>
                <w:rFonts w:ascii="Times New Roman" w:hAnsi="Times New Roman" w:eastAsia="Times New Roman"/>
                <w:color w:val="000000"/>
                <w:sz w:val="24"/>
                <w:szCs w:val="24"/>
              </w:rPr>
              <w:t xml:space="preserve">Kelly </w:t>
            </w:r>
            <w:r w:rsidRPr="00E00ADB" w:rsidR="00D60CBE">
              <w:rPr>
                <w:rFonts w:ascii="Times New Roman" w:hAnsi="Times New Roman" w:eastAsia="Times New Roman"/>
                <w:color w:val="000000"/>
                <w:sz w:val="24"/>
                <w:szCs w:val="24"/>
              </w:rPr>
              <w:t>(2023)</w:t>
            </w:r>
            <w:r w:rsidR="00A0319F">
              <w:rPr>
                <w:rFonts w:ascii="Times New Roman" w:hAnsi="Times New Roman" w:eastAsia="Times New Roman"/>
                <w:color w:val="000000"/>
                <w:sz w:val="24"/>
                <w:szCs w:val="24"/>
              </w:rPr>
              <w:t>:</w:t>
            </w:r>
            <w:r w:rsidRPr="00E00ADB" w:rsidR="00D60CBE">
              <w:rPr>
                <w:rFonts w:ascii="Times New Roman" w:hAnsi="Times New Roman" w:eastAsia="Times New Roman"/>
                <w:color w:val="000000"/>
                <w:sz w:val="24"/>
                <w:szCs w:val="24"/>
              </w:rPr>
              <w:t xml:space="preserve"> </w:t>
            </w:r>
            <w:r w:rsidRPr="00E00ADB">
              <w:rPr>
                <w:rFonts w:ascii="Times New Roman" w:hAnsi="Times New Roman" w:eastAsia="Times New Roman"/>
                <w:color w:val="000000"/>
                <w:sz w:val="24"/>
                <w:szCs w:val="24"/>
              </w:rPr>
              <w:t>12.80</w:t>
            </w:r>
          </w:p>
          <w:p w:rsidRPr="009D1383" w:rsidR="00FA4964" w:rsidP="009D1383" w:rsidRDefault="005C2C1C" w14:paraId="3675CCAD" w14:textId="6FF18923">
            <w:pPr>
              <w:pStyle w:val="ListParagraph"/>
              <w:numPr>
                <w:ilvl w:val="0"/>
                <w:numId w:val="24"/>
              </w:numPr>
              <w:rPr>
                <w:color w:val="000000"/>
              </w:rPr>
            </w:pPr>
            <w:r w:rsidRPr="00E00ADB">
              <w:rPr>
                <w:rFonts w:ascii="Times New Roman" w:hAnsi="Times New Roman" w:eastAsia="Times New Roman"/>
                <w:color w:val="000000"/>
                <w:sz w:val="24"/>
                <w:szCs w:val="24"/>
              </w:rPr>
              <w:t>Seong</w:t>
            </w:r>
            <w:r w:rsidRPr="00E00ADB" w:rsidR="00D60CBE">
              <w:rPr>
                <w:rFonts w:ascii="Times New Roman" w:hAnsi="Times New Roman" w:eastAsia="Times New Roman"/>
                <w:color w:val="000000"/>
                <w:sz w:val="24"/>
                <w:szCs w:val="24"/>
              </w:rPr>
              <w:t xml:space="preserve"> (2023)</w:t>
            </w:r>
            <w:r w:rsidRPr="00E00ADB">
              <w:rPr>
                <w:rFonts w:ascii="Times New Roman" w:hAnsi="Times New Roman" w:eastAsia="Times New Roman"/>
                <w:color w:val="000000"/>
                <w:sz w:val="24"/>
                <w:szCs w:val="24"/>
              </w:rPr>
              <w:t>:</w:t>
            </w:r>
            <w:r w:rsidR="002D5675">
              <w:rPr>
                <w:rFonts w:ascii="Times New Roman" w:hAnsi="Times New Roman" w:eastAsia="Times New Roman"/>
                <w:color w:val="000000"/>
                <w:sz w:val="24"/>
                <w:szCs w:val="24"/>
              </w:rPr>
              <w:t xml:space="preserve"> </w:t>
            </w:r>
            <w:r w:rsidRPr="00E00ADB">
              <w:rPr>
                <w:rFonts w:ascii="Times New Roman" w:hAnsi="Times New Roman" w:eastAsia="Times New Roman"/>
                <w:color w:val="000000"/>
                <w:sz w:val="24"/>
                <w:szCs w:val="24"/>
              </w:rPr>
              <w:t>1.50</w:t>
            </w:r>
          </w:p>
        </w:tc>
      </w:tr>
      <w:tr w:rsidRPr="00074F3F" w:rsidR="007C2CCB" w:rsidTr="007C2CCB" w14:paraId="752A1343" w14:textId="77777777">
        <w:tc>
          <w:tcPr>
            <w:tcW w:w="1616" w:type="dxa"/>
          </w:tcPr>
          <w:p w:rsidRPr="006B16AF" w:rsidR="007C2CCB" w:rsidP="00EB64CF" w:rsidRDefault="007C2CCB" w14:paraId="2ECDC19B" w14:textId="276F5565">
            <w:pPr>
              <w:tabs>
                <w:tab w:val="left" w:pos="1440"/>
              </w:tabs>
              <w:rPr>
                <w:color w:val="000000"/>
              </w:rPr>
            </w:pPr>
            <w:r w:rsidRPr="006B16AF">
              <w:rPr>
                <w:color w:val="000000"/>
              </w:rPr>
              <w:lastRenderedPageBreak/>
              <w:t>[</w:t>
            </w:r>
            <w:r w:rsidR="00A25AB6">
              <w:rPr>
                <w:color w:val="000000"/>
              </w:rPr>
              <w:t>7</w:t>
            </w:r>
            <w:r w:rsidRPr="006B16AF">
              <w:rPr>
                <w:color w:val="000000"/>
              </w:rPr>
              <w:t xml:space="preserve">] </w:t>
            </w:r>
            <w:r w:rsidR="0015254F">
              <w:rPr>
                <w:color w:val="000000"/>
              </w:rPr>
              <w:t>Disallowances Related to GO 177 Issues Denied Without Prejudice</w:t>
            </w:r>
          </w:p>
        </w:tc>
        <w:tc>
          <w:tcPr>
            <w:tcW w:w="7744" w:type="dxa"/>
          </w:tcPr>
          <w:p w:rsidRPr="00414312" w:rsidR="00272439" w:rsidP="00C60910" w:rsidRDefault="00272439" w14:paraId="22E56E12" w14:textId="40AE8624">
            <w:pPr>
              <w:rPr>
                <w:b/>
                <w:bCs/>
                <w:color w:val="000000"/>
              </w:rPr>
            </w:pPr>
            <w:r w:rsidRPr="008744AA">
              <w:rPr>
                <w:b/>
                <w:bCs/>
                <w:color w:val="000000"/>
              </w:rPr>
              <w:t>EDF’s 2023 Disallowances (</w:t>
            </w:r>
            <w:r w:rsidRPr="008744AA" w:rsidR="00D21370">
              <w:rPr>
                <w:b/>
                <w:bCs/>
                <w:color w:val="000000"/>
              </w:rPr>
              <w:t>26.90</w:t>
            </w:r>
            <w:r w:rsidRPr="008744AA">
              <w:rPr>
                <w:b/>
                <w:bCs/>
                <w:color w:val="000000"/>
              </w:rPr>
              <w:t xml:space="preserve"> hours total;</w:t>
            </w:r>
            <w:r w:rsidRPr="008744AA" w:rsidR="00973E13">
              <w:rPr>
                <w:b/>
                <w:bCs/>
                <w:color w:val="000000"/>
              </w:rPr>
              <w:t xml:space="preserve"> Kelly </w:t>
            </w:r>
            <w:r w:rsidRPr="008744AA" w:rsidR="00590EB1">
              <w:rPr>
                <w:b/>
                <w:bCs/>
                <w:color w:val="000000"/>
              </w:rPr>
              <w:t>–</w:t>
            </w:r>
            <w:r w:rsidRPr="008744AA" w:rsidR="00973E13">
              <w:rPr>
                <w:b/>
                <w:bCs/>
                <w:color w:val="000000"/>
              </w:rPr>
              <w:t xml:space="preserve"> </w:t>
            </w:r>
            <w:r w:rsidRPr="008744AA" w:rsidR="00590EB1">
              <w:rPr>
                <w:b/>
                <w:bCs/>
                <w:color w:val="000000"/>
              </w:rPr>
              <w:t xml:space="preserve">14.90 hours; </w:t>
            </w:r>
            <w:r w:rsidRPr="008744AA" w:rsidR="00767152">
              <w:rPr>
                <w:b/>
                <w:bCs/>
                <w:color w:val="000000"/>
              </w:rPr>
              <w:t xml:space="preserve">Colvin – 1.00 hours; </w:t>
            </w:r>
            <w:r w:rsidRPr="008744AA" w:rsidR="009E1B75">
              <w:rPr>
                <w:b/>
                <w:bCs/>
                <w:color w:val="000000"/>
              </w:rPr>
              <w:t>Seong 11.00 hours</w:t>
            </w:r>
            <w:r w:rsidRPr="008744AA">
              <w:rPr>
                <w:b/>
                <w:bCs/>
                <w:color w:val="000000"/>
              </w:rPr>
              <w:t>)</w:t>
            </w:r>
          </w:p>
          <w:p w:rsidR="001417F7" w:rsidP="00C60910" w:rsidRDefault="00E87D51" w14:paraId="2F0CDBAD" w14:textId="1B97A018">
            <w:pPr>
              <w:rPr>
                <w:color w:val="000000"/>
              </w:rPr>
            </w:pPr>
            <w:r w:rsidRPr="00E00ADB">
              <w:rPr>
                <w:color w:val="000000"/>
              </w:rPr>
              <w:t>In D.2</w:t>
            </w:r>
            <w:r w:rsidRPr="00E00ADB" w:rsidR="0032024A">
              <w:rPr>
                <w:color w:val="000000"/>
              </w:rPr>
              <w:t>2-12-021,</w:t>
            </w:r>
            <w:r w:rsidRPr="00E00ADB">
              <w:rPr>
                <w:color w:val="000000"/>
              </w:rPr>
              <w:t xml:space="preserve"> the Commission adopted General Order 177 </w:t>
            </w:r>
            <w:r w:rsidRPr="00E00ADB" w:rsidR="0032024A">
              <w:rPr>
                <w:color w:val="000000"/>
              </w:rPr>
              <w:t>and established a process for interested parties to comment on gas utilities’ report of planned gas investments. In D.24-09-034, the Commission partially granted a Petition for Modification to Decision 22-12-021. In considering the Petition for Modification, the Commission relied on the record</w:t>
            </w:r>
            <w:r w:rsidRPr="00E00ADB" w:rsidR="003910EC">
              <w:rPr>
                <w:color w:val="000000"/>
              </w:rPr>
              <w:t xml:space="preserve"> from parties commenting on the GO 177 gas utilities’ reports. </w:t>
            </w:r>
          </w:p>
          <w:p w:rsidRPr="00E00ADB" w:rsidR="003910EC" w:rsidP="00C60910" w:rsidRDefault="003910EC" w14:paraId="2DFB9BB8" w14:textId="4CA2739B">
            <w:pPr>
              <w:rPr>
                <w:color w:val="000000"/>
              </w:rPr>
            </w:pPr>
            <w:r w:rsidRPr="00E00ADB">
              <w:rPr>
                <w:color w:val="000000"/>
              </w:rPr>
              <w:t xml:space="preserve"> </w:t>
            </w:r>
            <w:r w:rsidRPr="00E00ADB" w:rsidR="0032024A">
              <w:rPr>
                <w:color w:val="000000"/>
              </w:rPr>
              <w:t xml:space="preserve"> </w:t>
            </w:r>
          </w:p>
          <w:p w:rsidR="003910EC" w:rsidP="00C60910" w:rsidRDefault="003910EC" w14:paraId="4B588EEA" w14:textId="6DEE9E11">
            <w:pPr>
              <w:rPr>
                <w:color w:val="000000"/>
              </w:rPr>
            </w:pPr>
            <w:r w:rsidRPr="00E00ADB">
              <w:rPr>
                <w:color w:val="000000"/>
              </w:rPr>
              <w:t xml:space="preserve">However, this claim only seeks compensation for work related to D.23-12-003. In D.23-12-003, the Commission resolved issues regarding transmission pipelines and natural gas storage facilities, and did not consider the GO 177 record. </w:t>
            </w:r>
          </w:p>
          <w:p w:rsidRPr="00E00ADB" w:rsidR="00B14EC4" w:rsidP="00C60910" w:rsidRDefault="00B14EC4" w14:paraId="18276181" w14:textId="77777777">
            <w:pPr>
              <w:rPr>
                <w:color w:val="000000"/>
              </w:rPr>
            </w:pPr>
          </w:p>
          <w:p w:rsidR="003910EC" w:rsidP="00C60910" w:rsidRDefault="003910EC" w14:paraId="1DF6F8F2" w14:textId="2B3DAA5C">
            <w:pPr>
              <w:rPr>
                <w:color w:val="000000"/>
                <w:u w:val="single"/>
              </w:rPr>
            </w:pPr>
            <w:r w:rsidRPr="00E00ADB">
              <w:rPr>
                <w:color w:val="000000"/>
              </w:rPr>
              <w:t>Therefore, EDF’s claim for hours related to work on GO 177 issues are d</w:t>
            </w:r>
            <w:r w:rsidRPr="00E00ADB" w:rsidR="00426F18">
              <w:rPr>
                <w:color w:val="000000"/>
              </w:rPr>
              <w:t>enied</w:t>
            </w:r>
            <w:r w:rsidRPr="00E00ADB">
              <w:rPr>
                <w:color w:val="000000"/>
              </w:rPr>
              <w:t xml:space="preserve"> without prejudice. EDF</w:t>
            </w:r>
            <w:r w:rsidR="00526934">
              <w:rPr>
                <w:color w:val="000000"/>
              </w:rPr>
              <w:t>’s hours for this</w:t>
            </w:r>
            <w:r w:rsidR="001539CD">
              <w:rPr>
                <w:color w:val="000000"/>
              </w:rPr>
              <w:t xml:space="preserve"> </w:t>
            </w:r>
            <w:r w:rsidRPr="00E00ADB" w:rsidR="00426F18">
              <w:rPr>
                <w:color w:val="000000"/>
              </w:rPr>
              <w:t xml:space="preserve">work </w:t>
            </w:r>
            <w:r w:rsidR="000D0CA7">
              <w:rPr>
                <w:color w:val="000000"/>
              </w:rPr>
              <w:t xml:space="preserve">may be considered </w:t>
            </w:r>
            <w:r w:rsidRPr="00E00ADB" w:rsidR="00426F18">
              <w:rPr>
                <w:color w:val="000000"/>
              </w:rPr>
              <w:t xml:space="preserve">in </w:t>
            </w:r>
            <w:r w:rsidR="00526934">
              <w:rPr>
                <w:color w:val="000000"/>
              </w:rPr>
              <w:t xml:space="preserve">a </w:t>
            </w:r>
            <w:r w:rsidR="0031392D">
              <w:rPr>
                <w:color w:val="000000"/>
              </w:rPr>
              <w:t>future claim if</w:t>
            </w:r>
            <w:r w:rsidR="00452D7C">
              <w:rPr>
                <w:color w:val="000000"/>
              </w:rPr>
              <w:t xml:space="preserve"> </w:t>
            </w:r>
            <w:r w:rsidR="005772C4">
              <w:rPr>
                <w:color w:val="000000"/>
              </w:rPr>
              <w:t xml:space="preserve">they are determined to </w:t>
            </w:r>
            <w:r w:rsidR="00DC13C4">
              <w:rPr>
                <w:color w:val="000000"/>
              </w:rPr>
              <w:t>have contributed to a decision</w:t>
            </w:r>
            <w:r w:rsidRPr="00E00ADB">
              <w:rPr>
                <w:color w:val="000000"/>
              </w:rPr>
              <w:t xml:space="preserve">. </w:t>
            </w:r>
            <w:r w:rsidR="003425C7">
              <w:rPr>
                <w:color w:val="000000"/>
              </w:rPr>
              <w:t>The following hours are denied without prejudice</w:t>
            </w:r>
            <w:r w:rsidRPr="00E00ADB" w:rsidR="00426F18">
              <w:rPr>
                <w:color w:val="000000"/>
              </w:rPr>
              <w:t>:</w:t>
            </w:r>
          </w:p>
          <w:p w:rsidR="00E861F0" w:rsidP="00C60910" w:rsidRDefault="00E861F0" w14:paraId="2796377D" w14:textId="77777777">
            <w:pPr>
              <w:rPr>
                <w:color w:val="000000"/>
                <w:u w:val="single"/>
              </w:rPr>
            </w:pPr>
          </w:p>
          <w:p w:rsidR="00297167" w:rsidP="00C60910" w:rsidRDefault="00297167" w14:paraId="0B06595A" w14:textId="35463F29">
            <w:pPr>
              <w:rPr>
                <w:color w:val="000000"/>
                <w:u w:val="single"/>
              </w:rPr>
            </w:pPr>
            <w:r>
              <w:rPr>
                <w:color w:val="000000"/>
                <w:u w:val="single"/>
              </w:rPr>
              <w:t xml:space="preserve">Motion of Environmental </w:t>
            </w:r>
            <w:r w:rsidR="002741A2">
              <w:rPr>
                <w:color w:val="000000"/>
                <w:u w:val="single"/>
              </w:rPr>
              <w:t xml:space="preserve">Defense </w:t>
            </w:r>
            <w:r>
              <w:rPr>
                <w:color w:val="000000"/>
                <w:u w:val="single"/>
              </w:rPr>
              <w:t>Fund</w:t>
            </w:r>
            <w:r w:rsidR="002741A2">
              <w:rPr>
                <w:color w:val="000000"/>
                <w:u w:val="single"/>
              </w:rPr>
              <w:t xml:space="preserve"> Requesting Technical Workshop</w:t>
            </w:r>
            <w:r w:rsidR="00D631E3">
              <w:rPr>
                <w:color w:val="000000"/>
                <w:u w:val="single"/>
              </w:rPr>
              <w:t xml:space="preserve"> – Filed </w:t>
            </w:r>
            <w:r w:rsidR="00BB7D58">
              <w:rPr>
                <w:color w:val="000000"/>
                <w:u w:val="single"/>
              </w:rPr>
              <w:t>4/11/23</w:t>
            </w:r>
            <w:r w:rsidR="002741A2">
              <w:rPr>
                <w:color w:val="000000"/>
                <w:u w:val="single"/>
              </w:rPr>
              <w:t xml:space="preserve"> (</w:t>
            </w:r>
            <w:r w:rsidR="008F4E9A">
              <w:rPr>
                <w:color w:val="000000"/>
                <w:u w:val="single"/>
              </w:rPr>
              <w:t>15.80 hours</w:t>
            </w:r>
            <w:r w:rsidR="002741A2">
              <w:rPr>
                <w:color w:val="000000"/>
                <w:u w:val="single"/>
              </w:rPr>
              <w:t>):</w:t>
            </w:r>
          </w:p>
          <w:p w:rsidRPr="00E00ADB" w:rsidR="0011528B" w:rsidP="00C60910" w:rsidRDefault="0011528B" w14:paraId="5954E251" w14:textId="27B45B2A">
            <w:pPr>
              <w:rPr>
                <w:color w:val="000000"/>
              </w:rPr>
            </w:pPr>
            <w:r w:rsidRPr="00E00ADB">
              <w:rPr>
                <w:color w:val="000000"/>
              </w:rPr>
              <w:t>The following hours associated with the drafting and completion of the Motion have been disallowed:</w:t>
            </w:r>
          </w:p>
          <w:p w:rsidRPr="009D1383" w:rsidR="008134C1" w:rsidP="00C60910" w:rsidRDefault="00D631E3" w14:paraId="18454CA7" w14:textId="07379610">
            <w:pPr>
              <w:pStyle w:val="ListParagraph"/>
              <w:numPr>
                <w:ilvl w:val="0"/>
                <w:numId w:val="27"/>
              </w:numPr>
              <w:spacing w:before="120"/>
              <w:rPr>
                <w:color w:val="000000"/>
                <w:sz w:val="24"/>
                <w:szCs w:val="24"/>
              </w:rPr>
            </w:pPr>
            <w:r w:rsidRPr="002648FC">
              <w:rPr>
                <w:rFonts w:ascii="Times New Roman" w:hAnsi="Times New Roman"/>
                <w:color w:val="000000"/>
                <w:sz w:val="24"/>
                <w:szCs w:val="24"/>
              </w:rPr>
              <w:t>Kelly 2023:</w:t>
            </w:r>
            <w:r w:rsidRPr="002648FC" w:rsidR="0077264E">
              <w:rPr>
                <w:rFonts w:ascii="Times New Roman" w:hAnsi="Times New Roman"/>
                <w:color w:val="000000"/>
                <w:sz w:val="24"/>
                <w:szCs w:val="24"/>
              </w:rPr>
              <w:t xml:space="preserve"> 14.80 hours</w:t>
            </w:r>
          </w:p>
          <w:p w:rsidRPr="00E00ADB" w:rsidR="00D631E3" w:rsidP="00E00ADB" w:rsidRDefault="00D631E3" w14:paraId="63ED830A" w14:textId="3DF6F03C">
            <w:pPr>
              <w:pStyle w:val="ListParagraph"/>
              <w:numPr>
                <w:ilvl w:val="0"/>
                <w:numId w:val="25"/>
              </w:numPr>
              <w:rPr>
                <w:color w:val="000000"/>
              </w:rPr>
            </w:pPr>
            <w:r w:rsidRPr="00E00ADB">
              <w:rPr>
                <w:rFonts w:ascii="Times New Roman" w:hAnsi="Times New Roman"/>
                <w:color w:val="000000"/>
                <w:sz w:val="24"/>
                <w:szCs w:val="24"/>
              </w:rPr>
              <w:t>Colvin</w:t>
            </w:r>
            <w:r w:rsidRPr="00E00ADB" w:rsidR="00BB7D58">
              <w:rPr>
                <w:rFonts w:ascii="Times New Roman" w:hAnsi="Times New Roman"/>
                <w:color w:val="000000"/>
                <w:sz w:val="24"/>
                <w:szCs w:val="24"/>
              </w:rPr>
              <w:t xml:space="preserve"> </w:t>
            </w:r>
            <w:r w:rsidRPr="00E00ADB">
              <w:rPr>
                <w:rFonts w:ascii="Times New Roman" w:hAnsi="Times New Roman"/>
                <w:color w:val="000000"/>
                <w:sz w:val="24"/>
                <w:szCs w:val="24"/>
              </w:rPr>
              <w:t>2023</w:t>
            </w:r>
            <w:r w:rsidRPr="00E00ADB" w:rsidR="00BB7D58">
              <w:rPr>
                <w:rFonts w:ascii="Times New Roman" w:hAnsi="Times New Roman"/>
                <w:color w:val="000000"/>
                <w:sz w:val="24"/>
                <w:szCs w:val="24"/>
              </w:rPr>
              <w:t>:</w:t>
            </w:r>
            <w:r w:rsidR="00E404F6">
              <w:rPr>
                <w:rFonts w:ascii="Times New Roman" w:hAnsi="Times New Roman"/>
                <w:color w:val="000000"/>
                <w:sz w:val="24"/>
                <w:szCs w:val="24"/>
              </w:rPr>
              <w:t xml:space="preserve"> </w:t>
            </w:r>
            <w:r w:rsidR="00CF1D99">
              <w:rPr>
                <w:rFonts w:ascii="Times New Roman" w:hAnsi="Times New Roman"/>
                <w:color w:val="000000"/>
                <w:sz w:val="24"/>
                <w:szCs w:val="24"/>
              </w:rPr>
              <w:t>1.00</w:t>
            </w:r>
          </w:p>
          <w:p w:rsidR="00843299" w:rsidP="00C60910" w:rsidRDefault="00843299" w14:paraId="7199FC8F" w14:textId="77777777">
            <w:pPr>
              <w:rPr>
                <w:color w:val="000000"/>
                <w:u w:val="single"/>
              </w:rPr>
            </w:pPr>
          </w:p>
          <w:p w:rsidR="00261371" w:rsidP="00C60910" w:rsidRDefault="009D7ED6" w14:paraId="473395A0" w14:textId="26B2A5BC">
            <w:pPr>
              <w:rPr>
                <w:color w:val="000000"/>
                <w:u w:val="single"/>
              </w:rPr>
            </w:pPr>
            <w:r>
              <w:rPr>
                <w:color w:val="000000"/>
                <w:u w:val="single"/>
              </w:rPr>
              <w:lastRenderedPageBreak/>
              <w:t>Comments of Environmental Defense Fund On G</w:t>
            </w:r>
            <w:r w:rsidR="00745C11">
              <w:rPr>
                <w:color w:val="000000"/>
                <w:u w:val="single"/>
              </w:rPr>
              <w:t>O</w:t>
            </w:r>
            <w:r>
              <w:rPr>
                <w:color w:val="000000"/>
                <w:u w:val="single"/>
              </w:rPr>
              <w:t xml:space="preserve"> 177 Annual Report Workshop</w:t>
            </w:r>
            <w:r w:rsidR="001C2533">
              <w:rPr>
                <w:color w:val="000000"/>
                <w:u w:val="single"/>
              </w:rPr>
              <w:t xml:space="preserve"> – Filed </w:t>
            </w:r>
            <w:r w:rsidR="00EE127B">
              <w:rPr>
                <w:color w:val="000000"/>
                <w:u w:val="single"/>
              </w:rPr>
              <w:t>10/31/23</w:t>
            </w:r>
            <w:r w:rsidR="004F3669">
              <w:rPr>
                <w:color w:val="000000"/>
                <w:u w:val="single"/>
              </w:rPr>
              <w:t xml:space="preserve"> </w:t>
            </w:r>
            <w:r w:rsidR="0077264E">
              <w:rPr>
                <w:color w:val="000000"/>
                <w:u w:val="single"/>
              </w:rPr>
              <w:t>(11.10 hours)</w:t>
            </w:r>
            <w:r>
              <w:rPr>
                <w:color w:val="000000"/>
                <w:u w:val="single"/>
              </w:rPr>
              <w:t>:</w:t>
            </w:r>
          </w:p>
          <w:p w:rsidRPr="00E00ADB" w:rsidR="00E468A8" w:rsidP="00C60910" w:rsidRDefault="00E468A8" w14:paraId="44274968" w14:textId="7FD6D467">
            <w:pPr>
              <w:rPr>
                <w:color w:val="000000"/>
              </w:rPr>
            </w:pPr>
            <w:r w:rsidRPr="00E00ADB">
              <w:rPr>
                <w:color w:val="000000"/>
              </w:rPr>
              <w:t>The following hours associated with the drafting and completion of the Comments have been disallowed:</w:t>
            </w:r>
          </w:p>
          <w:p w:rsidRPr="009D1383" w:rsidR="00826496" w:rsidP="00C60910" w:rsidRDefault="00846D45" w14:paraId="21CA1D9C" w14:textId="6BBAA145">
            <w:pPr>
              <w:pStyle w:val="ListParagraph"/>
              <w:numPr>
                <w:ilvl w:val="0"/>
                <w:numId w:val="28"/>
              </w:numPr>
              <w:spacing w:before="120"/>
              <w:rPr>
                <w:color w:val="000000"/>
              </w:rPr>
            </w:pPr>
            <w:r w:rsidRPr="00E00ADB">
              <w:rPr>
                <w:rFonts w:ascii="Times New Roman" w:hAnsi="Times New Roman"/>
                <w:color w:val="000000"/>
                <w:sz w:val="24"/>
                <w:szCs w:val="24"/>
              </w:rPr>
              <w:t>Kelly</w:t>
            </w:r>
            <w:r w:rsidRPr="00E00ADB" w:rsidR="00261371">
              <w:rPr>
                <w:rFonts w:ascii="Times New Roman" w:hAnsi="Times New Roman"/>
                <w:color w:val="000000"/>
                <w:sz w:val="24"/>
                <w:szCs w:val="24"/>
              </w:rPr>
              <w:t xml:space="preserve"> 2023</w:t>
            </w:r>
            <w:r w:rsidRPr="00E00ADB" w:rsidR="00D22482">
              <w:rPr>
                <w:rFonts w:ascii="Times New Roman" w:hAnsi="Times New Roman"/>
                <w:color w:val="000000"/>
                <w:sz w:val="24"/>
                <w:szCs w:val="24"/>
              </w:rPr>
              <w:t>:</w:t>
            </w:r>
            <w:r w:rsidR="009C73B5">
              <w:rPr>
                <w:rFonts w:ascii="Times New Roman" w:hAnsi="Times New Roman"/>
                <w:color w:val="000000"/>
                <w:sz w:val="24"/>
                <w:szCs w:val="24"/>
              </w:rPr>
              <w:t xml:space="preserve"> 0.10</w:t>
            </w:r>
          </w:p>
          <w:p w:rsidRPr="009D1383" w:rsidR="005662E9" w:rsidP="009D1383" w:rsidRDefault="00D722D1" w14:paraId="26891CFE" w14:textId="652B751D">
            <w:pPr>
              <w:pStyle w:val="ListParagraph"/>
              <w:numPr>
                <w:ilvl w:val="0"/>
                <w:numId w:val="28"/>
              </w:numPr>
              <w:rPr>
                <w:color w:val="000000"/>
              </w:rPr>
            </w:pPr>
            <w:r w:rsidRPr="00E00ADB">
              <w:rPr>
                <w:rFonts w:ascii="Times New Roman" w:hAnsi="Times New Roman"/>
                <w:color w:val="000000"/>
                <w:sz w:val="24"/>
                <w:szCs w:val="24"/>
              </w:rPr>
              <w:t xml:space="preserve">Seong </w:t>
            </w:r>
            <w:r w:rsidRPr="00C47FD2" w:rsidR="00C47FD2">
              <w:rPr>
                <w:rFonts w:ascii="Times New Roman" w:hAnsi="Times New Roman"/>
                <w:color w:val="000000"/>
                <w:sz w:val="24"/>
                <w:szCs w:val="24"/>
              </w:rPr>
              <w:t>2023:</w:t>
            </w:r>
            <w:r w:rsidR="004F3669">
              <w:rPr>
                <w:rFonts w:ascii="Times New Roman" w:hAnsi="Times New Roman"/>
                <w:color w:val="000000"/>
                <w:sz w:val="24"/>
                <w:szCs w:val="24"/>
              </w:rPr>
              <w:t xml:space="preserve"> 11.00 hours</w:t>
            </w:r>
          </w:p>
        </w:tc>
      </w:tr>
      <w:tr w:rsidRPr="00074F3F" w:rsidR="008E3FB8" w:rsidTr="007C2CCB" w14:paraId="47BCDC6F" w14:textId="77777777">
        <w:tc>
          <w:tcPr>
            <w:tcW w:w="1616" w:type="dxa"/>
          </w:tcPr>
          <w:p w:rsidRPr="006B16AF" w:rsidR="008E3FB8" w:rsidP="00EB64CF" w:rsidRDefault="00717B36" w14:paraId="4F565490" w14:textId="4E9D2D1A">
            <w:pPr>
              <w:tabs>
                <w:tab w:val="left" w:pos="1440"/>
              </w:tabs>
              <w:rPr>
                <w:color w:val="000000"/>
              </w:rPr>
            </w:pPr>
            <w:r>
              <w:rPr>
                <w:color w:val="000000"/>
              </w:rPr>
              <w:lastRenderedPageBreak/>
              <w:t>[</w:t>
            </w:r>
            <w:r w:rsidR="0015254F">
              <w:rPr>
                <w:color w:val="000000"/>
              </w:rPr>
              <w:t>8</w:t>
            </w:r>
            <w:r>
              <w:rPr>
                <w:color w:val="000000"/>
              </w:rPr>
              <w:t xml:space="preserve">] </w:t>
            </w:r>
            <w:r w:rsidRPr="00CC3004" w:rsidR="00CC3004">
              <w:rPr>
                <w:color w:val="000000"/>
              </w:rPr>
              <w:t>Intervenor Responsibility for Transparency and Accuracy in Compensation Requests</w:t>
            </w:r>
          </w:p>
        </w:tc>
        <w:tc>
          <w:tcPr>
            <w:tcW w:w="7744" w:type="dxa"/>
          </w:tcPr>
          <w:p w:rsidRPr="00A75E13" w:rsidR="00A75E13" w:rsidP="00A75E13" w:rsidRDefault="00A75E13" w14:paraId="74882DE7" w14:textId="77777777">
            <w:pPr>
              <w:rPr>
                <w:color w:val="000000"/>
              </w:rPr>
            </w:pPr>
            <w:r w:rsidRPr="00A75E13">
              <w:rPr>
                <w:color w:val="000000"/>
              </w:rPr>
              <w:t>The Commission takes this opportunity to remind all intervenors that they bear the burden of providing accurate, complete, and honest information in all compensation requests. The Commission relies on intervenors' good faith representations, particularly regarding consultant agreements and payments, as it does not have the resources to review every contract or non-standard arrangement in detail.</w:t>
            </w:r>
          </w:p>
          <w:p w:rsidRPr="00A75E13" w:rsidR="00A75E13" w:rsidP="00A75E13" w:rsidRDefault="00A75E13" w14:paraId="2755F074" w14:textId="77777777">
            <w:pPr>
              <w:rPr>
                <w:color w:val="000000"/>
              </w:rPr>
            </w:pPr>
          </w:p>
          <w:p w:rsidRPr="00A75E13" w:rsidR="00A75E13" w:rsidP="00A75E13" w:rsidRDefault="00A75E13" w14:paraId="26F65D98" w14:textId="77777777">
            <w:pPr>
              <w:rPr>
                <w:color w:val="000000"/>
              </w:rPr>
            </w:pPr>
            <w:r w:rsidRPr="00A75E13">
              <w:rPr>
                <w:color w:val="000000"/>
              </w:rPr>
              <w:t>Intervenor compensation is funded by ratepayers, and the Commission takes seriously any effort to mislead or obscure the financial basis for a claim. Although no violation of Rule 1.1 has been found in this instance, we remind intervenors that under Rule 1.1, intent to deceive is not required for a violation, misstatements may still be actionable. Dishonest or misleading claims not only risk denial of compensation but may also subject the intervenor to penalties.</w:t>
            </w:r>
          </w:p>
          <w:p w:rsidRPr="00A75E13" w:rsidR="00A75E13" w:rsidP="00A75E13" w:rsidRDefault="00A75E13" w14:paraId="547166AF" w14:textId="77777777">
            <w:pPr>
              <w:rPr>
                <w:color w:val="000000"/>
              </w:rPr>
            </w:pPr>
          </w:p>
          <w:p w:rsidRPr="00547D9A" w:rsidR="008E3FB8" w:rsidP="00B404BA" w:rsidRDefault="00A75E13" w14:paraId="3DF6FFB7" w14:textId="3EB95FC9">
            <w:pPr>
              <w:rPr>
                <w:color w:val="000000"/>
              </w:rPr>
            </w:pPr>
            <w:r w:rsidRPr="00A75E13">
              <w:rPr>
                <w:color w:val="000000"/>
              </w:rPr>
              <w:t xml:space="preserve">The Commission has clear authority to audit intervenors' books and records to verify the basis for any award. Intervenors must therefore ensure full transparency regarding actual time spent on issues, consultant fees, payment arrangements, and the actual disbursement of funds. Failure to meet this obligation undermines the integrity of the compensation process and may lead to denial of claims or further enforcement action. </w:t>
            </w:r>
          </w:p>
        </w:tc>
      </w:tr>
    </w:tbl>
    <w:p w:rsidRPr="00074F3F" w:rsidR="00A92D0B" w:rsidP="00575494" w:rsidRDefault="00A92D0B" w14:paraId="18E9D359" w14:textId="796DEACD">
      <w:pPr>
        <w:keepNext/>
        <w:tabs>
          <w:tab w:val="left" w:pos="1260"/>
        </w:tabs>
        <w:spacing w:before="480"/>
        <w:jc w:val="center"/>
        <w:rPr>
          <w:b/>
          <w:color w:val="000000"/>
        </w:rPr>
      </w:pPr>
      <w:r w:rsidRPr="00074F3F">
        <w:rPr>
          <w:b/>
          <w:color w:val="000000"/>
        </w:rPr>
        <w:t>PART IV</w:t>
      </w:r>
      <w:r w:rsidRPr="00074F3F" w:rsidR="00A02D5C">
        <w:rPr>
          <w:b/>
          <w:color w:val="000000"/>
        </w:rPr>
        <w:t>: OPPOSITIONS</w:t>
      </w:r>
      <w:r w:rsidRPr="00074F3F">
        <w:rPr>
          <w:b/>
          <w:color w:val="000000"/>
        </w:rPr>
        <w:t xml:space="preserve"> AND COMMENTS</w:t>
      </w:r>
    </w:p>
    <w:p w:rsidRPr="00074F3F" w:rsidR="00D1778A" w:rsidP="00575494" w:rsidRDefault="00A92D0B" w14:paraId="4E460EA0" w14:textId="77777777">
      <w:pPr>
        <w:keepNext/>
        <w:tabs>
          <w:tab w:val="left" w:pos="1260"/>
        </w:tabs>
        <w:ind w:left="1267" w:hanging="1267"/>
        <w:jc w:val="center"/>
        <w:rPr>
          <w:b/>
          <w:color w:val="000000"/>
        </w:rPr>
      </w:pPr>
      <w:r w:rsidRPr="00074F3F">
        <w:rPr>
          <w:b/>
          <w:color w:val="000000"/>
        </w:rPr>
        <w:t>Within 30 days after service of this Claim, Commission Staff</w:t>
      </w:r>
    </w:p>
    <w:p w:rsidRPr="00074F3F" w:rsidR="00A92D0B" w:rsidP="00575494" w:rsidRDefault="00F20061" w14:paraId="5D5DC317" w14:textId="6B3AEA94">
      <w:pPr>
        <w:keepNext/>
        <w:tabs>
          <w:tab w:val="left" w:pos="1260"/>
        </w:tabs>
        <w:spacing w:after="240"/>
        <w:ind w:left="1267" w:hanging="1267"/>
        <w:jc w:val="center"/>
        <w:rPr>
          <w:b/>
          <w:color w:val="000000"/>
        </w:rPr>
      </w:pPr>
      <w:r w:rsidRPr="00074F3F">
        <w:rPr>
          <w:b/>
          <w:color w:val="000000"/>
        </w:rPr>
        <w:t xml:space="preserve"> </w:t>
      </w:r>
      <w:r w:rsidRPr="00074F3F" w:rsidR="00A92D0B">
        <w:rPr>
          <w:b/>
          <w:color w:val="000000"/>
        </w:rPr>
        <w:t>or any other party may file a response to the Claim (</w:t>
      </w:r>
      <w:r w:rsidRPr="00074F3F" w:rsidR="00A92D0B">
        <w:rPr>
          <w:b/>
          <w:i/>
          <w:color w:val="000000"/>
        </w:rPr>
        <w:t>see</w:t>
      </w:r>
      <w:r w:rsidRPr="00074F3F"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074F3F" w:rsidR="00A92D0B" w:rsidTr="005A3018" w14:paraId="46A51699" w14:textId="77777777">
        <w:tc>
          <w:tcPr>
            <w:tcW w:w="7336" w:type="dxa"/>
          </w:tcPr>
          <w:p w:rsidRPr="00074F3F" w:rsidR="00A92D0B" w:rsidP="005A3018" w:rsidRDefault="00A92D0B" w14:paraId="607B1FB9" w14:textId="639D7800">
            <w:pPr>
              <w:ind w:left="360" w:hanging="360"/>
              <w:rPr>
                <w:color w:val="000000"/>
              </w:rPr>
            </w:pPr>
            <w:r w:rsidRPr="00074F3F">
              <w:rPr>
                <w:b/>
                <w:color w:val="000000"/>
              </w:rPr>
              <w:t>A.</w:t>
            </w:r>
            <w:r w:rsidRPr="00074F3F" w:rsidR="005A3018">
              <w:rPr>
                <w:b/>
                <w:color w:val="000000"/>
              </w:rPr>
              <w:tab/>
            </w:r>
            <w:r w:rsidRPr="00074F3F">
              <w:rPr>
                <w:b/>
                <w:color w:val="000000"/>
              </w:rPr>
              <w:t>Opposition:  Did any party oppose the Claim?</w:t>
            </w:r>
          </w:p>
        </w:tc>
        <w:tc>
          <w:tcPr>
            <w:tcW w:w="2024" w:type="dxa"/>
          </w:tcPr>
          <w:p w:rsidRPr="00074F3F" w:rsidR="00A92D0B" w:rsidP="00F90A21" w:rsidRDefault="00F90A21" w14:paraId="6E7CD931" w14:textId="008456E0">
            <w:pPr>
              <w:ind w:firstLine="720"/>
              <w:rPr>
                <w:color w:val="000000"/>
              </w:rPr>
            </w:pPr>
            <w:r>
              <w:rPr>
                <w:color w:val="000000"/>
              </w:rPr>
              <w:t>No</w:t>
            </w:r>
          </w:p>
        </w:tc>
      </w:tr>
    </w:tbl>
    <w:p w:rsidRPr="00074F3F"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2"/>
        <w:gridCol w:w="2028"/>
      </w:tblGrid>
      <w:tr w:rsidRPr="00074F3F" w:rsidR="00A92D0B" w:rsidTr="005A3018" w14:paraId="7A0D8740" w14:textId="77777777">
        <w:tc>
          <w:tcPr>
            <w:tcW w:w="7488" w:type="dxa"/>
          </w:tcPr>
          <w:p w:rsidRPr="00074F3F" w:rsidR="00A92D0B" w:rsidP="005A3018" w:rsidRDefault="00A92D0B" w14:paraId="37D28D8D" w14:textId="074B147F">
            <w:pPr>
              <w:ind w:left="360" w:hanging="360"/>
              <w:rPr>
                <w:color w:val="000000"/>
              </w:rPr>
            </w:pPr>
            <w:r w:rsidRPr="00074F3F">
              <w:rPr>
                <w:b/>
                <w:color w:val="000000"/>
              </w:rPr>
              <w:t>B.</w:t>
            </w:r>
            <w:r w:rsidRPr="00074F3F" w:rsidR="005A3018">
              <w:rPr>
                <w:b/>
                <w:color w:val="000000"/>
              </w:rPr>
              <w:tab/>
            </w:r>
            <w:r w:rsidRPr="00074F3F">
              <w:rPr>
                <w:b/>
                <w:color w:val="000000"/>
              </w:rPr>
              <w:t>Comment Period</w:t>
            </w:r>
            <w:r w:rsidRPr="00074F3F" w:rsidR="00A02D5C">
              <w:rPr>
                <w:b/>
                <w:color w:val="000000"/>
              </w:rPr>
              <w:t>: Was</w:t>
            </w:r>
            <w:r w:rsidRPr="00074F3F">
              <w:rPr>
                <w:b/>
                <w:color w:val="000000"/>
              </w:rPr>
              <w:t xml:space="preserve"> the 30-day comment period waived (</w:t>
            </w:r>
            <w:r w:rsidRPr="00074F3F">
              <w:rPr>
                <w:b/>
                <w:i/>
                <w:color w:val="000000"/>
              </w:rPr>
              <w:t>see</w:t>
            </w:r>
            <w:r w:rsidRPr="00074F3F" w:rsidR="007B0993">
              <w:rPr>
                <w:b/>
                <w:i/>
                <w:color w:val="000000"/>
              </w:rPr>
              <w:t xml:space="preserve"> </w:t>
            </w:r>
            <w:r w:rsidRPr="00074F3F">
              <w:rPr>
                <w:b/>
                <w:color w:val="000000"/>
              </w:rPr>
              <w:t>Rule 14.6(</w:t>
            </w:r>
            <w:r w:rsidRPr="00074F3F" w:rsidR="00963EEF">
              <w:rPr>
                <w:b/>
                <w:color w:val="000000"/>
              </w:rPr>
              <w:t>c</w:t>
            </w:r>
            <w:r w:rsidRPr="00074F3F">
              <w:rPr>
                <w:b/>
                <w:color w:val="000000"/>
              </w:rPr>
              <w:t>)(6))?</w:t>
            </w:r>
          </w:p>
        </w:tc>
        <w:tc>
          <w:tcPr>
            <w:tcW w:w="2070" w:type="dxa"/>
          </w:tcPr>
          <w:p w:rsidRPr="00074F3F" w:rsidR="00A92D0B" w:rsidP="007608D7" w:rsidRDefault="00AC0D15" w14:paraId="238D2D3F" w14:textId="0CE02A72">
            <w:pPr>
              <w:keepNext/>
              <w:keepLines/>
              <w:spacing w:after="240"/>
              <w:jc w:val="center"/>
              <w:rPr>
                <w:color w:val="000000"/>
              </w:rPr>
            </w:pPr>
            <w:r>
              <w:rPr>
                <w:color w:val="000000"/>
              </w:rPr>
              <w:t>No</w:t>
            </w:r>
          </w:p>
        </w:tc>
      </w:tr>
    </w:tbl>
    <w:p w:rsidRPr="00074F3F" w:rsidR="00A92D0B" w:rsidP="00DE3A5D" w:rsidRDefault="00A92D0B" w14:paraId="740A9962" w14:textId="77777777">
      <w:pPr>
        <w:keepNext/>
        <w:keepLines/>
        <w:spacing w:after="240"/>
        <w:ind w:firstLine="907"/>
        <w:rPr>
          <w:color w:val="000000"/>
        </w:rPr>
      </w:pPr>
      <w:r w:rsidRPr="00074F3F">
        <w:rPr>
          <w:color w:val="000000"/>
        </w:rPr>
        <w:lastRenderedPageBreak/>
        <w:t>If not: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22"/>
        <w:gridCol w:w="4533"/>
        <w:gridCol w:w="3605"/>
      </w:tblGrid>
      <w:tr w:rsidRPr="00074F3F" w:rsidR="00A92D0B" w:rsidTr="00887F4F" w14:paraId="5FB8DA0C" w14:textId="77777777">
        <w:tc>
          <w:tcPr>
            <w:tcW w:w="1222" w:type="dxa"/>
            <w:shd w:val="pct12" w:color="auto" w:fill="auto"/>
          </w:tcPr>
          <w:p w:rsidRPr="00074F3F" w:rsidR="00A92D0B" w:rsidP="00DE3A5D" w:rsidRDefault="00A92D0B" w14:paraId="55AB3D9C" w14:textId="77777777">
            <w:pPr>
              <w:keepNext/>
              <w:keepLines/>
              <w:spacing w:before="120"/>
              <w:jc w:val="center"/>
              <w:rPr>
                <w:b/>
                <w:color w:val="000000"/>
              </w:rPr>
            </w:pPr>
            <w:r w:rsidRPr="00074F3F">
              <w:rPr>
                <w:b/>
                <w:color w:val="000000"/>
              </w:rPr>
              <w:t>Party</w:t>
            </w:r>
          </w:p>
        </w:tc>
        <w:tc>
          <w:tcPr>
            <w:tcW w:w="4533" w:type="dxa"/>
            <w:shd w:val="pct12" w:color="auto" w:fill="auto"/>
          </w:tcPr>
          <w:p w:rsidRPr="00074F3F" w:rsidR="00A92D0B" w:rsidP="00DE3A5D" w:rsidRDefault="00A92D0B" w14:paraId="25677100" w14:textId="77777777">
            <w:pPr>
              <w:keepNext/>
              <w:keepLines/>
              <w:spacing w:before="120"/>
              <w:jc w:val="center"/>
              <w:rPr>
                <w:color w:val="000000"/>
              </w:rPr>
            </w:pPr>
            <w:r w:rsidRPr="00074F3F">
              <w:rPr>
                <w:b/>
                <w:color w:val="000000"/>
              </w:rPr>
              <w:t>Comment</w:t>
            </w:r>
          </w:p>
        </w:tc>
        <w:tc>
          <w:tcPr>
            <w:tcW w:w="3605" w:type="dxa"/>
            <w:shd w:val="pct12" w:color="auto" w:fill="auto"/>
          </w:tcPr>
          <w:p w:rsidRPr="00074F3F" w:rsidR="00A92D0B" w:rsidP="00963EEF" w:rsidRDefault="00A92D0B" w14:paraId="0C66D2FD" w14:textId="77777777">
            <w:pPr>
              <w:keepNext/>
              <w:keepLines/>
              <w:spacing w:before="120"/>
              <w:jc w:val="center"/>
              <w:rPr>
                <w:color w:val="000000"/>
              </w:rPr>
            </w:pPr>
            <w:r w:rsidRPr="00074F3F">
              <w:rPr>
                <w:b/>
                <w:color w:val="000000"/>
              </w:rPr>
              <w:t xml:space="preserve">CPUC </w:t>
            </w:r>
            <w:r w:rsidRPr="00074F3F" w:rsidR="00963EEF">
              <w:rPr>
                <w:b/>
                <w:color w:val="000000"/>
              </w:rPr>
              <w:t>Discussion</w:t>
            </w:r>
          </w:p>
        </w:tc>
      </w:tr>
      <w:tr w:rsidRPr="00074F3F" w:rsidR="00A92D0B" w:rsidTr="00887F4F" w14:paraId="756C4BD6" w14:textId="77777777">
        <w:tc>
          <w:tcPr>
            <w:tcW w:w="1222" w:type="dxa"/>
          </w:tcPr>
          <w:p w:rsidRPr="00074F3F" w:rsidR="00A92D0B" w:rsidP="00DE3A5D" w:rsidRDefault="008B61E0" w14:paraId="5191E9A8" w14:textId="105E6C6A">
            <w:pPr>
              <w:keepNext/>
              <w:keepLines/>
              <w:spacing w:before="120"/>
              <w:rPr>
                <w:color w:val="000000"/>
              </w:rPr>
            </w:pPr>
            <w:r>
              <w:rPr>
                <w:color w:val="000000"/>
              </w:rPr>
              <w:t>EDF</w:t>
            </w:r>
          </w:p>
        </w:tc>
        <w:tc>
          <w:tcPr>
            <w:tcW w:w="4533" w:type="dxa"/>
          </w:tcPr>
          <w:p w:rsidRPr="00074F3F" w:rsidR="00A92D0B" w:rsidP="00DE3A5D" w:rsidRDefault="00184C5A" w14:paraId="65BDB010" w14:textId="19D0E5CF">
            <w:pPr>
              <w:keepNext/>
              <w:keepLines/>
              <w:spacing w:before="120"/>
              <w:rPr>
                <w:color w:val="000000"/>
              </w:rPr>
            </w:pPr>
            <w:r w:rsidRPr="00184C5A">
              <w:rPr>
                <w:color w:val="000000"/>
              </w:rPr>
              <w:t>EDF requests compensation for contributions to the record.</w:t>
            </w:r>
          </w:p>
        </w:tc>
        <w:tc>
          <w:tcPr>
            <w:tcW w:w="3605" w:type="dxa"/>
          </w:tcPr>
          <w:p w:rsidRPr="00074F3F" w:rsidR="00A92D0B" w:rsidP="00DE3A5D" w:rsidRDefault="00887F4F" w14:paraId="39185471" w14:textId="3F0EFE21">
            <w:pPr>
              <w:keepNext/>
              <w:keepLines/>
              <w:spacing w:before="120"/>
              <w:rPr>
                <w:color w:val="000000"/>
              </w:rPr>
            </w:pPr>
            <w:r>
              <w:rPr>
                <w:color w:val="000000"/>
              </w:rPr>
              <w:t>The Commission makes no changes to the Decision</w:t>
            </w:r>
            <w:r w:rsidR="0065501F">
              <w:rPr>
                <w:color w:val="000000"/>
              </w:rPr>
              <w:t xml:space="preserve">. </w:t>
            </w:r>
            <w:r w:rsidRPr="0065501F" w:rsidR="0065501F">
              <w:rPr>
                <w:color w:val="000000"/>
              </w:rPr>
              <w:t>Compensation is contingent upon the intervenor making a substantial contribution as outlined in Public Utilities Code § 1802(j).</w:t>
            </w:r>
            <w:r w:rsidR="00472D9A">
              <w:rPr>
                <w:color w:val="000000"/>
              </w:rPr>
              <w:t xml:space="preserve"> </w:t>
            </w:r>
            <w:r w:rsidR="00821289">
              <w:rPr>
                <w:color w:val="000000"/>
              </w:rPr>
              <w:t xml:space="preserve">The </w:t>
            </w:r>
            <w:r w:rsidR="00EA79F3">
              <w:rPr>
                <w:color w:val="000000"/>
              </w:rPr>
              <w:t xml:space="preserve">hours referenced in </w:t>
            </w:r>
            <w:r w:rsidRPr="00EA79F3" w:rsidR="00EA79F3">
              <w:rPr>
                <w:color w:val="000000"/>
              </w:rPr>
              <w:t>Part III.D</w:t>
            </w:r>
            <w:r w:rsidR="0005604F">
              <w:rPr>
                <w:color w:val="000000"/>
              </w:rPr>
              <w:t xml:space="preserve"> were reduced</w:t>
            </w:r>
            <w:r w:rsidR="00EF790B">
              <w:rPr>
                <w:color w:val="000000"/>
              </w:rPr>
              <w:t>,</w:t>
            </w:r>
            <w:r w:rsidR="006958D6">
              <w:rPr>
                <w:color w:val="000000"/>
              </w:rPr>
              <w:t xml:space="preserve"> as the work </w:t>
            </w:r>
            <w:r w:rsidR="00EF790B">
              <w:rPr>
                <w:color w:val="000000"/>
              </w:rPr>
              <w:t xml:space="preserve">is not relevant to D.23-12-003 </w:t>
            </w:r>
            <w:r w:rsidR="00645525">
              <w:rPr>
                <w:color w:val="000000"/>
              </w:rPr>
              <w:t xml:space="preserve">and/or </w:t>
            </w:r>
            <w:r w:rsidR="009F6A72">
              <w:rPr>
                <w:color w:val="000000"/>
              </w:rPr>
              <w:t>does not follow Commission guidelines.</w:t>
            </w:r>
          </w:p>
        </w:tc>
      </w:tr>
      <w:tr w:rsidRPr="00074F3F" w:rsidR="00A92D0B" w:rsidTr="00887F4F" w14:paraId="226309AD" w14:textId="77777777">
        <w:tc>
          <w:tcPr>
            <w:tcW w:w="1222" w:type="dxa"/>
          </w:tcPr>
          <w:p w:rsidRPr="00074F3F" w:rsidR="00A92D0B" w:rsidP="00A92D0B" w:rsidRDefault="00A92D0B" w14:paraId="56A65A4F" w14:textId="77777777">
            <w:pPr>
              <w:spacing w:before="120"/>
              <w:rPr>
                <w:color w:val="000000"/>
              </w:rPr>
            </w:pPr>
          </w:p>
        </w:tc>
        <w:tc>
          <w:tcPr>
            <w:tcW w:w="4533" w:type="dxa"/>
          </w:tcPr>
          <w:p w:rsidRPr="00074F3F" w:rsidR="00A92D0B" w:rsidP="00A92D0B" w:rsidRDefault="00A92D0B" w14:paraId="46E3756C" w14:textId="77777777">
            <w:pPr>
              <w:spacing w:before="120"/>
              <w:rPr>
                <w:color w:val="000000"/>
              </w:rPr>
            </w:pPr>
          </w:p>
        </w:tc>
        <w:tc>
          <w:tcPr>
            <w:tcW w:w="3605" w:type="dxa"/>
          </w:tcPr>
          <w:p w:rsidRPr="00074F3F" w:rsidR="00A92D0B" w:rsidP="00A92D0B" w:rsidRDefault="00A92D0B" w14:paraId="1F1C7938" w14:textId="77777777">
            <w:pPr>
              <w:spacing w:before="120"/>
              <w:rPr>
                <w:color w:val="000000"/>
              </w:rPr>
            </w:pPr>
          </w:p>
        </w:tc>
      </w:tr>
    </w:tbl>
    <w:p w:rsidRPr="00074F3F" w:rsidR="00A92D0B" w:rsidP="00D2323D" w:rsidRDefault="00A92D0B" w14:paraId="186E115A" w14:textId="1FBE5879">
      <w:pPr>
        <w:keepNext/>
        <w:spacing w:before="240" w:after="240"/>
        <w:jc w:val="center"/>
        <w:rPr>
          <w:b/>
          <w:color w:val="000000"/>
          <w:u w:val="single"/>
        </w:rPr>
      </w:pPr>
      <w:r w:rsidRPr="00074F3F">
        <w:rPr>
          <w:b/>
          <w:color w:val="000000"/>
          <w:u w:val="single"/>
        </w:rPr>
        <w:t>FINDINGS OF FACT</w:t>
      </w:r>
    </w:p>
    <w:p w:rsidRPr="00D27760" w:rsidR="00A92D0B" w:rsidRDefault="00131EDF" w14:paraId="7772A9DC" w14:textId="61493EBC">
      <w:pPr>
        <w:numPr>
          <w:ilvl w:val="0"/>
          <w:numId w:val="3"/>
        </w:numPr>
        <w:tabs>
          <w:tab w:val="num" w:pos="540"/>
        </w:tabs>
        <w:ind w:left="540" w:hanging="540"/>
      </w:pPr>
      <w:r w:rsidRPr="00D27760">
        <w:t>E</w:t>
      </w:r>
      <w:r w:rsidRPr="00D27760" w:rsidR="00CF0A04">
        <w:t xml:space="preserve">nvironmental </w:t>
      </w:r>
      <w:r w:rsidR="00CF0A04">
        <w:t>D</w:t>
      </w:r>
      <w:r w:rsidRPr="00D27760" w:rsidR="00CF0A04">
        <w:t xml:space="preserve">efense </w:t>
      </w:r>
      <w:r w:rsidR="00CF0A04">
        <w:t>F</w:t>
      </w:r>
      <w:r w:rsidRPr="00D27760" w:rsidR="00CF0A04">
        <w:t>und</w:t>
      </w:r>
      <w:r w:rsidRPr="00D27760" w:rsidR="00FE3BAE">
        <w:t xml:space="preserve"> </w:t>
      </w:r>
      <w:r w:rsidRPr="00D27760" w:rsidR="00A92D0B">
        <w:t>has made a substantia</w:t>
      </w:r>
      <w:r w:rsidRPr="00D27760" w:rsidR="00DE3A5D">
        <w:t>l contribution to D.</w:t>
      </w:r>
      <w:r w:rsidRPr="00D27760" w:rsidR="009E572A">
        <w:t>23-12-003</w:t>
      </w:r>
      <w:r w:rsidRPr="00D27760" w:rsidR="005754F4">
        <w:t>.</w:t>
      </w:r>
    </w:p>
    <w:p w:rsidRPr="00074F3F" w:rsidR="00A92D0B" w:rsidRDefault="00A92D0B" w14:paraId="04EB50FD" w14:textId="4D25FA31">
      <w:pPr>
        <w:numPr>
          <w:ilvl w:val="0"/>
          <w:numId w:val="3"/>
        </w:numPr>
        <w:tabs>
          <w:tab w:val="num" w:pos="540"/>
        </w:tabs>
        <w:spacing w:before="240"/>
      </w:pPr>
      <w:r w:rsidRPr="00074F3F">
        <w:t>The requested hourly rates for</w:t>
      </w:r>
      <w:r w:rsidRPr="00074F3F" w:rsidR="003B6A1B">
        <w:t xml:space="preserve"> </w:t>
      </w:r>
      <w:r w:rsidRPr="00D27760" w:rsidR="00CF0A04">
        <w:t xml:space="preserve">Environmental </w:t>
      </w:r>
      <w:r w:rsidR="00CF0A04">
        <w:t>D</w:t>
      </w:r>
      <w:r w:rsidRPr="00D27760" w:rsidR="00CF0A04">
        <w:t xml:space="preserve">efense </w:t>
      </w:r>
      <w:r w:rsidR="00CF0A04">
        <w:t>F</w:t>
      </w:r>
      <w:r w:rsidRPr="00D27760" w:rsidR="00CF0A04">
        <w:t>und</w:t>
      </w:r>
      <w:r w:rsidR="00CF0A04">
        <w:t xml:space="preserve">’s </w:t>
      </w:r>
      <w:r w:rsidRPr="00074F3F" w:rsidR="00CF0A04">
        <w:t>representatives</w:t>
      </w:r>
      <w:r w:rsidRPr="00074F3F">
        <w:t>,</w:t>
      </w:r>
      <w:r w:rsidRPr="00074F3F" w:rsidR="003B5EAC">
        <w:t xml:space="preserve"> </w:t>
      </w:r>
      <w:r w:rsidRPr="00074F3F">
        <w:t>as adjusted herein, are comparable to market rates paid to experts and advocates having comparable training and experience and offering similar services.</w:t>
      </w:r>
    </w:p>
    <w:p w:rsidRPr="00074F3F" w:rsidR="00A92D0B" w:rsidRDefault="00A92D0B" w14:paraId="528EBB52" w14:textId="70A176A3">
      <w:pPr>
        <w:numPr>
          <w:ilvl w:val="0"/>
          <w:numId w:val="3"/>
        </w:numPr>
        <w:tabs>
          <w:tab w:val="num" w:pos="540"/>
        </w:tabs>
        <w:spacing w:before="240"/>
      </w:pPr>
      <w:r w:rsidRPr="00074F3F">
        <w:t>The claimed costs and expenses,</w:t>
      </w:r>
      <w:r w:rsidRPr="00074F3F" w:rsidR="003B5EAC">
        <w:t xml:space="preserve"> </w:t>
      </w:r>
      <w:r w:rsidRPr="00074F3F">
        <w:t>as adjusted herein,</w:t>
      </w:r>
      <w:r w:rsidR="00CF0A04">
        <w:t xml:space="preserve"> </w:t>
      </w:r>
      <w:r w:rsidRPr="00074F3F">
        <w:t xml:space="preserve">are reasonable and commensurate with the work performed. </w:t>
      </w:r>
    </w:p>
    <w:p w:rsidRPr="00074F3F" w:rsidR="00A92D0B" w:rsidRDefault="00A92D0B" w14:paraId="48B52895" w14:textId="4203B388">
      <w:pPr>
        <w:numPr>
          <w:ilvl w:val="0"/>
          <w:numId w:val="3"/>
        </w:numPr>
        <w:tabs>
          <w:tab w:val="num" w:pos="540"/>
        </w:tabs>
        <w:spacing w:before="240"/>
      </w:pPr>
      <w:r w:rsidRPr="00074F3F">
        <w:t xml:space="preserve">The total of reasonable </w:t>
      </w:r>
      <w:r w:rsidRPr="00074F3F" w:rsidR="003C608A">
        <w:t xml:space="preserve">compensation </w:t>
      </w:r>
      <w:r w:rsidRPr="00074F3F" w:rsidR="00A6251F">
        <w:t xml:space="preserve">is </w:t>
      </w:r>
      <w:r w:rsidR="009005E4">
        <w:t>$</w:t>
      </w:r>
      <w:r w:rsidR="006440AD">
        <w:t>31,152.50.</w:t>
      </w:r>
    </w:p>
    <w:p w:rsidRPr="00074F3F" w:rsidR="00A92D0B" w:rsidP="00D2323D" w:rsidRDefault="00A92D0B" w14:paraId="5C773C3F" w14:textId="77777777">
      <w:pPr>
        <w:keepNext/>
        <w:spacing w:before="240" w:after="240"/>
        <w:jc w:val="center"/>
        <w:rPr>
          <w:b/>
          <w:color w:val="000000"/>
          <w:u w:val="single"/>
        </w:rPr>
      </w:pPr>
      <w:r w:rsidRPr="00074F3F">
        <w:rPr>
          <w:b/>
          <w:color w:val="000000"/>
          <w:u w:val="single"/>
        </w:rPr>
        <w:t>CONCLUSION OF LAW</w:t>
      </w:r>
    </w:p>
    <w:p w:rsidRPr="00074F3F" w:rsidR="00A92D0B" w:rsidP="00575494" w:rsidRDefault="00A92D0B" w14:paraId="654F2C27" w14:textId="62641D64">
      <w:pPr>
        <w:numPr>
          <w:ilvl w:val="0"/>
          <w:numId w:val="10"/>
        </w:numPr>
        <w:spacing w:before="240"/>
        <w:rPr>
          <w:color w:val="000000"/>
        </w:rPr>
      </w:pPr>
      <w:r w:rsidRPr="00074F3F">
        <w:t>The</w:t>
      </w:r>
      <w:r w:rsidRPr="00074F3F">
        <w:rPr>
          <w:color w:val="000000"/>
        </w:rPr>
        <w:t xml:space="preserve"> Claim, with any adjustment set forth above, satisfies</w:t>
      </w:r>
      <w:r w:rsidRPr="00074F3F" w:rsidR="00DE3A5D">
        <w:rPr>
          <w:color w:val="000000"/>
        </w:rPr>
        <w:t xml:space="preserve"> all requirements of Pub. Util.</w:t>
      </w:r>
      <w:r w:rsidRPr="00074F3F">
        <w:rPr>
          <w:color w:val="000000"/>
        </w:rPr>
        <w:t xml:space="preserve"> Code §§ 1801-1812.</w:t>
      </w:r>
    </w:p>
    <w:p w:rsidRPr="00074F3F" w:rsidR="00A92D0B" w:rsidP="00D2323D" w:rsidRDefault="00A92D0B" w14:paraId="0E2503A5" w14:textId="77777777">
      <w:pPr>
        <w:keepNext/>
        <w:spacing w:before="240" w:after="240"/>
        <w:jc w:val="center"/>
        <w:rPr>
          <w:b/>
          <w:color w:val="000000"/>
          <w:u w:val="single"/>
        </w:rPr>
      </w:pPr>
      <w:r w:rsidRPr="00074F3F">
        <w:rPr>
          <w:b/>
          <w:color w:val="000000"/>
          <w:u w:val="single"/>
        </w:rPr>
        <w:t>ORDER</w:t>
      </w:r>
    </w:p>
    <w:p w:rsidRPr="00074F3F" w:rsidR="00A92D0B" w:rsidP="00CE057B" w:rsidRDefault="00CF0A04" w14:paraId="33FB4E15" w14:textId="09D1BECA">
      <w:pPr>
        <w:keepNext/>
        <w:numPr>
          <w:ilvl w:val="0"/>
          <w:numId w:val="4"/>
        </w:numPr>
        <w:tabs>
          <w:tab w:val="clear" w:pos="900"/>
          <w:tab w:val="num" w:pos="540"/>
        </w:tabs>
        <w:ind w:left="547" w:hanging="547"/>
        <w:rPr>
          <w:color w:val="000000"/>
        </w:rPr>
      </w:pPr>
      <w:r w:rsidRPr="00D27760">
        <w:t xml:space="preserve">Environmental </w:t>
      </w:r>
      <w:r>
        <w:t>D</w:t>
      </w:r>
      <w:r w:rsidRPr="00D27760">
        <w:t xml:space="preserve">efense </w:t>
      </w:r>
      <w:r>
        <w:t>F</w:t>
      </w:r>
      <w:r w:rsidRPr="00D27760">
        <w:t>und</w:t>
      </w:r>
      <w:r w:rsidRPr="00074F3F" w:rsidR="00FE3BAE">
        <w:t xml:space="preserve"> </w:t>
      </w:r>
      <w:r w:rsidR="00F62742">
        <w:t>i</w:t>
      </w:r>
      <w:r w:rsidRPr="00074F3F" w:rsidR="00FE3BAE">
        <w:t>s</w:t>
      </w:r>
      <w:r w:rsidRPr="00074F3F" w:rsidR="00A92D0B">
        <w:rPr>
          <w:color w:val="000000"/>
        </w:rPr>
        <w:t xml:space="preserve"> </w:t>
      </w:r>
      <w:r w:rsidRPr="00074F3F" w:rsidR="00A6251F">
        <w:rPr>
          <w:color w:val="000000"/>
        </w:rPr>
        <w:t xml:space="preserve">awarded </w:t>
      </w:r>
      <w:r w:rsidR="009005E4">
        <w:t>$</w:t>
      </w:r>
      <w:r w:rsidR="006440AD">
        <w:t>31,152.50.</w:t>
      </w:r>
    </w:p>
    <w:p w:rsidRPr="00074F3F" w:rsidR="00A92D0B" w:rsidRDefault="00385880" w14:paraId="4AEF5671" w14:textId="29C68D26">
      <w:pPr>
        <w:numPr>
          <w:ilvl w:val="0"/>
          <w:numId w:val="4"/>
        </w:numPr>
        <w:tabs>
          <w:tab w:val="clear" w:pos="900"/>
          <w:tab w:val="num" w:pos="540"/>
        </w:tabs>
        <w:spacing w:before="240"/>
        <w:ind w:left="547" w:hanging="547"/>
      </w:pPr>
      <w:r>
        <w:t xml:space="preserve">Within 30 days of the effective date of this decision, Pacific Gas </w:t>
      </w:r>
      <w:r w:rsidR="006B595B">
        <w:t xml:space="preserve">and </w:t>
      </w:r>
      <w:r>
        <w:t>Electric</w:t>
      </w:r>
      <w:r w:rsidR="006B595B">
        <w:t xml:space="preserve"> Company</w:t>
      </w:r>
      <w:r>
        <w:t xml:space="preserve">, Southern California Gas Company, San Diego Gas &amp; Electric Company, </w:t>
      </w:r>
      <w:r w:rsidR="006B595B">
        <w:t xml:space="preserve">and </w:t>
      </w:r>
      <w:r>
        <w:t>Southwest Gas shall pay</w:t>
      </w:r>
      <w:r w:rsidRPr="00074F3F" w:rsidR="0055228B">
        <w:t xml:space="preserve"> </w:t>
      </w:r>
      <w:r w:rsidRPr="00D27760" w:rsidR="000221C5">
        <w:t xml:space="preserve">Environmental </w:t>
      </w:r>
      <w:r w:rsidR="000221C5">
        <w:t>D</w:t>
      </w:r>
      <w:r w:rsidRPr="00D27760" w:rsidR="000221C5">
        <w:t xml:space="preserve">efense </w:t>
      </w:r>
      <w:r w:rsidR="000221C5">
        <w:t>F</w:t>
      </w:r>
      <w:r w:rsidRPr="00D27760" w:rsidR="000221C5">
        <w:t>un</w:t>
      </w:r>
      <w:r w:rsidR="00964974">
        <w:t>d</w:t>
      </w:r>
      <w:r w:rsidRPr="00074F3F" w:rsidR="0055228B">
        <w:t xml:space="preserve"> their respective shares of the award, based on their California-jurisdictional </w:t>
      </w:r>
      <w:r w:rsidR="00077242">
        <w:t>gas</w:t>
      </w:r>
      <w:r w:rsidRPr="00074F3F" w:rsidR="0055228B">
        <w:t xml:space="preserve"> revenues for the </w:t>
      </w:r>
      <w:r w:rsidR="007D1082">
        <w:t>2023</w:t>
      </w:r>
      <w:r w:rsidRPr="00074F3F" w:rsidR="0055228B">
        <w:t xml:space="preserve"> calendar year, to reflect the year in which the proceeding was primarily litigated.  If such data is unavailable, the most recent </w:t>
      </w:r>
      <w:r w:rsidR="00FF2EEE">
        <w:t>gas</w:t>
      </w:r>
      <w:r w:rsidRPr="00074F3F" w:rsidR="0055228B">
        <w:t xml:space="preserve"> revenue data shall be used.</w:t>
      </w:r>
      <w:r w:rsidRPr="00074F3F" w:rsidR="00A92D0B">
        <w:t xml:space="preserve"> Payment of the award shall include</w:t>
      </w:r>
      <w:r w:rsidRPr="00074F3F" w:rsidR="004E3939">
        <w:t xml:space="preserve"> compound </w:t>
      </w:r>
      <w:r w:rsidRPr="00074F3F" w:rsidR="00A92D0B">
        <w:t xml:space="preserve">interest at the rate earned on prime, three-month </w:t>
      </w:r>
      <w:r w:rsidRPr="00074F3F" w:rsidR="00214B22">
        <w:t xml:space="preserve">non-financial </w:t>
      </w:r>
      <w:r w:rsidRPr="00074F3F" w:rsidR="00A92D0B">
        <w:t xml:space="preserve">commercial paper as reported in </w:t>
      </w:r>
      <w:r w:rsidRPr="00074F3F" w:rsidR="00A92D0B">
        <w:lastRenderedPageBreak/>
        <w:t>Federal Reserve Statistical Release H.15, beginning</w:t>
      </w:r>
      <w:r w:rsidRPr="00074F3F" w:rsidR="00357F1A">
        <w:t xml:space="preserve"> </w:t>
      </w:r>
      <w:r w:rsidR="0062346B">
        <w:t xml:space="preserve">May </w:t>
      </w:r>
      <w:r w:rsidR="00C34113">
        <w:t>5,</w:t>
      </w:r>
      <w:r w:rsidR="0062346B">
        <w:rPr>
          <w:vertAlign w:val="superscript"/>
        </w:rPr>
        <w:t xml:space="preserve"> </w:t>
      </w:r>
      <w:r w:rsidR="0062346B">
        <w:t>2024</w:t>
      </w:r>
      <w:r w:rsidRPr="00074F3F" w:rsidR="00357F1A">
        <w:t xml:space="preserve">, </w:t>
      </w:r>
      <w:r w:rsidRPr="00074F3F" w:rsidR="00A92D0B">
        <w:t>the 75</w:t>
      </w:r>
      <w:r w:rsidRPr="00074F3F" w:rsidR="00A92D0B">
        <w:rPr>
          <w:vertAlign w:val="superscript"/>
        </w:rPr>
        <w:t>th</w:t>
      </w:r>
      <w:r w:rsidRPr="00074F3F" w:rsidR="00A92D0B">
        <w:t xml:space="preserve"> day after the filing of</w:t>
      </w:r>
      <w:r w:rsidRPr="00FF2EEE" w:rsidR="00FF2EEE">
        <w:t xml:space="preserve"> </w:t>
      </w:r>
      <w:r w:rsidRPr="00D27760" w:rsidR="00FF2EEE">
        <w:t xml:space="preserve">Environmental </w:t>
      </w:r>
      <w:r w:rsidR="00FF2EEE">
        <w:t>D</w:t>
      </w:r>
      <w:r w:rsidRPr="00D27760" w:rsidR="00FF2EEE">
        <w:t xml:space="preserve">efense </w:t>
      </w:r>
      <w:r w:rsidR="00FF2EEE">
        <w:t>F</w:t>
      </w:r>
      <w:r w:rsidRPr="00D27760" w:rsidR="00FF2EEE">
        <w:t>und</w:t>
      </w:r>
      <w:r w:rsidR="006B595B">
        <w:t>’</w:t>
      </w:r>
      <w:r w:rsidR="00FF2EEE">
        <w:t xml:space="preserve">s </w:t>
      </w:r>
      <w:r w:rsidRPr="00074F3F" w:rsidR="00A92D0B">
        <w:t>request, and continuing until full payment is made.</w:t>
      </w:r>
    </w:p>
    <w:p w:rsidRPr="00074F3F" w:rsidR="00A92D0B" w:rsidP="00DE3A5D" w:rsidRDefault="00A92D0B" w14:paraId="5AD40C95" w14:textId="7F1DEA5A">
      <w:pPr>
        <w:keepNext/>
        <w:keepLines/>
        <w:numPr>
          <w:ilvl w:val="0"/>
          <w:numId w:val="4"/>
        </w:numPr>
        <w:tabs>
          <w:tab w:val="clear" w:pos="900"/>
          <w:tab w:val="num" w:pos="540"/>
        </w:tabs>
        <w:spacing w:before="240"/>
        <w:ind w:left="547" w:hanging="547"/>
      </w:pPr>
      <w:r w:rsidRPr="00074F3F">
        <w:t xml:space="preserve">The comment period for today’s decision </w:t>
      </w:r>
      <w:r w:rsidRPr="00AC0D15">
        <w:t>is not</w:t>
      </w:r>
      <w:r w:rsidRPr="00074F3F">
        <w:t xml:space="preserve"> waived.</w:t>
      </w:r>
    </w:p>
    <w:p w:rsidRPr="00074F3F" w:rsidR="00A92D0B" w:rsidP="00467E65" w:rsidRDefault="00A92D0B" w14:paraId="13F3A0AD" w14:textId="77777777">
      <w:pPr>
        <w:keepNext/>
        <w:keepLines/>
        <w:spacing w:before="240"/>
        <w:ind w:left="547"/>
        <w:rPr>
          <w:color w:val="000000"/>
        </w:rPr>
      </w:pPr>
      <w:r w:rsidRPr="00074F3F">
        <w:rPr>
          <w:color w:val="000000"/>
        </w:rPr>
        <w:t>This decision is effective today.</w:t>
      </w:r>
    </w:p>
    <w:p w:rsidRPr="00074F3F" w:rsidR="00A92D0B" w:rsidP="00357623" w:rsidRDefault="00A92D0B" w14:paraId="0467B995" w14:textId="77777777">
      <w:pPr>
        <w:keepNext/>
        <w:keepLines/>
        <w:spacing w:before="240"/>
        <w:ind w:left="547"/>
        <w:rPr>
          <w:color w:val="000000"/>
        </w:rPr>
      </w:pPr>
      <w:r w:rsidRPr="00074F3F">
        <w:rPr>
          <w:color w:val="000000"/>
        </w:rPr>
        <w:t>Dated _____________, at San Francisco, California.</w:t>
      </w:r>
    </w:p>
    <w:p w:rsidRPr="00074F3F" w:rsidR="00A92D0B" w:rsidRDefault="00A92D0B" w14:paraId="1A474D77" w14:textId="77777777"/>
    <w:p w:rsidRPr="00074F3F" w:rsidR="00FE3BAE" w:rsidRDefault="00FE3BAE" w14:paraId="3C739AE2" w14:textId="71F3AFC8"/>
    <w:p w:rsidRPr="00074F3F" w:rsidR="006B7228" w:rsidRDefault="006B7228" w14:paraId="37D74F32" w14:textId="77777777">
      <w:pPr>
        <w:sectPr w:rsidRPr="00074F3F" w:rsidR="006B7228" w:rsidSect="000045C0">
          <w:headerReference w:type="default" r:id="rId11"/>
          <w:footerReference w:type="default" r:id="rId12"/>
          <w:footerReference w:type="first" r:id="rId13"/>
          <w:pgSz w:w="12240" w:h="15840"/>
          <w:pgMar w:top="1440" w:right="1440" w:bottom="1440" w:left="1440" w:header="720" w:footer="720" w:gutter="0"/>
          <w:pgNumType w:fmt="numberInDash" w:start="1"/>
          <w:cols w:space="720"/>
          <w:titlePg/>
          <w:docGrid w:linePitch="360"/>
        </w:sectPr>
      </w:pPr>
    </w:p>
    <w:p w:rsidRPr="00074F3F" w:rsidR="00FE3BAE" w:rsidP="00FE3BAE" w:rsidRDefault="00FE3BAE" w14:paraId="7A1C7043" w14:textId="77777777">
      <w:pPr>
        <w:pStyle w:val="standard"/>
        <w:ind w:firstLine="0"/>
        <w:jc w:val="center"/>
        <w:rPr>
          <w:rFonts w:ascii="Times New Roman" w:hAnsi="Times New Roman"/>
          <w:b/>
          <w:szCs w:val="26"/>
        </w:rPr>
      </w:pPr>
      <w:r w:rsidRPr="00074F3F">
        <w:rPr>
          <w:rFonts w:ascii="Times New Roman" w:hAnsi="Times New Roman"/>
          <w:b/>
          <w:szCs w:val="26"/>
        </w:rPr>
        <w:lastRenderedPageBreak/>
        <w:t>APPENDIX</w:t>
      </w:r>
    </w:p>
    <w:p w:rsidRPr="00074F3F" w:rsidR="00FE3BAE" w:rsidP="00F7579D" w:rsidRDefault="00FE3BAE" w14:paraId="300BB274" w14:textId="77777777">
      <w:pPr>
        <w:pStyle w:val="standard"/>
        <w:ind w:firstLine="0"/>
        <w:jc w:val="center"/>
        <w:rPr>
          <w:rFonts w:ascii="Times New Roman" w:hAnsi="Times New Roman"/>
          <w:b/>
          <w:bCs/>
        </w:rPr>
      </w:pPr>
      <w:r w:rsidRPr="00074F3F">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074F3F"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4BC9C636" w14:textId="77777777">
            <w:pPr>
              <w:rPr>
                <w:b/>
                <w:bCs/>
              </w:rPr>
            </w:pPr>
            <w:r w:rsidRPr="00074F3F">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074F3F" w:rsidR="00FE3BAE"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3ECA0C4F" w14:textId="77777777">
            <w:pPr>
              <w:rPr>
                <w:b/>
                <w:bCs/>
              </w:rPr>
            </w:pPr>
            <w:r w:rsidRPr="00074F3F">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074F3F" w:rsidR="00FE3BAE" w:rsidRDefault="00B92478" w14:paraId="6846FB87" w14:textId="7108553B">
            <w:pPr>
              <w:jc w:val="center"/>
            </w:pPr>
            <w:r>
              <w:t>No</w:t>
            </w:r>
          </w:p>
        </w:tc>
      </w:tr>
      <w:tr w:rsidRPr="00074F3F" w:rsidR="00FE3BAE" w:rsidTr="00EE490D"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6E65620B" w14:textId="77777777">
            <w:pPr>
              <w:rPr>
                <w:b/>
                <w:bCs/>
              </w:rPr>
            </w:pPr>
            <w:r w:rsidRPr="00074F3F">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074F3F" w:rsidR="00FE3BAE" w:rsidRDefault="00863A51" w14:paraId="426F2C45" w14:textId="43DFD3F8">
            <w:r w:rsidRPr="00074F3F">
              <w:t>D2</w:t>
            </w:r>
            <w:r w:rsidRPr="00074F3F" w:rsidR="009E572A">
              <w:t>312</w:t>
            </w:r>
            <w:r w:rsidRPr="00074F3F" w:rsidR="00D31310">
              <w:t>003</w:t>
            </w:r>
          </w:p>
        </w:tc>
      </w:tr>
      <w:tr w:rsidRPr="00074F3F" w:rsidR="00FE3BAE" w:rsidTr="00EE490D"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717974DE" w14:textId="77777777">
            <w:pPr>
              <w:rPr>
                <w:b/>
                <w:bCs/>
              </w:rPr>
            </w:pPr>
            <w:r w:rsidRPr="00074F3F">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074F3F" w:rsidR="00BD64CD" w:rsidRDefault="00D31310" w14:paraId="5B85688D" w14:textId="40592C4F">
            <w:r w:rsidRPr="00074F3F">
              <w:t>R2001007</w:t>
            </w:r>
          </w:p>
        </w:tc>
      </w:tr>
      <w:tr w:rsidRPr="00074F3F" w:rsidR="00FE3BAE" w:rsidTr="00C34113"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738C0A58" w14:textId="77777777">
            <w:pPr>
              <w:rPr>
                <w:b/>
                <w:bCs/>
              </w:rPr>
            </w:pPr>
            <w:r w:rsidRPr="00074F3F">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C34113" w:rsidR="00FE3BAE" w:rsidRDefault="00C34113" w14:paraId="5E75C0F0" w14:textId="4B45DCBB">
            <w:r w:rsidRPr="00C34113">
              <w:t>A</w:t>
            </w:r>
            <w:r w:rsidR="00647675">
              <w:t xml:space="preserve">LJ </w:t>
            </w:r>
            <w:r w:rsidRPr="00C34113">
              <w:t xml:space="preserve">Van Dyken and </w:t>
            </w:r>
            <w:r w:rsidR="00647675">
              <w:t xml:space="preserve">ALJ </w:t>
            </w:r>
            <w:r>
              <w:t>Purchia</w:t>
            </w:r>
          </w:p>
        </w:tc>
      </w:tr>
      <w:tr w:rsidRPr="00074F3F"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1414CA71" w14:textId="77777777">
            <w:pPr>
              <w:rPr>
                <w:b/>
                <w:bCs/>
              </w:rPr>
            </w:pPr>
            <w:r w:rsidRPr="00074F3F">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AE32B3" w:rsidR="00AE32B3" w:rsidP="00647675" w:rsidRDefault="002827CF" w14:paraId="7CA711B6" w14:textId="2BEAFC6C">
            <w:r w:rsidRPr="002827CF">
              <w:t xml:space="preserve">Pacific Gas </w:t>
            </w:r>
            <w:r w:rsidR="00F62742">
              <w:t>and</w:t>
            </w:r>
            <w:r w:rsidRPr="002827CF">
              <w:t xml:space="preserve"> Electric</w:t>
            </w:r>
            <w:r w:rsidR="00F62742">
              <w:t xml:space="preserve"> Company</w:t>
            </w:r>
            <w:r w:rsidRPr="002827CF">
              <w:t>, Southern California Gas Company, San Diego Gas &amp; Electric</w:t>
            </w:r>
            <w:r w:rsidR="00F62742">
              <w:t xml:space="preserve"> Company</w:t>
            </w:r>
            <w:r w:rsidRPr="002827CF">
              <w:t>,</w:t>
            </w:r>
            <w:r w:rsidR="00F62742">
              <w:t xml:space="preserve"> and</w:t>
            </w:r>
            <w:r w:rsidRPr="002827CF">
              <w:t xml:space="preserve"> Southwest Gas</w:t>
            </w:r>
          </w:p>
        </w:tc>
      </w:tr>
    </w:tbl>
    <w:p w:rsidRPr="00074F3F" w:rsidR="00FE3BAE" w:rsidP="00CE057B" w:rsidRDefault="00FE3BAE" w14:paraId="7F0236A2" w14:textId="77777777">
      <w:pPr>
        <w:spacing w:before="480" w:after="240"/>
        <w:jc w:val="center"/>
        <w:rPr>
          <w:b/>
          <w:bCs/>
          <w:sz w:val="28"/>
          <w:szCs w:val="28"/>
        </w:rPr>
      </w:pPr>
      <w:r w:rsidRPr="00074F3F">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074F3F"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074F3F" w:rsidR="00FE3BAE" w:rsidP="00CE057B" w:rsidRDefault="00FE3BAE" w14:paraId="2578F35B" w14:textId="77777777">
            <w:pPr>
              <w:jc w:val="center"/>
              <w:rPr>
                <w:b/>
                <w:bCs/>
              </w:rPr>
            </w:pPr>
            <w:r w:rsidRPr="00074F3F">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Pr="00074F3F" w:rsidR="00B803D5" w:rsidP="00CE057B" w:rsidRDefault="0081626F" w14:paraId="1A2BF295" w14:textId="77777777">
            <w:pPr>
              <w:jc w:val="center"/>
              <w:rPr>
                <w:b/>
                <w:bCs/>
              </w:rPr>
            </w:pPr>
            <w:r w:rsidRPr="00074F3F">
              <w:rPr>
                <w:b/>
                <w:bCs/>
              </w:rPr>
              <w:t>Date</w:t>
            </w:r>
          </w:p>
          <w:p w:rsidRPr="00074F3F" w:rsidR="00FE3BAE" w:rsidP="00CE057B" w:rsidRDefault="0081626F" w14:paraId="2C1C9DC3" w14:textId="2305FDF8">
            <w:pPr>
              <w:jc w:val="center"/>
              <w:rPr>
                <w:b/>
                <w:bCs/>
              </w:rPr>
            </w:pPr>
            <w:r w:rsidRPr="00074F3F">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074F3F" w:rsidR="00FE3BAE" w:rsidP="00CE057B" w:rsidRDefault="00FE3BAE" w14:paraId="60DD020D" w14:textId="77777777">
            <w:pPr>
              <w:jc w:val="center"/>
              <w:rPr>
                <w:b/>
                <w:bCs/>
              </w:rPr>
            </w:pPr>
            <w:r w:rsidRPr="00074F3F">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074F3F" w:rsidR="00FE3BAE" w:rsidP="00CE057B" w:rsidRDefault="00FE3BAE" w14:paraId="19A4A01D" w14:textId="77777777">
            <w:pPr>
              <w:jc w:val="center"/>
              <w:rPr>
                <w:b/>
                <w:bCs/>
              </w:rPr>
            </w:pPr>
            <w:r w:rsidRPr="00074F3F">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074F3F" w:rsidR="00FE3BAE" w:rsidP="00CE057B" w:rsidRDefault="00FE3BAE" w14:paraId="5B9F47E2" w14:textId="77777777">
            <w:pPr>
              <w:jc w:val="center"/>
              <w:rPr>
                <w:b/>
                <w:bCs/>
              </w:rPr>
            </w:pPr>
            <w:r w:rsidRPr="00074F3F">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074F3F" w:rsidR="00FE3BAE" w:rsidP="00CE057B" w:rsidRDefault="00FE3BAE" w14:paraId="089590A8" w14:textId="77777777">
            <w:pPr>
              <w:jc w:val="center"/>
              <w:rPr>
                <w:b/>
                <w:bCs/>
              </w:rPr>
            </w:pPr>
            <w:r w:rsidRPr="00074F3F">
              <w:rPr>
                <w:b/>
                <w:bCs/>
              </w:rPr>
              <w:t>Reason Change/Disallowance</w:t>
            </w:r>
          </w:p>
        </w:tc>
      </w:tr>
      <w:tr w:rsidRPr="00074F3F" w:rsidR="00FE3BAE" w:rsidTr="002574D2"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AE2FDE" w:rsidR="00FE3BAE" w:rsidRDefault="00AE2FDE" w14:paraId="3008FB17" w14:textId="62C4A1FD">
            <w:pPr>
              <w:jc w:val="center"/>
            </w:pPr>
            <w:r>
              <w:t>E</w:t>
            </w:r>
            <w:r w:rsidRPr="00AE2FDE">
              <w:t xml:space="preserve">nvironmental </w:t>
            </w:r>
            <w:r>
              <w:t>D</w:t>
            </w:r>
            <w:r w:rsidRPr="00AE2FDE">
              <w:t xml:space="preserve">efense </w:t>
            </w:r>
            <w:r>
              <w:t>F</w:t>
            </w:r>
            <w:r w:rsidRPr="00AE2FDE">
              <w:t>und</w:t>
            </w:r>
          </w:p>
        </w:tc>
        <w:tc>
          <w:tcPr>
            <w:tcW w:w="1444" w:type="dxa"/>
            <w:tcBorders>
              <w:top w:val="single" w:color="auto" w:sz="4" w:space="0"/>
              <w:left w:val="single" w:color="auto" w:sz="4" w:space="0"/>
              <w:bottom w:val="single" w:color="auto" w:sz="4" w:space="0"/>
              <w:right w:val="single" w:color="auto" w:sz="4" w:space="0"/>
            </w:tcBorders>
            <w:hideMark/>
          </w:tcPr>
          <w:p w:rsidRPr="00074F3F" w:rsidR="00FE3BAE" w:rsidRDefault="002574D2" w14:paraId="63956769" w14:textId="7D9BC538">
            <w:pPr>
              <w:jc w:val="center"/>
            </w:pPr>
            <w:r>
              <w:t xml:space="preserve">February </w:t>
            </w:r>
            <w:r w:rsidRPr="00074F3F" w:rsidR="00D31310">
              <w:t>20</w:t>
            </w:r>
            <w:r>
              <w:t xml:space="preserve">, </w:t>
            </w:r>
            <w:r w:rsidRPr="00074F3F" w:rsidR="00D31310">
              <w:t>2024</w:t>
            </w:r>
          </w:p>
        </w:tc>
        <w:tc>
          <w:tcPr>
            <w:tcW w:w="1405" w:type="dxa"/>
            <w:tcBorders>
              <w:top w:val="single" w:color="auto" w:sz="4" w:space="0"/>
              <w:left w:val="single" w:color="auto" w:sz="4" w:space="0"/>
              <w:bottom w:val="single" w:color="auto" w:sz="4" w:space="0"/>
              <w:right w:val="single" w:color="auto" w:sz="4" w:space="0"/>
            </w:tcBorders>
          </w:tcPr>
          <w:p w:rsidRPr="00074F3F" w:rsidR="00FE3BAE" w:rsidRDefault="002574D2" w14:paraId="75AD20FA" w14:textId="5BE9FF10">
            <w:pPr>
              <w:jc w:val="center"/>
            </w:pPr>
            <w:r>
              <w:t>$</w:t>
            </w:r>
            <w:r w:rsidR="00634953">
              <w:t>64,408.30</w:t>
            </w:r>
          </w:p>
        </w:tc>
        <w:tc>
          <w:tcPr>
            <w:tcW w:w="1571" w:type="dxa"/>
            <w:tcBorders>
              <w:top w:val="single" w:color="auto" w:sz="4" w:space="0"/>
              <w:left w:val="single" w:color="auto" w:sz="4" w:space="0"/>
              <w:bottom w:val="single" w:color="auto" w:sz="4" w:space="0"/>
              <w:right w:val="single" w:color="auto" w:sz="4" w:space="0"/>
            </w:tcBorders>
            <w:hideMark/>
          </w:tcPr>
          <w:p w:rsidRPr="00074F3F" w:rsidR="00FE3BAE" w:rsidP="004379EB" w:rsidRDefault="009005E4" w14:paraId="0DD6FE00" w14:textId="0687BC4E">
            <w:pPr>
              <w:jc w:val="center"/>
            </w:pPr>
            <w:r>
              <w:t>$</w:t>
            </w:r>
            <w:r w:rsidR="00602195">
              <w:t xml:space="preserve">31,152.50 </w:t>
            </w:r>
            <w:r w:rsidR="00E8450A">
              <w:t xml:space="preserve"> </w:t>
            </w:r>
          </w:p>
        </w:tc>
        <w:tc>
          <w:tcPr>
            <w:tcW w:w="1390" w:type="dxa"/>
            <w:tcBorders>
              <w:top w:val="single" w:color="auto" w:sz="4" w:space="0"/>
              <w:left w:val="single" w:color="auto" w:sz="4" w:space="0"/>
              <w:bottom w:val="single" w:color="auto" w:sz="4" w:space="0"/>
              <w:right w:val="single" w:color="auto" w:sz="4" w:space="0"/>
            </w:tcBorders>
            <w:hideMark/>
          </w:tcPr>
          <w:p w:rsidRPr="00074F3F" w:rsidR="00FE3BAE" w:rsidRDefault="00FE3BAE" w14:paraId="0BDAFE20" w14:textId="1923C37F">
            <w:pPr>
              <w:jc w:val="center"/>
            </w:pPr>
            <w:r w:rsidRPr="00074F3F">
              <w:t>N/</w:t>
            </w:r>
            <w:r w:rsidR="00C36E55">
              <w:t>A</w:t>
            </w:r>
          </w:p>
        </w:tc>
        <w:tc>
          <w:tcPr>
            <w:tcW w:w="2474" w:type="dxa"/>
            <w:tcBorders>
              <w:top w:val="single" w:color="auto" w:sz="4" w:space="0"/>
              <w:left w:val="single" w:color="auto" w:sz="4" w:space="0"/>
              <w:bottom w:val="single" w:color="auto" w:sz="4" w:space="0"/>
              <w:right w:val="single" w:color="auto" w:sz="4" w:space="0"/>
            </w:tcBorders>
            <w:hideMark/>
          </w:tcPr>
          <w:p w:rsidRPr="00074F3F" w:rsidR="00FE3BAE" w:rsidRDefault="00156690" w14:paraId="6B53C6F9" w14:textId="0C736522">
            <w:pPr>
              <w:jc w:val="center"/>
            </w:pPr>
            <w:r w:rsidRPr="008E2A4A">
              <w:rPr>
                <w:i/>
                <w:iCs/>
              </w:rPr>
              <w:t>See</w:t>
            </w:r>
            <w:r w:rsidRPr="00186AD6">
              <w:t xml:space="preserve"> Part III.D CPUC Comments, Disallowances, and Adjustments</w:t>
            </w:r>
            <w:r>
              <w:t>.</w:t>
            </w:r>
          </w:p>
        </w:tc>
      </w:tr>
    </w:tbl>
    <w:p w:rsidRPr="00074F3F" w:rsidR="00FE3BAE" w:rsidP="00D2323D" w:rsidRDefault="0022302F" w14:paraId="2841210B" w14:textId="08B9AF1D">
      <w:pPr>
        <w:spacing w:before="120" w:after="120"/>
        <w:jc w:val="center"/>
        <w:rPr>
          <w:b/>
          <w:bCs/>
          <w:sz w:val="28"/>
          <w:szCs w:val="28"/>
        </w:rPr>
      </w:pPr>
      <w:r w:rsidRPr="00074F3F">
        <w:rPr>
          <w:b/>
          <w:bCs/>
          <w:sz w:val="28"/>
          <w:szCs w:val="28"/>
        </w:rPr>
        <w:t>Hourly Fee</w:t>
      </w:r>
      <w:r w:rsidRPr="00074F3F"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074F3F" w:rsidR="00C02649" w:rsidTr="0018451E"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074F3F" w:rsidR="003B6A1B" w:rsidP="00CE057B" w:rsidRDefault="003B6A1B" w14:paraId="61500303" w14:textId="77777777">
            <w:pPr>
              <w:jc w:val="center"/>
              <w:rPr>
                <w:b/>
                <w:bCs/>
              </w:rPr>
            </w:pPr>
            <w:r w:rsidRPr="00074F3F">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074F3F" w:rsidR="003B6A1B" w:rsidP="00CE057B" w:rsidRDefault="003B6A1B" w14:paraId="55908486" w14:textId="77777777">
            <w:pPr>
              <w:jc w:val="center"/>
              <w:rPr>
                <w:b/>
                <w:bCs/>
              </w:rPr>
            </w:pPr>
            <w:r w:rsidRPr="00074F3F">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074F3F" w:rsidR="003B6A1B" w:rsidP="00CE057B" w:rsidRDefault="007B0993" w14:paraId="2438DAE1" w14:textId="75E29EBB">
            <w:pPr>
              <w:ind w:left="12" w:firstLine="12"/>
              <w:jc w:val="center"/>
              <w:rPr>
                <w:b/>
                <w:bCs/>
              </w:rPr>
            </w:pPr>
            <w:r w:rsidRPr="00074F3F">
              <w:rPr>
                <w:b/>
                <w:bCs/>
              </w:rPr>
              <w:t>Labor Role</w:t>
            </w:r>
          </w:p>
        </w:tc>
        <w:tc>
          <w:tcPr>
            <w:tcW w:w="1748" w:type="dxa"/>
            <w:tcBorders>
              <w:top w:val="single" w:color="auto" w:sz="4" w:space="0"/>
              <w:left w:val="single" w:color="auto" w:sz="4" w:space="0"/>
              <w:bottom w:val="single" w:color="auto" w:sz="4" w:space="0"/>
              <w:right w:val="single" w:color="auto" w:sz="4" w:space="0"/>
            </w:tcBorders>
            <w:vAlign w:val="bottom"/>
            <w:hideMark/>
          </w:tcPr>
          <w:p w:rsidRPr="00074F3F" w:rsidR="00B803D5" w:rsidP="00CE057B" w:rsidRDefault="003B6A1B" w14:paraId="30FCBD16" w14:textId="77777777">
            <w:pPr>
              <w:jc w:val="center"/>
              <w:rPr>
                <w:b/>
                <w:bCs/>
              </w:rPr>
            </w:pPr>
            <w:r w:rsidRPr="00074F3F">
              <w:rPr>
                <w:b/>
                <w:bCs/>
              </w:rPr>
              <w:t>Hourly</w:t>
            </w:r>
          </w:p>
          <w:p w:rsidRPr="00074F3F" w:rsidR="003B6A1B" w:rsidP="00CE057B" w:rsidRDefault="003B6A1B" w14:paraId="3431A72E" w14:textId="15E5EE89">
            <w:pPr>
              <w:jc w:val="center"/>
              <w:rPr>
                <w:b/>
                <w:bCs/>
              </w:rPr>
            </w:pPr>
            <w:r w:rsidRPr="00074F3F">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074F3F" w:rsidR="00B803D5" w:rsidP="00CE057B" w:rsidRDefault="003B6A1B" w14:paraId="27A4F1D1" w14:textId="77777777">
            <w:pPr>
              <w:jc w:val="center"/>
              <w:rPr>
                <w:b/>
                <w:bCs/>
              </w:rPr>
            </w:pPr>
            <w:r w:rsidRPr="00074F3F">
              <w:rPr>
                <w:b/>
                <w:bCs/>
              </w:rPr>
              <w:t>Year Hourly</w:t>
            </w:r>
          </w:p>
          <w:p w:rsidRPr="00074F3F" w:rsidR="003B6A1B" w:rsidP="00CE057B" w:rsidRDefault="003B6A1B" w14:paraId="6FE76773" w14:textId="7DDDAF05">
            <w:pPr>
              <w:jc w:val="center"/>
              <w:rPr>
                <w:b/>
                <w:bCs/>
              </w:rPr>
            </w:pPr>
            <w:r w:rsidRPr="00074F3F">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Pr="00074F3F" w:rsidR="00B803D5" w:rsidP="00CE057B" w:rsidRDefault="003B6A1B" w14:paraId="08CD8CFB" w14:textId="50A63D11">
            <w:pPr>
              <w:jc w:val="center"/>
              <w:rPr>
                <w:b/>
                <w:bCs/>
              </w:rPr>
            </w:pPr>
            <w:r w:rsidRPr="00074F3F">
              <w:rPr>
                <w:b/>
                <w:bCs/>
              </w:rPr>
              <w:t>Hourly</w:t>
            </w:r>
          </w:p>
          <w:p w:rsidRPr="00074F3F" w:rsidR="003B6A1B" w:rsidP="00CE057B" w:rsidRDefault="003B6A1B" w14:paraId="1B789B85" w14:textId="3C9059B0">
            <w:pPr>
              <w:jc w:val="center"/>
              <w:rPr>
                <w:b/>
                <w:bCs/>
              </w:rPr>
            </w:pPr>
            <w:r w:rsidRPr="00074F3F">
              <w:rPr>
                <w:b/>
                <w:bCs/>
              </w:rPr>
              <w:t>Fee Adopted</w:t>
            </w:r>
          </w:p>
        </w:tc>
      </w:tr>
      <w:tr w:rsidRPr="00074F3F" w:rsidR="00086FBB" w:rsidTr="00326959" w14:paraId="6CBB1C57"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44E64D84" w14:textId="2D1B4768">
            <w:pPr>
              <w:jc w:val="center"/>
            </w:pPr>
            <w:r w:rsidRPr="00326959">
              <w:t>Elizabeth</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5238A67B" w14:textId="0A8F1AB5">
            <w:pPr>
              <w:jc w:val="center"/>
            </w:pPr>
            <w:r w:rsidRPr="00326959">
              <w:t>Kelly</w:t>
            </w:r>
          </w:p>
        </w:tc>
        <w:tc>
          <w:tcPr>
            <w:tcW w:w="208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62579B3E" w14:textId="401983CF">
            <w:pPr>
              <w:jc w:val="center"/>
            </w:pPr>
            <w:r w:rsidRPr="00326959">
              <w:t>Attorney</w:t>
            </w:r>
            <w:bookmarkStart w:name="_Ref164947291" w:id="0"/>
            <w:r w:rsidR="000212B4">
              <w:rPr>
                <w:rStyle w:val="FootnoteReference"/>
              </w:rPr>
              <w:footnoteReference w:id="4"/>
            </w:r>
            <w:bookmarkEnd w:id="0"/>
          </w:p>
        </w:tc>
        <w:tc>
          <w:tcPr>
            <w:tcW w:w="174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55EB7C34" w14:textId="0CA99409">
            <w:pPr>
              <w:jc w:val="center"/>
            </w:pPr>
            <w:r w:rsidRPr="00326959">
              <w:t>$625</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4608B932" w14:textId="42352979">
            <w:pPr>
              <w:jc w:val="center"/>
            </w:pPr>
            <w:r w:rsidRPr="00326959">
              <w:t>2022</w:t>
            </w:r>
          </w:p>
        </w:tc>
        <w:tc>
          <w:tcPr>
            <w:tcW w:w="1634" w:type="dxa"/>
            <w:tcBorders>
              <w:top w:val="single" w:color="auto" w:sz="4" w:space="0"/>
              <w:left w:val="single" w:color="auto" w:sz="4" w:space="0"/>
              <w:bottom w:val="single" w:color="auto" w:sz="4" w:space="0"/>
              <w:right w:val="single" w:color="auto" w:sz="4" w:space="0"/>
            </w:tcBorders>
          </w:tcPr>
          <w:p w:rsidRPr="00074F3F" w:rsidR="00086FBB" w:rsidP="00086FBB" w:rsidRDefault="00326959" w14:paraId="57B598FE" w14:textId="16039C2E">
            <w:pPr>
              <w:jc w:val="center"/>
            </w:pPr>
            <w:r>
              <w:t>$570.00</w:t>
            </w:r>
          </w:p>
        </w:tc>
      </w:tr>
      <w:tr w:rsidRPr="00074F3F" w:rsidR="00086FBB" w:rsidTr="00326959"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65C04662" w14:textId="5136C63C">
            <w:pPr>
              <w:jc w:val="center"/>
            </w:pPr>
            <w:r w:rsidRPr="00326959">
              <w:t>Elizabeth</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1C590887" w14:textId="3D5FCAA8">
            <w:pPr>
              <w:jc w:val="center"/>
            </w:pPr>
            <w:r w:rsidRPr="00326959">
              <w:t>Kelly</w:t>
            </w:r>
          </w:p>
        </w:tc>
        <w:tc>
          <w:tcPr>
            <w:tcW w:w="208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1EA8DE3D" w14:textId="391A97EB">
            <w:pPr>
              <w:jc w:val="center"/>
            </w:pPr>
            <w:r w:rsidRPr="00326959">
              <w:t>Attorney</w:t>
            </w:r>
            <w:r w:rsidR="00C17E2B">
              <w:fldChar w:fldCharType="begin"/>
            </w:r>
            <w:r w:rsidR="00C17E2B">
              <w:instrText xml:space="preserve"> NOTEREF _Ref164947291 \f \h </w:instrText>
            </w:r>
            <w:r w:rsidR="00C17E2B">
              <w:fldChar w:fldCharType="separate"/>
            </w:r>
            <w:r w:rsidRPr="008D2CFB" w:rsidR="008D2CFB">
              <w:rPr>
                <w:rStyle w:val="FootnoteReference"/>
              </w:rPr>
              <w:t>4</w:t>
            </w:r>
            <w:r w:rsidR="00C17E2B">
              <w:fldChar w:fldCharType="end"/>
            </w:r>
          </w:p>
        </w:tc>
        <w:tc>
          <w:tcPr>
            <w:tcW w:w="174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4F6290AB" w14:textId="3AFAC788">
            <w:pPr>
              <w:jc w:val="center"/>
            </w:pPr>
            <w:r w:rsidRPr="00326959">
              <w:t>$710</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1354C70A" w14:textId="41C56D5F">
            <w:pPr>
              <w:jc w:val="center"/>
            </w:pPr>
            <w:r w:rsidRPr="00326959">
              <w:t>2023</w:t>
            </w:r>
          </w:p>
        </w:tc>
        <w:tc>
          <w:tcPr>
            <w:tcW w:w="1634" w:type="dxa"/>
            <w:tcBorders>
              <w:top w:val="single" w:color="auto" w:sz="4" w:space="0"/>
              <w:left w:val="single" w:color="auto" w:sz="4" w:space="0"/>
              <w:bottom w:val="single" w:color="auto" w:sz="4" w:space="0"/>
              <w:right w:val="single" w:color="auto" w:sz="4" w:space="0"/>
            </w:tcBorders>
          </w:tcPr>
          <w:p w:rsidRPr="00074F3F" w:rsidR="00086FBB" w:rsidP="00086FBB" w:rsidRDefault="00326959" w14:paraId="36649915" w14:textId="2EB7A62A">
            <w:pPr>
              <w:jc w:val="center"/>
            </w:pPr>
            <w:r>
              <w:t>$</w:t>
            </w:r>
            <w:r w:rsidR="004379EB">
              <w:t>625</w:t>
            </w:r>
            <w:r>
              <w:t>.00</w:t>
            </w:r>
          </w:p>
        </w:tc>
      </w:tr>
      <w:tr w:rsidRPr="00074F3F" w:rsidR="00086FBB" w:rsidTr="00326959" w14:paraId="5CC78F5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57B3D22D" w14:textId="4E019B7F">
            <w:pPr>
              <w:jc w:val="center"/>
            </w:pPr>
            <w:r w:rsidRPr="00326959">
              <w:t>Michael</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2892EF13" w14:textId="2EB723A4">
            <w:pPr>
              <w:jc w:val="center"/>
            </w:pPr>
            <w:r w:rsidRPr="00326959">
              <w:t>Colvin</w:t>
            </w:r>
          </w:p>
        </w:tc>
        <w:tc>
          <w:tcPr>
            <w:tcW w:w="208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27EA86DE" w14:textId="43E73FD7">
            <w:pPr>
              <w:jc w:val="center"/>
            </w:pPr>
            <w:r w:rsidRPr="00326959">
              <w:t>Expert</w:t>
            </w:r>
            <w:r w:rsidR="000212B4">
              <w:rPr>
                <w:rStyle w:val="FootnoteReference"/>
              </w:rPr>
              <w:footnoteReference w:id="5"/>
            </w:r>
          </w:p>
        </w:tc>
        <w:tc>
          <w:tcPr>
            <w:tcW w:w="174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6B44B9C1" w14:textId="46069EFD">
            <w:pPr>
              <w:jc w:val="center"/>
            </w:pPr>
            <w:r w:rsidRPr="00326959">
              <w:t>$702</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4697096A" w14:textId="46D31828">
            <w:pPr>
              <w:jc w:val="center"/>
            </w:pPr>
            <w:r w:rsidRPr="00326959">
              <w:t>2023</w:t>
            </w:r>
          </w:p>
        </w:tc>
        <w:tc>
          <w:tcPr>
            <w:tcW w:w="1634" w:type="dxa"/>
            <w:tcBorders>
              <w:top w:val="single" w:color="auto" w:sz="4" w:space="0"/>
              <w:left w:val="single" w:color="auto" w:sz="4" w:space="0"/>
              <w:bottom w:val="single" w:color="auto" w:sz="4" w:space="0"/>
              <w:right w:val="single" w:color="auto" w:sz="4" w:space="0"/>
            </w:tcBorders>
          </w:tcPr>
          <w:p w:rsidRPr="00074F3F" w:rsidR="00086FBB" w:rsidP="00086FBB" w:rsidRDefault="00326959" w14:paraId="2B50FB5B" w14:textId="53208E89">
            <w:pPr>
              <w:jc w:val="center"/>
            </w:pPr>
            <w:r>
              <w:t>$</w:t>
            </w:r>
            <w:r w:rsidR="00F94225">
              <w:t>545</w:t>
            </w:r>
            <w:r>
              <w:t>.00</w:t>
            </w:r>
          </w:p>
        </w:tc>
      </w:tr>
      <w:tr w:rsidRPr="00074F3F" w:rsidR="00086FBB" w:rsidTr="00326959" w14:paraId="336AD92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575C2633" w14:textId="0031FB68">
            <w:pPr>
              <w:jc w:val="center"/>
            </w:pPr>
            <w:r w:rsidRPr="00326959">
              <w:t>Joon Hun</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053261CD" w14:textId="1886677A">
            <w:pPr>
              <w:jc w:val="center"/>
            </w:pPr>
            <w:r w:rsidRPr="00326959">
              <w:t>Seong</w:t>
            </w:r>
          </w:p>
        </w:tc>
        <w:tc>
          <w:tcPr>
            <w:tcW w:w="208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78DE9ED4" w14:textId="171A7C12">
            <w:pPr>
              <w:jc w:val="center"/>
            </w:pPr>
            <w:r w:rsidRPr="00326959">
              <w:t>Expert</w:t>
            </w:r>
            <w:bookmarkStart w:name="_Ref184892386" w:id="1"/>
            <w:r w:rsidR="000212B4">
              <w:rPr>
                <w:rStyle w:val="FootnoteReference"/>
              </w:rPr>
              <w:footnoteReference w:id="6"/>
            </w:r>
            <w:bookmarkEnd w:id="1"/>
          </w:p>
        </w:tc>
        <w:tc>
          <w:tcPr>
            <w:tcW w:w="1748"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0F803569" w14:textId="20B446E2">
            <w:pPr>
              <w:jc w:val="center"/>
            </w:pPr>
            <w:r w:rsidRPr="00326959">
              <w:t>$35</w:t>
            </w:r>
            <w:r w:rsidR="00DB1117">
              <w:t>7</w:t>
            </w:r>
          </w:p>
        </w:tc>
        <w:tc>
          <w:tcPr>
            <w:tcW w:w="1725" w:type="dxa"/>
            <w:tcBorders>
              <w:top w:val="single" w:color="auto" w:sz="4" w:space="0"/>
              <w:left w:val="single" w:color="auto" w:sz="4" w:space="0"/>
              <w:bottom w:val="single" w:color="auto" w:sz="4" w:space="0"/>
              <w:right w:val="single" w:color="auto" w:sz="4" w:space="0"/>
            </w:tcBorders>
          </w:tcPr>
          <w:p w:rsidRPr="00326959" w:rsidR="00086FBB" w:rsidP="00086FBB" w:rsidRDefault="00086FBB" w14:paraId="448DC381" w14:textId="348826B1">
            <w:pPr>
              <w:jc w:val="center"/>
            </w:pPr>
            <w:r w:rsidRPr="00326959">
              <w:t>2023</w:t>
            </w:r>
          </w:p>
        </w:tc>
        <w:tc>
          <w:tcPr>
            <w:tcW w:w="1634" w:type="dxa"/>
            <w:tcBorders>
              <w:top w:val="single" w:color="auto" w:sz="4" w:space="0"/>
              <w:left w:val="single" w:color="auto" w:sz="4" w:space="0"/>
              <w:bottom w:val="single" w:color="auto" w:sz="4" w:space="0"/>
              <w:right w:val="single" w:color="auto" w:sz="4" w:space="0"/>
            </w:tcBorders>
          </w:tcPr>
          <w:p w:rsidRPr="00074F3F" w:rsidR="00086FBB" w:rsidP="00086FBB" w:rsidRDefault="00326959" w14:paraId="0D91F4D9" w14:textId="0A0FC6ED">
            <w:pPr>
              <w:jc w:val="center"/>
            </w:pPr>
            <w:r>
              <w:t>$</w:t>
            </w:r>
            <w:r w:rsidR="00F94225">
              <w:t>2</w:t>
            </w:r>
            <w:r w:rsidR="004B34EE">
              <w:t>45</w:t>
            </w:r>
            <w:r>
              <w:t>.00</w:t>
            </w:r>
          </w:p>
        </w:tc>
      </w:tr>
      <w:tr w:rsidRPr="00074F3F" w:rsidR="00E04EF4" w:rsidTr="00326959" w14:paraId="120222AE"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326959" w:rsidR="00E04EF4" w:rsidP="00E04EF4" w:rsidRDefault="00E04EF4" w14:paraId="046CA014" w14:textId="1F826BE4">
            <w:pPr>
              <w:jc w:val="center"/>
            </w:pPr>
            <w:r w:rsidRPr="00326959">
              <w:t>Joon Hun</w:t>
            </w:r>
            <w:bookmarkStart w:name="_Ref184892090" w:id="3"/>
            <w:r w:rsidR="00DD56AA">
              <w:rPr>
                <w:rStyle w:val="FootnoteReference"/>
              </w:rPr>
              <w:footnoteReference w:id="7"/>
            </w:r>
            <w:bookmarkEnd w:id="3"/>
          </w:p>
        </w:tc>
        <w:tc>
          <w:tcPr>
            <w:tcW w:w="1725" w:type="dxa"/>
            <w:tcBorders>
              <w:top w:val="single" w:color="auto" w:sz="4" w:space="0"/>
              <w:left w:val="single" w:color="auto" w:sz="4" w:space="0"/>
              <w:bottom w:val="single" w:color="auto" w:sz="4" w:space="0"/>
              <w:right w:val="single" w:color="auto" w:sz="4" w:space="0"/>
            </w:tcBorders>
          </w:tcPr>
          <w:p w:rsidRPr="00326959" w:rsidR="00E04EF4" w:rsidP="00E04EF4" w:rsidRDefault="00E04EF4" w14:paraId="5645C780" w14:textId="2F54D506">
            <w:pPr>
              <w:jc w:val="center"/>
            </w:pPr>
            <w:r w:rsidRPr="00326959">
              <w:t>Seong</w:t>
            </w:r>
            <w:r w:rsidR="00DC3971">
              <w:fldChar w:fldCharType="begin"/>
            </w:r>
            <w:r w:rsidR="00DC3971">
              <w:instrText xml:space="preserve"> NOTEREF _Ref184892090 \f \h </w:instrText>
            </w:r>
            <w:r w:rsidR="00DC3971">
              <w:fldChar w:fldCharType="separate"/>
            </w:r>
            <w:r w:rsidRPr="008D2CFB" w:rsidR="008D2CFB">
              <w:rPr>
                <w:rStyle w:val="FootnoteReference"/>
              </w:rPr>
              <w:t>7</w:t>
            </w:r>
            <w:r w:rsidR="00DC3971">
              <w:fldChar w:fldCharType="end"/>
            </w:r>
          </w:p>
        </w:tc>
        <w:tc>
          <w:tcPr>
            <w:tcW w:w="2088" w:type="dxa"/>
            <w:tcBorders>
              <w:top w:val="single" w:color="auto" w:sz="4" w:space="0"/>
              <w:left w:val="single" w:color="auto" w:sz="4" w:space="0"/>
              <w:bottom w:val="single" w:color="auto" w:sz="4" w:space="0"/>
              <w:right w:val="single" w:color="auto" w:sz="4" w:space="0"/>
            </w:tcBorders>
          </w:tcPr>
          <w:p w:rsidRPr="00326959" w:rsidR="00E04EF4" w:rsidP="00E04EF4" w:rsidRDefault="00E04EF4" w14:paraId="4E036818" w14:textId="2EA2376A">
            <w:pPr>
              <w:jc w:val="center"/>
            </w:pPr>
            <w:r w:rsidRPr="00E04EF4">
              <w:t>Expert</w:t>
            </w:r>
            <w:r w:rsidR="00DC3971">
              <w:fldChar w:fldCharType="begin"/>
            </w:r>
            <w:r w:rsidR="00DC3971">
              <w:instrText xml:space="preserve"> NOTEREF _Ref184892090 \f \h </w:instrText>
            </w:r>
            <w:r w:rsidR="00DC3971">
              <w:fldChar w:fldCharType="separate"/>
            </w:r>
            <w:r w:rsidRPr="008D2CFB" w:rsidR="008D2CFB">
              <w:rPr>
                <w:rStyle w:val="FootnoteReference"/>
              </w:rPr>
              <w:t>7</w:t>
            </w:r>
            <w:r w:rsidR="00DC3971">
              <w:fldChar w:fldCharType="end"/>
            </w:r>
            <w:r w:rsidR="00AD3112">
              <w:t>/</w:t>
            </w:r>
            <w:r w:rsidR="00AD3112">
              <w:rPr>
                <w:rStyle w:val="FootnoteReference"/>
              </w:rPr>
              <w:footnoteReference w:id="8"/>
            </w:r>
          </w:p>
        </w:tc>
        <w:tc>
          <w:tcPr>
            <w:tcW w:w="1748" w:type="dxa"/>
            <w:tcBorders>
              <w:top w:val="single" w:color="auto" w:sz="4" w:space="0"/>
              <w:left w:val="single" w:color="auto" w:sz="4" w:space="0"/>
              <w:bottom w:val="single" w:color="auto" w:sz="4" w:space="0"/>
              <w:right w:val="single" w:color="auto" w:sz="4" w:space="0"/>
            </w:tcBorders>
          </w:tcPr>
          <w:p w:rsidRPr="00326959" w:rsidR="00E04EF4" w:rsidP="00E04EF4" w:rsidRDefault="00B04957" w14:paraId="73BD3E74" w14:textId="1DF82AB6">
            <w:pPr>
              <w:jc w:val="center"/>
            </w:pPr>
            <w:r>
              <w:t>$366</w:t>
            </w:r>
            <w:r w:rsidR="00DC3971">
              <w:fldChar w:fldCharType="begin"/>
            </w:r>
            <w:r w:rsidR="00DC3971">
              <w:instrText xml:space="preserve"> NOTEREF _Ref184892090 \f \h </w:instrText>
            </w:r>
            <w:r w:rsidR="00DC3971">
              <w:fldChar w:fldCharType="separate"/>
            </w:r>
            <w:r w:rsidRPr="008D2CFB" w:rsidR="008D2CFB">
              <w:rPr>
                <w:rStyle w:val="FootnoteReference"/>
              </w:rPr>
              <w:t>7</w:t>
            </w:r>
            <w:r w:rsidR="00DC3971">
              <w:fldChar w:fldCharType="end"/>
            </w:r>
          </w:p>
        </w:tc>
        <w:tc>
          <w:tcPr>
            <w:tcW w:w="1725" w:type="dxa"/>
            <w:tcBorders>
              <w:top w:val="single" w:color="auto" w:sz="4" w:space="0"/>
              <w:left w:val="single" w:color="auto" w:sz="4" w:space="0"/>
              <w:bottom w:val="single" w:color="auto" w:sz="4" w:space="0"/>
              <w:right w:val="single" w:color="auto" w:sz="4" w:space="0"/>
            </w:tcBorders>
          </w:tcPr>
          <w:p w:rsidRPr="00326959" w:rsidR="00E04EF4" w:rsidP="00E04EF4" w:rsidRDefault="00C67505" w14:paraId="3E11CAE6" w14:textId="7C492A16">
            <w:pPr>
              <w:jc w:val="center"/>
            </w:pPr>
            <w:r>
              <w:t>2024</w:t>
            </w:r>
            <w:r w:rsidR="00DC3971">
              <w:fldChar w:fldCharType="begin"/>
            </w:r>
            <w:r w:rsidR="00DC3971">
              <w:instrText xml:space="preserve"> NOTEREF _Ref184892090 \f \h </w:instrText>
            </w:r>
            <w:r w:rsidR="00DC3971">
              <w:fldChar w:fldCharType="separate"/>
            </w:r>
            <w:r w:rsidRPr="008D2CFB" w:rsidR="008D2CFB">
              <w:rPr>
                <w:rStyle w:val="FootnoteReference"/>
              </w:rPr>
              <w:t>7</w:t>
            </w:r>
            <w:r w:rsidR="00DC3971">
              <w:fldChar w:fldCharType="end"/>
            </w:r>
          </w:p>
        </w:tc>
        <w:tc>
          <w:tcPr>
            <w:tcW w:w="1634" w:type="dxa"/>
            <w:tcBorders>
              <w:top w:val="single" w:color="auto" w:sz="4" w:space="0"/>
              <w:left w:val="single" w:color="auto" w:sz="4" w:space="0"/>
              <w:bottom w:val="single" w:color="auto" w:sz="4" w:space="0"/>
              <w:right w:val="single" w:color="auto" w:sz="4" w:space="0"/>
            </w:tcBorders>
          </w:tcPr>
          <w:p w:rsidR="00E04EF4" w:rsidP="00E04EF4" w:rsidRDefault="00C67505" w14:paraId="4BA19C9D" w14:textId="30F970E6">
            <w:pPr>
              <w:jc w:val="center"/>
            </w:pPr>
            <w:r>
              <w:t>$</w:t>
            </w:r>
            <w:r w:rsidR="00E60E09">
              <w:t>2</w:t>
            </w:r>
            <w:r w:rsidR="009C54C5">
              <w:t>7</w:t>
            </w:r>
            <w:r w:rsidR="00E60E09">
              <w:t>5</w:t>
            </w:r>
            <w:r>
              <w:t>.00</w:t>
            </w:r>
          </w:p>
        </w:tc>
      </w:tr>
    </w:tbl>
    <w:p w:rsidRPr="00B803D5" w:rsidR="00FE3BAE" w:rsidP="00FE3BAE" w:rsidRDefault="00FE3BAE" w14:paraId="53F54635" w14:textId="77777777">
      <w:pPr>
        <w:jc w:val="center"/>
      </w:pPr>
      <w:r w:rsidRPr="00074F3F">
        <w:rPr>
          <w:b/>
        </w:rPr>
        <w:t xml:space="preserve">(END OF </w:t>
      </w:r>
      <w:r w:rsidRPr="00074F3F">
        <w:rPr>
          <w:b/>
          <w:szCs w:val="26"/>
        </w:rPr>
        <w:t>APPENDIX</w:t>
      </w:r>
      <w:r w:rsidRPr="00074F3F">
        <w:rPr>
          <w:b/>
        </w:rPr>
        <w:t>)</w:t>
      </w:r>
    </w:p>
    <w:sectPr w:rsidRPr="00B803D5" w:rsidR="00FE3BAE" w:rsidSect="000045C0">
      <w:footerReference w:type="default" r:id="rId14"/>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DBC58" w14:textId="77777777" w:rsidR="001C2793" w:rsidRDefault="001C2793" w:rsidP="00885956">
      <w:r>
        <w:separator/>
      </w:r>
    </w:p>
  </w:endnote>
  <w:endnote w:type="continuationSeparator" w:id="0">
    <w:p w14:paraId="7F1AF506" w14:textId="77777777" w:rsidR="001C2793" w:rsidRDefault="001C2793"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124985"/>
      <w:docPartObj>
        <w:docPartGallery w:val="Page Numbers (Bottom of Page)"/>
        <w:docPartUnique/>
      </w:docPartObj>
    </w:sdtPr>
    <w:sdtEndPr>
      <w:rPr>
        <w:noProof/>
      </w:rPr>
    </w:sdtEndPr>
    <w:sdtContent>
      <w:p w14:paraId="14218B35" w14:textId="77777777" w:rsidR="00944EB7" w:rsidRDefault="00944EB7" w:rsidP="00880855">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313572"/>
      <w:docPartObj>
        <w:docPartGallery w:val="Page Numbers (Bottom of Page)"/>
        <w:docPartUnique/>
      </w:docPartObj>
    </w:sdtPr>
    <w:sdtEndPr>
      <w:rPr>
        <w:noProof/>
      </w:rPr>
    </w:sdtEndPr>
    <w:sdtContent>
      <w:p w14:paraId="1E70BD86" w14:textId="09449BD9" w:rsidR="00944EB7" w:rsidRDefault="00F9634A" w:rsidP="006A6A2A">
        <w:pPr>
          <w:pStyle w:val="Footer"/>
        </w:pPr>
        <w:r w:rsidRPr="00F9634A">
          <w:t>594249003</w:t>
        </w:r>
        <w:r w:rsidR="006A6A2A">
          <w:rPr>
            <w:rFonts w:ascii="Arial" w:hAnsi="Arial" w:cs="Arial"/>
            <w:color w:val="000000"/>
            <w:sz w:val="18"/>
            <w:szCs w:val="18"/>
            <w:shd w:val="clear" w:color="auto" w:fill="FFFFFF"/>
          </w:rPr>
          <w:tab/>
        </w:r>
        <w:r w:rsidR="00944EB7">
          <w:fldChar w:fldCharType="begin"/>
        </w:r>
        <w:r w:rsidR="00944EB7">
          <w:instrText xml:space="preserve"> PAGE   \* MERGEFORMAT </w:instrText>
        </w:r>
        <w:r w:rsidR="00944EB7">
          <w:fldChar w:fldCharType="separate"/>
        </w:r>
        <w:r w:rsidR="00944EB7">
          <w:rPr>
            <w:noProof/>
          </w:rPr>
          <w:t>- 1 -</w:t>
        </w:r>
        <w:r w:rsidR="00944EB7">
          <w:rPr>
            <w:noProof/>
          </w:rPr>
          <w:fldChar w:fldCharType="end"/>
        </w:r>
      </w:p>
    </w:sdtContent>
  </w:sdt>
  <w:p w14:paraId="66238EAD" w14:textId="77777777" w:rsidR="00944EB7" w:rsidRDefault="00944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6873F" w14:textId="77777777" w:rsidR="001C2793" w:rsidRDefault="001C2793" w:rsidP="00885956">
      <w:r>
        <w:separator/>
      </w:r>
    </w:p>
  </w:footnote>
  <w:footnote w:type="continuationSeparator" w:id="0">
    <w:p w14:paraId="35BB5102" w14:textId="77777777" w:rsidR="001C2793" w:rsidRDefault="001C2793" w:rsidP="00885956">
      <w:r>
        <w:continuationSeparator/>
      </w:r>
    </w:p>
  </w:footnote>
  <w:footnote w:id="1">
    <w:p w14:paraId="3D88671D" w14:textId="1B65D6AC" w:rsidR="008C7A54" w:rsidRDefault="008C7A54">
      <w:pPr>
        <w:pStyle w:val="FootnoteText"/>
      </w:pPr>
      <w:r>
        <w:rPr>
          <w:rStyle w:val="FootnoteReference"/>
        </w:rPr>
        <w:footnoteRef/>
      </w:r>
      <w:r>
        <w:t xml:space="preserve"> </w:t>
      </w:r>
      <w:r w:rsidR="00180ADB">
        <w:t xml:space="preserve">Administrative Law Judge Robyn Purchia was </w:t>
      </w:r>
      <w:r w:rsidR="006B595B">
        <w:t>co-</w:t>
      </w:r>
      <w:r w:rsidR="00180ADB">
        <w:t xml:space="preserve">assigned to </w:t>
      </w:r>
      <w:r w:rsidR="006B595B">
        <w:t xml:space="preserve">this </w:t>
      </w:r>
      <w:r w:rsidR="00180ADB">
        <w:t>proceeding on April 9, 2024.</w:t>
      </w:r>
    </w:p>
  </w:footnote>
  <w:footnote w:id="2">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3">
    <w:p w14:paraId="2A44723A" w14:textId="5A27B22E" w:rsidR="00FC3F96" w:rsidRPr="00DE3A5D" w:rsidRDefault="00FC3F96"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Pr="00A86489">
          <w:rPr>
            <w:rStyle w:val="Hyperlink"/>
            <w:szCs w:val="22"/>
          </w:rPr>
          <w:t>http://members.calbar.ca.gov/fal/MemberSearch/QuickSearch</w:t>
        </w:r>
      </w:hyperlink>
      <w:r>
        <w:rPr>
          <w:color w:val="000000"/>
        </w:rPr>
        <w:t>.</w:t>
      </w:r>
    </w:p>
  </w:footnote>
  <w:footnote w:id="4">
    <w:p w14:paraId="2DE26C73" w14:textId="3018EF25" w:rsidR="000212B4" w:rsidRDefault="000212B4">
      <w:pPr>
        <w:pStyle w:val="FootnoteText"/>
      </w:pPr>
      <w:r>
        <w:rPr>
          <w:rStyle w:val="FootnoteReference"/>
        </w:rPr>
        <w:footnoteRef/>
      </w:r>
      <w:r>
        <w:t xml:space="preserve"> Kelly </w:t>
      </w:r>
      <w:r w:rsidR="000023C8">
        <w:t>serves as a consultant to EDF</w:t>
      </w:r>
      <w:r w:rsidR="00BE75DC">
        <w:t>.</w:t>
      </w:r>
    </w:p>
  </w:footnote>
  <w:footnote w:id="5">
    <w:p w14:paraId="198903A2" w14:textId="035CF110" w:rsidR="000212B4" w:rsidRDefault="000212B4">
      <w:pPr>
        <w:pStyle w:val="FootnoteText"/>
      </w:pPr>
      <w:r>
        <w:rPr>
          <w:rStyle w:val="FootnoteReference"/>
        </w:rPr>
        <w:footnoteRef/>
      </w:r>
      <w:r>
        <w:t xml:space="preserve"> Colvin </w:t>
      </w:r>
      <w:r w:rsidR="000023C8">
        <w:t>is</w:t>
      </w:r>
      <w:r>
        <w:t xml:space="preserve"> classified as </w:t>
      </w:r>
      <w:r w:rsidR="0075392A">
        <w:t>a</w:t>
      </w:r>
      <w:r w:rsidR="00E12883" w:rsidRPr="00E12883">
        <w:t xml:space="preserve"> Public Policy Analyst </w:t>
      </w:r>
      <w:r w:rsidR="00E60E09">
        <w:t>V</w:t>
      </w:r>
      <w:r w:rsidR="000023C8">
        <w:t>.</w:t>
      </w:r>
      <w:r w:rsidR="00E60E09">
        <w:t xml:space="preserve"> See</w:t>
      </w:r>
      <w:r w:rsidR="00A47C3C">
        <w:t xml:space="preserve"> Part III.D.[2</w:t>
      </w:r>
      <w:r w:rsidR="00732B11">
        <w:t>].</w:t>
      </w:r>
    </w:p>
  </w:footnote>
  <w:footnote w:id="6">
    <w:p w14:paraId="6E168A97" w14:textId="4EEC9932" w:rsidR="000212B4" w:rsidRDefault="000212B4">
      <w:pPr>
        <w:pStyle w:val="FootnoteText"/>
      </w:pPr>
      <w:r>
        <w:rPr>
          <w:rStyle w:val="FootnoteReference"/>
        </w:rPr>
        <w:footnoteRef/>
      </w:r>
      <w:r>
        <w:t xml:space="preserve"> </w:t>
      </w:r>
      <w:bookmarkStart w:id="2" w:name="_Hlk189140661"/>
      <w:r w:rsidR="00BE75DC">
        <w:t xml:space="preserve">Seong </w:t>
      </w:r>
      <w:r w:rsidR="000023C8">
        <w:t>is</w:t>
      </w:r>
      <w:r w:rsidR="00BE75DC">
        <w:t xml:space="preserve"> classified as </w:t>
      </w:r>
      <w:r w:rsidR="0075392A">
        <w:t xml:space="preserve">a </w:t>
      </w:r>
      <w:r w:rsidR="00136341" w:rsidRPr="00136341">
        <w:t>Public Policy Analyst II</w:t>
      </w:r>
      <w:r w:rsidR="00561612">
        <w:t>.</w:t>
      </w:r>
      <w:bookmarkEnd w:id="2"/>
    </w:p>
  </w:footnote>
  <w:footnote w:id="7">
    <w:p w14:paraId="6971DE7F" w14:textId="56325CC0" w:rsidR="00DD56AA" w:rsidRDefault="00DD56AA">
      <w:pPr>
        <w:pStyle w:val="FootnoteText"/>
      </w:pPr>
      <w:r>
        <w:rPr>
          <w:rStyle w:val="FootnoteReference"/>
        </w:rPr>
        <w:footnoteRef/>
      </w:r>
      <w:r>
        <w:t xml:space="preserve"> </w:t>
      </w:r>
      <w:r w:rsidRPr="00DD56AA">
        <w:t xml:space="preserve">Information added by the Commission to include </w:t>
      </w:r>
      <w:r w:rsidR="00136341">
        <w:t>Seong</w:t>
      </w:r>
      <w:r w:rsidRPr="00DD56AA">
        <w:t>’s 2024 hourly rate.</w:t>
      </w:r>
    </w:p>
  </w:footnote>
  <w:footnote w:id="8">
    <w:p w14:paraId="444B29CB" w14:textId="7461693B" w:rsidR="00AD3112" w:rsidRDefault="00AD3112">
      <w:pPr>
        <w:pStyle w:val="FootnoteText"/>
      </w:pPr>
      <w:r>
        <w:rPr>
          <w:rStyle w:val="FootnoteReference"/>
        </w:rPr>
        <w:footnoteRef/>
      </w:r>
      <w:r>
        <w:t xml:space="preserve"> </w:t>
      </w:r>
      <w:r w:rsidR="001D2BFB" w:rsidRPr="001D2BFB">
        <w:t>Seong is classified as a Public Policy Analyst II</w:t>
      </w:r>
      <w:r w:rsidR="001D2BFB">
        <w:t>I</w:t>
      </w:r>
      <w:r w:rsidR="001D2BFB" w:rsidRPr="001D2BF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FD67" w14:textId="52B88664" w:rsidR="00944EB7" w:rsidRDefault="00944EB7">
    <w:pPr>
      <w:pStyle w:val="Header"/>
    </w:pPr>
    <w:r>
      <w:t>R.20-01-007  ALJ/DVD/RP6/avs</w:t>
    </w:r>
    <w:r>
      <w:tab/>
    </w:r>
    <w:r>
      <w:tab/>
    </w:r>
    <w:r w:rsidRPr="00944EB7">
      <w:rPr>
        <w:b/>
        <w:bCs/>
      </w:rPr>
      <w:t>PROPOSED DECISION</w:t>
    </w:r>
    <w:r w:rsidR="008D2CFB">
      <w:rPr>
        <w:b/>
        <w:bCs/>
      </w:rPr>
      <w:t xml:space="preserve"> (REV. 1)</w:t>
    </w:r>
  </w:p>
  <w:p w14:paraId="0C947A1F" w14:textId="77777777" w:rsidR="001A0063" w:rsidRPr="00182929" w:rsidRDefault="001A0063" w:rsidP="001A0063">
    <w:pPr>
      <w:pStyle w:val="Header"/>
      <w:rPr>
        <w:rFonts w:ascii="Book Antiqua" w:hAnsi="Book Antiqua"/>
      </w:rPr>
    </w:pPr>
  </w:p>
  <w:p w14:paraId="371DACB0" w14:textId="77777777" w:rsidR="001A0063" w:rsidRDefault="001A0063" w:rsidP="001A0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5FC"/>
    <w:multiLevelType w:val="hybridMultilevel"/>
    <w:tmpl w:val="8FE0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B092B"/>
    <w:multiLevelType w:val="hybridMultilevel"/>
    <w:tmpl w:val="B770F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63D61"/>
    <w:multiLevelType w:val="hybridMultilevel"/>
    <w:tmpl w:val="05D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437B3"/>
    <w:multiLevelType w:val="hybridMultilevel"/>
    <w:tmpl w:val="05FE43C2"/>
    <w:lvl w:ilvl="0" w:tplc="C886594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B36B05"/>
    <w:multiLevelType w:val="hybridMultilevel"/>
    <w:tmpl w:val="B9DE1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14DB5"/>
    <w:multiLevelType w:val="hybridMultilevel"/>
    <w:tmpl w:val="9868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EC2FF6"/>
    <w:multiLevelType w:val="hybridMultilevel"/>
    <w:tmpl w:val="9AAE8CF6"/>
    <w:lvl w:ilvl="0" w:tplc="143467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E94154"/>
    <w:multiLevelType w:val="hybridMultilevel"/>
    <w:tmpl w:val="A72C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F65D8"/>
    <w:multiLevelType w:val="hybridMultilevel"/>
    <w:tmpl w:val="54967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B93D14"/>
    <w:multiLevelType w:val="hybridMultilevel"/>
    <w:tmpl w:val="BFCEB606"/>
    <w:lvl w:ilvl="0" w:tplc="88BC0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F3C"/>
    <w:multiLevelType w:val="hybridMultilevel"/>
    <w:tmpl w:val="2E4A56D4"/>
    <w:lvl w:ilvl="0" w:tplc="40520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99489D"/>
    <w:multiLevelType w:val="hybridMultilevel"/>
    <w:tmpl w:val="DE0C1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472BC"/>
    <w:multiLevelType w:val="hybridMultilevel"/>
    <w:tmpl w:val="E8825F30"/>
    <w:lvl w:ilvl="0" w:tplc="08E0CC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15:restartNumberingAfterBreak="0">
    <w:nsid w:val="61B52888"/>
    <w:multiLevelType w:val="hybridMultilevel"/>
    <w:tmpl w:val="33B6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33347F"/>
    <w:multiLevelType w:val="hybridMultilevel"/>
    <w:tmpl w:val="7AA46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F1802"/>
    <w:multiLevelType w:val="hybridMultilevel"/>
    <w:tmpl w:val="D0389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697F23"/>
    <w:multiLevelType w:val="hybridMultilevel"/>
    <w:tmpl w:val="5880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8948B9"/>
    <w:multiLevelType w:val="hybridMultilevel"/>
    <w:tmpl w:val="58A06B62"/>
    <w:lvl w:ilvl="0" w:tplc="311693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256953">
    <w:abstractNumId w:val="25"/>
  </w:num>
  <w:num w:numId="2" w16cid:durableId="1593390782">
    <w:abstractNumId w:val="2"/>
  </w:num>
  <w:num w:numId="3" w16cid:durableId="1093744535">
    <w:abstractNumId w:val="26"/>
  </w:num>
  <w:num w:numId="4" w16cid:durableId="2093237163">
    <w:abstractNumId w:val="18"/>
  </w:num>
  <w:num w:numId="5" w16cid:durableId="416362130">
    <w:abstractNumId w:val="12"/>
  </w:num>
  <w:num w:numId="6" w16cid:durableId="927229133">
    <w:abstractNumId w:val="20"/>
  </w:num>
  <w:num w:numId="7" w16cid:durableId="1801027229">
    <w:abstractNumId w:val="13"/>
  </w:num>
  <w:num w:numId="8" w16cid:durableId="1022899839">
    <w:abstractNumId w:val="19"/>
  </w:num>
  <w:num w:numId="9" w16cid:durableId="645088810">
    <w:abstractNumId w:val="4"/>
  </w:num>
  <w:num w:numId="10" w16cid:durableId="539248468">
    <w:abstractNumId w:val="11"/>
  </w:num>
  <w:num w:numId="11" w16cid:durableId="1458522747">
    <w:abstractNumId w:val="1"/>
  </w:num>
  <w:num w:numId="12" w16cid:durableId="976446865">
    <w:abstractNumId w:val="15"/>
  </w:num>
  <w:num w:numId="13" w16cid:durableId="579410261">
    <w:abstractNumId w:val="14"/>
  </w:num>
  <w:num w:numId="14" w16cid:durableId="932666924">
    <w:abstractNumId w:val="8"/>
  </w:num>
  <w:num w:numId="15" w16cid:durableId="1837648256">
    <w:abstractNumId w:val="17"/>
  </w:num>
  <w:num w:numId="16" w16cid:durableId="1841239999">
    <w:abstractNumId w:val="6"/>
  </w:num>
  <w:num w:numId="17" w16cid:durableId="1787965808">
    <w:abstractNumId w:val="5"/>
  </w:num>
  <w:num w:numId="18" w16cid:durableId="428501126">
    <w:abstractNumId w:val="27"/>
  </w:num>
  <w:num w:numId="19" w16cid:durableId="612636299">
    <w:abstractNumId w:val="3"/>
  </w:num>
  <w:num w:numId="20" w16cid:durableId="1025865197">
    <w:abstractNumId w:val="22"/>
  </w:num>
  <w:num w:numId="21" w16cid:durableId="1779987003">
    <w:abstractNumId w:val="0"/>
  </w:num>
  <w:num w:numId="22" w16cid:durableId="1359311678">
    <w:abstractNumId w:val="21"/>
  </w:num>
  <w:num w:numId="23" w16cid:durableId="1701514211">
    <w:abstractNumId w:val="7"/>
  </w:num>
  <w:num w:numId="24" w16cid:durableId="1918124951">
    <w:abstractNumId w:val="10"/>
  </w:num>
  <w:num w:numId="25" w16cid:durableId="2053916365">
    <w:abstractNumId w:val="23"/>
  </w:num>
  <w:num w:numId="26" w16cid:durableId="1248072689">
    <w:abstractNumId w:val="16"/>
  </w:num>
  <w:num w:numId="27" w16cid:durableId="551233250">
    <w:abstractNumId w:val="24"/>
  </w:num>
  <w:num w:numId="28" w16cid:durableId="1663503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01F7"/>
    <w:rsid w:val="00000A46"/>
    <w:rsid w:val="00000AAC"/>
    <w:rsid w:val="00000E23"/>
    <w:rsid w:val="00000EEC"/>
    <w:rsid w:val="00001B72"/>
    <w:rsid w:val="00001D77"/>
    <w:rsid w:val="000023C8"/>
    <w:rsid w:val="000033AE"/>
    <w:rsid w:val="00003A49"/>
    <w:rsid w:val="00004009"/>
    <w:rsid w:val="000045C0"/>
    <w:rsid w:val="000054EC"/>
    <w:rsid w:val="00007000"/>
    <w:rsid w:val="00007822"/>
    <w:rsid w:val="00007F68"/>
    <w:rsid w:val="0001044A"/>
    <w:rsid w:val="00011D29"/>
    <w:rsid w:val="00011ED2"/>
    <w:rsid w:val="00011F4B"/>
    <w:rsid w:val="00012379"/>
    <w:rsid w:val="00012737"/>
    <w:rsid w:val="00012D2C"/>
    <w:rsid w:val="000133ED"/>
    <w:rsid w:val="00013B5B"/>
    <w:rsid w:val="00013E6F"/>
    <w:rsid w:val="00014B4B"/>
    <w:rsid w:val="00014D6D"/>
    <w:rsid w:val="000151F2"/>
    <w:rsid w:val="000155FB"/>
    <w:rsid w:val="000162AD"/>
    <w:rsid w:val="00016879"/>
    <w:rsid w:val="00016BE4"/>
    <w:rsid w:val="0002010A"/>
    <w:rsid w:val="00020409"/>
    <w:rsid w:val="000204B4"/>
    <w:rsid w:val="00020AE8"/>
    <w:rsid w:val="000212B3"/>
    <w:rsid w:val="000212B4"/>
    <w:rsid w:val="00021A40"/>
    <w:rsid w:val="000220B6"/>
    <w:rsid w:val="000221C5"/>
    <w:rsid w:val="00022985"/>
    <w:rsid w:val="00024184"/>
    <w:rsid w:val="0002568C"/>
    <w:rsid w:val="00025C2B"/>
    <w:rsid w:val="00026402"/>
    <w:rsid w:val="00026A15"/>
    <w:rsid w:val="00027FB2"/>
    <w:rsid w:val="00030EFB"/>
    <w:rsid w:val="00031BEB"/>
    <w:rsid w:val="0003210E"/>
    <w:rsid w:val="00032138"/>
    <w:rsid w:val="00032B1E"/>
    <w:rsid w:val="00032D0A"/>
    <w:rsid w:val="000336B5"/>
    <w:rsid w:val="00034492"/>
    <w:rsid w:val="00034C60"/>
    <w:rsid w:val="00035304"/>
    <w:rsid w:val="00036EB4"/>
    <w:rsid w:val="00036F54"/>
    <w:rsid w:val="00040A71"/>
    <w:rsid w:val="000422B3"/>
    <w:rsid w:val="000430A1"/>
    <w:rsid w:val="00043A77"/>
    <w:rsid w:val="0004500F"/>
    <w:rsid w:val="000454DA"/>
    <w:rsid w:val="00045A2F"/>
    <w:rsid w:val="00045BE1"/>
    <w:rsid w:val="00045FAA"/>
    <w:rsid w:val="0004793A"/>
    <w:rsid w:val="000501BB"/>
    <w:rsid w:val="00050A8F"/>
    <w:rsid w:val="00050E9B"/>
    <w:rsid w:val="00050FCA"/>
    <w:rsid w:val="00051B37"/>
    <w:rsid w:val="00052573"/>
    <w:rsid w:val="0005538D"/>
    <w:rsid w:val="000555DA"/>
    <w:rsid w:val="00055843"/>
    <w:rsid w:val="0005604F"/>
    <w:rsid w:val="00056075"/>
    <w:rsid w:val="00056666"/>
    <w:rsid w:val="000601C0"/>
    <w:rsid w:val="0006073B"/>
    <w:rsid w:val="00061254"/>
    <w:rsid w:val="00061E81"/>
    <w:rsid w:val="00063EDE"/>
    <w:rsid w:val="000645C3"/>
    <w:rsid w:val="0006640A"/>
    <w:rsid w:val="000668F1"/>
    <w:rsid w:val="00067F42"/>
    <w:rsid w:val="00070BBD"/>
    <w:rsid w:val="00070D38"/>
    <w:rsid w:val="00072C81"/>
    <w:rsid w:val="00073262"/>
    <w:rsid w:val="00073716"/>
    <w:rsid w:val="00073BE4"/>
    <w:rsid w:val="00073D22"/>
    <w:rsid w:val="00073EF7"/>
    <w:rsid w:val="00074EBC"/>
    <w:rsid w:val="00074F3F"/>
    <w:rsid w:val="0007537A"/>
    <w:rsid w:val="00075EC7"/>
    <w:rsid w:val="000764FF"/>
    <w:rsid w:val="00076A74"/>
    <w:rsid w:val="00076B42"/>
    <w:rsid w:val="00076CE6"/>
    <w:rsid w:val="00077242"/>
    <w:rsid w:val="00081123"/>
    <w:rsid w:val="000818CA"/>
    <w:rsid w:val="000826B0"/>
    <w:rsid w:val="00083299"/>
    <w:rsid w:val="00083472"/>
    <w:rsid w:val="00083FC4"/>
    <w:rsid w:val="000846B4"/>
    <w:rsid w:val="00084D81"/>
    <w:rsid w:val="00084EA5"/>
    <w:rsid w:val="000852A7"/>
    <w:rsid w:val="00086E1A"/>
    <w:rsid w:val="00086FBB"/>
    <w:rsid w:val="00087A01"/>
    <w:rsid w:val="00087D1B"/>
    <w:rsid w:val="0009081D"/>
    <w:rsid w:val="000909D3"/>
    <w:rsid w:val="00091EE2"/>
    <w:rsid w:val="00093F74"/>
    <w:rsid w:val="00094434"/>
    <w:rsid w:val="00094EDF"/>
    <w:rsid w:val="00095E5B"/>
    <w:rsid w:val="00095EAA"/>
    <w:rsid w:val="0009647F"/>
    <w:rsid w:val="00096757"/>
    <w:rsid w:val="00097E7B"/>
    <w:rsid w:val="000A019E"/>
    <w:rsid w:val="000A0994"/>
    <w:rsid w:val="000A3858"/>
    <w:rsid w:val="000A5A2A"/>
    <w:rsid w:val="000A683C"/>
    <w:rsid w:val="000A69B9"/>
    <w:rsid w:val="000A7128"/>
    <w:rsid w:val="000A7AB3"/>
    <w:rsid w:val="000B4350"/>
    <w:rsid w:val="000B4471"/>
    <w:rsid w:val="000B50C3"/>
    <w:rsid w:val="000B5BE8"/>
    <w:rsid w:val="000B5D85"/>
    <w:rsid w:val="000B7F5B"/>
    <w:rsid w:val="000C28C6"/>
    <w:rsid w:val="000C2EE1"/>
    <w:rsid w:val="000C304D"/>
    <w:rsid w:val="000C405A"/>
    <w:rsid w:val="000C4074"/>
    <w:rsid w:val="000C4136"/>
    <w:rsid w:val="000C44CA"/>
    <w:rsid w:val="000C58D5"/>
    <w:rsid w:val="000C5B99"/>
    <w:rsid w:val="000C7317"/>
    <w:rsid w:val="000C7B69"/>
    <w:rsid w:val="000D0CA7"/>
    <w:rsid w:val="000D15BD"/>
    <w:rsid w:val="000D1712"/>
    <w:rsid w:val="000D2972"/>
    <w:rsid w:val="000D3646"/>
    <w:rsid w:val="000D372A"/>
    <w:rsid w:val="000D4189"/>
    <w:rsid w:val="000D4BDD"/>
    <w:rsid w:val="000D6CA0"/>
    <w:rsid w:val="000D6DF8"/>
    <w:rsid w:val="000D7603"/>
    <w:rsid w:val="000E14F0"/>
    <w:rsid w:val="000E177A"/>
    <w:rsid w:val="000E2313"/>
    <w:rsid w:val="000E2424"/>
    <w:rsid w:val="000E2994"/>
    <w:rsid w:val="000E30E4"/>
    <w:rsid w:val="000E3F61"/>
    <w:rsid w:val="000E41D9"/>
    <w:rsid w:val="000E5347"/>
    <w:rsid w:val="000E5434"/>
    <w:rsid w:val="000E5B7E"/>
    <w:rsid w:val="000E63F0"/>
    <w:rsid w:val="000E6ABD"/>
    <w:rsid w:val="000E70E4"/>
    <w:rsid w:val="000E767B"/>
    <w:rsid w:val="000E7A18"/>
    <w:rsid w:val="000F032E"/>
    <w:rsid w:val="000F189E"/>
    <w:rsid w:val="000F3896"/>
    <w:rsid w:val="000F4C93"/>
    <w:rsid w:val="000F595C"/>
    <w:rsid w:val="000F6265"/>
    <w:rsid w:val="000F6444"/>
    <w:rsid w:val="000F6C60"/>
    <w:rsid w:val="000F7670"/>
    <w:rsid w:val="00100ABE"/>
    <w:rsid w:val="0010163F"/>
    <w:rsid w:val="001021EA"/>
    <w:rsid w:val="00102D11"/>
    <w:rsid w:val="00102E32"/>
    <w:rsid w:val="00103DB4"/>
    <w:rsid w:val="00103DD3"/>
    <w:rsid w:val="00103F06"/>
    <w:rsid w:val="00104733"/>
    <w:rsid w:val="0010480F"/>
    <w:rsid w:val="00104D73"/>
    <w:rsid w:val="00107103"/>
    <w:rsid w:val="001071DC"/>
    <w:rsid w:val="00110D89"/>
    <w:rsid w:val="00111653"/>
    <w:rsid w:val="0011219C"/>
    <w:rsid w:val="0011275C"/>
    <w:rsid w:val="0011528B"/>
    <w:rsid w:val="001155D1"/>
    <w:rsid w:val="00117D83"/>
    <w:rsid w:val="00123103"/>
    <w:rsid w:val="00124D07"/>
    <w:rsid w:val="00125492"/>
    <w:rsid w:val="00125D5B"/>
    <w:rsid w:val="00127188"/>
    <w:rsid w:val="0012774E"/>
    <w:rsid w:val="001319EE"/>
    <w:rsid w:val="00131BCF"/>
    <w:rsid w:val="00131EDF"/>
    <w:rsid w:val="00131FEC"/>
    <w:rsid w:val="00132BFA"/>
    <w:rsid w:val="00132ED5"/>
    <w:rsid w:val="00133033"/>
    <w:rsid w:val="001343A6"/>
    <w:rsid w:val="001346EB"/>
    <w:rsid w:val="00134D00"/>
    <w:rsid w:val="00134FF4"/>
    <w:rsid w:val="00135D30"/>
    <w:rsid w:val="00136341"/>
    <w:rsid w:val="00136DA1"/>
    <w:rsid w:val="001373C4"/>
    <w:rsid w:val="001403BF"/>
    <w:rsid w:val="00140808"/>
    <w:rsid w:val="00140E9C"/>
    <w:rsid w:val="001413C2"/>
    <w:rsid w:val="001417F7"/>
    <w:rsid w:val="00141A4E"/>
    <w:rsid w:val="001430CC"/>
    <w:rsid w:val="001431D6"/>
    <w:rsid w:val="0014455E"/>
    <w:rsid w:val="001456B6"/>
    <w:rsid w:val="0014588B"/>
    <w:rsid w:val="0014592B"/>
    <w:rsid w:val="00146651"/>
    <w:rsid w:val="0014689B"/>
    <w:rsid w:val="001476A3"/>
    <w:rsid w:val="001479FB"/>
    <w:rsid w:val="00147E0E"/>
    <w:rsid w:val="00150A08"/>
    <w:rsid w:val="00151AA8"/>
    <w:rsid w:val="00151B0B"/>
    <w:rsid w:val="00151BA5"/>
    <w:rsid w:val="0015254F"/>
    <w:rsid w:val="00152F94"/>
    <w:rsid w:val="00153687"/>
    <w:rsid w:val="001539CD"/>
    <w:rsid w:val="00153D23"/>
    <w:rsid w:val="00154761"/>
    <w:rsid w:val="00155501"/>
    <w:rsid w:val="00155BFF"/>
    <w:rsid w:val="00156690"/>
    <w:rsid w:val="001573F4"/>
    <w:rsid w:val="00160404"/>
    <w:rsid w:val="001611D6"/>
    <w:rsid w:val="001618EC"/>
    <w:rsid w:val="00162D5B"/>
    <w:rsid w:val="0016347C"/>
    <w:rsid w:val="00164810"/>
    <w:rsid w:val="00165ED6"/>
    <w:rsid w:val="00166D3B"/>
    <w:rsid w:val="001670DC"/>
    <w:rsid w:val="0016795F"/>
    <w:rsid w:val="00170D05"/>
    <w:rsid w:val="00171EBF"/>
    <w:rsid w:val="0017215D"/>
    <w:rsid w:val="00174795"/>
    <w:rsid w:val="00175865"/>
    <w:rsid w:val="00176D77"/>
    <w:rsid w:val="00177C8B"/>
    <w:rsid w:val="00180ADB"/>
    <w:rsid w:val="00180E8C"/>
    <w:rsid w:val="00182B52"/>
    <w:rsid w:val="00182DDB"/>
    <w:rsid w:val="00183079"/>
    <w:rsid w:val="00183D64"/>
    <w:rsid w:val="00183DAE"/>
    <w:rsid w:val="0018451E"/>
    <w:rsid w:val="00184A7F"/>
    <w:rsid w:val="00184C5A"/>
    <w:rsid w:val="001855FD"/>
    <w:rsid w:val="001857C4"/>
    <w:rsid w:val="00186AD1"/>
    <w:rsid w:val="00186F1B"/>
    <w:rsid w:val="0018709C"/>
    <w:rsid w:val="001870BE"/>
    <w:rsid w:val="001874A0"/>
    <w:rsid w:val="001908F3"/>
    <w:rsid w:val="00190AEF"/>
    <w:rsid w:val="00191F4D"/>
    <w:rsid w:val="001920F9"/>
    <w:rsid w:val="00192C02"/>
    <w:rsid w:val="00193E14"/>
    <w:rsid w:val="00194580"/>
    <w:rsid w:val="00194662"/>
    <w:rsid w:val="0019620C"/>
    <w:rsid w:val="001962EB"/>
    <w:rsid w:val="001971BA"/>
    <w:rsid w:val="00197325"/>
    <w:rsid w:val="00197FDA"/>
    <w:rsid w:val="001A0063"/>
    <w:rsid w:val="001A0621"/>
    <w:rsid w:val="001A06BE"/>
    <w:rsid w:val="001A1178"/>
    <w:rsid w:val="001A1F0E"/>
    <w:rsid w:val="001A21CD"/>
    <w:rsid w:val="001A262F"/>
    <w:rsid w:val="001A2B48"/>
    <w:rsid w:val="001A3091"/>
    <w:rsid w:val="001A3CF3"/>
    <w:rsid w:val="001B15A1"/>
    <w:rsid w:val="001B2488"/>
    <w:rsid w:val="001B2EB5"/>
    <w:rsid w:val="001B365D"/>
    <w:rsid w:val="001B3CEC"/>
    <w:rsid w:val="001B3E9F"/>
    <w:rsid w:val="001B3F47"/>
    <w:rsid w:val="001B4565"/>
    <w:rsid w:val="001B4B99"/>
    <w:rsid w:val="001B4D99"/>
    <w:rsid w:val="001B63CF"/>
    <w:rsid w:val="001B6532"/>
    <w:rsid w:val="001C02D4"/>
    <w:rsid w:val="001C0DD1"/>
    <w:rsid w:val="001C1A1C"/>
    <w:rsid w:val="001C21AE"/>
    <w:rsid w:val="001C21E8"/>
    <w:rsid w:val="001C2533"/>
    <w:rsid w:val="001C2793"/>
    <w:rsid w:val="001C356D"/>
    <w:rsid w:val="001C58C3"/>
    <w:rsid w:val="001C7008"/>
    <w:rsid w:val="001C7B9D"/>
    <w:rsid w:val="001D25EE"/>
    <w:rsid w:val="001D2BFB"/>
    <w:rsid w:val="001D2BFE"/>
    <w:rsid w:val="001D3ED2"/>
    <w:rsid w:val="001D46E8"/>
    <w:rsid w:val="001D5649"/>
    <w:rsid w:val="001D5DAB"/>
    <w:rsid w:val="001D5F6C"/>
    <w:rsid w:val="001E06E9"/>
    <w:rsid w:val="001E13C6"/>
    <w:rsid w:val="001E3C56"/>
    <w:rsid w:val="001E3CBD"/>
    <w:rsid w:val="001E4FEE"/>
    <w:rsid w:val="001E5077"/>
    <w:rsid w:val="001E6261"/>
    <w:rsid w:val="001E77CF"/>
    <w:rsid w:val="001E7EE2"/>
    <w:rsid w:val="001F0846"/>
    <w:rsid w:val="001F110B"/>
    <w:rsid w:val="001F238E"/>
    <w:rsid w:val="001F321C"/>
    <w:rsid w:val="001F356D"/>
    <w:rsid w:val="001F3E1A"/>
    <w:rsid w:val="001F4044"/>
    <w:rsid w:val="001F4119"/>
    <w:rsid w:val="001F4EE3"/>
    <w:rsid w:val="001F53DF"/>
    <w:rsid w:val="001F571F"/>
    <w:rsid w:val="001F6DE1"/>
    <w:rsid w:val="001F795F"/>
    <w:rsid w:val="00200547"/>
    <w:rsid w:val="00200BBD"/>
    <w:rsid w:val="0020154A"/>
    <w:rsid w:val="002016A8"/>
    <w:rsid w:val="00203D66"/>
    <w:rsid w:val="002045A1"/>
    <w:rsid w:val="00204787"/>
    <w:rsid w:val="00204E3A"/>
    <w:rsid w:val="002056E8"/>
    <w:rsid w:val="00205E17"/>
    <w:rsid w:val="00206E7A"/>
    <w:rsid w:val="00210132"/>
    <w:rsid w:val="002104B5"/>
    <w:rsid w:val="00212E10"/>
    <w:rsid w:val="00214560"/>
    <w:rsid w:val="00214B22"/>
    <w:rsid w:val="00214C32"/>
    <w:rsid w:val="00215522"/>
    <w:rsid w:val="002168BB"/>
    <w:rsid w:val="00216912"/>
    <w:rsid w:val="00216DAC"/>
    <w:rsid w:val="00217224"/>
    <w:rsid w:val="00217741"/>
    <w:rsid w:val="00221E96"/>
    <w:rsid w:val="002220DC"/>
    <w:rsid w:val="00222EF0"/>
    <w:rsid w:val="0022302F"/>
    <w:rsid w:val="002256DA"/>
    <w:rsid w:val="0022758A"/>
    <w:rsid w:val="00230392"/>
    <w:rsid w:val="0023109C"/>
    <w:rsid w:val="002317F5"/>
    <w:rsid w:val="00231829"/>
    <w:rsid w:val="00232681"/>
    <w:rsid w:val="002351DF"/>
    <w:rsid w:val="002415DC"/>
    <w:rsid w:val="00241F79"/>
    <w:rsid w:val="00244643"/>
    <w:rsid w:val="0024631E"/>
    <w:rsid w:val="002466F8"/>
    <w:rsid w:val="0024749D"/>
    <w:rsid w:val="0025046D"/>
    <w:rsid w:val="0025084E"/>
    <w:rsid w:val="00251743"/>
    <w:rsid w:val="002531A7"/>
    <w:rsid w:val="0025413A"/>
    <w:rsid w:val="00255556"/>
    <w:rsid w:val="00255FF2"/>
    <w:rsid w:val="0025660F"/>
    <w:rsid w:val="00256CE7"/>
    <w:rsid w:val="00256F00"/>
    <w:rsid w:val="002574D2"/>
    <w:rsid w:val="002602C7"/>
    <w:rsid w:val="00260518"/>
    <w:rsid w:val="0026115D"/>
    <w:rsid w:val="00261198"/>
    <w:rsid w:val="00261371"/>
    <w:rsid w:val="00262320"/>
    <w:rsid w:val="002635E5"/>
    <w:rsid w:val="002636BC"/>
    <w:rsid w:val="00264333"/>
    <w:rsid w:val="002648FC"/>
    <w:rsid w:val="00264EE2"/>
    <w:rsid w:val="002655A5"/>
    <w:rsid w:val="00265996"/>
    <w:rsid w:val="00265FCC"/>
    <w:rsid w:val="002671C0"/>
    <w:rsid w:val="00270B06"/>
    <w:rsid w:val="00270E2E"/>
    <w:rsid w:val="00270F5A"/>
    <w:rsid w:val="00272439"/>
    <w:rsid w:val="00272B08"/>
    <w:rsid w:val="00273208"/>
    <w:rsid w:val="00273D2E"/>
    <w:rsid w:val="002741A2"/>
    <w:rsid w:val="0027450D"/>
    <w:rsid w:val="00274CB2"/>
    <w:rsid w:val="002755D7"/>
    <w:rsid w:val="0027571A"/>
    <w:rsid w:val="00275E17"/>
    <w:rsid w:val="00276BC4"/>
    <w:rsid w:val="00277F00"/>
    <w:rsid w:val="002827CF"/>
    <w:rsid w:val="0028299A"/>
    <w:rsid w:val="002843BD"/>
    <w:rsid w:val="0028460A"/>
    <w:rsid w:val="002848F4"/>
    <w:rsid w:val="00284D65"/>
    <w:rsid w:val="00292002"/>
    <w:rsid w:val="00292254"/>
    <w:rsid w:val="00294004"/>
    <w:rsid w:val="002942C4"/>
    <w:rsid w:val="002942FE"/>
    <w:rsid w:val="00295353"/>
    <w:rsid w:val="00295BE4"/>
    <w:rsid w:val="00296ABC"/>
    <w:rsid w:val="00297167"/>
    <w:rsid w:val="0029756B"/>
    <w:rsid w:val="002A1AAF"/>
    <w:rsid w:val="002A2E62"/>
    <w:rsid w:val="002A3EEB"/>
    <w:rsid w:val="002A40C5"/>
    <w:rsid w:val="002A51E2"/>
    <w:rsid w:val="002A53E5"/>
    <w:rsid w:val="002A5B42"/>
    <w:rsid w:val="002A6C07"/>
    <w:rsid w:val="002B44FE"/>
    <w:rsid w:val="002C0523"/>
    <w:rsid w:val="002C38AB"/>
    <w:rsid w:val="002C446A"/>
    <w:rsid w:val="002C5B2D"/>
    <w:rsid w:val="002C5FF8"/>
    <w:rsid w:val="002C606F"/>
    <w:rsid w:val="002C7ED9"/>
    <w:rsid w:val="002D1574"/>
    <w:rsid w:val="002D1F3D"/>
    <w:rsid w:val="002D1F74"/>
    <w:rsid w:val="002D1FAC"/>
    <w:rsid w:val="002D212D"/>
    <w:rsid w:val="002D21CA"/>
    <w:rsid w:val="002D2974"/>
    <w:rsid w:val="002D33CF"/>
    <w:rsid w:val="002D37CD"/>
    <w:rsid w:val="002D53AA"/>
    <w:rsid w:val="002D55BD"/>
    <w:rsid w:val="002D5675"/>
    <w:rsid w:val="002D593D"/>
    <w:rsid w:val="002D59EE"/>
    <w:rsid w:val="002D75D6"/>
    <w:rsid w:val="002D7B0F"/>
    <w:rsid w:val="002E212E"/>
    <w:rsid w:val="002E22E1"/>
    <w:rsid w:val="002E2566"/>
    <w:rsid w:val="002E3153"/>
    <w:rsid w:val="002E3B0B"/>
    <w:rsid w:val="002E51D3"/>
    <w:rsid w:val="002E53AC"/>
    <w:rsid w:val="002E58AC"/>
    <w:rsid w:val="002E5F83"/>
    <w:rsid w:val="002E6F6F"/>
    <w:rsid w:val="002E77D8"/>
    <w:rsid w:val="002E78D6"/>
    <w:rsid w:val="002F226C"/>
    <w:rsid w:val="002F24E1"/>
    <w:rsid w:val="002F2C83"/>
    <w:rsid w:val="002F34F3"/>
    <w:rsid w:val="002F3853"/>
    <w:rsid w:val="002F4256"/>
    <w:rsid w:val="002F58CE"/>
    <w:rsid w:val="002F5E15"/>
    <w:rsid w:val="002F7E4D"/>
    <w:rsid w:val="00301356"/>
    <w:rsid w:val="00301C96"/>
    <w:rsid w:val="00303878"/>
    <w:rsid w:val="00303C2B"/>
    <w:rsid w:val="003046FD"/>
    <w:rsid w:val="0030634F"/>
    <w:rsid w:val="00306E5D"/>
    <w:rsid w:val="00307E22"/>
    <w:rsid w:val="003120E2"/>
    <w:rsid w:val="00312298"/>
    <w:rsid w:val="0031392D"/>
    <w:rsid w:val="003140BA"/>
    <w:rsid w:val="00314A87"/>
    <w:rsid w:val="00315A3E"/>
    <w:rsid w:val="00316698"/>
    <w:rsid w:val="00316855"/>
    <w:rsid w:val="003169EB"/>
    <w:rsid w:val="00316A24"/>
    <w:rsid w:val="00316BC8"/>
    <w:rsid w:val="0031774B"/>
    <w:rsid w:val="0032024A"/>
    <w:rsid w:val="0032097E"/>
    <w:rsid w:val="00320B3C"/>
    <w:rsid w:val="00321D82"/>
    <w:rsid w:val="00322213"/>
    <w:rsid w:val="003224BF"/>
    <w:rsid w:val="003228F6"/>
    <w:rsid w:val="00323339"/>
    <w:rsid w:val="003233DF"/>
    <w:rsid w:val="00323ABF"/>
    <w:rsid w:val="00324238"/>
    <w:rsid w:val="00325F28"/>
    <w:rsid w:val="00326959"/>
    <w:rsid w:val="003278CD"/>
    <w:rsid w:val="00330501"/>
    <w:rsid w:val="00332385"/>
    <w:rsid w:val="00332775"/>
    <w:rsid w:val="00333240"/>
    <w:rsid w:val="00337172"/>
    <w:rsid w:val="003406E6"/>
    <w:rsid w:val="003425C7"/>
    <w:rsid w:val="00342B45"/>
    <w:rsid w:val="00342EF2"/>
    <w:rsid w:val="00343BA3"/>
    <w:rsid w:val="00343FF2"/>
    <w:rsid w:val="00344762"/>
    <w:rsid w:val="00344870"/>
    <w:rsid w:val="00344A05"/>
    <w:rsid w:val="00345F79"/>
    <w:rsid w:val="003460F4"/>
    <w:rsid w:val="003465DC"/>
    <w:rsid w:val="00346C8E"/>
    <w:rsid w:val="00346E34"/>
    <w:rsid w:val="003501DD"/>
    <w:rsid w:val="00351628"/>
    <w:rsid w:val="0035197F"/>
    <w:rsid w:val="00352626"/>
    <w:rsid w:val="003549B5"/>
    <w:rsid w:val="00354CD5"/>
    <w:rsid w:val="00357623"/>
    <w:rsid w:val="00357F1A"/>
    <w:rsid w:val="00357F5E"/>
    <w:rsid w:val="003600BA"/>
    <w:rsid w:val="0036171A"/>
    <w:rsid w:val="00361EB1"/>
    <w:rsid w:val="00362268"/>
    <w:rsid w:val="00363D53"/>
    <w:rsid w:val="003640C4"/>
    <w:rsid w:val="00364471"/>
    <w:rsid w:val="003646B2"/>
    <w:rsid w:val="0036572A"/>
    <w:rsid w:val="00365D74"/>
    <w:rsid w:val="0036655B"/>
    <w:rsid w:val="00370AA2"/>
    <w:rsid w:val="00370D59"/>
    <w:rsid w:val="003719E5"/>
    <w:rsid w:val="00372A5F"/>
    <w:rsid w:val="0037316A"/>
    <w:rsid w:val="00373428"/>
    <w:rsid w:val="00373607"/>
    <w:rsid w:val="00373D5C"/>
    <w:rsid w:val="00374FD1"/>
    <w:rsid w:val="00377884"/>
    <w:rsid w:val="00377A64"/>
    <w:rsid w:val="00380703"/>
    <w:rsid w:val="00380AAA"/>
    <w:rsid w:val="00381AFF"/>
    <w:rsid w:val="00381D82"/>
    <w:rsid w:val="00381F2B"/>
    <w:rsid w:val="00383466"/>
    <w:rsid w:val="00383650"/>
    <w:rsid w:val="003836A2"/>
    <w:rsid w:val="00384079"/>
    <w:rsid w:val="003843DA"/>
    <w:rsid w:val="00385880"/>
    <w:rsid w:val="00386552"/>
    <w:rsid w:val="003872A8"/>
    <w:rsid w:val="00387CFD"/>
    <w:rsid w:val="003910EC"/>
    <w:rsid w:val="003911FB"/>
    <w:rsid w:val="00391312"/>
    <w:rsid w:val="003913E9"/>
    <w:rsid w:val="00391811"/>
    <w:rsid w:val="003A04F2"/>
    <w:rsid w:val="003A09CC"/>
    <w:rsid w:val="003A0B63"/>
    <w:rsid w:val="003A26AF"/>
    <w:rsid w:val="003A3210"/>
    <w:rsid w:val="003A3F19"/>
    <w:rsid w:val="003A4175"/>
    <w:rsid w:val="003A4FFB"/>
    <w:rsid w:val="003A519A"/>
    <w:rsid w:val="003A541D"/>
    <w:rsid w:val="003A6E8D"/>
    <w:rsid w:val="003A6F15"/>
    <w:rsid w:val="003A6FB4"/>
    <w:rsid w:val="003A70BC"/>
    <w:rsid w:val="003B061B"/>
    <w:rsid w:val="003B0E53"/>
    <w:rsid w:val="003B1782"/>
    <w:rsid w:val="003B34FF"/>
    <w:rsid w:val="003B5EAC"/>
    <w:rsid w:val="003B6380"/>
    <w:rsid w:val="003B675F"/>
    <w:rsid w:val="003B6A1B"/>
    <w:rsid w:val="003C0A9D"/>
    <w:rsid w:val="003C1EA5"/>
    <w:rsid w:val="003C1F6C"/>
    <w:rsid w:val="003C20D0"/>
    <w:rsid w:val="003C32DE"/>
    <w:rsid w:val="003C3A6F"/>
    <w:rsid w:val="003C4009"/>
    <w:rsid w:val="003C608A"/>
    <w:rsid w:val="003C6A96"/>
    <w:rsid w:val="003C70FC"/>
    <w:rsid w:val="003C76A5"/>
    <w:rsid w:val="003C7D6F"/>
    <w:rsid w:val="003D13A7"/>
    <w:rsid w:val="003D359B"/>
    <w:rsid w:val="003D38D9"/>
    <w:rsid w:val="003D3C9E"/>
    <w:rsid w:val="003D4455"/>
    <w:rsid w:val="003D4E9B"/>
    <w:rsid w:val="003D55C7"/>
    <w:rsid w:val="003D5E63"/>
    <w:rsid w:val="003D5EAB"/>
    <w:rsid w:val="003D6CE5"/>
    <w:rsid w:val="003E0B67"/>
    <w:rsid w:val="003E104E"/>
    <w:rsid w:val="003E1FA3"/>
    <w:rsid w:val="003E3463"/>
    <w:rsid w:val="003E34FD"/>
    <w:rsid w:val="003E4013"/>
    <w:rsid w:val="003E42E4"/>
    <w:rsid w:val="003E4438"/>
    <w:rsid w:val="003E4936"/>
    <w:rsid w:val="003E4AF4"/>
    <w:rsid w:val="003E5501"/>
    <w:rsid w:val="003E7D87"/>
    <w:rsid w:val="003F0168"/>
    <w:rsid w:val="003F25C2"/>
    <w:rsid w:val="003F3EDB"/>
    <w:rsid w:val="003F4054"/>
    <w:rsid w:val="003F467D"/>
    <w:rsid w:val="003F67E3"/>
    <w:rsid w:val="003F76C3"/>
    <w:rsid w:val="00403CE7"/>
    <w:rsid w:val="00404275"/>
    <w:rsid w:val="00404DF1"/>
    <w:rsid w:val="0040544D"/>
    <w:rsid w:val="00407800"/>
    <w:rsid w:val="00410947"/>
    <w:rsid w:val="00410B18"/>
    <w:rsid w:val="00412007"/>
    <w:rsid w:val="00413183"/>
    <w:rsid w:val="00413E05"/>
    <w:rsid w:val="00414312"/>
    <w:rsid w:val="004144EB"/>
    <w:rsid w:val="00415730"/>
    <w:rsid w:val="00415E02"/>
    <w:rsid w:val="00416476"/>
    <w:rsid w:val="00420C38"/>
    <w:rsid w:val="00420F1F"/>
    <w:rsid w:val="00426F18"/>
    <w:rsid w:val="0042712E"/>
    <w:rsid w:val="0043024C"/>
    <w:rsid w:val="004302EB"/>
    <w:rsid w:val="00430C95"/>
    <w:rsid w:val="00432368"/>
    <w:rsid w:val="004329F6"/>
    <w:rsid w:val="00434152"/>
    <w:rsid w:val="00435C30"/>
    <w:rsid w:val="0043627D"/>
    <w:rsid w:val="004362E0"/>
    <w:rsid w:val="00436E30"/>
    <w:rsid w:val="004379EB"/>
    <w:rsid w:val="00437B87"/>
    <w:rsid w:val="00440B07"/>
    <w:rsid w:val="00440E93"/>
    <w:rsid w:val="00442585"/>
    <w:rsid w:val="00442DB7"/>
    <w:rsid w:val="00443DCC"/>
    <w:rsid w:val="00445219"/>
    <w:rsid w:val="00445349"/>
    <w:rsid w:val="00447559"/>
    <w:rsid w:val="00447D23"/>
    <w:rsid w:val="004510F1"/>
    <w:rsid w:val="004523F8"/>
    <w:rsid w:val="00452D7C"/>
    <w:rsid w:val="0045305B"/>
    <w:rsid w:val="00453237"/>
    <w:rsid w:val="004534E7"/>
    <w:rsid w:val="00453F8F"/>
    <w:rsid w:val="004544F4"/>
    <w:rsid w:val="00454CCC"/>
    <w:rsid w:val="00455821"/>
    <w:rsid w:val="00455B05"/>
    <w:rsid w:val="00456C86"/>
    <w:rsid w:val="00460A4C"/>
    <w:rsid w:val="00460FAA"/>
    <w:rsid w:val="00461C95"/>
    <w:rsid w:val="0046248A"/>
    <w:rsid w:val="00462A26"/>
    <w:rsid w:val="00462EE4"/>
    <w:rsid w:val="0046410D"/>
    <w:rsid w:val="00464FA3"/>
    <w:rsid w:val="00465451"/>
    <w:rsid w:val="00465D4B"/>
    <w:rsid w:val="00465ECA"/>
    <w:rsid w:val="00466A14"/>
    <w:rsid w:val="00466FAB"/>
    <w:rsid w:val="00467E65"/>
    <w:rsid w:val="0047232B"/>
    <w:rsid w:val="0047297F"/>
    <w:rsid w:val="00472D9A"/>
    <w:rsid w:val="00473776"/>
    <w:rsid w:val="0047394A"/>
    <w:rsid w:val="004739CD"/>
    <w:rsid w:val="00475A8A"/>
    <w:rsid w:val="00475E6E"/>
    <w:rsid w:val="00476696"/>
    <w:rsid w:val="00476961"/>
    <w:rsid w:val="00480BF6"/>
    <w:rsid w:val="00482D2C"/>
    <w:rsid w:val="00483835"/>
    <w:rsid w:val="004840D2"/>
    <w:rsid w:val="004842F1"/>
    <w:rsid w:val="00484B46"/>
    <w:rsid w:val="00484E60"/>
    <w:rsid w:val="00485259"/>
    <w:rsid w:val="00487027"/>
    <w:rsid w:val="00487E17"/>
    <w:rsid w:val="00490BDA"/>
    <w:rsid w:val="00490FD4"/>
    <w:rsid w:val="00491205"/>
    <w:rsid w:val="00491EBF"/>
    <w:rsid w:val="00492D6E"/>
    <w:rsid w:val="00493287"/>
    <w:rsid w:val="00493F58"/>
    <w:rsid w:val="00494002"/>
    <w:rsid w:val="004946C5"/>
    <w:rsid w:val="00494EFE"/>
    <w:rsid w:val="004955BA"/>
    <w:rsid w:val="00495C4B"/>
    <w:rsid w:val="00495D53"/>
    <w:rsid w:val="00496E94"/>
    <w:rsid w:val="004A0192"/>
    <w:rsid w:val="004A0477"/>
    <w:rsid w:val="004A1AF9"/>
    <w:rsid w:val="004A2D38"/>
    <w:rsid w:val="004A3F63"/>
    <w:rsid w:val="004A5950"/>
    <w:rsid w:val="004A6514"/>
    <w:rsid w:val="004A6FD4"/>
    <w:rsid w:val="004A715B"/>
    <w:rsid w:val="004A73AF"/>
    <w:rsid w:val="004A796C"/>
    <w:rsid w:val="004A7B48"/>
    <w:rsid w:val="004B00DC"/>
    <w:rsid w:val="004B34EE"/>
    <w:rsid w:val="004B3675"/>
    <w:rsid w:val="004B37D4"/>
    <w:rsid w:val="004B457E"/>
    <w:rsid w:val="004B5034"/>
    <w:rsid w:val="004B5124"/>
    <w:rsid w:val="004B6E4E"/>
    <w:rsid w:val="004B7F66"/>
    <w:rsid w:val="004C0961"/>
    <w:rsid w:val="004C20C2"/>
    <w:rsid w:val="004C276C"/>
    <w:rsid w:val="004C38C3"/>
    <w:rsid w:val="004C39A1"/>
    <w:rsid w:val="004C5972"/>
    <w:rsid w:val="004C60E0"/>
    <w:rsid w:val="004C71F3"/>
    <w:rsid w:val="004C7714"/>
    <w:rsid w:val="004D0125"/>
    <w:rsid w:val="004D279E"/>
    <w:rsid w:val="004D328F"/>
    <w:rsid w:val="004D471C"/>
    <w:rsid w:val="004D5CA4"/>
    <w:rsid w:val="004D65F0"/>
    <w:rsid w:val="004D6B6D"/>
    <w:rsid w:val="004D779D"/>
    <w:rsid w:val="004E0395"/>
    <w:rsid w:val="004E2C6E"/>
    <w:rsid w:val="004E33C3"/>
    <w:rsid w:val="004E3939"/>
    <w:rsid w:val="004E3D93"/>
    <w:rsid w:val="004E45B4"/>
    <w:rsid w:val="004E5916"/>
    <w:rsid w:val="004E5A3C"/>
    <w:rsid w:val="004E6D40"/>
    <w:rsid w:val="004F01FB"/>
    <w:rsid w:val="004F027D"/>
    <w:rsid w:val="004F1D20"/>
    <w:rsid w:val="004F208C"/>
    <w:rsid w:val="004F3669"/>
    <w:rsid w:val="004F3749"/>
    <w:rsid w:val="004F5158"/>
    <w:rsid w:val="004F5549"/>
    <w:rsid w:val="004F5A22"/>
    <w:rsid w:val="004F7E78"/>
    <w:rsid w:val="00500A11"/>
    <w:rsid w:val="005032CF"/>
    <w:rsid w:val="00503471"/>
    <w:rsid w:val="0050441F"/>
    <w:rsid w:val="00504C3E"/>
    <w:rsid w:val="0050530E"/>
    <w:rsid w:val="00505E63"/>
    <w:rsid w:val="005061C4"/>
    <w:rsid w:val="00510F71"/>
    <w:rsid w:val="00511534"/>
    <w:rsid w:val="00512046"/>
    <w:rsid w:val="00512047"/>
    <w:rsid w:val="005131C7"/>
    <w:rsid w:val="0051329B"/>
    <w:rsid w:val="0051365D"/>
    <w:rsid w:val="00513D1B"/>
    <w:rsid w:val="005140CF"/>
    <w:rsid w:val="00514402"/>
    <w:rsid w:val="00514E19"/>
    <w:rsid w:val="0051586C"/>
    <w:rsid w:val="00515B2B"/>
    <w:rsid w:val="00515CB6"/>
    <w:rsid w:val="00516503"/>
    <w:rsid w:val="005169B1"/>
    <w:rsid w:val="00516CE7"/>
    <w:rsid w:val="005205A7"/>
    <w:rsid w:val="005212B7"/>
    <w:rsid w:val="0052158D"/>
    <w:rsid w:val="005215EF"/>
    <w:rsid w:val="00521745"/>
    <w:rsid w:val="00521A2B"/>
    <w:rsid w:val="00521B86"/>
    <w:rsid w:val="00522ED4"/>
    <w:rsid w:val="00523611"/>
    <w:rsid w:val="00524220"/>
    <w:rsid w:val="00524BDA"/>
    <w:rsid w:val="00525118"/>
    <w:rsid w:val="0052556C"/>
    <w:rsid w:val="00525A31"/>
    <w:rsid w:val="00526014"/>
    <w:rsid w:val="005266C3"/>
    <w:rsid w:val="005267F9"/>
    <w:rsid w:val="00526934"/>
    <w:rsid w:val="00527EE7"/>
    <w:rsid w:val="00527FDB"/>
    <w:rsid w:val="0053049C"/>
    <w:rsid w:val="00531734"/>
    <w:rsid w:val="005327FB"/>
    <w:rsid w:val="00532E78"/>
    <w:rsid w:val="00533373"/>
    <w:rsid w:val="00533D5B"/>
    <w:rsid w:val="005340D9"/>
    <w:rsid w:val="0053497E"/>
    <w:rsid w:val="005349A5"/>
    <w:rsid w:val="005366B9"/>
    <w:rsid w:val="00536B28"/>
    <w:rsid w:val="00536F25"/>
    <w:rsid w:val="00537916"/>
    <w:rsid w:val="00537A9D"/>
    <w:rsid w:val="00537AAD"/>
    <w:rsid w:val="00540450"/>
    <w:rsid w:val="005405F7"/>
    <w:rsid w:val="005418AE"/>
    <w:rsid w:val="005429B1"/>
    <w:rsid w:val="005432E2"/>
    <w:rsid w:val="00543831"/>
    <w:rsid w:val="005444B1"/>
    <w:rsid w:val="00544564"/>
    <w:rsid w:val="00544A2C"/>
    <w:rsid w:val="00545A84"/>
    <w:rsid w:val="005467DB"/>
    <w:rsid w:val="00547145"/>
    <w:rsid w:val="00547B1A"/>
    <w:rsid w:val="00547D9A"/>
    <w:rsid w:val="00551967"/>
    <w:rsid w:val="0055228B"/>
    <w:rsid w:val="005536AE"/>
    <w:rsid w:val="005575F2"/>
    <w:rsid w:val="00557D60"/>
    <w:rsid w:val="00560D20"/>
    <w:rsid w:val="005611E4"/>
    <w:rsid w:val="00561612"/>
    <w:rsid w:val="0056197A"/>
    <w:rsid w:val="00562898"/>
    <w:rsid w:val="00563897"/>
    <w:rsid w:val="00564675"/>
    <w:rsid w:val="00564770"/>
    <w:rsid w:val="00565DE0"/>
    <w:rsid w:val="005662E9"/>
    <w:rsid w:val="0056718F"/>
    <w:rsid w:val="0056758B"/>
    <w:rsid w:val="0057088A"/>
    <w:rsid w:val="00574124"/>
    <w:rsid w:val="00575494"/>
    <w:rsid w:val="005754F4"/>
    <w:rsid w:val="00575D7F"/>
    <w:rsid w:val="005771CE"/>
    <w:rsid w:val="005772C4"/>
    <w:rsid w:val="005772E5"/>
    <w:rsid w:val="0058102D"/>
    <w:rsid w:val="00582A07"/>
    <w:rsid w:val="00583DF7"/>
    <w:rsid w:val="00584762"/>
    <w:rsid w:val="00585802"/>
    <w:rsid w:val="00590A62"/>
    <w:rsid w:val="00590EB1"/>
    <w:rsid w:val="005912FA"/>
    <w:rsid w:val="00591477"/>
    <w:rsid w:val="0059289A"/>
    <w:rsid w:val="0059299A"/>
    <w:rsid w:val="00593877"/>
    <w:rsid w:val="00593E06"/>
    <w:rsid w:val="005948A9"/>
    <w:rsid w:val="005950AD"/>
    <w:rsid w:val="00596879"/>
    <w:rsid w:val="005968AB"/>
    <w:rsid w:val="0059694F"/>
    <w:rsid w:val="00597986"/>
    <w:rsid w:val="005A11D6"/>
    <w:rsid w:val="005A3018"/>
    <w:rsid w:val="005A450E"/>
    <w:rsid w:val="005A4B35"/>
    <w:rsid w:val="005A53F1"/>
    <w:rsid w:val="005A54E4"/>
    <w:rsid w:val="005A63D4"/>
    <w:rsid w:val="005A6454"/>
    <w:rsid w:val="005A65C2"/>
    <w:rsid w:val="005A762C"/>
    <w:rsid w:val="005B1737"/>
    <w:rsid w:val="005B1E28"/>
    <w:rsid w:val="005B2AA5"/>
    <w:rsid w:val="005B39E6"/>
    <w:rsid w:val="005B3CFA"/>
    <w:rsid w:val="005B4850"/>
    <w:rsid w:val="005B48CB"/>
    <w:rsid w:val="005B4C1C"/>
    <w:rsid w:val="005B562C"/>
    <w:rsid w:val="005B5803"/>
    <w:rsid w:val="005B5B44"/>
    <w:rsid w:val="005B5C94"/>
    <w:rsid w:val="005B65C6"/>
    <w:rsid w:val="005B6D9E"/>
    <w:rsid w:val="005B7EC2"/>
    <w:rsid w:val="005C0800"/>
    <w:rsid w:val="005C2C1C"/>
    <w:rsid w:val="005C327F"/>
    <w:rsid w:val="005C4DD9"/>
    <w:rsid w:val="005C6C7B"/>
    <w:rsid w:val="005C77F8"/>
    <w:rsid w:val="005C7B52"/>
    <w:rsid w:val="005D084B"/>
    <w:rsid w:val="005D2AE5"/>
    <w:rsid w:val="005D3290"/>
    <w:rsid w:val="005D3A8A"/>
    <w:rsid w:val="005D4F39"/>
    <w:rsid w:val="005D6F15"/>
    <w:rsid w:val="005D7D85"/>
    <w:rsid w:val="005E0E40"/>
    <w:rsid w:val="005E10EC"/>
    <w:rsid w:val="005E1274"/>
    <w:rsid w:val="005E2F92"/>
    <w:rsid w:val="005E31F7"/>
    <w:rsid w:val="005E40E8"/>
    <w:rsid w:val="005E5E28"/>
    <w:rsid w:val="005E5E96"/>
    <w:rsid w:val="005E6F86"/>
    <w:rsid w:val="005E7088"/>
    <w:rsid w:val="005E7D45"/>
    <w:rsid w:val="005F0C72"/>
    <w:rsid w:val="005F140B"/>
    <w:rsid w:val="005F2E27"/>
    <w:rsid w:val="005F37F1"/>
    <w:rsid w:val="005F49FF"/>
    <w:rsid w:val="005F4D82"/>
    <w:rsid w:val="005F5F2F"/>
    <w:rsid w:val="005F69A5"/>
    <w:rsid w:val="005F6EE2"/>
    <w:rsid w:val="005F71DB"/>
    <w:rsid w:val="006006DA"/>
    <w:rsid w:val="006018E4"/>
    <w:rsid w:val="00602195"/>
    <w:rsid w:val="0060253B"/>
    <w:rsid w:val="00602FC3"/>
    <w:rsid w:val="006058C5"/>
    <w:rsid w:val="00606526"/>
    <w:rsid w:val="00606E35"/>
    <w:rsid w:val="00610DC8"/>
    <w:rsid w:val="00611C75"/>
    <w:rsid w:val="00613085"/>
    <w:rsid w:val="0061661C"/>
    <w:rsid w:val="00617020"/>
    <w:rsid w:val="00617301"/>
    <w:rsid w:val="00617A06"/>
    <w:rsid w:val="00620966"/>
    <w:rsid w:val="00620CE3"/>
    <w:rsid w:val="00621362"/>
    <w:rsid w:val="00621599"/>
    <w:rsid w:val="00621A7C"/>
    <w:rsid w:val="00621DF2"/>
    <w:rsid w:val="0062346B"/>
    <w:rsid w:val="00624034"/>
    <w:rsid w:val="00626F5E"/>
    <w:rsid w:val="00627C06"/>
    <w:rsid w:val="00630A97"/>
    <w:rsid w:val="00630FBD"/>
    <w:rsid w:val="00631BBE"/>
    <w:rsid w:val="0063385B"/>
    <w:rsid w:val="00634953"/>
    <w:rsid w:val="0063522E"/>
    <w:rsid w:val="006356FE"/>
    <w:rsid w:val="00636052"/>
    <w:rsid w:val="00636B29"/>
    <w:rsid w:val="00636DC5"/>
    <w:rsid w:val="00637DB9"/>
    <w:rsid w:val="00637EAD"/>
    <w:rsid w:val="006407A7"/>
    <w:rsid w:val="006417A9"/>
    <w:rsid w:val="006421CD"/>
    <w:rsid w:val="006428F6"/>
    <w:rsid w:val="006439DA"/>
    <w:rsid w:val="006440AD"/>
    <w:rsid w:val="00644224"/>
    <w:rsid w:val="00644A2C"/>
    <w:rsid w:val="00645525"/>
    <w:rsid w:val="006455A6"/>
    <w:rsid w:val="00645FA5"/>
    <w:rsid w:val="006463A0"/>
    <w:rsid w:val="006468B1"/>
    <w:rsid w:val="00646901"/>
    <w:rsid w:val="00647675"/>
    <w:rsid w:val="0065087E"/>
    <w:rsid w:val="00650C2E"/>
    <w:rsid w:val="00651269"/>
    <w:rsid w:val="00651C64"/>
    <w:rsid w:val="00652DEA"/>
    <w:rsid w:val="00653713"/>
    <w:rsid w:val="00653FB3"/>
    <w:rsid w:val="0065501F"/>
    <w:rsid w:val="0065564B"/>
    <w:rsid w:val="006573C6"/>
    <w:rsid w:val="006609E2"/>
    <w:rsid w:val="00660BCD"/>
    <w:rsid w:val="00660D7E"/>
    <w:rsid w:val="00661303"/>
    <w:rsid w:val="006614BB"/>
    <w:rsid w:val="0066260D"/>
    <w:rsid w:val="00662A49"/>
    <w:rsid w:val="006637D2"/>
    <w:rsid w:val="00664F99"/>
    <w:rsid w:val="00665C2D"/>
    <w:rsid w:val="00666356"/>
    <w:rsid w:val="0066685D"/>
    <w:rsid w:val="00666C85"/>
    <w:rsid w:val="00670476"/>
    <w:rsid w:val="006719A8"/>
    <w:rsid w:val="00671C28"/>
    <w:rsid w:val="0067222B"/>
    <w:rsid w:val="006725E5"/>
    <w:rsid w:val="00672C35"/>
    <w:rsid w:val="00672D21"/>
    <w:rsid w:val="00672EF8"/>
    <w:rsid w:val="00673595"/>
    <w:rsid w:val="00673851"/>
    <w:rsid w:val="00673EB1"/>
    <w:rsid w:val="00675A6B"/>
    <w:rsid w:val="0067775B"/>
    <w:rsid w:val="00677803"/>
    <w:rsid w:val="00677DCB"/>
    <w:rsid w:val="00683040"/>
    <w:rsid w:val="0068365C"/>
    <w:rsid w:val="00683841"/>
    <w:rsid w:val="00683B5F"/>
    <w:rsid w:val="00687937"/>
    <w:rsid w:val="00687B1C"/>
    <w:rsid w:val="00690B99"/>
    <w:rsid w:val="00691528"/>
    <w:rsid w:val="00691EC1"/>
    <w:rsid w:val="006925F0"/>
    <w:rsid w:val="00692738"/>
    <w:rsid w:val="006928D9"/>
    <w:rsid w:val="00692B81"/>
    <w:rsid w:val="006943F5"/>
    <w:rsid w:val="00695415"/>
    <w:rsid w:val="0069546E"/>
    <w:rsid w:val="00695676"/>
    <w:rsid w:val="006958D6"/>
    <w:rsid w:val="00696C65"/>
    <w:rsid w:val="00696F29"/>
    <w:rsid w:val="006A1031"/>
    <w:rsid w:val="006A180C"/>
    <w:rsid w:val="006A1960"/>
    <w:rsid w:val="006A2DB5"/>
    <w:rsid w:val="006A4AC7"/>
    <w:rsid w:val="006A538D"/>
    <w:rsid w:val="006A59E6"/>
    <w:rsid w:val="006A6A2A"/>
    <w:rsid w:val="006A723D"/>
    <w:rsid w:val="006A7272"/>
    <w:rsid w:val="006B035B"/>
    <w:rsid w:val="006B07B2"/>
    <w:rsid w:val="006B0BC7"/>
    <w:rsid w:val="006B0C62"/>
    <w:rsid w:val="006B16AF"/>
    <w:rsid w:val="006B1730"/>
    <w:rsid w:val="006B1BF9"/>
    <w:rsid w:val="006B2C17"/>
    <w:rsid w:val="006B3E58"/>
    <w:rsid w:val="006B4127"/>
    <w:rsid w:val="006B5053"/>
    <w:rsid w:val="006B595B"/>
    <w:rsid w:val="006B7228"/>
    <w:rsid w:val="006B7375"/>
    <w:rsid w:val="006C013A"/>
    <w:rsid w:val="006C04CD"/>
    <w:rsid w:val="006C17E5"/>
    <w:rsid w:val="006C18EB"/>
    <w:rsid w:val="006C1A5D"/>
    <w:rsid w:val="006C2A65"/>
    <w:rsid w:val="006C2AA0"/>
    <w:rsid w:val="006C311F"/>
    <w:rsid w:val="006C3E3C"/>
    <w:rsid w:val="006D090C"/>
    <w:rsid w:val="006D0EF4"/>
    <w:rsid w:val="006D1BE0"/>
    <w:rsid w:val="006D1C42"/>
    <w:rsid w:val="006D2919"/>
    <w:rsid w:val="006D4B0E"/>
    <w:rsid w:val="006D61A8"/>
    <w:rsid w:val="006D629A"/>
    <w:rsid w:val="006D67C9"/>
    <w:rsid w:val="006E0257"/>
    <w:rsid w:val="006E0713"/>
    <w:rsid w:val="006E0CCE"/>
    <w:rsid w:val="006E2E7C"/>
    <w:rsid w:val="006E32C3"/>
    <w:rsid w:val="006E372E"/>
    <w:rsid w:val="006E5909"/>
    <w:rsid w:val="006E6DCC"/>
    <w:rsid w:val="006E78C5"/>
    <w:rsid w:val="006F019B"/>
    <w:rsid w:val="006F193B"/>
    <w:rsid w:val="006F3394"/>
    <w:rsid w:val="006F33D5"/>
    <w:rsid w:val="006F3B19"/>
    <w:rsid w:val="006F48F6"/>
    <w:rsid w:val="006F4AC9"/>
    <w:rsid w:val="006F55B1"/>
    <w:rsid w:val="006F6EC8"/>
    <w:rsid w:val="007016AC"/>
    <w:rsid w:val="0070207A"/>
    <w:rsid w:val="0070343A"/>
    <w:rsid w:val="00703555"/>
    <w:rsid w:val="00703D5A"/>
    <w:rsid w:val="007055D1"/>
    <w:rsid w:val="007056FC"/>
    <w:rsid w:val="007068D3"/>
    <w:rsid w:val="007076F4"/>
    <w:rsid w:val="007078EC"/>
    <w:rsid w:val="00712A8B"/>
    <w:rsid w:val="00713A7B"/>
    <w:rsid w:val="00714C4C"/>
    <w:rsid w:val="00715DDF"/>
    <w:rsid w:val="00716A09"/>
    <w:rsid w:val="00716B6D"/>
    <w:rsid w:val="007179E0"/>
    <w:rsid w:val="00717B36"/>
    <w:rsid w:val="00717C2E"/>
    <w:rsid w:val="00720AFD"/>
    <w:rsid w:val="00720F2A"/>
    <w:rsid w:val="00722197"/>
    <w:rsid w:val="007231E5"/>
    <w:rsid w:val="00723B8E"/>
    <w:rsid w:val="00723D5B"/>
    <w:rsid w:val="00724AE3"/>
    <w:rsid w:val="00724C08"/>
    <w:rsid w:val="007254A2"/>
    <w:rsid w:val="0072644B"/>
    <w:rsid w:val="00727B9E"/>
    <w:rsid w:val="007316F5"/>
    <w:rsid w:val="00731C99"/>
    <w:rsid w:val="00732B11"/>
    <w:rsid w:val="00732C2F"/>
    <w:rsid w:val="00733997"/>
    <w:rsid w:val="00734371"/>
    <w:rsid w:val="007358B7"/>
    <w:rsid w:val="00736418"/>
    <w:rsid w:val="0073673A"/>
    <w:rsid w:val="0073733F"/>
    <w:rsid w:val="00740C77"/>
    <w:rsid w:val="0074220E"/>
    <w:rsid w:val="00742334"/>
    <w:rsid w:val="007423AC"/>
    <w:rsid w:val="00742CDC"/>
    <w:rsid w:val="00743C83"/>
    <w:rsid w:val="00744A97"/>
    <w:rsid w:val="00745C11"/>
    <w:rsid w:val="007460CE"/>
    <w:rsid w:val="0074620B"/>
    <w:rsid w:val="007466F7"/>
    <w:rsid w:val="00747B85"/>
    <w:rsid w:val="00751B5E"/>
    <w:rsid w:val="00752070"/>
    <w:rsid w:val="007524FA"/>
    <w:rsid w:val="00752F36"/>
    <w:rsid w:val="00753272"/>
    <w:rsid w:val="0075392A"/>
    <w:rsid w:val="00755A42"/>
    <w:rsid w:val="00756F83"/>
    <w:rsid w:val="00757B44"/>
    <w:rsid w:val="007608D7"/>
    <w:rsid w:val="0076109F"/>
    <w:rsid w:val="0076286A"/>
    <w:rsid w:val="00763797"/>
    <w:rsid w:val="007639D5"/>
    <w:rsid w:val="00763DEA"/>
    <w:rsid w:val="007644D3"/>
    <w:rsid w:val="00767152"/>
    <w:rsid w:val="00767B1E"/>
    <w:rsid w:val="00770380"/>
    <w:rsid w:val="00771248"/>
    <w:rsid w:val="007716A5"/>
    <w:rsid w:val="007717BF"/>
    <w:rsid w:val="00772197"/>
    <w:rsid w:val="0077264E"/>
    <w:rsid w:val="00773B5F"/>
    <w:rsid w:val="0077422F"/>
    <w:rsid w:val="00774E67"/>
    <w:rsid w:val="007763FC"/>
    <w:rsid w:val="00776677"/>
    <w:rsid w:val="00777C41"/>
    <w:rsid w:val="00777E44"/>
    <w:rsid w:val="00780683"/>
    <w:rsid w:val="00780965"/>
    <w:rsid w:val="00780C7B"/>
    <w:rsid w:val="00781BAE"/>
    <w:rsid w:val="00781DD8"/>
    <w:rsid w:val="00782CD3"/>
    <w:rsid w:val="0078361D"/>
    <w:rsid w:val="0078373E"/>
    <w:rsid w:val="0078637E"/>
    <w:rsid w:val="00786461"/>
    <w:rsid w:val="00786CAD"/>
    <w:rsid w:val="007872F1"/>
    <w:rsid w:val="00790B12"/>
    <w:rsid w:val="00791B4B"/>
    <w:rsid w:val="00791C7D"/>
    <w:rsid w:val="00792832"/>
    <w:rsid w:val="00792871"/>
    <w:rsid w:val="00792985"/>
    <w:rsid w:val="00793700"/>
    <w:rsid w:val="00793FF9"/>
    <w:rsid w:val="00794564"/>
    <w:rsid w:val="00794AE2"/>
    <w:rsid w:val="00795AFF"/>
    <w:rsid w:val="007A1F60"/>
    <w:rsid w:val="007A25B7"/>
    <w:rsid w:val="007A298A"/>
    <w:rsid w:val="007A3FCC"/>
    <w:rsid w:val="007A4562"/>
    <w:rsid w:val="007A617F"/>
    <w:rsid w:val="007A68BC"/>
    <w:rsid w:val="007A7679"/>
    <w:rsid w:val="007A7A4E"/>
    <w:rsid w:val="007B0993"/>
    <w:rsid w:val="007B0F7C"/>
    <w:rsid w:val="007B124F"/>
    <w:rsid w:val="007B2214"/>
    <w:rsid w:val="007B2507"/>
    <w:rsid w:val="007B2BB2"/>
    <w:rsid w:val="007B3811"/>
    <w:rsid w:val="007B4A16"/>
    <w:rsid w:val="007B54F5"/>
    <w:rsid w:val="007B6A8E"/>
    <w:rsid w:val="007B71BC"/>
    <w:rsid w:val="007B7C14"/>
    <w:rsid w:val="007B7D33"/>
    <w:rsid w:val="007C0154"/>
    <w:rsid w:val="007C1B69"/>
    <w:rsid w:val="007C1ECF"/>
    <w:rsid w:val="007C2CCB"/>
    <w:rsid w:val="007C302B"/>
    <w:rsid w:val="007C3534"/>
    <w:rsid w:val="007C4DDD"/>
    <w:rsid w:val="007C4F44"/>
    <w:rsid w:val="007C6331"/>
    <w:rsid w:val="007C73CE"/>
    <w:rsid w:val="007C7D9C"/>
    <w:rsid w:val="007D02FB"/>
    <w:rsid w:val="007D0937"/>
    <w:rsid w:val="007D1082"/>
    <w:rsid w:val="007D182E"/>
    <w:rsid w:val="007D1EF7"/>
    <w:rsid w:val="007D3BAF"/>
    <w:rsid w:val="007D44E4"/>
    <w:rsid w:val="007D4718"/>
    <w:rsid w:val="007D53A7"/>
    <w:rsid w:val="007D575D"/>
    <w:rsid w:val="007E038B"/>
    <w:rsid w:val="007E08C3"/>
    <w:rsid w:val="007E11EC"/>
    <w:rsid w:val="007E1AAD"/>
    <w:rsid w:val="007E2F30"/>
    <w:rsid w:val="007E3DD3"/>
    <w:rsid w:val="007E5347"/>
    <w:rsid w:val="007E5D42"/>
    <w:rsid w:val="007E5D83"/>
    <w:rsid w:val="007E602A"/>
    <w:rsid w:val="007E71C3"/>
    <w:rsid w:val="007E74C1"/>
    <w:rsid w:val="007E76F0"/>
    <w:rsid w:val="007F0F19"/>
    <w:rsid w:val="007F3107"/>
    <w:rsid w:val="007F3168"/>
    <w:rsid w:val="007F3A26"/>
    <w:rsid w:val="007F3EE0"/>
    <w:rsid w:val="007F4664"/>
    <w:rsid w:val="007F536C"/>
    <w:rsid w:val="007F620E"/>
    <w:rsid w:val="007F6CF5"/>
    <w:rsid w:val="008011D1"/>
    <w:rsid w:val="008013E0"/>
    <w:rsid w:val="00801BC2"/>
    <w:rsid w:val="00801CD9"/>
    <w:rsid w:val="00802101"/>
    <w:rsid w:val="00802701"/>
    <w:rsid w:val="0080365E"/>
    <w:rsid w:val="0080391C"/>
    <w:rsid w:val="00804253"/>
    <w:rsid w:val="00804473"/>
    <w:rsid w:val="00805FCA"/>
    <w:rsid w:val="00806983"/>
    <w:rsid w:val="00806B28"/>
    <w:rsid w:val="00806E6C"/>
    <w:rsid w:val="00811DB1"/>
    <w:rsid w:val="008122D7"/>
    <w:rsid w:val="008134C1"/>
    <w:rsid w:val="00813F0B"/>
    <w:rsid w:val="008148DD"/>
    <w:rsid w:val="00815A17"/>
    <w:rsid w:val="00815A5D"/>
    <w:rsid w:val="00815C10"/>
    <w:rsid w:val="00815F1F"/>
    <w:rsid w:val="008160F2"/>
    <w:rsid w:val="0081626F"/>
    <w:rsid w:val="0081681B"/>
    <w:rsid w:val="00820472"/>
    <w:rsid w:val="00821289"/>
    <w:rsid w:val="00821E5D"/>
    <w:rsid w:val="00826467"/>
    <w:rsid w:val="00826496"/>
    <w:rsid w:val="00826F68"/>
    <w:rsid w:val="00830D21"/>
    <w:rsid w:val="00830E8B"/>
    <w:rsid w:val="008332F4"/>
    <w:rsid w:val="00833377"/>
    <w:rsid w:val="0083350A"/>
    <w:rsid w:val="00837CAC"/>
    <w:rsid w:val="00840FC2"/>
    <w:rsid w:val="00841417"/>
    <w:rsid w:val="00841CF7"/>
    <w:rsid w:val="00841DCE"/>
    <w:rsid w:val="00842C96"/>
    <w:rsid w:val="00843299"/>
    <w:rsid w:val="00844124"/>
    <w:rsid w:val="008445B3"/>
    <w:rsid w:val="0084648B"/>
    <w:rsid w:val="008465E3"/>
    <w:rsid w:val="00846841"/>
    <w:rsid w:val="00846D45"/>
    <w:rsid w:val="008477EE"/>
    <w:rsid w:val="00850375"/>
    <w:rsid w:val="00852317"/>
    <w:rsid w:val="008523D7"/>
    <w:rsid w:val="008524D0"/>
    <w:rsid w:val="008525F2"/>
    <w:rsid w:val="00852FFD"/>
    <w:rsid w:val="0085358F"/>
    <w:rsid w:val="0085442C"/>
    <w:rsid w:val="0085507F"/>
    <w:rsid w:val="00855FD7"/>
    <w:rsid w:val="00857455"/>
    <w:rsid w:val="0085763C"/>
    <w:rsid w:val="00857C05"/>
    <w:rsid w:val="00857D12"/>
    <w:rsid w:val="00862E3A"/>
    <w:rsid w:val="00862F79"/>
    <w:rsid w:val="00862F95"/>
    <w:rsid w:val="008638B7"/>
    <w:rsid w:val="00863A51"/>
    <w:rsid w:val="00863E16"/>
    <w:rsid w:val="00864B94"/>
    <w:rsid w:val="00864CBD"/>
    <w:rsid w:val="00864DC2"/>
    <w:rsid w:val="0086578D"/>
    <w:rsid w:val="00866858"/>
    <w:rsid w:val="00866DB4"/>
    <w:rsid w:val="00870299"/>
    <w:rsid w:val="00870A2D"/>
    <w:rsid w:val="00873D9F"/>
    <w:rsid w:val="00874194"/>
    <w:rsid w:val="00874430"/>
    <w:rsid w:val="008744AA"/>
    <w:rsid w:val="00874752"/>
    <w:rsid w:val="00874760"/>
    <w:rsid w:val="00880025"/>
    <w:rsid w:val="00880115"/>
    <w:rsid w:val="00880855"/>
    <w:rsid w:val="0088139D"/>
    <w:rsid w:val="00881E05"/>
    <w:rsid w:val="008842B6"/>
    <w:rsid w:val="008844B6"/>
    <w:rsid w:val="00884DA4"/>
    <w:rsid w:val="00885956"/>
    <w:rsid w:val="00885C35"/>
    <w:rsid w:val="00886869"/>
    <w:rsid w:val="00887053"/>
    <w:rsid w:val="008870D5"/>
    <w:rsid w:val="00887F4F"/>
    <w:rsid w:val="008904E8"/>
    <w:rsid w:val="008909E8"/>
    <w:rsid w:val="0089169C"/>
    <w:rsid w:val="0089395F"/>
    <w:rsid w:val="00893ACC"/>
    <w:rsid w:val="00893B4A"/>
    <w:rsid w:val="008945AF"/>
    <w:rsid w:val="00894CEC"/>
    <w:rsid w:val="00895979"/>
    <w:rsid w:val="00896AD9"/>
    <w:rsid w:val="008A019C"/>
    <w:rsid w:val="008A0BF7"/>
    <w:rsid w:val="008A216A"/>
    <w:rsid w:val="008A2D9C"/>
    <w:rsid w:val="008A38FD"/>
    <w:rsid w:val="008A3C50"/>
    <w:rsid w:val="008A57B5"/>
    <w:rsid w:val="008A590A"/>
    <w:rsid w:val="008A5CD0"/>
    <w:rsid w:val="008A62E0"/>
    <w:rsid w:val="008A7035"/>
    <w:rsid w:val="008A7E3F"/>
    <w:rsid w:val="008B11A1"/>
    <w:rsid w:val="008B15B3"/>
    <w:rsid w:val="008B1FCB"/>
    <w:rsid w:val="008B2423"/>
    <w:rsid w:val="008B2C93"/>
    <w:rsid w:val="008B32EA"/>
    <w:rsid w:val="008B35BE"/>
    <w:rsid w:val="008B3EBF"/>
    <w:rsid w:val="008B55C8"/>
    <w:rsid w:val="008B5627"/>
    <w:rsid w:val="008B5C08"/>
    <w:rsid w:val="008B60EC"/>
    <w:rsid w:val="008B61E0"/>
    <w:rsid w:val="008B67E2"/>
    <w:rsid w:val="008B71B3"/>
    <w:rsid w:val="008B74F3"/>
    <w:rsid w:val="008B7809"/>
    <w:rsid w:val="008C014A"/>
    <w:rsid w:val="008C0297"/>
    <w:rsid w:val="008C09F7"/>
    <w:rsid w:val="008C1C3F"/>
    <w:rsid w:val="008C1E57"/>
    <w:rsid w:val="008C2208"/>
    <w:rsid w:val="008C2F04"/>
    <w:rsid w:val="008C3221"/>
    <w:rsid w:val="008C3574"/>
    <w:rsid w:val="008C4421"/>
    <w:rsid w:val="008C49EC"/>
    <w:rsid w:val="008C672D"/>
    <w:rsid w:val="008C6C32"/>
    <w:rsid w:val="008C7A54"/>
    <w:rsid w:val="008C7E7F"/>
    <w:rsid w:val="008D0209"/>
    <w:rsid w:val="008D026E"/>
    <w:rsid w:val="008D0772"/>
    <w:rsid w:val="008D0AAC"/>
    <w:rsid w:val="008D135B"/>
    <w:rsid w:val="008D2705"/>
    <w:rsid w:val="008D2CFB"/>
    <w:rsid w:val="008D33D8"/>
    <w:rsid w:val="008D4B42"/>
    <w:rsid w:val="008D5A9F"/>
    <w:rsid w:val="008D6094"/>
    <w:rsid w:val="008E010F"/>
    <w:rsid w:val="008E05EE"/>
    <w:rsid w:val="008E09D9"/>
    <w:rsid w:val="008E0B05"/>
    <w:rsid w:val="008E14F3"/>
    <w:rsid w:val="008E17CA"/>
    <w:rsid w:val="008E182E"/>
    <w:rsid w:val="008E2A4A"/>
    <w:rsid w:val="008E3450"/>
    <w:rsid w:val="008E3DE5"/>
    <w:rsid w:val="008E3FB8"/>
    <w:rsid w:val="008E4336"/>
    <w:rsid w:val="008E45D4"/>
    <w:rsid w:val="008E4E4D"/>
    <w:rsid w:val="008E5FCE"/>
    <w:rsid w:val="008E7C78"/>
    <w:rsid w:val="008F355B"/>
    <w:rsid w:val="008F3D96"/>
    <w:rsid w:val="008F445F"/>
    <w:rsid w:val="008F4E9A"/>
    <w:rsid w:val="008F5458"/>
    <w:rsid w:val="008F5BE4"/>
    <w:rsid w:val="009005E4"/>
    <w:rsid w:val="0090185D"/>
    <w:rsid w:val="009023C1"/>
    <w:rsid w:val="0090347D"/>
    <w:rsid w:val="0090421B"/>
    <w:rsid w:val="009046BA"/>
    <w:rsid w:val="0090474E"/>
    <w:rsid w:val="0090578E"/>
    <w:rsid w:val="00906551"/>
    <w:rsid w:val="009073F2"/>
    <w:rsid w:val="009102B9"/>
    <w:rsid w:val="00910A57"/>
    <w:rsid w:val="00910E6A"/>
    <w:rsid w:val="00911B5A"/>
    <w:rsid w:val="0091263E"/>
    <w:rsid w:val="00915118"/>
    <w:rsid w:val="00916611"/>
    <w:rsid w:val="00917F94"/>
    <w:rsid w:val="00920F63"/>
    <w:rsid w:val="00921B02"/>
    <w:rsid w:val="009223B2"/>
    <w:rsid w:val="009224D2"/>
    <w:rsid w:val="00924CC4"/>
    <w:rsid w:val="0092550C"/>
    <w:rsid w:val="00925646"/>
    <w:rsid w:val="00925A24"/>
    <w:rsid w:val="00925FAB"/>
    <w:rsid w:val="009261B5"/>
    <w:rsid w:val="00926414"/>
    <w:rsid w:val="00926841"/>
    <w:rsid w:val="00930130"/>
    <w:rsid w:val="00930407"/>
    <w:rsid w:val="00930506"/>
    <w:rsid w:val="0093081E"/>
    <w:rsid w:val="00932C7B"/>
    <w:rsid w:val="00934947"/>
    <w:rsid w:val="00935209"/>
    <w:rsid w:val="009353F3"/>
    <w:rsid w:val="00935837"/>
    <w:rsid w:val="00937912"/>
    <w:rsid w:val="00937AA9"/>
    <w:rsid w:val="0094103C"/>
    <w:rsid w:val="009426B5"/>
    <w:rsid w:val="009441AA"/>
    <w:rsid w:val="00944BCC"/>
    <w:rsid w:val="00944EB7"/>
    <w:rsid w:val="0095108B"/>
    <w:rsid w:val="00951E80"/>
    <w:rsid w:val="009520A9"/>
    <w:rsid w:val="0095292A"/>
    <w:rsid w:val="00953F28"/>
    <w:rsid w:val="00954A75"/>
    <w:rsid w:val="009554D2"/>
    <w:rsid w:val="00955FDE"/>
    <w:rsid w:val="0095647F"/>
    <w:rsid w:val="009569E9"/>
    <w:rsid w:val="009571CA"/>
    <w:rsid w:val="00957A13"/>
    <w:rsid w:val="00957CF3"/>
    <w:rsid w:val="0096015E"/>
    <w:rsid w:val="0096047A"/>
    <w:rsid w:val="00960579"/>
    <w:rsid w:val="00960ECB"/>
    <w:rsid w:val="00961959"/>
    <w:rsid w:val="0096232F"/>
    <w:rsid w:val="00962388"/>
    <w:rsid w:val="00963347"/>
    <w:rsid w:val="00963EEF"/>
    <w:rsid w:val="009640E6"/>
    <w:rsid w:val="00964974"/>
    <w:rsid w:val="0096515F"/>
    <w:rsid w:val="009653A3"/>
    <w:rsid w:val="00965769"/>
    <w:rsid w:val="00965989"/>
    <w:rsid w:val="0096600D"/>
    <w:rsid w:val="009671E7"/>
    <w:rsid w:val="00967D3F"/>
    <w:rsid w:val="00972FBF"/>
    <w:rsid w:val="00973A3B"/>
    <w:rsid w:val="00973E13"/>
    <w:rsid w:val="009744C3"/>
    <w:rsid w:val="009744D6"/>
    <w:rsid w:val="00975197"/>
    <w:rsid w:val="00975C71"/>
    <w:rsid w:val="00976D30"/>
    <w:rsid w:val="009825F5"/>
    <w:rsid w:val="00982DC3"/>
    <w:rsid w:val="00982F4E"/>
    <w:rsid w:val="00984227"/>
    <w:rsid w:val="00984761"/>
    <w:rsid w:val="009856D2"/>
    <w:rsid w:val="00985E7C"/>
    <w:rsid w:val="00985F0A"/>
    <w:rsid w:val="00987BC5"/>
    <w:rsid w:val="00992409"/>
    <w:rsid w:val="00994C11"/>
    <w:rsid w:val="0099630C"/>
    <w:rsid w:val="0099653C"/>
    <w:rsid w:val="00997DA6"/>
    <w:rsid w:val="009A0993"/>
    <w:rsid w:val="009A14AF"/>
    <w:rsid w:val="009A205C"/>
    <w:rsid w:val="009A266D"/>
    <w:rsid w:val="009A286A"/>
    <w:rsid w:val="009A2FCE"/>
    <w:rsid w:val="009A348A"/>
    <w:rsid w:val="009A4ACE"/>
    <w:rsid w:val="009A4EF2"/>
    <w:rsid w:val="009A4FA2"/>
    <w:rsid w:val="009A5D65"/>
    <w:rsid w:val="009A62F6"/>
    <w:rsid w:val="009A685D"/>
    <w:rsid w:val="009A7049"/>
    <w:rsid w:val="009A76E0"/>
    <w:rsid w:val="009A7917"/>
    <w:rsid w:val="009B3503"/>
    <w:rsid w:val="009B46D4"/>
    <w:rsid w:val="009B511D"/>
    <w:rsid w:val="009B5FDB"/>
    <w:rsid w:val="009B603A"/>
    <w:rsid w:val="009B67A9"/>
    <w:rsid w:val="009B6902"/>
    <w:rsid w:val="009B6FCB"/>
    <w:rsid w:val="009B7D41"/>
    <w:rsid w:val="009C18FA"/>
    <w:rsid w:val="009C548A"/>
    <w:rsid w:val="009C54C5"/>
    <w:rsid w:val="009C7393"/>
    <w:rsid w:val="009C73B5"/>
    <w:rsid w:val="009C748C"/>
    <w:rsid w:val="009C7A8B"/>
    <w:rsid w:val="009D09C9"/>
    <w:rsid w:val="009D1383"/>
    <w:rsid w:val="009D1C41"/>
    <w:rsid w:val="009D2AEE"/>
    <w:rsid w:val="009D3797"/>
    <w:rsid w:val="009D3DAF"/>
    <w:rsid w:val="009D4121"/>
    <w:rsid w:val="009D598F"/>
    <w:rsid w:val="009D7ED6"/>
    <w:rsid w:val="009E04B3"/>
    <w:rsid w:val="009E1225"/>
    <w:rsid w:val="009E1B75"/>
    <w:rsid w:val="009E2B5C"/>
    <w:rsid w:val="009E2EEC"/>
    <w:rsid w:val="009E3142"/>
    <w:rsid w:val="009E36D1"/>
    <w:rsid w:val="009E3DBC"/>
    <w:rsid w:val="009E4640"/>
    <w:rsid w:val="009E48E4"/>
    <w:rsid w:val="009E56E2"/>
    <w:rsid w:val="009E572A"/>
    <w:rsid w:val="009E7725"/>
    <w:rsid w:val="009E7F38"/>
    <w:rsid w:val="009F0234"/>
    <w:rsid w:val="009F04F7"/>
    <w:rsid w:val="009F1108"/>
    <w:rsid w:val="009F1BC9"/>
    <w:rsid w:val="009F2124"/>
    <w:rsid w:val="009F393A"/>
    <w:rsid w:val="009F39D4"/>
    <w:rsid w:val="009F3CB3"/>
    <w:rsid w:val="009F48FC"/>
    <w:rsid w:val="009F4A59"/>
    <w:rsid w:val="009F4DB9"/>
    <w:rsid w:val="009F6665"/>
    <w:rsid w:val="009F6892"/>
    <w:rsid w:val="009F6949"/>
    <w:rsid w:val="009F69B0"/>
    <w:rsid w:val="009F6A72"/>
    <w:rsid w:val="009F6E99"/>
    <w:rsid w:val="009F7023"/>
    <w:rsid w:val="009F771A"/>
    <w:rsid w:val="00A01C78"/>
    <w:rsid w:val="00A02D5C"/>
    <w:rsid w:val="00A0319F"/>
    <w:rsid w:val="00A0406A"/>
    <w:rsid w:val="00A05576"/>
    <w:rsid w:val="00A058BF"/>
    <w:rsid w:val="00A07332"/>
    <w:rsid w:val="00A07955"/>
    <w:rsid w:val="00A07A96"/>
    <w:rsid w:val="00A1179E"/>
    <w:rsid w:val="00A121B7"/>
    <w:rsid w:val="00A13A92"/>
    <w:rsid w:val="00A13CF8"/>
    <w:rsid w:val="00A14E59"/>
    <w:rsid w:val="00A20BC1"/>
    <w:rsid w:val="00A21AAD"/>
    <w:rsid w:val="00A21F5E"/>
    <w:rsid w:val="00A22847"/>
    <w:rsid w:val="00A23C05"/>
    <w:rsid w:val="00A245CC"/>
    <w:rsid w:val="00A24649"/>
    <w:rsid w:val="00A24845"/>
    <w:rsid w:val="00A24E91"/>
    <w:rsid w:val="00A250FE"/>
    <w:rsid w:val="00A25AB6"/>
    <w:rsid w:val="00A27643"/>
    <w:rsid w:val="00A27E04"/>
    <w:rsid w:val="00A30E71"/>
    <w:rsid w:val="00A317D8"/>
    <w:rsid w:val="00A319DE"/>
    <w:rsid w:val="00A3223A"/>
    <w:rsid w:val="00A32A4F"/>
    <w:rsid w:val="00A344A7"/>
    <w:rsid w:val="00A34656"/>
    <w:rsid w:val="00A3584A"/>
    <w:rsid w:val="00A35FC7"/>
    <w:rsid w:val="00A36570"/>
    <w:rsid w:val="00A4060E"/>
    <w:rsid w:val="00A44E94"/>
    <w:rsid w:val="00A45AE6"/>
    <w:rsid w:val="00A45B18"/>
    <w:rsid w:val="00A47C3C"/>
    <w:rsid w:val="00A51DA3"/>
    <w:rsid w:val="00A51E48"/>
    <w:rsid w:val="00A5251A"/>
    <w:rsid w:val="00A533B6"/>
    <w:rsid w:val="00A533F4"/>
    <w:rsid w:val="00A55478"/>
    <w:rsid w:val="00A555CB"/>
    <w:rsid w:val="00A56032"/>
    <w:rsid w:val="00A56E40"/>
    <w:rsid w:val="00A576D7"/>
    <w:rsid w:val="00A5793D"/>
    <w:rsid w:val="00A60203"/>
    <w:rsid w:val="00A611A7"/>
    <w:rsid w:val="00A6251F"/>
    <w:rsid w:val="00A62BEA"/>
    <w:rsid w:val="00A62E4A"/>
    <w:rsid w:val="00A65585"/>
    <w:rsid w:val="00A66C63"/>
    <w:rsid w:val="00A67E89"/>
    <w:rsid w:val="00A7072D"/>
    <w:rsid w:val="00A70DA5"/>
    <w:rsid w:val="00A71235"/>
    <w:rsid w:val="00A738A7"/>
    <w:rsid w:val="00A73DD6"/>
    <w:rsid w:val="00A754F5"/>
    <w:rsid w:val="00A75D2D"/>
    <w:rsid w:val="00A75E13"/>
    <w:rsid w:val="00A76027"/>
    <w:rsid w:val="00A77053"/>
    <w:rsid w:val="00A8087E"/>
    <w:rsid w:val="00A856B2"/>
    <w:rsid w:val="00A86489"/>
    <w:rsid w:val="00A86988"/>
    <w:rsid w:val="00A87EA3"/>
    <w:rsid w:val="00A903F4"/>
    <w:rsid w:val="00A9055A"/>
    <w:rsid w:val="00A909E5"/>
    <w:rsid w:val="00A91057"/>
    <w:rsid w:val="00A910F1"/>
    <w:rsid w:val="00A92D0B"/>
    <w:rsid w:val="00A940EE"/>
    <w:rsid w:val="00A942AA"/>
    <w:rsid w:val="00A94379"/>
    <w:rsid w:val="00A94F68"/>
    <w:rsid w:val="00A95F52"/>
    <w:rsid w:val="00A9744E"/>
    <w:rsid w:val="00A97A4B"/>
    <w:rsid w:val="00AA0592"/>
    <w:rsid w:val="00AA0817"/>
    <w:rsid w:val="00AA1740"/>
    <w:rsid w:val="00AA26C7"/>
    <w:rsid w:val="00AA33E3"/>
    <w:rsid w:val="00AA39B3"/>
    <w:rsid w:val="00AA3ABB"/>
    <w:rsid w:val="00AA4531"/>
    <w:rsid w:val="00AA46A1"/>
    <w:rsid w:val="00AA55FE"/>
    <w:rsid w:val="00AA5AA4"/>
    <w:rsid w:val="00AA6160"/>
    <w:rsid w:val="00AA7026"/>
    <w:rsid w:val="00AA7419"/>
    <w:rsid w:val="00AA7F52"/>
    <w:rsid w:val="00AB1ADA"/>
    <w:rsid w:val="00AB2399"/>
    <w:rsid w:val="00AB2960"/>
    <w:rsid w:val="00AB2F7F"/>
    <w:rsid w:val="00AB3510"/>
    <w:rsid w:val="00AB47AD"/>
    <w:rsid w:val="00AB4E72"/>
    <w:rsid w:val="00AB4F6C"/>
    <w:rsid w:val="00AB57B9"/>
    <w:rsid w:val="00AB5A1F"/>
    <w:rsid w:val="00AB5AEF"/>
    <w:rsid w:val="00AB6468"/>
    <w:rsid w:val="00AB647F"/>
    <w:rsid w:val="00AB7A28"/>
    <w:rsid w:val="00AC044D"/>
    <w:rsid w:val="00AC0D15"/>
    <w:rsid w:val="00AC0F7C"/>
    <w:rsid w:val="00AC20FA"/>
    <w:rsid w:val="00AC239F"/>
    <w:rsid w:val="00AC51FB"/>
    <w:rsid w:val="00AC5A4B"/>
    <w:rsid w:val="00AD03E2"/>
    <w:rsid w:val="00AD1BA7"/>
    <w:rsid w:val="00AD1FFE"/>
    <w:rsid w:val="00AD2C41"/>
    <w:rsid w:val="00AD3112"/>
    <w:rsid w:val="00AD447D"/>
    <w:rsid w:val="00AD50ED"/>
    <w:rsid w:val="00AD5797"/>
    <w:rsid w:val="00AD6B30"/>
    <w:rsid w:val="00AD705E"/>
    <w:rsid w:val="00AD742A"/>
    <w:rsid w:val="00AE046F"/>
    <w:rsid w:val="00AE0C39"/>
    <w:rsid w:val="00AE0E7A"/>
    <w:rsid w:val="00AE20BD"/>
    <w:rsid w:val="00AE2FDE"/>
    <w:rsid w:val="00AE32B3"/>
    <w:rsid w:val="00AE429F"/>
    <w:rsid w:val="00AE5E4D"/>
    <w:rsid w:val="00AE627D"/>
    <w:rsid w:val="00AE6488"/>
    <w:rsid w:val="00AE79E7"/>
    <w:rsid w:val="00AE7E70"/>
    <w:rsid w:val="00AF0BFC"/>
    <w:rsid w:val="00AF1009"/>
    <w:rsid w:val="00AF18C2"/>
    <w:rsid w:val="00AF26AC"/>
    <w:rsid w:val="00AF3E70"/>
    <w:rsid w:val="00AF4241"/>
    <w:rsid w:val="00AF574F"/>
    <w:rsid w:val="00AF61A9"/>
    <w:rsid w:val="00AF6387"/>
    <w:rsid w:val="00AF74B4"/>
    <w:rsid w:val="00AF7A65"/>
    <w:rsid w:val="00B00111"/>
    <w:rsid w:val="00B0046C"/>
    <w:rsid w:val="00B00496"/>
    <w:rsid w:val="00B00683"/>
    <w:rsid w:val="00B00BCD"/>
    <w:rsid w:val="00B00E8F"/>
    <w:rsid w:val="00B01A64"/>
    <w:rsid w:val="00B03003"/>
    <w:rsid w:val="00B0362C"/>
    <w:rsid w:val="00B04957"/>
    <w:rsid w:val="00B0501A"/>
    <w:rsid w:val="00B05F3F"/>
    <w:rsid w:val="00B0787C"/>
    <w:rsid w:val="00B0794A"/>
    <w:rsid w:val="00B1258C"/>
    <w:rsid w:val="00B136E7"/>
    <w:rsid w:val="00B142C3"/>
    <w:rsid w:val="00B14A27"/>
    <w:rsid w:val="00B14EC4"/>
    <w:rsid w:val="00B1593B"/>
    <w:rsid w:val="00B17005"/>
    <w:rsid w:val="00B170B8"/>
    <w:rsid w:val="00B17975"/>
    <w:rsid w:val="00B212D9"/>
    <w:rsid w:val="00B22153"/>
    <w:rsid w:val="00B223B8"/>
    <w:rsid w:val="00B23435"/>
    <w:rsid w:val="00B237A7"/>
    <w:rsid w:val="00B23D19"/>
    <w:rsid w:val="00B23E27"/>
    <w:rsid w:val="00B25212"/>
    <w:rsid w:val="00B2560D"/>
    <w:rsid w:val="00B25F66"/>
    <w:rsid w:val="00B26D94"/>
    <w:rsid w:val="00B2752E"/>
    <w:rsid w:val="00B27C49"/>
    <w:rsid w:val="00B3021C"/>
    <w:rsid w:val="00B3046D"/>
    <w:rsid w:val="00B312DA"/>
    <w:rsid w:val="00B31565"/>
    <w:rsid w:val="00B32CD4"/>
    <w:rsid w:val="00B333EA"/>
    <w:rsid w:val="00B33D3B"/>
    <w:rsid w:val="00B33F1C"/>
    <w:rsid w:val="00B34F08"/>
    <w:rsid w:val="00B359CF"/>
    <w:rsid w:val="00B35CB4"/>
    <w:rsid w:val="00B35E8A"/>
    <w:rsid w:val="00B36068"/>
    <w:rsid w:val="00B374C2"/>
    <w:rsid w:val="00B37776"/>
    <w:rsid w:val="00B37826"/>
    <w:rsid w:val="00B37CF1"/>
    <w:rsid w:val="00B37F6F"/>
    <w:rsid w:val="00B404BA"/>
    <w:rsid w:val="00B40AA8"/>
    <w:rsid w:val="00B41CA9"/>
    <w:rsid w:val="00B41D61"/>
    <w:rsid w:val="00B42A35"/>
    <w:rsid w:val="00B42CC8"/>
    <w:rsid w:val="00B4313F"/>
    <w:rsid w:val="00B46601"/>
    <w:rsid w:val="00B479D6"/>
    <w:rsid w:val="00B47A9D"/>
    <w:rsid w:val="00B50661"/>
    <w:rsid w:val="00B514CD"/>
    <w:rsid w:val="00B51C2B"/>
    <w:rsid w:val="00B51F03"/>
    <w:rsid w:val="00B53341"/>
    <w:rsid w:val="00B53436"/>
    <w:rsid w:val="00B534AF"/>
    <w:rsid w:val="00B53575"/>
    <w:rsid w:val="00B54991"/>
    <w:rsid w:val="00B55117"/>
    <w:rsid w:val="00B55CCD"/>
    <w:rsid w:val="00B55D78"/>
    <w:rsid w:val="00B56AB1"/>
    <w:rsid w:val="00B61003"/>
    <w:rsid w:val="00B62AC0"/>
    <w:rsid w:val="00B63F54"/>
    <w:rsid w:val="00B64C47"/>
    <w:rsid w:val="00B64DDD"/>
    <w:rsid w:val="00B66CF5"/>
    <w:rsid w:val="00B66E2C"/>
    <w:rsid w:val="00B672F8"/>
    <w:rsid w:val="00B67E8B"/>
    <w:rsid w:val="00B7256C"/>
    <w:rsid w:val="00B74543"/>
    <w:rsid w:val="00B74E63"/>
    <w:rsid w:val="00B766AB"/>
    <w:rsid w:val="00B76B5C"/>
    <w:rsid w:val="00B76E4A"/>
    <w:rsid w:val="00B77263"/>
    <w:rsid w:val="00B803D5"/>
    <w:rsid w:val="00B80C42"/>
    <w:rsid w:val="00B813D8"/>
    <w:rsid w:val="00B8189A"/>
    <w:rsid w:val="00B82614"/>
    <w:rsid w:val="00B83658"/>
    <w:rsid w:val="00B846E2"/>
    <w:rsid w:val="00B84FBA"/>
    <w:rsid w:val="00B855F3"/>
    <w:rsid w:val="00B861E9"/>
    <w:rsid w:val="00B8693F"/>
    <w:rsid w:val="00B870E9"/>
    <w:rsid w:val="00B91B86"/>
    <w:rsid w:val="00B92478"/>
    <w:rsid w:val="00B9330D"/>
    <w:rsid w:val="00B943A6"/>
    <w:rsid w:val="00B953A6"/>
    <w:rsid w:val="00B954BA"/>
    <w:rsid w:val="00B95582"/>
    <w:rsid w:val="00B95ABD"/>
    <w:rsid w:val="00B96451"/>
    <w:rsid w:val="00B97F3A"/>
    <w:rsid w:val="00BA100E"/>
    <w:rsid w:val="00BA2600"/>
    <w:rsid w:val="00BA2F23"/>
    <w:rsid w:val="00BA548C"/>
    <w:rsid w:val="00BA6B1C"/>
    <w:rsid w:val="00BA6CA8"/>
    <w:rsid w:val="00BA6D30"/>
    <w:rsid w:val="00BA7D02"/>
    <w:rsid w:val="00BB01ED"/>
    <w:rsid w:val="00BB188F"/>
    <w:rsid w:val="00BB1D72"/>
    <w:rsid w:val="00BB28F2"/>
    <w:rsid w:val="00BB29BF"/>
    <w:rsid w:val="00BB3367"/>
    <w:rsid w:val="00BB3F0E"/>
    <w:rsid w:val="00BB49BB"/>
    <w:rsid w:val="00BB4A56"/>
    <w:rsid w:val="00BB5482"/>
    <w:rsid w:val="00BB619D"/>
    <w:rsid w:val="00BB702F"/>
    <w:rsid w:val="00BB7B4E"/>
    <w:rsid w:val="00BB7D58"/>
    <w:rsid w:val="00BC1292"/>
    <w:rsid w:val="00BC23C2"/>
    <w:rsid w:val="00BC3325"/>
    <w:rsid w:val="00BC448B"/>
    <w:rsid w:val="00BC4595"/>
    <w:rsid w:val="00BC524D"/>
    <w:rsid w:val="00BC6D13"/>
    <w:rsid w:val="00BD2378"/>
    <w:rsid w:val="00BD3159"/>
    <w:rsid w:val="00BD37CE"/>
    <w:rsid w:val="00BD3A80"/>
    <w:rsid w:val="00BD3D52"/>
    <w:rsid w:val="00BD4CAC"/>
    <w:rsid w:val="00BD4CF6"/>
    <w:rsid w:val="00BD51A2"/>
    <w:rsid w:val="00BD5C9F"/>
    <w:rsid w:val="00BD62AA"/>
    <w:rsid w:val="00BD64CD"/>
    <w:rsid w:val="00BD6A90"/>
    <w:rsid w:val="00BD747C"/>
    <w:rsid w:val="00BE00DE"/>
    <w:rsid w:val="00BE0E2E"/>
    <w:rsid w:val="00BE1324"/>
    <w:rsid w:val="00BE1E4D"/>
    <w:rsid w:val="00BE221E"/>
    <w:rsid w:val="00BE2A31"/>
    <w:rsid w:val="00BE3879"/>
    <w:rsid w:val="00BE45D0"/>
    <w:rsid w:val="00BE6038"/>
    <w:rsid w:val="00BE689A"/>
    <w:rsid w:val="00BE6F8B"/>
    <w:rsid w:val="00BE75DC"/>
    <w:rsid w:val="00BF0246"/>
    <w:rsid w:val="00BF0480"/>
    <w:rsid w:val="00BF0E57"/>
    <w:rsid w:val="00BF10B6"/>
    <w:rsid w:val="00BF1142"/>
    <w:rsid w:val="00BF1175"/>
    <w:rsid w:val="00BF1731"/>
    <w:rsid w:val="00BF2F45"/>
    <w:rsid w:val="00BF4BD4"/>
    <w:rsid w:val="00C01CD0"/>
    <w:rsid w:val="00C02649"/>
    <w:rsid w:val="00C02BA6"/>
    <w:rsid w:val="00C0471D"/>
    <w:rsid w:val="00C056CB"/>
    <w:rsid w:val="00C05755"/>
    <w:rsid w:val="00C05C02"/>
    <w:rsid w:val="00C07064"/>
    <w:rsid w:val="00C074F5"/>
    <w:rsid w:val="00C0777E"/>
    <w:rsid w:val="00C1184B"/>
    <w:rsid w:val="00C1189F"/>
    <w:rsid w:val="00C11926"/>
    <w:rsid w:val="00C12374"/>
    <w:rsid w:val="00C12D51"/>
    <w:rsid w:val="00C13B3F"/>
    <w:rsid w:val="00C14563"/>
    <w:rsid w:val="00C1558D"/>
    <w:rsid w:val="00C16981"/>
    <w:rsid w:val="00C16DED"/>
    <w:rsid w:val="00C17E2B"/>
    <w:rsid w:val="00C17F2A"/>
    <w:rsid w:val="00C210BC"/>
    <w:rsid w:val="00C23B8E"/>
    <w:rsid w:val="00C248EF"/>
    <w:rsid w:val="00C26AB1"/>
    <w:rsid w:val="00C300C4"/>
    <w:rsid w:val="00C31CC4"/>
    <w:rsid w:val="00C329ED"/>
    <w:rsid w:val="00C34113"/>
    <w:rsid w:val="00C346F7"/>
    <w:rsid w:val="00C3546B"/>
    <w:rsid w:val="00C36286"/>
    <w:rsid w:val="00C3638A"/>
    <w:rsid w:val="00C36E55"/>
    <w:rsid w:val="00C372E0"/>
    <w:rsid w:val="00C37C81"/>
    <w:rsid w:val="00C422FD"/>
    <w:rsid w:val="00C42571"/>
    <w:rsid w:val="00C42C4A"/>
    <w:rsid w:val="00C43AEF"/>
    <w:rsid w:val="00C44523"/>
    <w:rsid w:val="00C44FF8"/>
    <w:rsid w:val="00C456C3"/>
    <w:rsid w:val="00C46FF2"/>
    <w:rsid w:val="00C47A2B"/>
    <w:rsid w:val="00C47FD2"/>
    <w:rsid w:val="00C503A1"/>
    <w:rsid w:val="00C50CB6"/>
    <w:rsid w:val="00C52A5A"/>
    <w:rsid w:val="00C5306A"/>
    <w:rsid w:val="00C56097"/>
    <w:rsid w:val="00C56CB6"/>
    <w:rsid w:val="00C60910"/>
    <w:rsid w:val="00C610E4"/>
    <w:rsid w:val="00C625F5"/>
    <w:rsid w:val="00C636B8"/>
    <w:rsid w:val="00C63C95"/>
    <w:rsid w:val="00C64960"/>
    <w:rsid w:val="00C6715E"/>
    <w:rsid w:val="00C67505"/>
    <w:rsid w:val="00C67DB7"/>
    <w:rsid w:val="00C70068"/>
    <w:rsid w:val="00C702E8"/>
    <w:rsid w:val="00C70877"/>
    <w:rsid w:val="00C7158F"/>
    <w:rsid w:val="00C719B9"/>
    <w:rsid w:val="00C71AFD"/>
    <w:rsid w:val="00C71B8B"/>
    <w:rsid w:val="00C71EF2"/>
    <w:rsid w:val="00C72EB7"/>
    <w:rsid w:val="00C732A4"/>
    <w:rsid w:val="00C742D7"/>
    <w:rsid w:val="00C742E1"/>
    <w:rsid w:val="00C744C2"/>
    <w:rsid w:val="00C74677"/>
    <w:rsid w:val="00C74940"/>
    <w:rsid w:val="00C75AA1"/>
    <w:rsid w:val="00C75FD9"/>
    <w:rsid w:val="00C765A2"/>
    <w:rsid w:val="00C766B7"/>
    <w:rsid w:val="00C77014"/>
    <w:rsid w:val="00C80771"/>
    <w:rsid w:val="00C8096F"/>
    <w:rsid w:val="00C8144F"/>
    <w:rsid w:val="00C81636"/>
    <w:rsid w:val="00C84140"/>
    <w:rsid w:val="00C854F4"/>
    <w:rsid w:val="00C85C88"/>
    <w:rsid w:val="00C870BC"/>
    <w:rsid w:val="00C87F96"/>
    <w:rsid w:val="00C87FCE"/>
    <w:rsid w:val="00C91C70"/>
    <w:rsid w:val="00C93798"/>
    <w:rsid w:val="00C946A0"/>
    <w:rsid w:val="00C9489C"/>
    <w:rsid w:val="00C955D2"/>
    <w:rsid w:val="00CA108F"/>
    <w:rsid w:val="00CA216E"/>
    <w:rsid w:val="00CA3175"/>
    <w:rsid w:val="00CA34DB"/>
    <w:rsid w:val="00CA375F"/>
    <w:rsid w:val="00CA3A82"/>
    <w:rsid w:val="00CA54C0"/>
    <w:rsid w:val="00CA5F78"/>
    <w:rsid w:val="00CA60D1"/>
    <w:rsid w:val="00CA6DD4"/>
    <w:rsid w:val="00CA7A3E"/>
    <w:rsid w:val="00CB0558"/>
    <w:rsid w:val="00CB09BC"/>
    <w:rsid w:val="00CB1394"/>
    <w:rsid w:val="00CB3142"/>
    <w:rsid w:val="00CB32ED"/>
    <w:rsid w:val="00CB3418"/>
    <w:rsid w:val="00CB4492"/>
    <w:rsid w:val="00CB4BA6"/>
    <w:rsid w:val="00CB52B1"/>
    <w:rsid w:val="00CB573C"/>
    <w:rsid w:val="00CB5EAA"/>
    <w:rsid w:val="00CB601C"/>
    <w:rsid w:val="00CB66D8"/>
    <w:rsid w:val="00CB76E3"/>
    <w:rsid w:val="00CB7878"/>
    <w:rsid w:val="00CB7A52"/>
    <w:rsid w:val="00CB7BD7"/>
    <w:rsid w:val="00CC0A3D"/>
    <w:rsid w:val="00CC10AF"/>
    <w:rsid w:val="00CC1638"/>
    <w:rsid w:val="00CC1899"/>
    <w:rsid w:val="00CC1DE0"/>
    <w:rsid w:val="00CC2CA8"/>
    <w:rsid w:val="00CC3004"/>
    <w:rsid w:val="00CC46CB"/>
    <w:rsid w:val="00CC4B40"/>
    <w:rsid w:val="00CC6AE8"/>
    <w:rsid w:val="00CC7E74"/>
    <w:rsid w:val="00CD0ABB"/>
    <w:rsid w:val="00CD13D0"/>
    <w:rsid w:val="00CD1A08"/>
    <w:rsid w:val="00CD1C4F"/>
    <w:rsid w:val="00CD2013"/>
    <w:rsid w:val="00CD2F03"/>
    <w:rsid w:val="00CD300F"/>
    <w:rsid w:val="00CD3413"/>
    <w:rsid w:val="00CD3CF8"/>
    <w:rsid w:val="00CD458C"/>
    <w:rsid w:val="00CD48B5"/>
    <w:rsid w:val="00CD4E1C"/>
    <w:rsid w:val="00CD568E"/>
    <w:rsid w:val="00CD6886"/>
    <w:rsid w:val="00CD6DED"/>
    <w:rsid w:val="00CD7D17"/>
    <w:rsid w:val="00CE047A"/>
    <w:rsid w:val="00CE057B"/>
    <w:rsid w:val="00CE1169"/>
    <w:rsid w:val="00CE13A1"/>
    <w:rsid w:val="00CE3573"/>
    <w:rsid w:val="00CE43FD"/>
    <w:rsid w:val="00CE4812"/>
    <w:rsid w:val="00CE5820"/>
    <w:rsid w:val="00CE58BD"/>
    <w:rsid w:val="00CE7AFB"/>
    <w:rsid w:val="00CF0320"/>
    <w:rsid w:val="00CF0363"/>
    <w:rsid w:val="00CF0470"/>
    <w:rsid w:val="00CF0A04"/>
    <w:rsid w:val="00CF1129"/>
    <w:rsid w:val="00CF15AF"/>
    <w:rsid w:val="00CF179C"/>
    <w:rsid w:val="00CF1D99"/>
    <w:rsid w:val="00CF1F61"/>
    <w:rsid w:val="00CF376D"/>
    <w:rsid w:val="00CF4FF7"/>
    <w:rsid w:val="00CF53D1"/>
    <w:rsid w:val="00CF6214"/>
    <w:rsid w:val="00CF66C0"/>
    <w:rsid w:val="00CF6AA6"/>
    <w:rsid w:val="00CF75CC"/>
    <w:rsid w:val="00CF7765"/>
    <w:rsid w:val="00CF7D3C"/>
    <w:rsid w:val="00D02D8C"/>
    <w:rsid w:val="00D04D54"/>
    <w:rsid w:val="00D050D5"/>
    <w:rsid w:val="00D055A0"/>
    <w:rsid w:val="00D05F71"/>
    <w:rsid w:val="00D075B1"/>
    <w:rsid w:val="00D07949"/>
    <w:rsid w:val="00D07A32"/>
    <w:rsid w:val="00D07CE1"/>
    <w:rsid w:val="00D10372"/>
    <w:rsid w:val="00D1099A"/>
    <w:rsid w:val="00D11875"/>
    <w:rsid w:val="00D12557"/>
    <w:rsid w:val="00D12BBA"/>
    <w:rsid w:val="00D14576"/>
    <w:rsid w:val="00D14A53"/>
    <w:rsid w:val="00D14C07"/>
    <w:rsid w:val="00D14C0F"/>
    <w:rsid w:val="00D15D49"/>
    <w:rsid w:val="00D16730"/>
    <w:rsid w:val="00D1778A"/>
    <w:rsid w:val="00D17909"/>
    <w:rsid w:val="00D207BF"/>
    <w:rsid w:val="00D20D43"/>
    <w:rsid w:val="00D20F65"/>
    <w:rsid w:val="00D21370"/>
    <w:rsid w:val="00D22482"/>
    <w:rsid w:val="00D22C0E"/>
    <w:rsid w:val="00D2323D"/>
    <w:rsid w:val="00D23E5A"/>
    <w:rsid w:val="00D24910"/>
    <w:rsid w:val="00D25312"/>
    <w:rsid w:val="00D262CA"/>
    <w:rsid w:val="00D26608"/>
    <w:rsid w:val="00D27760"/>
    <w:rsid w:val="00D27D5F"/>
    <w:rsid w:val="00D30039"/>
    <w:rsid w:val="00D3014D"/>
    <w:rsid w:val="00D30C4F"/>
    <w:rsid w:val="00D30E71"/>
    <w:rsid w:val="00D31220"/>
    <w:rsid w:val="00D31310"/>
    <w:rsid w:val="00D332A6"/>
    <w:rsid w:val="00D352E1"/>
    <w:rsid w:val="00D353C9"/>
    <w:rsid w:val="00D35598"/>
    <w:rsid w:val="00D35BFE"/>
    <w:rsid w:val="00D36884"/>
    <w:rsid w:val="00D36927"/>
    <w:rsid w:val="00D36989"/>
    <w:rsid w:val="00D36B33"/>
    <w:rsid w:val="00D36B36"/>
    <w:rsid w:val="00D379BD"/>
    <w:rsid w:val="00D37C8D"/>
    <w:rsid w:val="00D37F46"/>
    <w:rsid w:val="00D401EE"/>
    <w:rsid w:val="00D407D3"/>
    <w:rsid w:val="00D4207C"/>
    <w:rsid w:val="00D4237A"/>
    <w:rsid w:val="00D42F6D"/>
    <w:rsid w:val="00D43370"/>
    <w:rsid w:val="00D43426"/>
    <w:rsid w:val="00D44104"/>
    <w:rsid w:val="00D44BFE"/>
    <w:rsid w:val="00D4523F"/>
    <w:rsid w:val="00D45600"/>
    <w:rsid w:val="00D5073D"/>
    <w:rsid w:val="00D516DC"/>
    <w:rsid w:val="00D51C55"/>
    <w:rsid w:val="00D51F09"/>
    <w:rsid w:val="00D53AA2"/>
    <w:rsid w:val="00D546CB"/>
    <w:rsid w:val="00D563F7"/>
    <w:rsid w:val="00D56BCA"/>
    <w:rsid w:val="00D56E2F"/>
    <w:rsid w:val="00D56EB1"/>
    <w:rsid w:val="00D57BA2"/>
    <w:rsid w:val="00D60024"/>
    <w:rsid w:val="00D600BA"/>
    <w:rsid w:val="00D60114"/>
    <w:rsid w:val="00D604BB"/>
    <w:rsid w:val="00D60CBE"/>
    <w:rsid w:val="00D61F2F"/>
    <w:rsid w:val="00D62120"/>
    <w:rsid w:val="00D622DC"/>
    <w:rsid w:val="00D62B08"/>
    <w:rsid w:val="00D631E3"/>
    <w:rsid w:val="00D632D9"/>
    <w:rsid w:val="00D63D71"/>
    <w:rsid w:val="00D642AF"/>
    <w:rsid w:val="00D6507A"/>
    <w:rsid w:val="00D652DF"/>
    <w:rsid w:val="00D668E7"/>
    <w:rsid w:val="00D712DA"/>
    <w:rsid w:val="00D71B85"/>
    <w:rsid w:val="00D722D1"/>
    <w:rsid w:val="00D732B6"/>
    <w:rsid w:val="00D745E2"/>
    <w:rsid w:val="00D74F4E"/>
    <w:rsid w:val="00D75107"/>
    <w:rsid w:val="00D7592B"/>
    <w:rsid w:val="00D76CBD"/>
    <w:rsid w:val="00D77403"/>
    <w:rsid w:val="00D77FC4"/>
    <w:rsid w:val="00D80470"/>
    <w:rsid w:val="00D80D26"/>
    <w:rsid w:val="00D82039"/>
    <w:rsid w:val="00D82159"/>
    <w:rsid w:val="00D82255"/>
    <w:rsid w:val="00D82ABC"/>
    <w:rsid w:val="00D8408B"/>
    <w:rsid w:val="00D84F94"/>
    <w:rsid w:val="00D86357"/>
    <w:rsid w:val="00D864A0"/>
    <w:rsid w:val="00D87592"/>
    <w:rsid w:val="00D8769E"/>
    <w:rsid w:val="00D908C9"/>
    <w:rsid w:val="00D918DD"/>
    <w:rsid w:val="00D91EC1"/>
    <w:rsid w:val="00D9301E"/>
    <w:rsid w:val="00D9353F"/>
    <w:rsid w:val="00D9426E"/>
    <w:rsid w:val="00D95859"/>
    <w:rsid w:val="00D95E1B"/>
    <w:rsid w:val="00DA201B"/>
    <w:rsid w:val="00DA3AEE"/>
    <w:rsid w:val="00DA44C9"/>
    <w:rsid w:val="00DA6175"/>
    <w:rsid w:val="00DA66C9"/>
    <w:rsid w:val="00DA7D81"/>
    <w:rsid w:val="00DB0229"/>
    <w:rsid w:val="00DB1117"/>
    <w:rsid w:val="00DB1A8D"/>
    <w:rsid w:val="00DB2A17"/>
    <w:rsid w:val="00DB75F7"/>
    <w:rsid w:val="00DB7F5F"/>
    <w:rsid w:val="00DC06A1"/>
    <w:rsid w:val="00DC13C4"/>
    <w:rsid w:val="00DC2854"/>
    <w:rsid w:val="00DC2F5B"/>
    <w:rsid w:val="00DC3748"/>
    <w:rsid w:val="00DC38E7"/>
    <w:rsid w:val="00DC3971"/>
    <w:rsid w:val="00DC3D77"/>
    <w:rsid w:val="00DC4F33"/>
    <w:rsid w:val="00DC64BB"/>
    <w:rsid w:val="00DC7D34"/>
    <w:rsid w:val="00DD037B"/>
    <w:rsid w:val="00DD0480"/>
    <w:rsid w:val="00DD0EC4"/>
    <w:rsid w:val="00DD1CC7"/>
    <w:rsid w:val="00DD52BB"/>
    <w:rsid w:val="00DD56AA"/>
    <w:rsid w:val="00DD6770"/>
    <w:rsid w:val="00DD728D"/>
    <w:rsid w:val="00DD7A95"/>
    <w:rsid w:val="00DE03B4"/>
    <w:rsid w:val="00DE1334"/>
    <w:rsid w:val="00DE2782"/>
    <w:rsid w:val="00DE29B0"/>
    <w:rsid w:val="00DE3A5D"/>
    <w:rsid w:val="00DE4467"/>
    <w:rsid w:val="00DE55C6"/>
    <w:rsid w:val="00DE7105"/>
    <w:rsid w:val="00DE7E5A"/>
    <w:rsid w:val="00DF040C"/>
    <w:rsid w:val="00DF0A0D"/>
    <w:rsid w:val="00DF251E"/>
    <w:rsid w:val="00DF2DF8"/>
    <w:rsid w:val="00DF35A5"/>
    <w:rsid w:val="00DF364B"/>
    <w:rsid w:val="00DF36E2"/>
    <w:rsid w:val="00DF5886"/>
    <w:rsid w:val="00DF6ABC"/>
    <w:rsid w:val="00E00990"/>
    <w:rsid w:val="00E00ADB"/>
    <w:rsid w:val="00E00FCE"/>
    <w:rsid w:val="00E02566"/>
    <w:rsid w:val="00E02E92"/>
    <w:rsid w:val="00E02F9F"/>
    <w:rsid w:val="00E04EF4"/>
    <w:rsid w:val="00E0503E"/>
    <w:rsid w:val="00E10257"/>
    <w:rsid w:val="00E10A2C"/>
    <w:rsid w:val="00E10B95"/>
    <w:rsid w:val="00E12883"/>
    <w:rsid w:val="00E13DCB"/>
    <w:rsid w:val="00E13F00"/>
    <w:rsid w:val="00E14B2C"/>
    <w:rsid w:val="00E14DAD"/>
    <w:rsid w:val="00E15DC3"/>
    <w:rsid w:val="00E161AD"/>
    <w:rsid w:val="00E17B34"/>
    <w:rsid w:val="00E21476"/>
    <w:rsid w:val="00E2173F"/>
    <w:rsid w:val="00E21EA5"/>
    <w:rsid w:val="00E22B5B"/>
    <w:rsid w:val="00E231D7"/>
    <w:rsid w:val="00E24246"/>
    <w:rsid w:val="00E24619"/>
    <w:rsid w:val="00E247F5"/>
    <w:rsid w:val="00E24B93"/>
    <w:rsid w:val="00E25078"/>
    <w:rsid w:val="00E251A0"/>
    <w:rsid w:val="00E2586F"/>
    <w:rsid w:val="00E26F39"/>
    <w:rsid w:val="00E30279"/>
    <w:rsid w:val="00E3112C"/>
    <w:rsid w:val="00E32E78"/>
    <w:rsid w:val="00E331D8"/>
    <w:rsid w:val="00E3510C"/>
    <w:rsid w:val="00E357D0"/>
    <w:rsid w:val="00E3601F"/>
    <w:rsid w:val="00E3786F"/>
    <w:rsid w:val="00E379CA"/>
    <w:rsid w:val="00E400C7"/>
    <w:rsid w:val="00E40140"/>
    <w:rsid w:val="00E403DD"/>
    <w:rsid w:val="00E404F6"/>
    <w:rsid w:val="00E41396"/>
    <w:rsid w:val="00E4171C"/>
    <w:rsid w:val="00E4190B"/>
    <w:rsid w:val="00E44A1D"/>
    <w:rsid w:val="00E454D1"/>
    <w:rsid w:val="00E45E9E"/>
    <w:rsid w:val="00E46824"/>
    <w:rsid w:val="00E468A8"/>
    <w:rsid w:val="00E47390"/>
    <w:rsid w:val="00E50405"/>
    <w:rsid w:val="00E50CB5"/>
    <w:rsid w:val="00E50D5C"/>
    <w:rsid w:val="00E523BC"/>
    <w:rsid w:val="00E52919"/>
    <w:rsid w:val="00E52992"/>
    <w:rsid w:val="00E536F6"/>
    <w:rsid w:val="00E54EE6"/>
    <w:rsid w:val="00E55E08"/>
    <w:rsid w:val="00E562C9"/>
    <w:rsid w:val="00E5661D"/>
    <w:rsid w:val="00E56D0B"/>
    <w:rsid w:val="00E57FA0"/>
    <w:rsid w:val="00E60942"/>
    <w:rsid w:val="00E60E09"/>
    <w:rsid w:val="00E63124"/>
    <w:rsid w:val="00E63B16"/>
    <w:rsid w:val="00E644BF"/>
    <w:rsid w:val="00E64A23"/>
    <w:rsid w:val="00E654A8"/>
    <w:rsid w:val="00E65753"/>
    <w:rsid w:val="00E65A9E"/>
    <w:rsid w:val="00E6617D"/>
    <w:rsid w:val="00E6629A"/>
    <w:rsid w:val="00E66CBC"/>
    <w:rsid w:val="00E66FE7"/>
    <w:rsid w:val="00E6751D"/>
    <w:rsid w:val="00E74600"/>
    <w:rsid w:val="00E74708"/>
    <w:rsid w:val="00E74C37"/>
    <w:rsid w:val="00E75E09"/>
    <w:rsid w:val="00E761B5"/>
    <w:rsid w:val="00E775D0"/>
    <w:rsid w:val="00E80D9D"/>
    <w:rsid w:val="00E81585"/>
    <w:rsid w:val="00E81F2B"/>
    <w:rsid w:val="00E826BF"/>
    <w:rsid w:val="00E83387"/>
    <w:rsid w:val="00E83BE5"/>
    <w:rsid w:val="00E83DD1"/>
    <w:rsid w:val="00E844FC"/>
    <w:rsid w:val="00E8450A"/>
    <w:rsid w:val="00E85779"/>
    <w:rsid w:val="00E85812"/>
    <w:rsid w:val="00E861F0"/>
    <w:rsid w:val="00E86365"/>
    <w:rsid w:val="00E864B9"/>
    <w:rsid w:val="00E86581"/>
    <w:rsid w:val="00E86D3F"/>
    <w:rsid w:val="00E871F0"/>
    <w:rsid w:val="00E87263"/>
    <w:rsid w:val="00E87780"/>
    <w:rsid w:val="00E87BB7"/>
    <w:rsid w:val="00E87D51"/>
    <w:rsid w:val="00E90524"/>
    <w:rsid w:val="00E91AE8"/>
    <w:rsid w:val="00E929EC"/>
    <w:rsid w:val="00E92A6F"/>
    <w:rsid w:val="00E93174"/>
    <w:rsid w:val="00E9366A"/>
    <w:rsid w:val="00E94809"/>
    <w:rsid w:val="00E94F7E"/>
    <w:rsid w:val="00E959A0"/>
    <w:rsid w:val="00E96120"/>
    <w:rsid w:val="00E968B6"/>
    <w:rsid w:val="00EA00A7"/>
    <w:rsid w:val="00EA3745"/>
    <w:rsid w:val="00EA37FA"/>
    <w:rsid w:val="00EA68F6"/>
    <w:rsid w:val="00EA79F3"/>
    <w:rsid w:val="00EB05A2"/>
    <w:rsid w:val="00EB0DBA"/>
    <w:rsid w:val="00EB188D"/>
    <w:rsid w:val="00EB2A8B"/>
    <w:rsid w:val="00EB3273"/>
    <w:rsid w:val="00EB36AE"/>
    <w:rsid w:val="00EB3702"/>
    <w:rsid w:val="00EB3A43"/>
    <w:rsid w:val="00EB4F43"/>
    <w:rsid w:val="00EB64CF"/>
    <w:rsid w:val="00EC0103"/>
    <w:rsid w:val="00EC0AE6"/>
    <w:rsid w:val="00EC0B2D"/>
    <w:rsid w:val="00EC2108"/>
    <w:rsid w:val="00EC2DF0"/>
    <w:rsid w:val="00EC4E95"/>
    <w:rsid w:val="00EC4EB0"/>
    <w:rsid w:val="00EC56B9"/>
    <w:rsid w:val="00EC5D0E"/>
    <w:rsid w:val="00EC60C8"/>
    <w:rsid w:val="00EC6387"/>
    <w:rsid w:val="00ED1CF8"/>
    <w:rsid w:val="00ED2BF8"/>
    <w:rsid w:val="00ED2D2E"/>
    <w:rsid w:val="00ED45BC"/>
    <w:rsid w:val="00ED5B40"/>
    <w:rsid w:val="00ED6B6B"/>
    <w:rsid w:val="00ED7750"/>
    <w:rsid w:val="00EE127B"/>
    <w:rsid w:val="00EE15B6"/>
    <w:rsid w:val="00EE2612"/>
    <w:rsid w:val="00EE31BA"/>
    <w:rsid w:val="00EE490D"/>
    <w:rsid w:val="00EE4D6C"/>
    <w:rsid w:val="00EE51FB"/>
    <w:rsid w:val="00EE6871"/>
    <w:rsid w:val="00EF0A13"/>
    <w:rsid w:val="00EF12D9"/>
    <w:rsid w:val="00EF430F"/>
    <w:rsid w:val="00EF5290"/>
    <w:rsid w:val="00EF5462"/>
    <w:rsid w:val="00EF6016"/>
    <w:rsid w:val="00EF6885"/>
    <w:rsid w:val="00EF790B"/>
    <w:rsid w:val="00F00EF0"/>
    <w:rsid w:val="00F028C8"/>
    <w:rsid w:val="00F02C9E"/>
    <w:rsid w:val="00F04904"/>
    <w:rsid w:val="00F04AAF"/>
    <w:rsid w:val="00F04ACF"/>
    <w:rsid w:val="00F05046"/>
    <w:rsid w:val="00F06AD7"/>
    <w:rsid w:val="00F07264"/>
    <w:rsid w:val="00F07A59"/>
    <w:rsid w:val="00F111C1"/>
    <w:rsid w:val="00F11858"/>
    <w:rsid w:val="00F12098"/>
    <w:rsid w:val="00F12346"/>
    <w:rsid w:val="00F12F0D"/>
    <w:rsid w:val="00F1420B"/>
    <w:rsid w:val="00F1421E"/>
    <w:rsid w:val="00F14B54"/>
    <w:rsid w:val="00F158CE"/>
    <w:rsid w:val="00F15E0E"/>
    <w:rsid w:val="00F17D95"/>
    <w:rsid w:val="00F20061"/>
    <w:rsid w:val="00F2116B"/>
    <w:rsid w:val="00F23231"/>
    <w:rsid w:val="00F2495B"/>
    <w:rsid w:val="00F25C5A"/>
    <w:rsid w:val="00F260DC"/>
    <w:rsid w:val="00F26371"/>
    <w:rsid w:val="00F263E8"/>
    <w:rsid w:val="00F2682B"/>
    <w:rsid w:val="00F26B9E"/>
    <w:rsid w:val="00F27BED"/>
    <w:rsid w:val="00F27ECF"/>
    <w:rsid w:val="00F30C35"/>
    <w:rsid w:val="00F30DA8"/>
    <w:rsid w:val="00F31E41"/>
    <w:rsid w:val="00F33DFA"/>
    <w:rsid w:val="00F34C1F"/>
    <w:rsid w:val="00F35179"/>
    <w:rsid w:val="00F36720"/>
    <w:rsid w:val="00F36E98"/>
    <w:rsid w:val="00F3772B"/>
    <w:rsid w:val="00F37E80"/>
    <w:rsid w:val="00F4074F"/>
    <w:rsid w:val="00F41BC4"/>
    <w:rsid w:val="00F447B0"/>
    <w:rsid w:val="00F44801"/>
    <w:rsid w:val="00F44EB3"/>
    <w:rsid w:val="00F459A6"/>
    <w:rsid w:val="00F46C32"/>
    <w:rsid w:val="00F47E87"/>
    <w:rsid w:val="00F51DE2"/>
    <w:rsid w:val="00F52480"/>
    <w:rsid w:val="00F52686"/>
    <w:rsid w:val="00F536E2"/>
    <w:rsid w:val="00F54044"/>
    <w:rsid w:val="00F54A57"/>
    <w:rsid w:val="00F561F6"/>
    <w:rsid w:val="00F570A6"/>
    <w:rsid w:val="00F61132"/>
    <w:rsid w:val="00F624F0"/>
    <w:rsid w:val="00F62742"/>
    <w:rsid w:val="00F629E8"/>
    <w:rsid w:val="00F63C29"/>
    <w:rsid w:val="00F650AC"/>
    <w:rsid w:val="00F650AE"/>
    <w:rsid w:val="00F65F66"/>
    <w:rsid w:val="00F66D18"/>
    <w:rsid w:val="00F66E3B"/>
    <w:rsid w:val="00F67A35"/>
    <w:rsid w:val="00F730EF"/>
    <w:rsid w:val="00F736E1"/>
    <w:rsid w:val="00F73A4C"/>
    <w:rsid w:val="00F74375"/>
    <w:rsid w:val="00F7579D"/>
    <w:rsid w:val="00F75F83"/>
    <w:rsid w:val="00F76D37"/>
    <w:rsid w:val="00F76D3B"/>
    <w:rsid w:val="00F7789D"/>
    <w:rsid w:val="00F77E68"/>
    <w:rsid w:val="00F77F99"/>
    <w:rsid w:val="00F8122C"/>
    <w:rsid w:val="00F812DD"/>
    <w:rsid w:val="00F81778"/>
    <w:rsid w:val="00F81A2E"/>
    <w:rsid w:val="00F82163"/>
    <w:rsid w:val="00F82A29"/>
    <w:rsid w:val="00F83978"/>
    <w:rsid w:val="00F84983"/>
    <w:rsid w:val="00F849C0"/>
    <w:rsid w:val="00F84ADB"/>
    <w:rsid w:val="00F85411"/>
    <w:rsid w:val="00F85960"/>
    <w:rsid w:val="00F85AAB"/>
    <w:rsid w:val="00F85B62"/>
    <w:rsid w:val="00F862A9"/>
    <w:rsid w:val="00F86B80"/>
    <w:rsid w:val="00F87C24"/>
    <w:rsid w:val="00F908DB"/>
    <w:rsid w:val="00F90A21"/>
    <w:rsid w:val="00F90C64"/>
    <w:rsid w:val="00F9237F"/>
    <w:rsid w:val="00F92923"/>
    <w:rsid w:val="00F9323A"/>
    <w:rsid w:val="00F94120"/>
    <w:rsid w:val="00F94225"/>
    <w:rsid w:val="00F94F16"/>
    <w:rsid w:val="00F95D55"/>
    <w:rsid w:val="00F95F1D"/>
    <w:rsid w:val="00F9634A"/>
    <w:rsid w:val="00F97EBD"/>
    <w:rsid w:val="00FA374D"/>
    <w:rsid w:val="00FA4732"/>
    <w:rsid w:val="00FA4964"/>
    <w:rsid w:val="00FA49BA"/>
    <w:rsid w:val="00FA566D"/>
    <w:rsid w:val="00FB00CB"/>
    <w:rsid w:val="00FB1262"/>
    <w:rsid w:val="00FB2377"/>
    <w:rsid w:val="00FB4FB1"/>
    <w:rsid w:val="00FC06E7"/>
    <w:rsid w:val="00FC195F"/>
    <w:rsid w:val="00FC2B23"/>
    <w:rsid w:val="00FC2E51"/>
    <w:rsid w:val="00FC3AF0"/>
    <w:rsid w:val="00FC3F96"/>
    <w:rsid w:val="00FC448F"/>
    <w:rsid w:val="00FC5711"/>
    <w:rsid w:val="00FC5F88"/>
    <w:rsid w:val="00FC72B7"/>
    <w:rsid w:val="00FD2553"/>
    <w:rsid w:val="00FD2B99"/>
    <w:rsid w:val="00FD3AD1"/>
    <w:rsid w:val="00FD42FE"/>
    <w:rsid w:val="00FD5A64"/>
    <w:rsid w:val="00FD6029"/>
    <w:rsid w:val="00FD688E"/>
    <w:rsid w:val="00FD6E1B"/>
    <w:rsid w:val="00FD706B"/>
    <w:rsid w:val="00FD7438"/>
    <w:rsid w:val="00FE0ED7"/>
    <w:rsid w:val="00FE1CD9"/>
    <w:rsid w:val="00FE3BAE"/>
    <w:rsid w:val="00FE5071"/>
    <w:rsid w:val="00FE57AC"/>
    <w:rsid w:val="00FE5906"/>
    <w:rsid w:val="00FE6D5D"/>
    <w:rsid w:val="00FE72B1"/>
    <w:rsid w:val="00FE790A"/>
    <w:rsid w:val="00FE7E13"/>
    <w:rsid w:val="00FE7EFD"/>
    <w:rsid w:val="00FF072A"/>
    <w:rsid w:val="00FF1155"/>
    <w:rsid w:val="00FF1337"/>
    <w:rsid w:val="00FF17E3"/>
    <w:rsid w:val="00FF1900"/>
    <w:rsid w:val="00FF1A75"/>
    <w:rsid w:val="00FF2EEE"/>
    <w:rsid w:val="00FF32DD"/>
    <w:rsid w:val="00FF32F5"/>
    <w:rsid w:val="00FF3FE5"/>
    <w:rsid w:val="00FF41B2"/>
    <w:rsid w:val="00FF4744"/>
    <w:rsid w:val="00FF5FEF"/>
    <w:rsid w:val="00FF6244"/>
    <w:rsid w:val="4D6A59C8"/>
    <w:rsid w:val="517C24CA"/>
    <w:rsid w:val="5ABA1A77"/>
    <w:rsid w:val="636F74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112BB0A1-36DA-4AD1-9FB7-ED106DC146F5}"/>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F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character" w:styleId="UnresolvedMention">
    <w:name w:val="Unresolved Mention"/>
    <w:basedOn w:val="DefaultParagraphFont"/>
    <w:uiPriority w:val="99"/>
    <w:semiHidden/>
    <w:unhideWhenUsed/>
    <w:rsid w:val="00F536E2"/>
    <w:rPr>
      <w:color w:val="605E5C"/>
      <w:shd w:val="clear" w:color="auto" w:fill="E1DFDD"/>
    </w:rPr>
  </w:style>
  <w:style w:type="character" w:styleId="Strong">
    <w:name w:val="Strong"/>
    <w:basedOn w:val="DefaultParagraphFont"/>
    <w:uiPriority w:val="22"/>
    <w:qFormat/>
    <w:rsid w:val="004B7F66"/>
    <w:rPr>
      <w:b/>
      <w:bCs/>
    </w:rPr>
  </w:style>
  <w:style w:type="paragraph" w:customStyle="1" w:styleId="Default">
    <w:name w:val="Default"/>
    <w:rsid w:val="000764FF"/>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072">
      <w:bodyDiv w:val="1"/>
      <w:marLeft w:val="0"/>
      <w:marRight w:val="0"/>
      <w:marTop w:val="0"/>
      <w:marBottom w:val="0"/>
      <w:divBdr>
        <w:top w:val="none" w:sz="0" w:space="0" w:color="auto"/>
        <w:left w:val="none" w:sz="0" w:space="0" w:color="auto"/>
        <w:bottom w:val="none" w:sz="0" w:space="0" w:color="auto"/>
        <w:right w:val="none" w:sz="0" w:space="0" w:color="auto"/>
      </w:divBdr>
    </w:div>
    <w:div w:id="53088090">
      <w:bodyDiv w:val="1"/>
      <w:marLeft w:val="0"/>
      <w:marRight w:val="0"/>
      <w:marTop w:val="0"/>
      <w:marBottom w:val="0"/>
      <w:divBdr>
        <w:top w:val="none" w:sz="0" w:space="0" w:color="auto"/>
        <w:left w:val="none" w:sz="0" w:space="0" w:color="auto"/>
        <w:bottom w:val="none" w:sz="0" w:space="0" w:color="auto"/>
        <w:right w:val="none" w:sz="0" w:space="0" w:color="auto"/>
      </w:divBdr>
      <w:divsChild>
        <w:div w:id="394745362">
          <w:marLeft w:val="0"/>
          <w:marRight w:val="0"/>
          <w:marTop w:val="0"/>
          <w:marBottom w:val="0"/>
          <w:divBdr>
            <w:top w:val="none" w:sz="0" w:space="0" w:color="auto"/>
            <w:left w:val="none" w:sz="0" w:space="0" w:color="auto"/>
            <w:bottom w:val="none" w:sz="0" w:space="0" w:color="auto"/>
            <w:right w:val="none" w:sz="0" w:space="0" w:color="auto"/>
          </w:divBdr>
          <w:divsChild>
            <w:div w:id="825702091">
              <w:marLeft w:val="0"/>
              <w:marRight w:val="0"/>
              <w:marTop w:val="0"/>
              <w:marBottom w:val="0"/>
              <w:divBdr>
                <w:top w:val="none" w:sz="0" w:space="0" w:color="auto"/>
                <w:left w:val="none" w:sz="0" w:space="0" w:color="auto"/>
                <w:bottom w:val="none" w:sz="0" w:space="0" w:color="auto"/>
                <w:right w:val="none" w:sz="0" w:space="0" w:color="auto"/>
              </w:divBdr>
              <w:divsChild>
                <w:div w:id="11853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5530">
      <w:bodyDiv w:val="1"/>
      <w:marLeft w:val="0"/>
      <w:marRight w:val="0"/>
      <w:marTop w:val="0"/>
      <w:marBottom w:val="0"/>
      <w:divBdr>
        <w:top w:val="none" w:sz="0" w:space="0" w:color="auto"/>
        <w:left w:val="none" w:sz="0" w:space="0" w:color="auto"/>
        <w:bottom w:val="none" w:sz="0" w:space="0" w:color="auto"/>
        <w:right w:val="none" w:sz="0" w:space="0" w:color="auto"/>
      </w:divBdr>
    </w:div>
    <w:div w:id="68430908">
      <w:bodyDiv w:val="1"/>
      <w:marLeft w:val="0"/>
      <w:marRight w:val="0"/>
      <w:marTop w:val="0"/>
      <w:marBottom w:val="0"/>
      <w:divBdr>
        <w:top w:val="none" w:sz="0" w:space="0" w:color="auto"/>
        <w:left w:val="none" w:sz="0" w:space="0" w:color="auto"/>
        <w:bottom w:val="none" w:sz="0" w:space="0" w:color="auto"/>
        <w:right w:val="none" w:sz="0" w:space="0" w:color="auto"/>
      </w:divBdr>
    </w:div>
    <w:div w:id="81486877">
      <w:bodyDiv w:val="1"/>
      <w:marLeft w:val="0"/>
      <w:marRight w:val="0"/>
      <w:marTop w:val="0"/>
      <w:marBottom w:val="0"/>
      <w:divBdr>
        <w:top w:val="none" w:sz="0" w:space="0" w:color="auto"/>
        <w:left w:val="none" w:sz="0" w:space="0" w:color="auto"/>
        <w:bottom w:val="none" w:sz="0" w:space="0" w:color="auto"/>
        <w:right w:val="none" w:sz="0" w:space="0" w:color="auto"/>
      </w:divBdr>
    </w:div>
    <w:div w:id="130174128">
      <w:bodyDiv w:val="1"/>
      <w:marLeft w:val="0"/>
      <w:marRight w:val="0"/>
      <w:marTop w:val="0"/>
      <w:marBottom w:val="0"/>
      <w:divBdr>
        <w:top w:val="none" w:sz="0" w:space="0" w:color="auto"/>
        <w:left w:val="none" w:sz="0" w:space="0" w:color="auto"/>
        <w:bottom w:val="none" w:sz="0" w:space="0" w:color="auto"/>
        <w:right w:val="none" w:sz="0" w:space="0" w:color="auto"/>
      </w:divBdr>
      <w:divsChild>
        <w:div w:id="642466654">
          <w:marLeft w:val="0"/>
          <w:marRight w:val="0"/>
          <w:marTop w:val="0"/>
          <w:marBottom w:val="0"/>
          <w:divBdr>
            <w:top w:val="none" w:sz="0" w:space="0" w:color="auto"/>
            <w:left w:val="none" w:sz="0" w:space="0" w:color="auto"/>
            <w:bottom w:val="none" w:sz="0" w:space="0" w:color="auto"/>
            <w:right w:val="none" w:sz="0" w:space="0" w:color="auto"/>
          </w:divBdr>
          <w:divsChild>
            <w:div w:id="612782540">
              <w:marLeft w:val="0"/>
              <w:marRight w:val="0"/>
              <w:marTop w:val="0"/>
              <w:marBottom w:val="0"/>
              <w:divBdr>
                <w:top w:val="none" w:sz="0" w:space="0" w:color="auto"/>
                <w:left w:val="none" w:sz="0" w:space="0" w:color="auto"/>
                <w:bottom w:val="none" w:sz="0" w:space="0" w:color="auto"/>
                <w:right w:val="none" w:sz="0" w:space="0" w:color="auto"/>
              </w:divBdr>
              <w:divsChild>
                <w:div w:id="84424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9145">
      <w:bodyDiv w:val="1"/>
      <w:marLeft w:val="0"/>
      <w:marRight w:val="0"/>
      <w:marTop w:val="0"/>
      <w:marBottom w:val="0"/>
      <w:divBdr>
        <w:top w:val="none" w:sz="0" w:space="0" w:color="auto"/>
        <w:left w:val="none" w:sz="0" w:space="0" w:color="auto"/>
        <w:bottom w:val="none" w:sz="0" w:space="0" w:color="auto"/>
        <w:right w:val="none" w:sz="0" w:space="0" w:color="auto"/>
      </w:divBdr>
      <w:divsChild>
        <w:div w:id="244807241">
          <w:marLeft w:val="0"/>
          <w:marRight w:val="0"/>
          <w:marTop w:val="0"/>
          <w:marBottom w:val="0"/>
          <w:divBdr>
            <w:top w:val="none" w:sz="0" w:space="0" w:color="auto"/>
            <w:left w:val="none" w:sz="0" w:space="0" w:color="auto"/>
            <w:bottom w:val="none" w:sz="0" w:space="0" w:color="auto"/>
            <w:right w:val="none" w:sz="0" w:space="0" w:color="auto"/>
          </w:divBdr>
          <w:divsChild>
            <w:div w:id="318264837">
              <w:marLeft w:val="0"/>
              <w:marRight w:val="0"/>
              <w:marTop w:val="0"/>
              <w:marBottom w:val="0"/>
              <w:divBdr>
                <w:top w:val="none" w:sz="0" w:space="0" w:color="auto"/>
                <w:left w:val="none" w:sz="0" w:space="0" w:color="auto"/>
                <w:bottom w:val="none" w:sz="0" w:space="0" w:color="auto"/>
                <w:right w:val="none" w:sz="0" w:space="0" w:color="auto"/>
              </w:divBdr>
              <w:divsChild>
                <w:div w:id="92334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959">
      <w:bodyDiv w:val="1"/>
      <w:marLeft w:val="0"/>
      <w:marRight w:val="0"/>
      <w:marTop w:val="0"/>
      <w:marBottom w:val="0"/>
      <w:divBdr>
        <w:top w:val="none" w:sz="0" w:space="0" w:color="auto"/>
        <w:left w:val="none" w:sz="0" w:space="0" w:color="auto"/>
        <w:bottom w:val="none" w:sz="0" w:space="0" w:color="auto"/>
        <w:right w:val="none" w:sz="0" w:space="0" w:color="auto"/>
      </w:divBdr>
    </w:div>
    <w:div w:id="157120153">
      <w:bodyDiv w:val="1"/>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sChild>
            <w:div w:id="1173253620">
              <w:marLeft w:val="0"/>
              <w:marRight w:val="0"/>
              <w:marTop w:val="0"/>
              <w:marBottom w:val="0"/>
              <w:divBdr>
                <w:top w:val="none" w:sz="0" w:space="0" w:color="auto"/>
                <w:left w:val="none" w:sz="0" w:space="0" w:color="auto"/>
                <w:bottom w:val="none" w:sz="0" w:space="0" w:color="auto"/>
                <w:right w:val="none" w:sz="0" w:space="0" w:color="auto"/>
              </w:divBdr>
              <w:divsChild>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9322">
      <w:bodyDiv w:val="1"/>
      <w:marLeft w:val="0"/>
      <w:marRight w:val="0"/>
      <w:marTop w:val="0"/>
      <w:marBottom w:val="0"/>
      <w:divBdr>
        <w:top w:val="none" w:sz="0" w:space="0" w:color="auto"/>
        <w:left w:val="none" w:sz="0" w:space="0" w:color="auto"/>
        <w:bottom w:val="none" w:sz="0" w:space="0" w:color="auto"/>
        <w:right w:val="none" w:sz="0" w:space="0" w:color="auto"/>
      </w:divBdr>
    </w:div>
    <w:div w:id="206186943">
      <w:bodyDiv w:val="1"/>
      <w:marLeft w:val="0"/>
      <w:marRight w:val="0"/>
      <w:marTop w:val="0"/>
      <w:marBottom w:val="0"/>
      <w:divBdr>
        <w:top w:val="none" w:sz="0" w:space="0" w:color="auto"/>
        <w:left w:val="none" w:sz="0" w:space="0" w:color="auto"/>
        <w:bottom w:val="none" w:sz="0" w:space="0" w:color="auto"/>
        <w:right w:val="none" w:sz="0" w:space="0" w:color="auto"/>
      </w:divBdr>
    </w:div>
    <w:div w:id="249239196">
      <w:bodyDiv w:val="1"/>
      <w:marLeft w:val="0"/>
      <w:marRight w:val="0"/>
      <w:marTop w:val="0"/>
      <w:marBottom w:val="0"/>
      <w:divBdr>
        <w:top w:val="none" w:sz="0" w:space="0" w:color="auto"/>
        <w:left w:val="none" w:sz="0" w:space="0" w:color="auto"/>
        <w:bottom w:val="none" w:sz="0" w:space="0" w:color="auto"/>
        <w:right w:val="none" w:sz="0" w:space="0" w:color="auto"/>
      </w:divBdr>
      <w:divsChild>
        <w:div w:id="1705591543">
          <w:marLeft w:val="0"/>
          <w:marRight w:val="0"/>
          <w:marTop w:val="0"/>
          <w:marBottom w:val="0"/>
          <w:divBdr>
            <w:top w:val="none" w:sz="0" w:space="0" w:color="auto"/>
            <w:left w:val="none" w:sz="0" w:space="0" w:color="auto"/>
            <w:bottom w:val="none" w:sz="0" w:space="0" w:color="auto"/>
            <w:right w:val="none" w:sz="0" w:space="0" w:color="auto"/>
          </w:divBdr>
          <w:divsChild>
            <w:div w:id="26415194">
              <w:marLeft w:val="0"/>
              <w:marRight w:val="0"/>
              <w:marTop w:val="0"/>
              <w:marBottom w:val="0"/>
              <w:divBdr>
                <w:top w:val="none" w:sz="0" w:space="0" w:color="auto"/>
                <w:left w:val="none" w:sz="0" w:space="0" w:color="auto"/>
                <w:bottom w:val="none" w:sz="0" w:space="0" w:color="auto"/>
                <w:right w:val="none" w:sz="0" w:space="0" w:color="auto"/>
              </w:divBdr>
              <w:divsChild>
                <w:div w:id="14058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28282">
      <w:bodyDiv w:val="1"/>
      <w:marLeft w:val="0"/>
      <w:marRight w:val="0"/>
      <w:marTop w:val="0"/>
      <w:marBottom w:val="0"/>
      <w:divBdr>
        <w:top w:val="none" w:sz="0" w:space="0" w:color="auto"/>
        <w:left w:val="none" w:sz="0" w:space="0" w:color="auto"/>
        <w:bottom w:val="none" w:sz="0" w:space="0" w:color="auto"/>
        <w:right w:val="none" w:sz="0" w:space="0" w:color="auto"/>
      </w:divBdr>
    </w:div>
    <w:div w:id="300505565">
      <w:bodyDiv w:val="1"/>
      <w:marLeft w:val="0"/>
      <w:marRight w:val="0"/>
      <w:marTop w:val="0"/>
      <w:marBottom w:val="0"/>
      <w:divBdr>
        <w:top w:val="none" w:sz="0" w:space="0" w:color="auto"/>
        <w:left w:val="none" w:sz="0" w:space="0" w:color="auto"/>
        <w:bottom w:val="none" w:sz="0" w:space="0" w:color="auto"/>
        <w:right w:val="none" w:sz="0" w:space="0" w:color="auto"/>
      </w:divBdr>
    </w:div>
    <w:div w:id="324164519">
      <w:bodyDiv w:val="1"/>
      <w:marLeft w:val="0"/>
      <w:marRight w:val="0"/>
      <w:marTop w:val="0"/>
      <w:marBottom w:val="0"/>
      <w:divBdr>
        <w:top w:val="none" w:sz="0" w:space="0" w:color="auto"/>
        <w:left w:val="none" w:sz="0" w:space="0" w:color="auto"/>
        <w:bottom w:val="none" w:sz="0" w:space="0" w:color="auto"/>
        <w:right w:val="none" w:sz="0" w:space="0" w:color="auto"/>
      </w:divBdr>
    </w:div>
    <w:div w:id="389887593">
      <w:bodyDiv w:val="1"/>
      <w:marLeft w:val="0"/>
      <w:marRight w:val="0"/>
      <w:marTop w:val="0"/>
      <w:marBottom w:val="0"/>
      <w:divBdr>
        <w:top w:val="none" w:sz="0" w:space="0" w:color="auto"/>
        <w:left w:val="none" w:sz="0" w:space="0" w:color="auto"/>
        <w:bottom w:val="none" w:sz="0" w:space="0" w:color="auto"/>
        <w:right w:val="none" w:sz="0" w:space="0" w:color="auto"/>
      </w:divBdr>
      <w:divsChild>
        <w:div w:id="1017073180">
          <w:marLeft w:val="0"/>
          <w:marRight w:val="0"/>
          <w:marTop w:val="0"/>
          <w:marBottom w:val="0"/>
          <w:divBdr>
            <w:top w:val="none" w:sz="0" w:space="0" w:color="auto"/>
            <w:left w:val="none" w:sz="0" w:space="0" w:color="auto"/>
            <w:bottom w:val="none" w:sz="0" w:space="0" w:color="auto"/>
            <w:right w:val="none" w:sz="0" w:space="0" w:color="auto"/>
          </w:divBdr>
          <w:divsChild>
            <w:div w:id="92751348">
              <w:marLeft w:val="0"/>
              <w:marRight w:val="0"/>
              <w:marTop w:val="0"/>
              <w:marBottom w:val="0"/>
              <w:divBdr>
                <w:top w:val="none" w:sz="0" w:space="0" w:color="auto"/>
                <w:left w:val="none" w:sz="0" w:space="0" w:color="auto"/>
                <w:bottom w:val="none" w:sz="0" w:space="0" w:color="auto"/>
                <w:right w:val="none" w:sz="0" w:space="0" w:color="auto"/>
              </w:divBdr>
              <w:divsChild>
                <w:div w:id="135341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09449">
      <w:bodyDiv w:val="1"/>
      <w:marLeft w:val="0"/>
      <w:marRight w:val="0"/>
      <w:marTop w:val="0"/>
      <w:marBottom w:val="0"/>
      <w:divBdr>
        <w:top w:val="none" w:sz="0" w:space="0" w:color="auto"/>
        <w:left w:val="none" w:sz="0" w:space="0" w:color="auto"/>
        <w:bottom w:val="none" w:sz="0" w:space="0" w:color="auto"/>
        <w:right w:val="none" w:sz="0" w:space="0" w:color="auto"/>
      </w:divBdr>
      <w:divsChild>
        <w:div w:id="1870146373">
          <w:marLeft w:val="0"/>
          <w:marRight w:val="0"/>
          <w:marTop w:val="0"/>
          <w:marBottom w:val="0"/>
          <w:divBdr>
            <w:top w:val="none" w:sz="0" w:space="0" w:color="auto"/>
            <w:left w:val="none" w:sz="0" w:space="0" w:color="auto"/>
            <w:bottom w:val="none" w:sz="0" w:space="0" w:color="auto"/>
            <w:right w:val="none" w:sz="0" w:space="0" w:color="auto"/>
          </w:divBdr>
          <w:divsChild>
            <w:div w:id="1681348297">
              <w:marLeft w:val="0"/>
              <w:marRight w:val="0"/>
              <w:marTop w:val="0"/>
              <w:marBottom w:val="0"/>
              <w:divBdr>
                <w:top w:val="none" w:sz="0" w:space="0" w:color="auto"/>
                <w:left w:val="none" w:sz="0" w:space="0" w:color="auto"/>
                <w:bottom w:val="none" w:sz="0" w:space="0" w:color="auto"/>
                <w:right w:val="none" w:sz="0" w:space="0" w:color="auto"/>
              </w:divBdr>
              <w:divsChild>
                <w:div w:id="7899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615364">
      <w:bodyDiv w:val="1"/>
      <w:marLeft w:val="0"/>
      <w:marRight w:val="0"/>
      <w:marTop w:val="0"/>
      <w:marBottom w:val="0"/>
      <w:divBdr>
        <w:top w:val="none" w:sz="0" w:space="0" w:color="auto"/>
        <w:left w:val="none" w:sz="0" w:space="0" w:color="auto"/>
        <w:bottom w:val="none" w:sz="0" w:space="0" w:color="auto"/>
        <w:right w:val="none" w:sz="0" w:space="0" w:color="auto"/>
      </w:divBdr>
    </w:div>
    <w:div w:id="582496225">
      <w:bodyDiv w:val="1"/>
      <w:marLeft w:val="0"/>
      <w:marRight w:val="0"/>
      <w:marTop w:val="0"/>
      <w:marBottom w:val="0"/>
      <w:divBdr>
        <w:top w:val="none" w:sz="0" w:space="0" w:color="auto"/>
        <w:left w:val="none" w:sz="0" w:space="0" w:color="auto"/>
        <w:bottom w:val="none" w:sz="0" w:space="0" w:color="auto"/>
        <w:right w:val="none" w:sz="0" w:space="0" w:color="auto"/>
      </w:divBdr>
      <w:divsChild>
        <w:div w:id="1581909270">
          <w:marLeft w:val="0"/>
          <w:marRight w:val="0"/>
          <w:marTop w:val="0"/>
          <w:marBottom w:val="0"/>
          <w:divBdr>
            <w:top w:val="none" w:sz="0" w:space="0" w:color="auto"/>
            <w:left w:val="none" w:sz="0" w:space="0" w:color="auto"/>
            <w:bottom w:val="none" w:sz="0" w:space="0" w:color="auto"/>
            <w:right w:val="none" w:sz="0" w:space="0" w:color="auto"/>
          </w:divBdr>
          <w:divsChild>
            <w:div w:id="1964538097">
              <w:marLeft w:val="0"/>
              <w:marRight w:val="0"/>
              <w:marTop w:val="0"/>
              <w:marBottom w:val="0"/>
              <w:divBdr>
                <w:top w:val="none" w:sz="0" w:space="0" w:color="auto"/>
                <w:left w:val="none" w:sz="0" w:space="0" w:color="auto"/>
                <w:bottom w:val="none" w:sz="0" w:space="0" w:color="auto"/>
                <w:right w:val="none" w:sz="0" w:space="0" w:color="auto"/>
              </w:divBdr>
              <w:divsChild>
                <w:div w:id="17037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5411">
      <w:bodyDiv w:val="1"/>
      <w:marLeft w:val="0"/>
      <w:marRight w:val="0"/>
      <w:marTop w:val="0"/>
      <w:marBottom w:val="0"/>
      <w:divBdr>
        <w:top w:val="none" w:sz="0" w:space="0" w:color="auto"/>
        <w:left w:val="none" w:sz="0" w:space="0" w:color="auto"/>
        <w:bottom w:val="none" w:sz="0" w:space="0" w:color="auto"/>
        <w:right w:val="none" w:sz="0" w:space="0" w:color="auto"/>
      </w:divBdr>
      <w:divsChild>
        <w:div w:id="1728794204">
          <w:marLeft w:val="0"/>
          <w:marRight w:val="0"/>
          <w:marTop w:val="0"/>
          <w:marBottom w:val="0"/>
          <w:divBdr>
            <w:top w:val="none" w:sz="0" w:space="0" w:color="auto"/>
            <w:left w:val="none" w:sz="0" w:space="0" w:color="auto"/>
            <w:bottom w:val="none" w:sz="0" w:space="0" w:color="auto"/>
            <w:right w:val="none" w:sz="0" w:space="0" w:color="auto"/>
          </w:divBdr>
          <w:divsChild>
            <w:div w:id="2038113595">
              <w:marLeft w:val="0"/>
              <w:marRight w:val="0"/>
              <w:marTop w:val="0"/>
              <w:marBottom w:val="0"/>
              <w:divBdr>
                <w:top w:val="none" w:sz="0" w:space="0" w:color="auto"/>
                <w:left w:val="none" w:sz="0" w:space="0" w:color="auto"/>
                <w:bottom w:val="none" w:sz="0" w:space="0" w:color="auto"/>
                <w:right w:val="none" w:sz="0" w:space="0" w:color="auto"/>
              </w:divBdr>
              <w:divsChild>
                <w:div w:id="7540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91191">
      <w:bodyDiv w:val="1"/>
      <w:marLeft w:val="0"/>
      <w:marRight w:val="0"/>
      <w:marTop w:val="0"/>
      <w:marBottom w:val="0"/>
      <w:divBdr>
        <w:top w:val="none" w:sz="0" w:space="0" w:color="auto"/>
        <w:left w:val="none" w:sz="0" w:space="0" w:color="auto"/>
        <w:bottom w:val="none" w:sz="0" w:space="0" w:color="auto"/>
        <w:right w:val="none" w:sz="0" w:space="0" w:color="auto"/>
      </w:divBdr>
      <w:divsChild>
        <w:div w:id="596211802">
          <w:marLeft w:val="0"/>
          <w:marRight w:val="0"/>
          <w:marTop w:val="0"/>
          <w:marBottom w:val="0"/>
          <w:divBdr>
            <w:top w:val="none" w:sz="0" w:space="0" w:color="auto"/>
            <w:left w:val="none" w:sz="0" w:space="0" w:color="auto"/>
            <w:bottom w:val="none" w:sz="0" w:space="0" w:color="auto"/>
            <w:right w:val="none" w:sz="0" w:space="0" w:color="auto"/>
          </w:divBdr>
          <w:divsChild>
            <w:div w:id="1767189131">
              <w:marLeft w:val="0"/>
              <w:marRight w:val="0"/>
              <w:marTop w:val="0"/>
              <w:marBottom w:val="0"/>
              <w:divBdr>
                <w:top w:val="none" w:sz="0" w:space="0" w:color="auto"/>
                <w:left w:val="none" w:sz="0" w:space="0" w:color="auto"/>
                <w:bottom w:val="none" w:sz="0" w:space="0" w:color="auto"/>
                <w:right w:val="none" w:sz="0" w:space="0" w:color="auto"/>
              </w:divBdr>
              <w:divsChild>
                <w:div w:id="6272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25356">
      <w:bodyDiv w:val="1"/>
      <w:marLeft w:val="0"/>
      <w:marRight w:val="0"/>
      <w:marTop w:val="0"/>
      <w:marBottom w:val="0"/>
      <w:divBdr>
        <w:top w:val="none" w:sz="0" w:space="0" w:color="auto"/>
        <w:left w:val="none" w:sz="0" w:space="0" w:color="auto"/>
        <w:bottom w:val="none" w:sz="0" w:space="0" w:color="auto"/>
        <w:right w:val="none" w:sz="0" w:space="0" w:color="auto"/>
      </w:divBdr>
    </w:div>
    <w:div w:id="957487038">
      <w:bodyDiv w:val="1"/>
      <w:marLeft w:val="0"/>
      <w:marRight w:val="0"/>
      <w:marTop w:val="0"/>
      <w:marBottom w:val="0"/>
      <w:divBdr>
        <w:top w:val="none" w:sz="0" w:space="0" w:color="auto"/>
        <w:left w:val="none" w:sz="0" w:space="0" w:color="auto"/>
        <w:bottom w:val="none" w:sz="0" w:space="0" w:color="auto"/>
        <w:right w:val="none" w:sz="0" w:space="0" w:color="auto"/>
      </w:divBdr>
      <w:divsChild>
        <w:div w:id="504590185">
          <w:marLeft w:val="0"/>
          <w:marRight w:val="0"/>
          <w:marTop w:val="0"/>
          <w:marBottom w:val="0"/>
          <w:divBdr>
            <w:top w:val="none" w:sz="0" w:space="0" w:color="auto"/>
            <w:left w:val="none" w:sz="0" w:space="0" w:color="auto"/>
            <w:bottom w:val="none" w:sz="0" w:space="0" w:color="auto"/>
            <w:right w:val="none" w:sz="0" w:space="0" w:color="auto"/>
          </w:divBdr>
          <w:divsChild>
            <w:div w:id="1075932348">
              <w:marLeft w:val="0"/>
              <w:marRight w:val="0"/>
              <w:marTop w:val="0"/>
              <w:marBottom w:val="0"/>
              <w:divBdr>
                <w:top w:val="none" w:sz="0" w:space="0" w:color="auto"/>
                <w:left w:val="none" w:sz="0" w:space="0" w:color="auto"/>
                <w:bottom w:val="none" w:sz="0" w:space="0" w:color="auto"/>
                <w:right w:val="none" w:sz="0" w:space="0" w:color="auto"/>
              </w:divBdr>
              <w:divsChild>
                <w:div w:id="6124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080">
      <w:bodyDiv w:val="1"/>
      <w:marLeft w:val="0"/>
      <w:marRight w:val="0"/>
      <w:marTop w:val="0"/>
      <w:marBottom w:val="0"/>
      <w:divBdr>
        <w:top w:val="none" w:sz="0" w:space="0" w:color="auto"/>
        <w:left w:val="none" w:sz="0" w:space="0" w:color="auto"/>
        <w:bottom w:val="none" w:sz="0" w:space="0" w:color="auto"/>
        <w:right w:val="none" w:sz="0" w:space="0" w:color="auto"/>
      </w:divBdr>
      <w:divsChild>
        <w:div w:id="1675915860">
          <w:marLeft w:val="0"/>
          <w:marRight w:val="0"/>
          <w:marTop w:val="0"/>
          <w:marBottom w:val="0"/>
          <w:divBdr>
            <w:top w:val="none" w:sz="0" w:space="0" w:color="auto"/>
            <w:left w:val="none" w:sz="0" w:space="0" w:color="auto"/>
            <w:bottom w:val="none" w:sz="0" w:space="0" w:color="auto"/>
            <w:right w:val="none" w:sz="0" w:space="0" w:color="auto"/>
          </w:divBdr>
          <w:divsChild>
            <w:div w:id="115098865">
              <w:marLeft w:val="0"/>
              <w:marRight w:val="0"/>
              <w:marTop w:val="0"/>
              <w:marBottom w:val="0"/>
              <w:divBdr>
                <w:top w:val="none" w:sz="0" w:space="0" w:color="auto"/>
                <w:left w:val="none" w:sz="0" w:space="0" w:color="auto"/>
                <w:bottom w:val="none" w:sz="0" w:space="0" w:color="auto"/>
                <w:right w:val="none" w:sz="0" w:space="0" w:color="auto"/>
              </w:divBdr>
              <w:divsChild>
                <w:div w:id="310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2696">
      <w:bodyDiv w:val="1"/>
      <w:marLeft w:val="0"/>
      <w:marRight w:val="0"/>
      <w:marTop w:val="0"/>
      <w:marBottom w:val="0"/>
      <w:divBdr>
        <w:top w:val="none" w:sz="0" w:space="0" w:color="auto"/>
        <w:left w:val="none" w:sz="0" w:space="0" w:color="auto"/>
        <w:bottom w:val="none" w:sz="0" w:space="0" w:color="auto"/>
        <w:right w:val="none" w:sz="0" w:space="0" w:color="auto"/>
      </w:divBdr>
    </w:div>
    <w:div w:id="1118261424">
      <w:bodyDiv w:val="1"/>
      <w:marLeft w:val="0"/>
      <w:marRight w:val="0"/>
      <w:marTop w:val="0"/>
      <w:marBottom w:val="0"/>
      <w:divBdr>
        <w:top w:val="none" w:sz="0" w:space="0" w:color="auto"/>
        <w:left w:val="none" w:sz="0" w:space="0" w:color="auto"/>
        <w:bottom w:val="none" w:sz="0" w:space="0" w:color="auto"/>
        <w:right w:val="none" w:sz="0" w:space="0" w:color="auto"/>
      </w:divBdr>
      <w:divsChild>
        <w:div w:id="2083210353">
          <w:marLeft w:val="0"/>
          <w:marRight w:val="0"/>
          <w:marTop w:val="0"/>
          <w:marBottom w:val="0"/>
          <w:divBdr>
            <w:top w:val="none" w:sz="0" w:space="0" w:color="auto"/>
            <w:left w:val="none" w:sz="0" w:space="0" w:color="auto"/>
            <w:bottom w:val="none" w:sz="0" w:space="0" w:color="auto"/>
            <w:right w:val="none" w:sz="0" w:space="0" w:color="auto"/>
          </w:divBdr>
          <w:divsChild>
            <w:div w:id="440031054">
              <w:marLeft w:val="0"/>
              <w:marRight w:val="0"/>
              <w:marTop w:val="0"/>
              <w:marBottom w:val="0"/>
              <w:divBdr>
                <w:top w:val="none" w:sz="0" w:space="0" w:color="auto"/>
                <w:left w:val="none" w:sz="0" w:space="0" w:color="auto"/>
                <w:bottom w:val="none" w:sz="0" w:space="0" w:color="auto"/>
                <w:right w:val="none" w:sz="0" w:space="0" w:color="auto"/>
              </w:divBdr>
              <w:divsChild>
                <w:div w:id="1867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435">
      <w:bodyDiv w:val="1"/>
      <w:marLeft w:val="0"/>
      <w:marRight w:val="0"/>
      <w:marTop w:val="0"/>
      <w:marBottom w:val="0"/>
      <w:divBdr>
        <w:top w:val="none" w:sz="0" w:space="0" w:color="auto"/>
        <w:left w:val="none" w:sz="0" w:space="0" w:color="auto"/>
        <w:bottom w:val="none" w:sz="0" w:space="0" w:color="auto"/>
        <w:right w:val="none" w:sz="0" w:space="0" w:color="auto"/>
      </w:divBdr>
      <w:divsChild>
        <w:div w:id="150610431">
          <w:marLeft w:val="0"/>
          <w:marRight w:val="0"/>
          <w:marTop w:val="0"/>
          <w:marBottom w:val="0"/>
          <w:divBdr>
            <w:top w:val="none" w:sz="0" w:space="0" w:color="auto"/>
            <w:left w:val="none" w:sz="0" w:space="0" w:color="auto"/>
            <w:bottom w:val="none" w:sz="0" w:space="0" w:color="auto"/>
            <w:right w:val="none" w:sz="0" w:space="0" w:color="auto"/>
          </w:divBdr>
          <w:divsChild>
            <w:div w:id="1226795159">
              <w:marLeft w:val="0"/>
              <w:marRight w:val="0"/>
              <w:marTop w:val="0"/>
              <w:marBottom w:val="0"/>
              <w:divBdr>
                <w:top w:val="none" w:sz="0" w:space="0" w:color="auto"/>
                <w:left w:val="none" w:sz="0" w:space="0" w:color="auto"/>
                <w:bottom w:val="none" w:sz="0" w:space="0" w:color="auto"/>
                <w:right w:val="none" w:sz="0" w:space="0" w:color="auto"/>
              </w:divBdr>
              <w:divsChild>
                <w:div w:id="17430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17134">
      <w:bodyDiv w:val="1"/>
      <w:marLeft w:val="0"/>
      <w:marRight w:val="0"/>
      <w:marTop w:val="0"/>
      <w:marBottom w:val="0"/>
      <w:divBdr>
        <w:top w:val="none" w:sz="0" w:space="0" w:color="auto"/>
        <w:left w:val="none" w:sz="0" w:space="0" w:color="auto"/>
        <w:bottom w:val="none" w:sz="0" w:space="0" w:color="auto"/>
        <w:right w:val="none" w:sz="0" w:space="0" w:color="auto"/>
      </w:divBdr>
      <w:divsChild>
        <w:div w:id="1051327">
          <w:marLeft w:val="0"/>
          <w:marRight w:val="0"/>
          <w:marTop w:val="0"/>
          <w:marBottom w:val="0"/>
          <w:divBdr>
            <w:top w:val="none" w:sz="0" w:space="0" w:color="auto"/>
            <w:left w:val="none" w:sz="0" w:space="0" w:color="auto"/>
            <w:bottom w:val="none" w:sz="0" w:space="0" w:color="auto"/>
            <w:right w:val="none" w:sz="0" w:space="0" w:color="auto"/>
          </w:divBdr>
          <w:divsChild>
            <w:div w:id="332417786">
              <w:marLeft w:val="0"/>
              <w:marRight w:val="0"/>
              <w:marTop w:val="0"/>
              <w:marBottom w:val="0"/>
              <w:divBdr>
                <w:top w:val="none" w:sz="0" w:space="0" w:color="auto"/>
                <w:left w:val="none" w:sz="0" w:space="0" w:color="auto"/>
                <w:bottom w:val="none" w:sz="0" w:space="0" w:color="auto"/>
                <w:right w:val="none" w:sz="0" w:space="0" w:color="auto"/>
              </w:divBdr>
              <w:divsChild>
                <w:div w:id="177389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9992">
      <w:bodyDiv w:val="1"/>
      <w:marLeft w:val="0"/>
      <w:marRight w:val="0"/>
      <w:marTop w:val="0"/>
      <w:marBottom w:val="0"/>
      <w:divBdr>
        <w:top w:val="none" w:sz="0" w:space="0" w:color="auto"/>
        <w:left w:val="none" w:sz="0" w:space="0" w:color="auto"/>
        <w:bottom w:val="none" w:sz="0" w:space="0" w:color="auto"/>
        <w:right w:val="none" w:sz="0" w:space="0" w:color="auto"/>
      </w:divBdr>
    </w:div>
    <w:div w:id="1324894698">
      <w:bodyDiv w:val="1"/>
      <w:marLeft w:val="0"/>
      <w:marRight w:val="0"/>
      <w:marTop w:val="0"/>
      <w:marBottom w:val="0"/>
      <w:divBdr>
        <w:top w:val="none" w:sz="0" w:space="0" w:color="auto"/>
        <w:left w:val="none" w:sz="0" w:space="0" w:color="auto"/>
        <w:bottom w:val="none" w:sz="0" w:space="0" w:color="auto"/>
        <w:right w:val="none" w:sz="0" w:space="0" w:color="auto"/>
      </w:divBdr>
      <w:divsChild>
        <w:div w:id="2141804742">
          <w:marLeft w:val="0"/>
          <w:marRight w:val="0"/>
          <w:marTop w:val="0"/>
          <w:marBottom w:val="0"/>
          <w:divBdr>
            <w:top w:val="none" w:sz="0" w:space="0" w:color="auto"/>
            <w:left w:val="none" w:sz="0" w:space="0" w:color="auto"/>
            <w:bottom w:val="none" w:sz="0" w:space="0" w:color="auto"/>
            <w:right w:val="none" w:sz="0" w:space="0" w:color="auto"/>
          </w:divBdr>
          <w:divsChild>
            <w:div w:id="736318913">
              <w:marLeft w:val="0"/>
              <w:marRight w:val="0"/>
              <w:marTop w:val="0"/>
              <w:marBottom w:val="0"/>
              <w:divBdr>
                <w:top w:val="none" w:sz="0" w:space="0" w:color="auto"/>
                <w:left w:val="none" w:sz="0" w:space="0" w:color="auto"/>
                <w:bottom w:val="none" w:sz="0" w:space="0" w:color="auto"/>
                <w:right w:val="none" w:sz="0" w:space="0" w:color="auto"/>
              </w:divBdr>
              <w:divsChild>
                <w:div w:id="4971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4760">
      <w:bodyDiv w:val="1"/>
      <w:marLeft w:val="0"/>
      <w:marRight w:val="0"/>
      <w:marTop w:val="0"/>
      <w:marBottom w:val="0"/>
      <w:divBdr>
        <w:top w:val="none" w:sz="0" w:space="0" w:color="auto"/>
        <w:left w:val="none" w:sz="0" w:space="0" w:color="auto"/>
        <w:bottom w:val="none" w:sz="0" w:space="0" w:color="auto"/>
        <w:right w:val="none" w:sz="0" w:space="0" w:color="auto"/>
      </w:divBdr>
      <w:divsChild>
        <w:div w:id="196507572">
          <w:marLeft w:val="0"/>
          <w:marRight w:val="0"/>
          <w:marTop w:val="0"/>
          <w:marBottom w:val="0"/>
          <w:divBdr>
            <w:top w:val="none" w:sz="0" w:space="0" w:color="auto"/>
            <w:left w:val="none" w:sz="0" w:space="0" w:color="auto"/>
            <w:bottom w:val="none" w:sz="0" w:space="0" w:color="auto"/>
            <w:right w:val="none" w:sz="0" w:space="0" w:color="auto"/>
          </w:divBdr>
          <w:divsChild>
            <w:div w:id="2121141513">
              <w:marLeft w:val="0"/>
              <w:marRight w:val="0"/>
              <w:marTop w:val="0"/>
              <w:marBottom w:val="0"/>
              <w:divBdr>
                <w:top w:val="none" w:sz="0" w:space="0" w:color="auto"/>
                <w:left w:val="none" w:sz="0" w:space="0" w:color="auto"/>
                <w:bottom w:val="none" w:sz="0" w:space="0" w:color="auto"/>
                <w:right w:val="none" w:sz="0" w:space="0" w:color="auto"/>
              </w:divBdr>
              <w:divsChild>
                <w:div w:id="3567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465552">
      <w:bodyDiv w:val="1"/>
      <w:marLeft w:val="0"/>
      <w:marRight w:val="0"/>
      <w:marTop w:val="0"/>
      <w:marBottom w:val="0"/>
      <w:divBdr>
        <w:top w:val="none" w:sz="0" w:space="0" w:color="auto"/>
        <w:left w:val="none" w:sz="0" w:space="0" w:color="auto"/>
        <w:bottom w:val="none" w:sz="0" w:space="0" w:color="auto"/>
        <w:right w:val="none" w:sz="0" w:space="0" w:color="auto"/>
      </w:divBdr>
      <w:divsChild>
        <w:div w:id="1611622186">
          <w:marLeft w:val="0"/>
          <w:marRight w:val="0"/>
          <w:marTop w:val="0"/>
          <w:marBottom w:val="0"/>
          <w:divBdr>
            <w:top w:val="none" w:sz="0" w:space="0" w:color="auto"/>
            <w:left w:val="none" w:sz="0" w:space="0" w:color="auto"/>
            <w:bottom w:val="none" w:sz="0" w:space="0" w:color="auto"/>
            <w:right w:val="none" w:sz="0" w:space="0" w:color="auto"/>
          </w:divBdr>
          <w:divsChild>
            <w:div w:id="1609118326">
              <w:marLeft w:val="0"/>
              <w:marRight w:val="0"/>
              <w:marTop w:val="0"/>
              <w:marBottom w:val="0"/>
              <w:divBdr>
                <w:top w:val="none" w:sz="0" w:space="0" w:color="auto"/>
                <w:left w:val="none" w:sz="0" w:space="0" w:color="auto"/>
                <w:bottom w:val="none" w:sz="0" w:space="0" w:color="auto"/>
                <w:right w:val="none" w:sz="0" w:space="0" w:color="auto"/>
              </w:divBdr>
              <w:divsChild>
                <w:div w:id="8417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458726">
      <w:bodyDiv w:val="1"/>
      <w:marLeft w:val="0"/>
      <w:marRight w:val="0"/>
      <w:marTop w:val="0"/>
      <w:marBottom w:val="0"/>
      <w:divBdr>
        <w:top w:val="none" w:sz="0" w:space="0" w:color="auto"/>
        <w:left w:val="none" w:sz="0" w:space="0" w:color="auto"/>
        <w:bottom w:val="none" w:sz="0" w:space="0" w:color="auto"/>
        <w:right w:val="none" w:sz="0" w:space="0" w:color="auto"/>
      </w:divBdr>
      <w:divsChild>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sChild>
                <w:div w:id="15443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58418">
      <w:bodyDiv w:val="1"/>
      <w:marLeft w:val="0"/>
      <w:marRight w:val="0"/>
      <w:marTop w:val="0"/>
      <w:marBottom w:val="0"/>
      <w:divBdr>
        <w:top w:val="none" w:sz="0" w:space="0" w:color="auto"/>
        <w:left w:val="none" w:sz="0" w:space="0" w:color="auto"/>
        <w:bottom w:val="none" w:sz="0" w:space="0" w:color="auto"/>
        <w:right w:val="none" w:sz="0" w:space="0" w:color="auto"/>
      </w:divBdr>
    </w:div>
    <w:div w:id="1712531787">
      <w:bodyDiv w:val="1"/>
      <w:marLeft w:val="0"/>
      <w:marRight w:val="0"/>
      <w:marTop w:val="0"/>
      <w:marBottom w:val="0"/>
      <w:divBdr>
        <w:top w:val="none" w:sz="0" w:space="0" w:color="auto"/>
        <w:left w:val="none" w:sz="0" w:space="0" w:color="auto"/>
        <w:bottom w:val="none" w:sz="0" w:space="0" w:color="auto"/>
        <w:right w:val="none" w:sz="0" w:space="0" w:color="auto"/>
      </w:divBdr>
    </w:div>
    <w:div w:id="1832670138">
      <w:bodyDiv w:val="1"/>
      <w:marLeft w:val="0"/>
      <w:marRight w:val="0"/>
      <w:marTop w:val="0"/>
      <w:marBottom w:val="0"/>
      <w:divBdr>
        <w:top w:val="none" w:sz="0" w:space="0" w:color="auto"/>
        <w:left w:val="none" w:sz="0" w:space="0" w:color="auto"/>
        <w:bottom w:val="none" w:sz="0" w:space="0" w:color="auto"/>
        <w:right w:val="none" w:sz="0" w:space="0" w:color="auto"/>
      </w:divBdr>
    </w:div>
    <w:div w:id="1843399663">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1881818690">
      <w:bodyDiv w:val="1"/>
      <w:marLeft w:val="0"/>
      <w:marRight w:val="0"/>
      <w:marTop w:val="0"/>
      <w:marBottom w:val="0"/>
      <w:divBdr>
        <w:top w:val="none" w:sz="0" w:space="0" w:color="auto"/>
        <w:left w:val="none" w:sz="0" w:space="0" w:color="auto"/>
        <w:bottom w:val="none" w:sz="0" w:space="0" w:color="auto"/>
        <w:right w:val="none" w:sz="0" w:space="0" w:color="auto"/>
      </w:divBdr>
    </w:div>
    <w:div w:id="1905140248">
      <w:bodyDiv w:val="1"/>
      <w:marLeft w:val="0"/>
      <w:marRight w:val="0"/>
      <w:marTop w:val="0"/>
      <w:marBottom w:val="0"/>
      <w:divBdr>
        <w:top w:val="none" w:sz="0" w:space="0" w:color="auto"/>
        <w:left w:val="none" w:sz="0" w:space="0" w:color="auto"/>
        <w:bottom w:val="none" w:sz="0" w:space="0" w:color="auto"/>
        <w:right w:val="none" w:sz="0" w:space="0" w:color="auto"/>
      </w:divBdr>
      <w:divsChild>
        <w:div w:id="1484589216">
          <w:marLeft w:val="0"/>
          <w:marRight w:val="0"/>
          <w:marTop w:val="0"/>
          <w:marBottom w:val="0"/>
          <w:divBdr>
            <w:top w:val="none" w:sz="0" w:space="0" w:color="auto"/>
            <w:left w:val="none" w:sz="0" w:space="0" w:color="auto"/>
            <w:bottom w:val="none" w:sz="0" w:space="0" w:color="auto"/>
            <w:right w:val="none" w:sz="0" w:space="0" w:color="auto"/>
          </w:divBdr>
          <w:divsChild>
            <w:div w:id="1693260934">
              <w:marLeft w:val="0"/>
              <w:marRight w:val="0"/>
              <w:marTop w:val="0"/>
              <w:marBottom w:val="0"/>
              <w:divBdr>
                <w:top w:val="none" w:sz="0" w:space="0" w:color="auto"/>
                <w:left w:val="none" w:sz="0" w:space="0" w:color="auto"/>
                <w:bottom w:val="none" w:sz="0" w:space="0" w:color="auto"/>
                <w:right w:val="none" w:sz="0" w:space="0" w:color="auto"/>
              </w:divBdr>
              <w:divsChild>
                <w:div w:id="5500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8375">
      <w:bodyDiv w:val="1"/>
      <w:marLeft w:val="0"/>
      <w:marRight w:val="0"/>
      <w:marTop w:val="0"/>
      <w:marBottom w:val="0"/>
      <w:divBdr>
        <w:top w:val="none" w:sz="0" w:space="0" w:color="auto"/>
        <w:left w:val="none" w:sz="0" w:space="0" w:color="auto"/>
        <w:bottom w:val="none" w:sz="0" w:space="0" w:color="auto"/>
        <w:right w:val="none" w:sz="0" w:space="0" w:color="auto"/>
      </w:divBdr>
    </w:div>
    <w:div w:id="206524940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102943176">
      <w:bodyDiv w:val="1"/>
      <w:marLeft w:val="0"/>
      <w:marRight w:val="0"/>
      <w:marTop w:val="0"/>
      <w:marBottom w:val="0"/>
      <w:divBdr>
        <w:top w:val="none" w:sz="0" w:space="0" w:color="auto"/>
        <w:left w:val="none" w:sz="0" w:space="0" w:color="auto"/>
        <w:bottom w:val="none" w:sz="0" w:space="0" w:color="auto"/>
        <w:right w:val="none" w:sz="0" w:space="0" w:color="auto"/>
      </w:divBdr>
    </w:div>
    <w:div w:id="2112553374">
      <w:bodyDiv w:val="1"/>
      <w:marLeft w:val="0"/>
      <w:marRight w:val="0"/>
      <w:marTop w:val="0"/>
      <w:marBottom w:val="0"/>
      <w:divBdr>
        <w:top w:val="none" w:sz="0" w:space="0" w:color="auto"/>
        <w:left w:val="none" w:sz="0" w:space="0" w:color="auto"/>
        <w:bottom w:val="none" w:sz="0" w:space="0" w:color="auto"/>
        <w:right w:val="none" w:sz="0" w:space="0" w:color="auto"/>
      </w:divBdr>
      <w:divsChild>
        <w:div w:id="646082668">
          <w:marLeft w:val="0"/>
          <w:marRight w:val="0"/>
          <w:marTop w:val="0"/>
          <w:marBottom w:val="0"/>
          <w:divBdr>
            <w:top w:val="none" w:sz="0" w:space="0" w:color="auto"/>
            <w:left w:val="none" w:sz="0" w:space="0" w:color="auto"/>
            <w:bottom w:val="none" w:sz="0" w:space="0" w:color="auto"/>
            <w:right w:val="none" w:sz="0" w:space="0" w:color="auto"/>
          </w:divBdr>
          <w:divsChild>
            <w:div w:id="841622505">
              <w:marLeft w:val="0"/>
              <w:marRight w:val="0"/>
              <w:marTop w:val="0"/>
              <w:marBottom w:val="0"/>
              <w:divBdr>
                <w:top w:val="none" w:sz="0" w:space="0" w:color="auto"/>
                <w:left w:val="none" w:sz="0" w:space="0" w:color="auto"/>
                <w:bottom w:val="none" w:sz="0" w:space="0" w:color="auto"/>
                <w:right w:val="none" w:sz="0" w:space="0" w:color="auto"/>
              </w:divBdr>
              <w:divsChild>
                <w:div w:id="148631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1518CD-6260-44C0-897F-B468EF4781D9}">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2.xml><?xml version="1.0" encoding="utf-8"?>
<ds:datastoreItem xmlns:ds="http://schemas.openxmlformats.org/officeDocument/2006/customXml" ds:itemID="{DBDD60C3-5DF9-423B-9675-5F66619A4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customXml/itemProps4.xml><?xml version="1.0" encoding="utf-8"?>
<ds:datastoreItem xmlns:ds="http://schemas.openxmlformats.org/officeDocument/2006/customXml" ds:itemID="{8F7B4A1F-4047-4833-9529-2707DFD0ACF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5214</ap:Words>
  <ap:Characters>29723</ap:Characters>
  <ap:Application>Microsoft Office Word</ap:Application>
  <ap:DocSecurity>0</ap:DocSecurity>
  <ap:Lines>247</ap:Lines>
  <ap:Paragraphs>69</ap:Paragraphs>
  <ap:ScaleCrop>false</ap:ScaleCrop>
  <ap:Company/>
  <ap:LinksUpToDate>false</ap:LinksUpToDate>
  <ap:CharactersWithSpaces>34868</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2026-01-08T13:40:08Z</dcterms:created>
  <dcterms:modified xsi:type="dcterms:W3CDTF">2026-01-08T13:40:08Z</dcterms:modified>
</cp:coreProperties>
</file>