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3C8" w:rsidP="007253C8" w:rsidRDefault="007253C8" w14:paraId="45E2B086" w14:textId="58BF28E0">
      <w:pPr>
        <w:spacing w:line="240" w:lineRule="auto"/>
        <w:ind w:firstLine="0"/>
        <w:rPr>
          <w:b/>
          <w:bCs/>
        </w:rPr>
      </w:pPr>
      <w:bookmarkStart w:name="_Hlk219212832" w:id="0"/>
      <w:r w:rsidRPr="00E36FD3">
        <w:t>ALJ/JOR/</w:t>
      </w:r>
      <w:proofErr w:type="spellStart"/>
      <w:r w:rsidRPr="00E36FD3">
        <w:t>hma</w:t>
      </w:r>
      <w:bookmarkEnd w:id="0"/>
      <w:proofErr w:type="spellEnd"/>
      <w:r w:rsidRPr="00E36FD3">
        <w:tab/>
      </w:r>
      <w:r w:rsidRPr="00E36FD3">
        <w:tab/>
        <w:t xml:space="preserve"> </w:t>
      </w:r>
      <w:r w:rsidRPr="000A03AD">
        <w:rPr>
          <w:rFonts w:ascii="Arial" w:hAnsi="Arial" w:cs="Arial"/>
          <w:b/>
          <w:bCs/>
          <w:sz w:val="28"/>
          <w:szCs w:val="28"/>
        </w:rPr>
        <w:t>PROPOSED DECISION</w:t>
      </w:r>
      <w:r w:rsidRPr="00E36FD3">
        <w:t xml:space="preserve">  </w:t>
      </w:r>
      <w:r w:rsidR="00EE37A9">
        <w:t xml:space="preserve"> </w:t>
      </w:r>
      <w:r w:rsidRPr="00E36FD3">
        <w:rPr>
          <w:b/>
          <w:bCs/>
        </w:rPr>
        <w:t xml:space="preserve">Agenda ID </w:t>
      </w:r>
      <w:r>
        <w:rPr>
          <w:b/>
          <w:bCs/>
        </w:rPr>
        <w:t>#</w:t>
      </w:r>
      <w:r w:rsidR="00FE2148">
        <w:rPr>
          <w:b/>
          <w:bCs/>
        </w:rPr>
        <w:t>23865</w:t>
      </w:r>
      <w:r w:rsidR="00EE37A9">
        <w:rPr>
          <w:b/>
          <w:bCs/>
        </w:rPr>
        <w:t xml:space="preserve"> (Rev. 1)</w:t>
      </w:r>
    </w:p>
    <w:p w:rsidR="007253C8" w:rsidP="007253C8" w:rsidRDefault="007253C8" w14:paraId="249AEC4F" w14:textId="77777777">
      <w:pPr>
        <w:spacing w:line="240" w:lineRule="auto"/>
        <w:ind w:left="7200"/>
        <w:rPr>
          <w:b/>
          <w:bCs/>
        </w:rPr>
      </w:pPr>
      <w:r w:rsidRPr="00E36FD3">
        <w:rPr>
          <w:b/>
          <w:bCs/>
        </w:rPr>
        <w:t>Ratesetting</w:t>
      </w:r>
    </w:p>
    <w:p w:rsidRPr="00E36FD3" w:rsidR="00EE37A9" w:rsidP="00EE37A9" w:rsidRDefault="00EE37A9" w14:paraId="647B1EE3" w14:textId="5387E27E">
      <w:pPr>
        <w:spacing w:line="240" w:lineRule="auto"/>
        <w:ind w:left="7200" w:hanging="90"/>
        <w:rPr>
          <w:b/>
          <w:bCs/>
        </w:rPr>
      </w:pPr>
      <w:r>
        <w:rPr>
          <w:b/>
          <w:bCs/>
        </w:rPr>
        <w:t>1/15/2026 Item #38</w:t>
      </w:r>
    </w:p>
    <w:p w:rsidR="007253C8" w:rsidP="007253C8" w:rsidRDefault="007253C8" w14:paraId="66684E31" w14:textId="77777777">
      <w:pPr>
        <w:suppressAutoHyphens/>
        <w:ind w:firstLine="0"/>
      </w:pPr>
    </w:p>
    <w:p w:rsidR="007253C8" w:rsidP="007253C8" w:rsidRDefault="007253C8" w14:paraId="4A8C902E" w14:textId="77777777">
      <w:pPr>
        <w:suppressAutoHyphens/>
        <w:ind w:firstLine="0"/>
      </w:pPr>
    </w:p>
    <w:p w:rsidRPr="00D166DC" w:rsidR="007253C8" w:rsidP="007253C8" w:rsidRDefault="007253C8" w14:paraId="0D842183" w14:textId="4053C129">
      <w:pPr>
        <w:suppressAutoHyphens/>
        <w:ind w:firstLine="0"/>
        <w:rPr>
          <w:b/>
          <w:bCs/>
          <w:sz w:val="20"/>
          <w:u w:val="single"/>
        </w:rPr>
      </w:pPr>
      <w:r w:rsidRPr="008436EB">
        <w:t>Decision</w:t>
      </w:r>
      <w:r>
        <w:t xml:space="preserve"> </w:t>
      </w:r>
      <w:r w:rsidR="00D166DC">
        <w:rPr>
          <w:b/>
          <w:bCs/>
          <w:u w:val="single"/>
        </w:rPr>
        <w:t xml:space="preserve">PROPOSED DECISION OF ALJ LARSEN (Mailed </w:t>
      </w:r>
      <w:r w:rsidR="00FE2148">
        <w:rPr>
          <w:b/>
          <w:bCs/>
          <w:u w:val="single"/>
        </w:rPr>
        <w:t>11/14</w:t>
      </w:r>
      <w:r w:rsidR="00D166DC">
        <w:rPr>
          <w:b/>
          <w:bCs/>
          <w:u w:val="single"/>
        </w:rPr>
        <w:t>/2025)</w:t>
      </w:r>
    </w:p>
    <w:p w:rsidRPr="00A80752" w:rsidR="007253C8" w:rsidP="007253C8" w:rsidRDefault="007253C8" w14:paraId="2106482D" w14:textId="77777777">
      <w:pPr>
        <w:pStyle w:val="Header"/>
      </w:pPr>
    </w:p>
    <w:p w:rsidRPr="002D40EE" w:rsidR="007253C8" w:rsidP="007253C8" w:rsidRDefault="007253C8" w14:paraId="090BB8EC" w14:textId="77777777">
      <w:pPr>
        <w:ind w:firstLine="0"/>
        <w:jc w:val="center"/>
        <w:rPr>
          <w:rFonts w:ascii="Arial" w:hAnsi="Arial"/>
          <w:b/>
          <w:sz w:val="24"/>
          <w:szCs w:val="24"/>
        </w:rPr>
      </w:pPr>
      <w:r w:rsidRPr="00271C98">
        <w:rPr>
          <w:rFonts w:ascii="Arial" w:hAnsi="Arial"/>
          <w:b/>
          <w:sz w:val="24"/>
          <w:szCs w:val="24"/>
        </w:rPr>
        <w:t>BEFORE THE PUBLIC UTILITIES COMMISSION OF THE STATE OF CALIFORNIA</w:t>
      </w:r>
    </w:p>
    <w:tbl>
      <w:tblPr>
        <w:tblStyle w:val="TableGrid"/>
        <w:tblW w:w="0" w:type="auto"/>
        <w:tblLook w:val="04A0" w:firstRow="1" w:lastRow="0" w:firstColumn="1" w:lastColumn="0" w:noHBand="0" w:noVBand="1"/>
      </w:tblPr>
      <w:tblGrid>
        <w:gridCol w:w="4675"/>
        <w:gridCol w:w="4675"/>
      </w:tblGrid>
      <w:tr w:rsidR="007253C8" w:rsidTr="00301BD8" w14:paraId="193318DF" w14:textId="77777777">
        <w:tc>
          <w:tcPr>
            <w:tcW w:w="4675" w:type="dxa"/>
            <w:tcBorders>
              <w:top w:val="nil"/>
              <w:left w:val="nil"/>
              <w:bottom w:val="single" w:color="auto" w:sz="4" w:space="0"/>
              <w:right w:val="single" w:color="auto" w:sz="4" w:space="0"/>
            </w:tcBorders>
          </w:tcPr>
          <w:p w:rsidR="007253C8" w:rsidP="00301BD8" w:rsidRDefault="007253C8" w14:paraId="21C1EFA8" w14:textId="77777777">
            <w:pPr>
              <w:spacing w:line="240" w:lineRule="auto"/>
              <w:ind w:firstLine="0"/>
            </w:pPr>
            <w:bookmarkStart w:name="_Hlk187414832" w:id="1"/>
            <w:r w:rsidRPr="00A02A98">
              <w:t>Application of Southern California Gas Company (U904G) for Authority, Among Other Things, to Update its Gas Revenue Requirement and Base Rates Effective on January 1, 2024</w:t>
            </w:r>
            <w:r w:rsidRPr="00D3695D">
              <w:br/>
            </w:r>
          </w:p>
        </w:tc>
        <w:tc>
          <w:tcPr>
            <w:tcW w:w="4675" w:type="dxa"/>
            <w:tcBorders>
              <w:top w:val="nil"/>
              <w:left w:val="single" w:color="auto" w:sz="4" w:space="0"/>
              <w:bottom w:val="nil"/>
              <w:right w:val="nil"/>
            </w:tcBorders>
            <w:vAlign w:val="center"/>
          </w:tcPr>
          <w:p w:rsidR="007253C8" w:rsidP="00301BD8" w:rsidRDefault="007253C8" w14:paraId="2813C32B" w14:textId="77777777">
            <w:pPr>
              <w:jc w:val="center"/>
            </w:pPr>
            <w:bookmarkStart w:name="_Hlk35572581" w:id="2"/>
            <w:r>
              <w:t>Application 22</w:t>
            </w:r>
            <w:r>
              <w:noBreakHyphen/>
              <w:t>05</w:t>
            </w:r>
            <w:r>
              <w:noBreakHyphen/>
              <w:t>0</w:t>
            </w:r>
            <w:bookmarkEnd w:id="2"/>
            <w:r>
              <w:t>15</w:t>
            </w:r>
          </w:p>
        </w:tc>
      </w:tr>
      <w:tr w:rsidR="007253C8" w:rsidTr="00301BD8" w14:paraId="6E141038" w14:textId="77777777">
        <w:tc>
          <w:tcPr>
            <w:tcW w:w="4675" w:type="dxa"/>
            <w:tcBorders>
              <w:top w:val="single" w:color="auto" w:sz="4" w:space="0"/>
              <w:left w:val="nil"/>
              <w:bottom w:val="single" w:color="auto" w:sz="4" w:space="0"/>
              <w:right w:val="single" w:color="auto" w:sz="4" w:space="0"/>
            </w:tcBorders>
          </w:tcPr>
          <w:p w:rsidR="007253C8" w:rsidP="00301BD8" w:rsidRDefault="007253C8" w14:paraId="584DEB17" w14:textId="77777777"/>
          <w:p w:rsidR="007253C8" w:rsidP="00301BD8" w:rsidRDefault="007253C8" w14:paraId="4040C785" w14:textId="77777777">
            <w:pPr>
              <w:ind w:firstLine="0"/>
            </w:pPr>
            <w:r>
              <w:t>And Related Matter.</w:t>
            </w:r>
          </w:p>
          <w:p w:rsidR="007253C8" w:rsidP="00301BD8" w:rsidRDefault="007253C8" w14:paraId="1032FDF4" w14:textId="77777777"/>
        </w:tc>
        <w:tc>
          <w:tcPr>
            <w:tcW w:w="4675" w:type="dxa"/>
            <w:tcBorders>
              <w:top w:val="nil"/>
              <w:left w:val="single" w:color="auto" w:sz="4" w:space="0"/>
              <w:bottom w:val="nil"/>
              <w:right w:val="nil"/>
            </w:tcBorders>
            <w:vAlign w:val="center"/>
          </w:tcPr>
          <w:p w:rsidR="007253C8" w:rsidP="00301BD8" w:rsidRDefault="007253C8" w14:paraId="0F453BCE" w14:textId="77777777">
            <w:pPr>
              <w:jc w:val="center"/>
            </w:pPr>
            <w:r>
              <w:t>Application 22</w:t>
            </w:r>
            <w:r>
              <w:noBreakHyphen/>
              <w:t>05</w:t>
            </w:r>
            <w:r>
              <w:noBreakHyphen/>
              <w:t>016</w:t>
            </w:r>
          </w:p>
        </w:tc>
      </w:tr>
      <w:bookmarkEnd w:id="1"/>
    </w:tbl>
    <w:p w:rsidRPr="00271C98" w:rsidR="007253C8" w:rsidP="007253C8" w:rsidRDefault="007253C8" w14:paraId="12BF3200" w14:textId="77777777">
      <w:pPr>
        <w:pStyle w:val="Standard"/>
      </w:pPr>
    </w:p>
    <w:p w:rsidR="007253C8" w:rsidP="007253C8" w:rsidRDefault="007253C8" w14:paraId="4BEDF501" w14:textId="72860A0E">
      <w:pPr>
        <w:pStyle w:val="main0"/>
        <w:spacing w:line="240" w:lineRule="auto"/>
        <w:sectPr w:rsidR="007253C8" w:rsidSect="007253C8">
          <w:headerReference w:type="first" r:id="rId11"/>
          <w:footerReference w:type="first" r:id="rId12"/>
          <w:pgSz w:w="12240" w:h="15840" w:code="1"/>
          <w:pgMar w:top="1728" w:right="1440" w:bottom="1440" w:left="1440" w:header="720" w:footer="720" w:gutter="0"/>
          <w:cols w:space="720"/>
          <w:titlePg/>
          <w:docGrid w:linePitch="354"/>
        </w:sectPr>
      </w:pPr>
      <w:r w:rsidRPr="00F6219E">
        <w:t xml:space="preserve">DECISION </w:t>
      </w:r>
      <w:bookmarkStart w:name="_Hlk208924495" w:id="3"/>
      <w:r w:rsidRPr="00F6219E">
        <w:t>ADDRESSING S</w:t>
      </w:r>
      <w:r>
        <w:t xml:space="preserve">AN DIEGO GAS </w:t>
      </w:r>
      <w:r w:rsidR="00A22BC4">
        <w:t>&amp;</w:t>
      </w:r>
      <w:r>
        <w:t xml:space="preserve"> ELECTRIC COMPANY</w:t>
      </w:r>
      <w:r w:rsidRPr="00F6219E">
        <w:t xml:space="preserve">’S TRACK </w:t>
      </w:r>
      <w:r>
        <w:t>2</w:t>
      </w:r>
      <w:r w:rsidRPr="00F6219E">
        <w:t xml:space="preserve"> REQUEST FOR RECOVERY</w:t>
      </w:r>
      <w:bookmarkEnd w:id="3"/>
      <w:r w:rsidRPr="00F6219E">
        <w:t xml:space="preserve"> OF WILDFIRE MITIGATION</w:t>
      </w:r>
      <w:r>
        <w:t xml:space="preserve"> PLAN</w:t>
      </w:r>
      <w:r w:rsidRPr="00F6219E">
        <w:t xml:space="preserve"> MEMORANDUM ACCOUNT</w:t>
      </w:r>
      <w:r>
        <w:t xml:space="preserve"> COSTS</w:t>
      </w:r>
    </w:p>
    <w:p w:rsidRPr="001E2A62" w:rsidR="00D50119" w:rsidP="00F76650" w:rsidRDefault="00D50119" w14:paraId="2EDA5799" w14:textId="77777777">
      <w:pPr>
        <w:pStyle w:val="Main"/>
        <w:rPr>
          <w:rFonts w:ascii="Book Antiqua" w:hAnsi="Book Antiqua"/>
        </w:rPr>
      </w:pPr>
      <w:r w:rsidRPr="001E2A62">
        <w:rPr>
          <w:rFonts w:ascii="Book Antiqua" w:hAnsi="Book Antiqua"/>
        </w:rPr>
        <w:lastRenderedPageBreak/>
        <w:t>TABLE OF CONTENTS</w:t>
      </w:r>
    </w:p>
    <w:p w:rsidR="00D166DC" w:rsidP="007E0FEE" w:rsidRDefault="00D50119" w14:paraId="1C8514A5" w14:textId="77777777">
      <w:pPr>
        <w:tabs>
          <w:tab w:val="right" w:pos="9360"/>
        </w:tabs>
        <w:ind w:firstLine="0"/>
        <w:rPr>
          <w:b/>
        </w:rPr>
      </w:pPr>
      <w:r w:rsidRPr="00D50119">
        <w:rPr>
          <w:b/>
        </w:rPr>
        <w:t>Title</w:t>
      </w:r>
    </w:p>
    <w:p w:rsidRPr="00D50119" w:rsidR="00D50119" w:rsidP="00D166DC" w:rsidRDefault="00D50119" w14:paraId="095F504B" w14:textId="6E3B2127">
      <w:pPr>
        <w:tabs>
          <w:tab w:val="right" w:pos="9360"/>
        </w:tabs>
        <w:spacing w:line="240" w:lineRule="auto"/>
        <w:ind w:firstLine="0"/>
      </w:pPr>
      <w:r>
        <w:tab/>
      </w:r>
      <w:r w:rsidRPr="00D50119">
        <w:rPr>
          <w:b/>
        </w:rPr>
        <w:t>Page</w:t>
      </w:r>
    </w:p>
    <w:sdt>
      <w:sdtPr>
        <w:id w:val="-1224440197"/>
        <w:docPartObj>
          <w:docPartGallery w:val="Table of Contents"/>
          <w:docPartUnique/>
        </w:docPartObj>
      </w:sdtPr>
      <w:sdtEndPr>
        <w:rPr>
          <w:b/>
          <w:bCs/>
          <w:noProof/>
        </w:rPr>
      </w:sdtEndPr>
      <w:sdtContent>
        <w:p w:rsidR="00D166DC" w:rsidP="00D166DC" w:rsidRDefault="00D166DC" w14:paraId="0CCB11EC" w14:textId="657B3CB6">
          <w:pPr>
            <w:pStyle w:val="TOC1"/>
            <w:tabs>
              <w:tab w:val="right" w:leader="dot" w:pos="9350"/>
            </w:tabs>
            <w:ind w:left="0" w:firstLine="18"/>
          </w:pPr>
          <w:r w:rsidRPr="00D166DC">
            <w:t>DECISION ADDRESSING SAN DIEGO GAS AND ELECTRIC COMPANY’S TRACK 2 REQUEST FOR RECOVERY OF WILDFIRE MITIGATION PLAN MEMORANDUM ACCOUNT COSTS</w:t>
          </w:r>
        </w:p>
        <w:p w:rsidR="009751A7" w:rsidRDefault="008C7413" w14:paraId="52617562" w14:textId="31E97A21">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3312238">
            <w:r w:rsidRPr="00A10F11" w:rsidR="009751A7">
              <w:rPr>
                <w:rStyle w:val="Hyperlink"/>
                <w:noProof/>
              </w:rPr>
              <w:t>Summary</w:t>
            </w:r>
            <w:r w:rsidR="009751A7">
              <w:rPr>
                <w:noProof/>
                <w:webHidden/>
              </w:rPr>
              <w:tab/>
            </w:r>
            <w:r w:rsidR="009751A7">
              <w:rPr>
                <w:noProof/>
                <w:webHidden/>
              </w:rPr>
              <w:fldChar w:fldCharType="begin"/>
            </w:r>
            <w:r w:rsidR="009751A7">
              <w:rPr>
                <w:noProof/>
                <w:webHidden/>
              </w:rPr>
              <w:instrText xml:space="preserve"> PAGEREF _Toc213312238 \h </w:instrText>
            </w:r>
            <w:r w:rsidR="009751A7">
              <w:rPr>
                <w:noProof/>
                <w:webHidden/>
              </w:rPr>
            </w:r>
            <w:r w:rsidR="009751A7">
              <w:rPr>
                <w:noProof/>
                <w:webHidden/>
              </w:rPr>
              <w:fldChar w:fldCharType="separate"/>
            </w:r>
            <w:r w:rsidR="006E4CA6">
              <w:rPr>
                <w:noProof/>
                <w:webHidden/>
              </w:rPr>
              <w:t>2</w:t>
            </w:r>
            <w:r w:rsidR="009751A7">
              <w:rPr>
                <w:noProof/>
                <w:webHidden/>
              </w:rPr>
              <w:fldChar w:fldCharType="end"/>
            </w:r>
          </w:hyperlink>
        </w:p>
        <w:p w:rsidR="009751A7" w:rsidRDefault="009751A7" w14:paraId="7FE1093D" w14:textId="1D24D118">
          <w:pPr>
            <w:pStyle w:val="TOC1"/>
            <w:tabs>
              <w:tab w:val="right" w:leader="dot" w:pos="9350"/>
            </w:tabs>
            <w:rPr>
              <w:rFonts w:asciiTheme="minorHAnsi" w:hAnsiTheme="minorHAnsi" w:cstheme="minorBidi"/>
              <w:noProof/>
              <w:kern w:val="2"/>
              <w:sz w:val="24"/>
              <w:szCs w:val="24"/>
              <w14:ligatures w14:val="standardContextual"/>
            </w:rPr>
          </w:pPr>
          <w:hyperlink w:history="1" w:anchor="_Toc213312239">
            <w:r w:rsidRPr="00A10F11">
              <w:rPr>
                <w:rStyle w:val="Hyperlink"/>
                <w:noProof/>
              </w:rPr>
              <w:t>1.</w:t>
            </w:r>
            <w:r>
              <w:rPr>
                <w:rFonts w:asciiTheme="minorHAnsi" w:hAnsiTheme="minorHAnsi" w:cstheme="minorBidi"/>
                <w:noProof/>
                <w:kern w:val="2"/>
                <w:sz w:val="24"/>
                <w:szCs w:val="24"/>
                <w14:ligatures w14:val="standardContextual"/>
              </w:rPr>
              <w:tab/>
            </w:r>
            <w:r w:rsidRPr="00A10F11">
              <w:rPr>
                <w:rStyle w:val="Hyperlink"/>
                <w:noProof/>
              </w:rPr>
              <w:t>Background</w:t>
            </w:r>
            <w:r>
              <w:rPr>
                <w:noProof/>
                <w:webHidden/>
              </w:rPr>
              <w:tab/>
            </w:r>
            <w:r>
              <w:rPr>
                <w:noProof/>
                <w:webHidden/>
              </w:rPr>
              <w:fldChar w:fldCharType="begin"/>
            </w:r>
            <w:r>
              <w:rPr>
                <w:noProof/>
                <w:webHidden/>
              </w:rPr>
              <w:instrText xml:space="preserve"> PAGEREF _Toc213312239 \h </w:instrText>
            </w:r>
            <w:r>
              <w:rPr>
                <w:noProof/>
                <w:webHidden/>
              </w:rPr>
            </w:r>
            <w:r>
              <w:rPr>
                <w:noProof/>
                <w:webHidden/>
              </w:rPr>
              <w:fldChar w:fldCharType="separate"/>
            </w:r>
            <w:r w:rsidR="006E4CA6">
              <w:rPr>
                <w:noProof/>
                <w:webHidden/>
              </w:rPr>
              <w:t>12</w:t>
            </w:r>
            <w:r>
              <w:rPr>
                <w:noProof/>
                <w:webHidden/>
              </w:rPr>
              <w:fldChar w:fldCharType="end"/>
            </w:r>
          </w:hyperlink>
        </w:p>
        <w:p w:rsidR="009751A7" w:rsidRDefault="009751A7" w14:paraId="772C64CA" w14:textId="53AE4EDE">
          <w:pPr>
            <w:pStyle w:val="TOC2"/>
            <w:tabs>
              <w:tab w:val="right" w:leader="dot" w:pos="9350"/>
            </w:tabs>
            <w:rPr>
              <w:rFonts w:asciiTheme="minorHAnsi" w:hAnsiTheme="minorHAnsi" w:cstheme="minorBidi"/>
              <w:noProof/>
              <w:kern w:val="2"/>
              <w:sz w:val="24"/>
              <w:szCs w:val="24"/>
              <w14:ligatures w14:val="standardContextual"/>
            </w:rPr>
          </w:pPr>
          <w:hyperlink w:history="1" w:anchor="_Toc213312240">
            <w:r w:rsidRPr="00A10F11">
              <w:rPr>
                <w:rStyle w:val="Hyperlink"/>
                <w:noProof/>
              </w:rPr>
              <w:t>1.1.</w:t>
            </w:r>
            <w:r>
              <w:rPr>
                <w:rFonts w:asciiTheme="minorHAnsi" w:hAnsiTheme="minorHAnsi" w:cstheme="minorBidi"/>
                <w:noProof/>
                <w:kern w:val="2"/>
                <w:sz w:val="24"/>
                <w:szCs w:val="24"/>
                <w14:ligatures w14:val="standardContextual"/>
              </w:rPr>
              <w:tab/>
            </w:r>
            <w:r w:rsidRPr="00A10F11">
              <w:rPr>
                <w:rStyle w:val="Hyperlink"/>
                <w:noProof/>
              </w:rPr>
              <w:t>Wildfire Mitigation Requirements</w:t>
            </w:r>
            <w:r>
              <w:rPr>
                <w:noProof/>
                <w:webHidden/>
              </w:rPr>
              <w:tab/>
            </w:r>
            <w:r>
              <w:rPr>
                <w:noProof/>
                <w:webHidden/>
              </w:rPr>
              <w:fldChar w:fldCharType="begin"/>
            </w:r>
            <w:r>
              <w:rPr>
                <w:noProof/>
                <w:webHidden/>
              </w:rPr>
              <w:instrText xml:space="preserve"> PAGEREF _Toc213312240 \h </w:instrText>
            </w:r>
            <w:r>
              <w:rPr>
                <w:noProof/>
                <w:webHidden/>
              </w:rPr>
            </w:r>
            <w:r>
              <w:rPr>
                <w:noProof/>
                <w:webHidden/>
              </w:rPr>
              <w:fldChar w:fldCharType="separate"/>
            </w:r>
            <w:r w:rsidR="006E4CA6">
              <w:rPr>
                <w:noProof/>
                <w:webHidden/>
              </w:rPr>
              <w:t>14</w:t>
            </w:r>
            <w:r>
              <w:rPr>
                <w:noProof/>
                <w:webHidden/>
              </w:rPr>
              <w:fldChar w:fldCharType="end"/>
            </w:r>
          </w:hyperlink>
        </w:p>
        <w:p w:rsidR="009751A7" w:rsidRDefault="009751A7" w14:paraId="7D238E7E" w14:textId="0BB73970">
          <w:pPr>
            <w:pStyle w:val="TOC2"/>
            <w:tabs>
              <w:tab w:val="right" w:leader="dot" w:pos="9350"/>
            </w:tabs>
            <w:rPr>
              <w:rFonts w:asciiTheme="minorHAnsi" w:hAnsiTheme="minorHAnsi" w:cstheme="minorBidi"/>
              <w:noProof/>
              <w:kern w:val="2"/>
              <w:sz w:val="24"/>
              <w:szCs w:val="24"/>
              <w14:ligatures w14:val="standardContextual"/>
            </w:rPr>
          </w:pPr>
          <w:hyperlink w:history="1" w:anchor="_Toc213312241">
            <w:r w:rsidRPr="00A10F11">
              <w:rPr>
                <w:rStyle w:val="Hyperlink"/>
                <w:bCs/>
                <w:noProof/>
              </w:rPr>
              <w:t>1.2.</w:t>
            </w:r>
            <w:r>
              <w:rPr>
                <w:rFonts w:asciiTheme="minorHAnsi" w:hAnsiTheme="minorHAnsi" w:cstheme="minorBidi"/>
                <w:noProof/>
                <w:kern w:val="2"/>
                <w:sz w:val="24"/>
                <w:szCs w:val="24"/>
                <w14:ligatures w14:val="standardContextual"/>
              </w:rPr>
              <w:tab/>
            </w:r>
            <w:r w:rsidRPr="00A10F11">
              <w:rPr>
                <w:rStyle w:val="Hyperlink"/>
                <w:noProof/>
              </w:rPr>
              <w:t>Wildfire Risk Analysis</w:t>
            </w:r>
            <w:r>
              <w:rPr>
                <w:noProof/>
                <w:webHidden/>
              </w:rPr>
              <w:tab/>
            </w:r>
            <w:r>
              <w:rPr>
                <w:noProof/>
                <w:webHidden/>
              </w:rPr>
              <w:fldChar w:fldCharType="begin"/>
            </w:r>
            <w:r>
              <w:rPr>
                <w:noProof/>
                <w:webHidden/>
              </w:rPr>
              <w:instrText xml:space="preserve"> PAGEREF _Toc213312241 \h </w:instrText>
            </w:r>
            <w:r>
              <w:rPr>
                <w:noProof/>
                <w:webHidden/>
              </w:rPr>
            </w:r>
            <w:r>
              <w:rPr>
                <w:noProof/>
                <w:webHidden/>
              </w:rPr>
              <w:fldChar w:fldCharType="separate"/>
            </w:r>
            <w:r w:rsidR="006E4CA6">
              <w:rPr>
                <w:noProof/>
                <w:webHidden/>
              </w:rPr>
              <w:t>17</w:t>
            </w:r>
            <w:r>
              <w:rPr>
                <w:noProof/>
                <w:webHidden/>
              </w:rPr>
              <w:fldChar w:fldCharType="end"/>
            </w:r>
          </w:hyperlink>
        </w:p>
        <w:p w:rsidR="009751A7" w:rsidRDefault="009751A7" w14:paraId="581E7461" w14:textId="02E147E5">
          <w:pPr>
            <w:pStyle w:val="TOC2"/>
            <w:tabs>
              <w:tab w:val="right" w:leader="dot" w:pos="9350"/>
            </w:tabs>
            <w:rPr>
              <w:rFonts w:asciiTheme="minorHAnsi" w:hAnsiTheme="minorHAnsi" w:cstheme="minorBidi"/>
              <w:noProof/>
              <w:kern w:val="2"/>
              <w:sz w:val="24"/>
              <w:szCs w:val="24"/>
              <w14:ligatures w14:val="standardContextual"/>
            </w:rPr>
          </w:pPr>
          <w:hyperlink w:history="1" w:anchor="_Toc213312242">
            <w:r w:rsidRPr="00A10F11">
              <w:rPr>
                <w:rStyle w:val="Hyperlink"/>
                <w:noProof/>
              </w:rPr>
              <w:t>1.3.</w:t>
            </w:r>
            <w:r>
              <w:rPr>
                <w:rFonts w:asciiTheme="minorHAnsi" w:hAnsiTheme="minorHAnsi" w:cstheme="minorBidi"/>
                <w:noProof/>
                <w:kern w:val="2"/>
                <w:sz w:val="24"/>
                <w:szCs w:val="24"/>
                <w14:ligatures w14:val="standardContextual"/>
              </w:rPr>
              <w:tab/>
            </w:r>
            <w:r w:rsidRPr="00A10F11">
              <w:rPr>
                <w:rStyle w:val="Hyperlink"/>
                <w:noProof/>
              </w:rPr>
              <w:t>Wildfire Mitigation Plans</w:t>
            </w:r>
            <w:r>
              <w:rPr>
                <w:noProof/>
                <w:webHidden/>
              </w:rPr>
              <w:tab/>
            </w:r>
            <w:r>
              <w:rPr>
                <w:noProof/>
                <w:webHidden/>
              </w:rPr>
              <w:fldChar w:fldCharType="begin"/>
            </w:r>
            <w:r>
              <w:rPr>
                <w:noProof/>
                <w:webHidden/>
              </w:rPr>
              <w:instrText xml:space="preserve"> PAGEREF _Toc213312242 \h </w:instrText>
            </w:r>
            <w:r>
              <w:rPr>
                <w:noProof/>
                <w:webHidden/>
              </w:rPr>
            </w:r>
            <w:r>
              <w:rPr>
                <w:noProof/>
                <w:webHidden/>
              </w:rPr>
              <w:fldChar w:fldCharType="separate"/>
            </w:r>
            <w:r w:rsidR="006E4CA6">
              <w:rPr>
                <w:noProof/>
                <w:webHidden/>
              </w:rPr>
              <w:t>19</w:t>
            </w:r>
            <w:r>
              <w:rPr>
                <w:noProof/>
                <w:webHidden/>
              </w:rPr>
              <w:fldChar w:fldCharType="end"/>
            </w:r>
          </w:hyperlink>
        </w:p>
        <w:p w:rsidR="009751A7" w:rsidRDefault="009751A7" w14:paraId="236389C7" w14:textId="01DD34F9">
          <w:pPr>
            <w:pStyle w:val="TOC2"/>
            <w:tabs>
              <w:tab w:val="right" w:leader="dot" w:pos="9350"/>
            </w:tabs>
            <w:rPr>
              <w:rFonts w:asciiTheme="minorHAnsi" w:hAnsiTheme="minorHAnsi" w:cstheme="minorBidi"/>
              <w:noProof/>
              <w:kern w:val="2"/>
              <w:sz w:val="24"/>
              <w:szCs w:val="24"/>
              <w14:ligatures w14:val="standardContextual"/>
            </w:rPr>
          </w:pPr>
          <w:hyperlink w:history="1" w:anchor="_Toc213312243">
            <w:r w:rsidRPr="00A10F11">
              <w:rPr>
                <w:rStyle w:val="Hyperlink"/>
                <w:noProof/>
              </w:rPr>
              <w:t>1.4.</w:t>
            </w:r>
            <w:r>
              <w:rPr>
                <w:rFonts w:asciiTheme="minorHAnsi" w:hAnsiTheme="minorHAnsi" w:cstheme="minorBidi"/>
                <w:noProof/>
                <w:kern w:val="2"/>
                <w:sz w:val="24"/>
                <w:szCs w:val="24"/>
                <w14:ligatures w14:val="standardContextual"/>
              </w:rPr>
              <w:tab/>
            </w:r>
            <w:r w:rsidRPr="00A10F11">
              <w:rPr>
                <w:rStyle w:val="Hyperlink"/>
                <w:noProof/>
              </w:rPr>
              <w:t>Cost-Effectiveness and Denial of Recommendation to Require Refiling of This Application</w:t>
            </w:r>
            <w:r>
              <w:rPr>
                <w:noProof/>
                <w:webHidden/>
              </w:rPr>
              <w:tab/>
            </w:r>
            <w:r>
              <w:rPr>
                <w:noProof/>
                <w:webHidden/>
              </w:rPr>
              <w:fldChar w:fldCharType="begin"/>
            </w:r>
            <w:r>
              <w:rPr>
                <w:noProof/>
                <w:webHidden/>
              </w:rPr>
              <w:instrText xml:space="preserve"> PAGEREF _Toc213312243 \h </w:instrText>
            </w:r>
            <w:r>
              <w:rPr>
                <w:noProof/>
                <w:webHidden/>
              </w:rPr>
            </w:r>
            <w:r>
              <w:rPr>
                <w:noProof/>
                <w:webHidden/>
              </w:rPr>
              <w:fldChar w:fldCharType="separate"/>
            </w:r>
            <w:r w:rsidR="006E4CA6">
              <w:rPr>
                <w:noProof/>
                <w:webHidden/>
              </w:rPr>
              <w:t>21</w:t>
            </w:r>
            <w:r>
              <w:rPr>
                <w:noProof/>
                <w:webHidden/>
              </w:rPr>
              <w:fldChar w:fldCharType="end"/>
            </w:r>
          </w:hyperlink>
        </w:p>
        <w:p w:rsidR="009751A7" w:rsidRDefault="009751A7" w14:paraId="3CA95748" w14:textId="0D534E42">
          <w:pPr>
            <w:pStyle w:val="TOC2"/>
            <w:tabs>
              <w:tab w:val="right" w:leader="dot" w:pos="9350"/>
            </w:tabs>
            <w:rPr>
              <w:rFonts w:asciiTheme="minorHAnsi" w:hAnsiTheme="minorHAnsi" w:cstheme="minorBidi"/>
              <w:noProof/>
              <w:kern w:val="2"/>
              <w:sz w:val="24"/>
              <w:szCs w:val="24"/>
              <w14:ligatures w14:val="standardContextual"/>
            </w:rPr>
          </w:pPr>
          <w:hyperlink w:history="1" w:anchor="_Toc213312244">
            <w:r w:rsidRPr="00A10F11">
              <w:rPr>
                <w:rStyle w:val="Hyperlink"/>
                <w:noProof/>
              </w:rPr>
              <w:t>1.5.</w:t>
            </w:r>
            <w:r>
              <w:rPr>
                <w:rFonts w:asciiTheme="minorHAnsi" w:hAnsiTheme="minorHAnsi" w:cstheme="minorBidi"/>
                <w:noProof/>
                <w:kern w:val="2"/>
                <w:sz w:val="24"/>
                <w:szCs w:val="24"/>
                <w14:ligatures w14:val="standardContextual"/>
              </w:rPr>
              <w:tab/>
            </w:r>
            <w:r w:rsidRPr="00A10F11">
              <w:rPr>
                <w:rStyle w:val="Hyperlink"/>
                <w:noProof/>
              </w:rPr>
              <w:t>SDG&amp;E’s Test Year 2019 General Rate Case, WMPs and WMPMA, and SDG&amp;E’s Track 2 Request</w:t>
            </w:r>
            <w:r>
              <w:rPr>
                <w:noProof/>
                <w:webHidden/>
              </w:rPr>
              <w:tab/>
            </w:r>
            <w:r>
              <w:rPr>
                <w:noProof/>
                <w:webHidden/>
              </w:rPr>
              <w:fldChar w:fldCharType="begin"/>
            </w:r>
            <w:r>
              <w:rPr>
                <w:noProof/>
                <w:webHidden/>
              </w:rPr>
              <w:instrText xml:space="preserve"> PAGEREF _Toc213312244 \h </w:instrText>
            </w:r>
            <w:r>
              <w:rPr>
                <w:noProof/>
                <w:webHidden/>
              </w:rPr>
            </w:r>
            <w:r>
              <w:rPr>
                <w:noProof/>
                <w:webHidden/>
              </w:rPr>
              <w:fldChar w:fldCharType="separate"/>
            </w:r>
            <w:r w:rsidR="006E4CA6">
              <w:rPr>
                <w:noProof/>
                <w:webHidden/>
              </w:rPr>
              <w:t>25</w:t>
            </w:r>
            <w:r>
              <w:rPr>
                <w:noProof/>
                <w:webHidden/>
              </w:rPr>
              <w:fldChar w:fldCharType="end"/>
            </w:r>
          </w:hyperlink>
        </w:p>
        <w:p w:rsidR="009751A7" w:rsidRDefault="009751A7" w14:paraId="478643A4" w14:textId="061CE771">
          <w:pPr>
            <w:pStyle w:val="TOC2"/>
            <w:tabs>
              <w:tab w:val="right" w:leader="dot" w:pos="9350"/>
            </w:tabs>
            <w:rPr>
              <w:rFonts w:asciiTheme="minorHAnsi" w:hAnsiTheme="minorHAnsi" w:cstheme="minorBidi"/>
              <w:noProof/>
              <w:kern w:val="2"/>
              <w:sz w:val="24"/>
              <w:szCs w:val="24"/>
              <w14:ligatures w14:val="standardContextual"/>
            </w:rPr>
          </w:pPr>
          <w:hyperlink w:history="1" w:anchor="_Toc213312245">
            <w:r w:rsidRPr="00A10F11">
              <w:rPr>
                <w:rStyle w:val="Hyperlink"/>
                <w:bCs/>
                <w:noProof/>
              </w:rPr>
              <w:t>1.6.</w:t>
            </w:r>
            <w:r>
              <w:rPr>
                <w:rFonts w:asciiTheme="minorHAnsi" w:hAnsiTheme="minorHAnsi" w:cstheme="minorBidi"/>
                <w:noProof/>
                <w:kern w:val="2"/>
                <w:sz w:val="24"/>
                <w:szCs w:val="24"/>
                <w14:ligatures w14:val="standardContextual"/>
              </w:rPr>
              <w:tab/>
            </w:r>
            <w:r w:rsidRPr="00A10F11">
              <w:rPr>
                <w:rStyle w:val="Hyperlink"/>
                <w:noProof/>
              </w:rPr>
              <w:t>Summary of Intervenor Arguments and Recommendations</w:t>
            </w:r>
            <w:r>
              <w:rPr>
                <w:noProof/>
                <w:webHidden/>
              </w:rPr>
              <w:tab/>
            </w:r>
            <w:r>
              <w:rPr>
                <w:noProof/>
                <w:webHidden/>
              </w:rPr>
              <w:fldChar w:fldCharType="begin"/>
            </w:r>
            <w:r>
              <w:rPr>
                <w:noProof/>
                <w:webHidden/>
              </w:rPr>
              <w:instrText xml:space="preserve"> PAGEREF _Toc213312245 \h </w:instrText>
            </w:r>
            <w:r>
              <w:rPr>
                <w:noProof/>
                <w:webHidden/>
              </w:rPr>
            </w:r>
            <w:r>
              <w:rPr>
                <w:noProof/>
                <w:webHidden/>
              </w:rPr>
              <w:fldChar w:fldCharType="separate"/>
            </w:r>
            <w:r w:rsidR="006E4CA6">
              <w:rPr>
                <w:noProof/>
                <w:webHidden/>
              </w:rPr>
              <w:t>28</w:t>
            </w:r>
            <w:r>
              <w:rPr>
                <w:noProof/>
                <w:webHidden/>
              </w:rPr>
              <w:fldChar w:fldCharType="end"/>
            </w:r>
          </w:hyperlink>
        </w:p>
        <w:p w:rsidR="009751A7" w:rsidRDefault="009751A7" w14:paraId="04DDC64B" w14:textId="70D0E97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3312246">
            <w:r w:rsidRPr="00A10F11">
              <w:rPr>
                <w:rStyle w:val="Hyperlink"/>
                <w:bCs/>
                <w:noProof/>
              </w:rPr>
              <w:t>1.6.1.</w:t>
            </w:r>
            <w:r>
              <w:rPr>
                <w:rFonts w:asciiTheme="minorHAnsi" w:hAnsiTheme="minorHAnsi" w:cstheme="minorBidi"/>
                <w:noProof/>
                <w:kern w:val="2"/>
                <w:sz w:val="24"/>
                <w:szCs w:val="24"/>
                <w14:ligatures w14:val="standardContextual"/>
              </w:rPr>
              <w:tab/>
            </w:r>
            <w:r w:rsidRPr="00A10F11">
              <w:rPr>
                <w:rStyle w:val="Hyperlink"/>
                <w:noProof/>
              </w:rPr>
              <w:t>TURN</w:t>
            </w:r>
            <w:r>
              <w:rPr>
                <w:noProof/>
                <w:webHidden/>
              </w:rPr>
              <w:tab/>
            </w:r>
            <w:r>
              <w:rPr>
                <w:noProof/>
                <w:webHidden/>
              </w:rPr>
              <w:fldChar w:fldCharType="begin"/>
            </w:r>
            <w:r>
              <w:rPr>
                <w:noProof/>
                <w:webHidden/>
              </w:rPr>
              <w:instrText xml:space="preserve"> PAGEREF _Toc213312246 \h </w:instrText>
            </w:r>
            <w:r>
              <w:rPr>
                <w:noProof/>
                <w:webHidden/>
              </w:rPr>
            </w:r>
            <w:r>
              <w:rPr>
                <w:noProof/>
                <w:webHidden/>
              </w:rPr>
              <w:fldChar w:fldCharType="separate"/>
            </w:r>
            <w:r w:rsidR="006E4CA6">
              <w:rPr>
                <w:noProof/>
                <w:webHidden/>
              </w:rPr>
              <w:t>28</w:t>
            </w:r>
            <w:r>
              <w:rPr>
                <w:noProof/>
                <w:webHidden/>
              </w:rPr>
              <w:fldChar w:fldCharType="end"/>
            </w:r>
          </w:hyperlink>
        </w:p>
        <w:p w:rsidR="009751A7" w:rsidRDefault="009751A7" w14:paraId="4B0CEB4F" w14:textId="3B54B46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3312247">
            <w:r w:rsidRPr="00A10F11">
              <w:rPr>
                <w:rStyle w:val="Hyperlink"/>
                <w:bCs/>
                <w:noProof/>
              </w:rPr>
              <w:t>1.6.2.</w:t>
            </w:r>
            <w:r>
              <w:rPr>
                <w:rFonts w:asciiTheme="minorHAnsi" w:hAnsiTheme="minorHAnsi" w:cstheme="minorBidi"/>
                <w:noProof/>
                <w:kern w:val="2"/>
                <w:sz w:val="24"/>
                <w:szCs w:val="24"/>
                <w14:ligatures w14:val="standardContextual"/>
              </w:rPr>
              <w:tab/>
            </w:r>
            <w:r w:rsidRPr="00A10F11">
              <w:rPr>
                <w:rStyle w:val="Hyperlink"/>
                <w:noProof/>
              </w:rPr>
              <w:t>Cal Advocates</w:t>
            </w:r>
            <w:r>
              <w:rPr>
                <w:noProof/>
                <w:webHidden/>
              </w:rPr>
              <w:tab/>
            </w:r>
            <w:r>
              <w:rPr>
                <w:noProof/>
                <w:webHidden/>
              </w:rPr>
              <w:fldChar w:fldCharType="begin"/>
            </w:r>
            <w:r>
              <w:rPr>
                <w:noProof/>
                <w:webHidden/>
              </w:rPr>
              <w:instrText xml:space="preserve"> PAGEREF _Toc213312247 \h </w:instrText>
            </w:r>
            <w:r>
              <w:rPr>
                <w:noProof/>
                <w:webHidden/>
              </w:rPr>
            </w:r>
            <w:r>
              <w:rPr>
                <w:noProof/>
                <w:webHidden/>
              </w:rPr>
              <w:fldChar w:fldCharType="separate"/>
            </w:r>
            <w:r w:rsidR="006E4CA6">
              <w:rPr>
                <w:noProof/>
                <w:webHidden/>
              </w:rPr>
              <w:t>29</w:t>
            </w:r>
            <w:r>
              <w:rPr>
                <w:noProof/>
                <w:webHidden/>
              </w:rPr>
              <w:fldChar w:fldCharType="end"/>
            </w:r>
          </w:hyperlink>
        </w:p>
        <w:p w:rsidR="009751A7" w:rsidRDefault="009751A7" w14:paraId="49AC1B27" w14:textId="2E279BA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3312248">
            <w:r w:rsidRPr="00A10F11">
              <w:rPr>
                <w:rStyle w:val="Hyperlink"/>
                <w:noProof/>
              </w:rPr>
              <w:t>1.6.3.</w:t>
            </w:r>
            <w:r>
              <w:rPr>
                <w:rFonts w:asciiTheme="minorHAnsi" w:hAnsiTheme="minorHAnsi" w:cstheme="minorBidi"/>
                <w:noProof/>
                <w:kern w:val="2"/>
                <w:sz w:val="24"/>
                <w:szCs w:val="24"/>
                <w14:ligatures w14:val="standardContextual"/>
              </w:rPr>
              <w:tab/>
            </w:r>
            <w:r w:rsidRPr="00A10F11">
              <w:rPr>
                <w:rStyle w:val="Hyperlink"/>
                <w:noProof/>
              </w:rPr>
              <w:t>PCF</w:t>
            </w:r>
            <w:r>
              <w:rPr>
                <w:noProof/>
                <w:webHidden/>
              </w:rPr>
              <w:tab/>
            </w:r>
            <w:r>
              <w:rPr>
                <w:noProof/>
                <w:webHidden/>
              </w:rPr>
              <w:fldChar w:fldCharType="begin"/>
            </w:r>
            <w:r>
              <w:rPr>
                <w:noProof/>
                <w:webHidden/>
              </w:rPr>
              <w:instrText xml:space="preserve"> PAGEREF _Toc213312248 \h </w:instrText>
            </w:r>
            <w:r>
              <w:rPr>
                <w:noProof/>
                <w:webHidden/>
              </w:rPr>
            </w:r>
            <w:r>
              <w:rPr>
                <w:noProof/>
                <w:webHidden/>
              </w:rPr>
              <w:fldChar w:fldCharType="separate"/>
            </w:r>
            <w:r w:rsidR="006E4CA6">
              <w:rPr>
                <w:noProof/>
                <w:webHidden/>
              </w:rPr>
              <w:t>30</w:t>
            </w:r>
            <w:r>
              <w:rPr>
                <w:noProof/>
                <w:webHidden/>
              </w:rPr>
              <w:fldChar w:fldCharType="end"/>
            </w:r>
          </w:hyperlink>
        </w:p>
        <w:p w:rsidR="009751A7" w:rsidRDefault="009751A7" w14:paraId="6A9A7EC2" w14:textId="25A2F62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3312249">
            <w:r w:rsidRPr="00A10F11">
              <w:rPr>
                <w:rStyle w:val="Hyperlink"/>
                <w:bCs/>
                <w:noProof/>
              </w:rPr>
              <w:t>1.6.4.</w:t>
            </w:r>
            <w:r>
              <w:rPr>
                <w:rFonts w:asciiTheme="minorHAnsi" w:hAnsiTheme="minorHAnsi" w:cstheme="minorBidi"/>
                <w:noProof/>
                <w:kern w:val="2"/>
                <w:sz w:val="24"/>
                <w:szCs w:val="24"/>
                <w14:ligatures w14:val="standardContextual"/>
              </w:rPr>
              <w:tab/>
            </w:r>
            <w:r w:rsidRPr="00A10F11">
              <w:rPr>
                <w:rStyle w:val="Hyperlink"/>
                <w:noProof/>
              </w:rPr>
              <w:t>UCAN</w:t>
            </w:r>
            <w:r>
              <w:rPr>
                <w:noProof/>
                <w:webHidden/>
              </w:rPr>
              <w:tab/>
            </w:r>
            <w:r>
              <w:rPr>
                <w:noProof/>
                <w:webHidden/>
              </w:rPr>
              <w:fldChar w:fldCharType="begin"/>
            </w:r>
            <w:r>
              <w:rPr>
                <w:noProof/>
                <w:webHidden/>
              </w:rPr>
              <w:instrText xml:space="preserve"> PAGEREF _Toc213312249 \h </w:instrText>
            </w:r>
            <w:r>
              <w:rPr>
                <w:noProof/>
                <w:webHidden/>
              </w:rPr>
            </w:r>
            <w:r>
              <w:rPr>
                <w:noProof/>
                <w:webHidden/>
              </w:rPr>
              <w:fldChar w:fldCharType="separate"/>
            </w:r>
            <w:r w:rsidR="006E4CA6">
              <w:rPr>
                <w:noProof/>
                <w:webHidden/>
              </w:rPr>
              <w:t>30</w:t>
            </w:r>
            <w:r>
              <w:rPr>
                <w:noProof/>
                <w:webHidden/>
              </w:rPr>
              <w:fldChar w:fldCharType="end"/>
            </w:r>
          </w:hyperlink>
        </w:p>
        <w:p w:rsidR="009751A7" w:rsidRDefault="009751A7" w14:paraId="43FDBF47" w14:textId="6E9BB40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3312250">
            <w:r w:rsidRPr="00A10F11">
              <w:rPr>
                <w:rStyle w:val="Hyperlink"/>
                <w:noProof/>
              </w:rPr>
              <w:t>1.6.5.</w:t>
            </w:r>
            <w:r>
              <w:rPr>
                <w:rFonts w:asciiTheme="minorHAnsi" w:hAnsiTheme="minorHAnsi" w:cstheme="minorBidi"/>
                <w:noProof/>
                <w:kern w:val="2"/>
                <w:sz w:val="24"/>
                <w:szCs w:val="24"/>
                <w14:ligatures w14:val="standardContextual"/>
              </w:rPr>
              <w:tab/>
            </w:r>
            <w:r w:rsidRPr="00A10F11">
              <w:rPr>
                <w:rStyle w:val="Hyperlink"/>
                <w:noProof/>
              </w:rPr>
              <w:t>SBUA</w:t>
            </w:r>
            <w:r>
              <w:rPr>
                <w:noProof/>
                <w:webHidden/>
              </w:rPr>
              <w:tab/>
            </w:r>
            <w:r>
              <w:rPr>
                <w:noProof/>
                <w:webHidden/>
              </w:rPr>
              <w:fldChar w:fldCharType="begin"/>
            </w:r>
            <w:r>
              <w:rPr>
                <w:noProof/>
                <w:webHidden/>
              </w:rPr>
              <w:instrText xml:space="preserve"> PAGEREF _Toc213312250 \h </w:instrText>
            </w:r>
            <w:r>
              <w:rPr>
                <w:noProof/>
                <w:webHidden/>
              </w:rPr>
            </w:r>
            <w:r>
              <w:rPr>
                <w:noProof/>
                <w:webHidden/>
              </w:rPr>
              <w:fldChar w:fldCharType="separate"/>
            </w:r>
            <w:r w:rsidR="006E4CA6">
              <w:rPr>
                <w:noProof/>
                <w:webHidden/>
              </w:rPr>
              <w:t>31</w:t>
            </w:r>
            <w:r>
              <w:rPr>
                <w:noProof/>
                <w:webHidden/>
              </w:rPr>
              <w:fldChar w:fldCharType="end"/>
            </w:r>
          </w:hyperlink>
        </w:p>
        <w:p w:rsidR="009751A7" w:rsidRDefault="009751A7" w14:paraId="789FE8B9" w14:textId="0FFC77D4">
          <w:pPr>
            <w:pStyle w:val="TOC2"/>
            <w:tabs>
              <w:tab w:val="right" w:leader="dot" w:pos="9350"/>
            </w:tabs>
            <w:rPr>
              <w:rFonts w:asciiTheme="minorHAnsi" w:hAnsiTheme="minorHAnsi" w:cstheme="minorBidi"/>
              <w:noProof/>
              <w:kern w:val="2"/>
              <w:sz w:val="24"/>
              <w:szCs w:val="24"/>
              <w14:ligatures w14:val="standardContextual"/>
            </w:rPr>
          </w:pPr>
          <w:hyperlink w:history="1" w:anchor="_Toc213312251">
            <w:r w:rsidRPr="00A10F11">
              <w:rPr>
                <w:rStyle w:val="Hyperlink"/>
                <w:noProof/>
              </w:rPr>
              <w:t>1.7.</w:t>
            </w:r>
            <w:r>
              <w:rPr>
                <w:rFonts w:asciiTheme="minorHAnsi" w:hAnsiTheme="minorHAnsi" w:cstheme="minorBidi"/>
                <w:noProof/>
                <w:kern w:val="2"/>
                <w:sz w:val="24"/>
                <w:szCs w:val="24"/>
                <w14:ligatures w14:val="standardContextual"/>
              </w:rPr>
              <w:tab/>
            </w:r>
            <w:r w:rsidRPr="00A10F11">
              <w:rPr>
                <w:rStyle w:val="Hyperlink"/>
                <w:noProof/>
              </w:rPr>
              <w:t>Procedural Background</w:t>
            </w:r>
            <w:r>
              <w:rPr>
                <w:noProof/>
                <w:webHidden/>
              </w:rPr>
              <w:tab/>
            </w:r>
            <w:r>
              <w:rPr>
                <w:noProof/>
                <w:webHidden/>
              </w:rPr>
              <w:fldChar w:fldCharType="begin"/>
            </w:r>
            <w:r>
              <w:rPr>
                <w:noProof/>
                <w:webHidden/>
              </w:rPr>
              <w:instrText xml:space="preserve"> PAGEREF _Toc213312251 \h </w:instrText>
            </w:r>
            <w:r>
              <w:rPr>
                <w:noProof/>
                <w:webHidden/>
              </w:rPr>
            </w:r>
            <w:r>
              <w:rPr>
                <w:noProof/>
                <w:webHidden/>
              </w:rPr>
              <w:fldChar w:fldCharType="separate"/>
            </w:r>
            <w:r w:rsidR="006E4CA6">
              <w:rPr>
                <w:noProof/>
                <w:webHidden/>
              </w:rPr>
              <w:t>32</w:t>
            </w:r>
            <w:r>
              <w:rPr>
                <w:noProof/>
                <w:webHidden/>
              </w:rPr>
              <w:fldChar w:fldCharType="end"/>
            </w:r>
          </w:hyperlink>
        </w:p>
        <w:p w:rsidR="009751A7" w:rsidRDefault="009751A7" w14:paraId="29AFEA8F" w14:textId="3CAF8BD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3312252">
            <w:r w:rsidRPr="00A10F11">
              <w:rPr>
                <w:rStyle w:val="Hyperlink"/>
                <w:noProof/>
              </w:rPr>
              <w:t>1.7.1.</w:t>
            </w:r>
            <w:r>
              <w:rPr>
                <w:rFonts w:asciiTheme="minorHAnsi" w:hAnsiTheme="minorHAnsi" w:cstheme="minorBidi"/>
                <w:noProof/>
                <w:kern w:val="2"/>
                <w:sz w:val="24"/>
                <w:szCs w:val="24"/>
                <w14:ligatures w14:val="standardContextual"/>
              </w:rPr>
              <w:tab/>
            </w:r>
            <w:r w:rsidRPr="00A10F11">
              <w:rPr>
                <w:rStyle w:val="Hyperlink"/>
                <w:noProof/>
              </w:rPr>
              <w:t>Submission Date</w:t>
            </w:r>
            <w:r>
              <w:rPr>
                <w:noProof/>
                <w:webHidden/>
              </w:rPr>
              <w:tab/>
            </w:r>
            <w:r>
              <w:rPr>
                <w:noProof/>
                <w:webHidden/>
              </w:rPr>
              <w:fldChar w:fldCharType="begin"/>
            </w:r>
            <w:r>
              <w:rPr>
                <w:noProof/>
                <w:webHidden/>
              </w:rPr>
              <w:instrText xml:space="preserve"> PAGEREF _Toc213312252 \h </w:instrText>
            </w:r>
            <w:r>
              <w:rPr>
                <w:noProof/>
                <w:webHidden/>
              </w:rPr>
            </w:r>
            <w:r>
              <w:rPr>
                <w:noProof/>
                <w:webHidden/>
              </w:rPr>
              <w:fldChar w:fldCharType="separate"/>
            </w:r>
            <w:r w:rsidR="006E4CA6">
              <w:rPr>
                <w:noProof/>
                <w:webHidden/>
              </w:rPr>
              <w:t>34</w:t>
            </w:r>
            <w:r>
              <w:rPr>
                <w:noProof/>
                <w:webHidden/>
              </w:rPr>
              <w:fldChar w:fldCharType="end"/>
            </w:r>
          </w:hyperlink>
        </w:p>
        <w:p w:rsidR="009751A7" w:rsidRDefault="009751A7" w14:paraId="5CC63269" w14:textId="3FBF5E47">
          <w:pPr>
            <w:pStyle w:val="TOC1"/>
            <w:tabs>
              <w:tab w:val="right" w:leader="dot" w:pos="9350"/>
            </w:tabs>
            <w:rPr>
              <w:rFonts w:asciiTheme="minorHAnsi" w:hAnsiTheme="minorHAnsi" w:cstheme="minorBidi"/>
              <w:noProof/>
              <w:kern w:val="2"/>
              <w:sz w:val="24"/>
              <w:szCs w:val="24"/>
              <w14:ligatures w14:val="standardContextual"/>
            </w:rPr>
          </w:pPr>
          <w:hyperlink w:history="1" w:anchor="_Toc213312253">
            <w:r w:rsidRPr="00A10F11">
              <w:rPr>
                <w:rStyle w:val="Hyperlink"/>
                <w:noProof/>
              </w:rPr>
              <w:t>2.</w:t>
            </w:r>
            <w:r>
              <w:rPr>
                <w:rFonts w:asciiTheme="minorHAnsi" w:hAnsiTheme="minorHAnsi" w:cstheme="minorBidi"/>
                <w:noProof/>
                <w:kern w:val="2"/>
                <w:sz w:val="24"/>
                <w:szCs w:val="24"/>
                <w14:ligatures w14:val="standardContextual"/>
              </w:rPr>
              <w:tab/>
            </w:r>
            <w:r w:rsidRPr="00A10F11">
              <w:rPr>
                <w:rStyle w:val="Hyperlink"/>
                <w:noProof/>
              </w:rPr>
              <w:t>Issues to Be Decided and Standards of Review</w:t>
            </w:r>
            <w:r>
              <w:rPr>
                <w:noProof/>
                <w:webHidden/>
              </w:rPr>
              <w:tab/>
            </w:r>
            <w:r>
              <w:rPr>
                <w:noProof/>
                <w:webHidden/>
              </w:rPr>
              <w:fldChar w:fldCharType="begin"/>
            </w:r>
            <w:r>
              <w:rPr>
                <w:noProof/>
                <w:webHidden/>
              </w:rPr>
              <w:instrText xml:space="preserve"> PAGEREF _Toc213312253 \h </w:instrText>
            </w:r>
            <w:r>
              <w:rPr>
                <w:noProof/>
                <w:webHidden/>
              </w:rPr>
            </w:r>
            <w:r>
              <w:rPr>
                <w:noProof/>
                <w:webHidden/>
              </w:rPr>
              <w:fldChar w:fldCharType="separate"/>
            </w:r>
            <w:r w:rsidR="006E4CA6">
              <w:rPr>
                <w:noProof/>
                <w:webHidden/>
              </w:rPr>
              <w:t>34</w:t>
            </w:r>
            <w:r>
              <w:rPr>
                <w:noProof/>
                <w:webHidden/>
              </w:rPr>
              <w:fldChar w:fldCharType="end"/>
            </w:r>
          </w:hyperlink>
        </w:p>
        <w:p w:rsidR="009751A7" w:rsidRDefault="009751A7" w14:paraId="3A88C468" w14:textId="381AFE98">
          <w:pPr>
            <w:pStyle w:val="TOC2"/>
            <w:tabs>
              <w:tab w:val="right" w:leader="dot" w:pos="9350"/>
            </w:tabs>
            <w:rPr>
              <w:rFonts w:asciiTheme="minorHAnsi" w:hAnsiTheme="minorHAnsi" w:cstheme="minorBidi"/>
              <w:noProof/>
              <w:kern w:val="2"/>
              <w:sz w:val="24"/>
              <w:szCs w:val="24"/>
              <w14:ligatures w14:val="standardContextual"/>
            </w:rPr>
          </w:pPr>
          <w:hyperlink w:history="1" w:anchor="_Toc213312254">
            <w:r w:rsidRPr="00A10F11">
              <w:rPr>
                <w:rStyle w:val="Hyperlink"/>
                <w:noProof/>
              </w:rPr>
              <w:t>2.1.</w:t>
            </w:r>
            <w:r>
              <w:rPr>
                <w:rFonts w:asciiTheme="minorHAnsi" w:hAnsiTheme="minorHAnsi" w:cstheme="minorBidi"/>
                <w:noProof/>
                <w:kern w:val="2"/>
                <w:sz w:val="24"/>
                <w:szCs w:val="24"/>
                <w14:ligatures w14:val="standardContextual"/>
              </w:rPr>
              <w:tab/>
            </w:r>
            <w:r w:rsidRPr="00A10F11">
              <w:rPr>
                <w:rStyle w:val="Hyperlink"/>
                <w:noProof/>
              </w:rPr>
              <w:t>Issues Before the Commission</w:t>
            </w:r>
            <w:r>
              <w:rPr>
                <w:noProof/>
                <w:webHidden/>
              </w:rPr>
              <w:tab/>
            </w:r>
            <w:r>
              <w:rPr>
                <w:noProof/>
                <w:webHidden/>
              </w:rPr>
              <w:fldChar w:fldCharType="begin"/>
            </w:r>
            <w:r>
              <w:rPr>
                <w:noProof/>
                <w:webHidden/>
              </w:rPr>
              <w:instrText xml:space="preserve"> PAGEREF _Toc213312254 \h </w:instrText>
            </w:r>
            <w:r>
              <w:rPr>
                <w:noProof/>
                <w:webHidden/>
              </w:rPr>
            </w:r>
            <w:r>
              <w:rPr>
                <w:noProof/>
                <w:webHidden/>
              </w:rPr>
              <w:fldChar w:fldCharType="separate"/>
            </w:r>
            <w:r w:rsidR="006E4CA6">
              <w:rPr>
                <w:noProof/>
                <w:webHidden/>
              </w:rPr>
              <w:t>34</w:t>
            </w:r>
            <w:r>
              <w:rPr>
                <w:noProof/>
                <w:webHidden/>
              </w:rPr>
              <w:fldChar w:fldCharType="end"/>
            </w:r>
          </w:hyperlink>
        </w:p>
        <w:p w:rsidR="009751A7" w:rsidRDefault="009751A7" w14:paraId="2BE39097" w14:textId="2864882F">
          <w:pPr>
            <w:pStyle w:val="TOC2"/>
            <w:tabs>
              <w:tab w:val="right" w:leader="dot" w:pos="9350"/>
            </w:tabs>
            <w:rPr>
              <w:rFonts w:asciiTheme="minorHAnsi" w:hAnsiTheme="minorHAnsi" w:cstheme="minorBidi"/>
              <w:noProof/>
              <w:kern w:val="2"/>
              <w:sz w:val="24"/>
              <w:szCs w:val="24"/>
              <w14:ligatures w14:val="standardContextual"/>
            </w:rPr>
          </w:pPr>
          <w:hyperlink w:history="1" w:anchor="_Toc213312255">
            <w:r w:rsidRPr="00A10F11">
              <w:rPr>
                <w:rStyle w:val="Hyperlink"/>
                <w:noProof/>
              </w:rPr>
              <w:t>2.2.</w:t>
            </w:r>
            <w:r>
              <w:rPr>
                <w:rFonts w:asciiTheme="minorHAnsi" w:hAnsiTheme="minorHAnsi" w:cstheme="minorBidi"/>
                <w:noProof/>
                <w:kern w:val="2"/>
                <w:sz w:val="24"/>
                <w:szCs w:val="24"/>
                <w14:ligatures w14:val="standardContextual"/>
              </w:rPr>
              <w:tab/>
            </w:r>
            <w:r w:rsidRPr="00A10F11">
              <w:rPr>
                <w:rStyle w:val="Hyperlink"/>
                <w:noProof/>
              </w:rPr>
              <w:t>Burden of Proof and Standard of Proof</w:t>
            </w:r>
            <w:r>
              <w:rPr>
                <w:noProof/>
                <w:webHidden/>
              </w:rPr>
              <w:tab/>
            </w:r>
            <w:r>
              <w:rPr>
                <w:noProof/>
                <w:webHidden/>
              </w:rPr>
              <w:fldChar w:fldCharType="begin"/>
            </w:r>
            <w:r>
              <w:rPr>
                <w:noProof/>
                <w:webHidden/>
              </w:rPr>
              <w:instrText xml:space="preserve"> PAGEREF _Toc213312255 \h </w:instrText>
            </w:r>
            <w:r>
              <w:rPr>
                <w:noProof/>
                <w:webHidden/>
              </w:rPr>
            </w:r>
            <w:r>
              <w:rPr>
                <w:noProof/>
                <w:webHidden/>
              </w:rPr>
              <w:fldChar w:fldCharType="separate"/>
            </w:r>
            <w:r w:rsidR="006E4CA6">
              <w:rPr>
                <w:noProof/>
                <w:webHidden/>
              </w:rPr>
              <w:t>34</w:t>
            </w:r>
            <w:r>
              <w:rPr>
                <w:noProof/>
                <w:webHidden/>
              </w:rPr>
              <w:fldChar w:fldCharType="end"/>
            </w:r>
          </w:hyperlink>
        </w:p>
        <w:p w:rsidR="009751A7" w:rsidRDefault="009751A7" w14:paraId="542EBD48" w14:textId="342DC001">
          <w:pPr>
            <w:pStyle w:val="TOC2"/>
            <w:tabs>
              <w:tab w:val="right" w:leader="dot" w:pos="9350"/>
            </w:tabs>
            <w:rPr>
              <w:rFonts w:asciiTheme="minorHAnsi" w:hAnsiTheme="minorHAnsi" w:cstheme="minorBidi"/>
              <w:noProof/>
              <w:kern w:val="2"/>
              <w:sz w:val="24"/>
              <w:szCs w:val="24"/>
              <w14:ligatures w14:val="standardContextual"/>
            </w:rPr>
          </w:pPr>
          <w:hyperlink w:history="1" w:anchor="_Toc213312256">
            <w:r w:rsidRPr="00A10F11">
              <w:rPr>
                <w:rStyle w:val="Hyperlink"/>
                <w:noProof/>
              </w:rPr>
              <w:t>2.3.</w:t>
            </w:r>
            <w:r>
              <w:rPr>
                <w:rFonts w:asciiTheme="minorHAnsi" w:hAnsiTheme="minorHAnsi" w:cstheme="minorBidi"/>
                <w:noProof/>
                <w:kern w:val="2"/>
                <w:sz w:val="24"/>
                <w:szCs w:val="24"/>
                <w14:ligatures w14:val="standardContextual"/>
              </w:rPr>
              <w:tab/>
            </w:r>
            <w:r w:rsidRPr="00A10F11">
              <w:rPr>
                <w:rStyle w:val="Hyperlink"/>
                <w:noProof/>
              </w:rPr>
              <w:t>Evidentiary Standards and Factors Considered in Assessing What is Just and Reasonable</w:t>
            </w:r>
            <w:r>
              <w:rPr>
                <w:noProof/>
                <w:webHidden/>
              </w:rPr>
              <w:tab/>
            </w:r>
            <w:r>
              <w:rPr>
                <w:noProof/>
                <w:webHidden/>
              </w:rPr>
              <w:fldChar w:fldCharType="begin"/>
            </w:r>
            <w:r>
              <w:rPr>
                <w:noProof/>
                <w:webHidden/>
              </w:rPr>
              <w:instrText xml:space="preserve"> PAGEREF _Toc213312256 \h </w:instrText>
            </w:r>
            <w:r>
              <w:rPr>
                <w:noProof/>
                <w:webHidden/>
              </w:rPr>
            </w:r>
            <w:r>
              <w:rPr>
                <w:noProof/>
                <w:webHidden/>
              </w:rPr>
              <w:fldChar w:fldCharType="separate"/>
            </w:r>
            <w:r w:rsidR="006E4CA6">
              <w:rPr>
                <w:noProof/>
                <w:webHidden/>
              </w:rPr>
              <w:t>36</w:t>
            </w:r>
            <w:r>
              <w:rPr>
                <w:noProof/>
                <w:webHidden/>
              </w:rPr>
              <w:fldChar w:fldCharType="end"/>
            </w:r>
          </w:hyperlink>
        </w:p>
        <w:p w:rsidR="009751A7" w:rsidRDefault="009751A7" w14:paraId="2020577D" w14:textId="0F832B38">
          <w:pPr>
            <w:pStyle w:val="TOC2"/>
            <w:tabs>
              <w:tab w:val="right" w:leader="dot" w:pos="9350"/>
            </w:tabs>
            <w:rPr>
              <w:rFonts w:asciiTheme="minorHAnsi" w:hAnsiTheme="minorHAnsi" w:cstheme="minorBidi"/>
              <w:noProof/>
              <w:kern w:val="2"/>
              <w:sz w:val="24"/>
              <w:szCs w:val="24"/>
              <w14:ligatures w14:val="standardContextual"/>
            </w:rPr>
          </w:pPr>
          <w:hyperlink w:history="1" w:anchor="_Toc213312257">
            <w:r w:rsidRPr="00A10F11">
              <w:rPr>
                <w:rStyle w:val="Hyperlink"/>
                <w:noProof/>
              </w:rPr>
              <w:t>2.4.</w:t>
            </w:r>
            <w:r>
              <w:rPr>
                <w:rFonts w:asciiTheme="minorHAnsi" w:hAnsiTheme="minorHAnsi" w:cstheme="minorBidi"/>
                <w:noProof/>
                <w:kern w:val="2"/>
                <w:sz w:val="24"/>
                <w:szCs w:val="24"/>
                <w14:ligatures w14:val="standardContextual"/>
              </w:rPr>
              <w:tab/>
            </w:r>
            <w:r w:rsidRPr="00A10F11">
              <w:rPr>
                <w:rStyle w:val="Hyperlink"/>
                <w:noProof/>
              </w:rPr>
              <w:t>Incrementality Standard</w:t>
            </w:r>
            <w:r>
              <w:rPr>
                <w:noProof/>
                <w:webHidden/>
              </w:rPr>
              <w:tab/>
            </w:r>
            <w:r>
              <w:rPr>
                <w:noProof/>
                <w:webHidden/>
              </w:rPr>
              <w:fldChar w:fldCharType="begin"/>
            </w:r>
            <w:r>
              <w:rPr>
                <w:noProof/>
                <w:webHidden/>
              </w:rPr>
              <w:instrText xml:space="preserve"> PAGEREF _Toc213312257 \h </w:instrText>
            </w:r>
            <w:r>
              <w:rPr>
                <w:noProof/>
                <w:webHidden/>
              </w:rPr>
            </w:r>
            <w:r>
              <w:rPr>
                <w:noProof/>
                <w:webHidden/>
              </w:rPr>
              <w:fldChar w:fldCharType="separate"/>
            </w:r>
            <w:r w:rsidR="006E4CA6">
              <w:rPr>
                <w:noProof/>
                <w:webHidden/>
              </w:rPr>
              <w:t>37</w:t>
            </w:r>
            <w:r>
              <w:rPr>
                <w:noProof/>
                <w:webHidden/>
              </w:rPr>
              <w:fldChar w:fldCharType="end"/>
            </w:r>
          </w:hyperlink>
        </w:p>
        <w:p w:rsidR="009751A7" w:rsidRDefault="009751A7" w14:paraId="13C91235" w14:textId="4A3FA022">
          <w:pPr>
            <w:pStyle w:val="TOC1"/>
            <w:tabs>
              <w:tab w:val="right" w:leader="dot" w:pos="9350"/>
            </w:tabs>
            <w:rPr>
              <w:rFonts w:asciiTheme="minorHAnsi" w:hAnsiTheme="minorHAnsi" w:cstheme="minorBidi"/>
              <w:noProof/>
              <w:kern w:val="2"/>
              <w:sz w:val="24"/>
              <w:szCs w:val="24"/>
              <w14:ligatures w14:val="standardContextual"/>
            </w:rPr>
          </w:pPr>
          <w:hyperlink w:history="1" w:anchor="_Toc213312258">
            <w:r w:rsidRPr="00A10F11">
              <w:rPr>
                <w:rStyle w:val="Hyperlink"/>
                <w:noProof/>
              </w:rPr>
              <w:t>3.</w:t>
            </w:r>
            <w:r>
              <w:rPr>
                <w:rFonts w:asciiTheme="minorHAnsi" w:hAnsiTheme="minorHAnsi" w:cstheme="minorBidi"/>
                <w:noProof/>
                <w:kern w:val="2"/>
                <w:sz w:val="24"/>
                <w:szCs w:val="24"/>
                <w14:ligatures w14:val="standardContextual"/>
              </w:rPr>
              <w:tab/>
            </w:r>
            <w:r w:rsidRPr="00A10F11">
              <w:rPr>
                <w:rStyle w:val="Hyperlink"/>
                <w:noProof/>
              </w:rPr>
              <w:t>Risk Assessment and Mapping</w:t>
            </w:r>
            <w:r>
              <w:rPr>
                <w:noProof/>
                <w:webHidden/>
              </w:rPr>
              <w:tab/>
            </w:r>
            <w:r>
              <w:rPr>
                <w:noProof/>
                <w:webHidden/>
              </w:rPr>
              <w:fldChar w:fldCharType="begin"/>
            </w:r>
            <w:r>
              <w:rPr>
                <w:noProof/>
                <w:webHidden/>
              </w:rPr>
              <w:instrText xml:space="preserve"> PAGEREF _Toc213312258 \h </w:instrText>
            </w:r>
            <w:r>
              <w:rPr>
                <w:noProof/>
                <w:webHidden/>
              </w:rPr>
            </w:r>
            <w:r>
              <w:rPr>
                <w:noProof/>
                <w:webHidden/>
              </w:rPr>
              <w:fldChar w:fldCharType="separate"/>
            </w:r>
            <w:r w:rsidR="006E4CA6">
              <w:rPr>
                <w:noProof/>
                <w:webHidden/>
              </w:rPr>
              <w:t>38</w:t>
            </w:r>
            <w:r>
              <w:rPr>
                <w:noProof/>
                <w:webHidden/>
              </w:rPr>
              <w:fldChar w:fldCharType="end"/>
            </w:r>
          </w:hyperlink>
        </w:p>
        <w:p w:rsidR="009751A7" w:rsidRDefault="009751A7" w14:paraId="23CC2CC9" w14:textId="058715B7">
          <w:pPr>
            <w:pStyle w:val="TOC1"/>
            <w:tabs>
              <w:tab w:val="right" w:leader="dot" w:pos="9350"/>
            </w:tabs>
            <w:rPr>
              <w:rFonts w:asciiTheme="minorHAnsi" w:hAnsiTheme="minorHAnsi" w:cstheme="minorBidi"/>
              <w:noProof/>
              <w:kern w:val="2"/>
              <w:sz w:val="24"/>
              <w:szCs w:val="24"/>
              <w14:ligatures w14:val="standardContextual"/>
            </w:rPr>
          </w:pPr>
          <w:hyperlink w:history="1" w:anchor="_Toc213312259">
            <w:r w:rsidRPr="00A10F11">
              <w:rPr>
                <w:rStyle w:val="Hyperlink"/>
                <w:noProof/>
              </w:rPr>
              <w:t>4.</w:t>
            </w:r>
            <w:r>
              <w:rPr>
                <w:rFonts w:asciiTheme="minorHAnsi" w:hAnsiTheme="minorHAnsi" w:cstheme="minorBidi"/>
                <w:noProof/>
                <w:kern w:val="2"/>
                <w:sz w:val="24"/>
                <w:szCs w:val="24"/>
                <w14:ligatures w14:val="standardContextual"/>
              </w:rPr>
              <w:tab/>
            </w:r>
            <w:r w:rsidRPr="00A10F11">
              <w:rPr>
                <w:rStyle w:val="Hyperlink"/>
                <w:noProof/>
              </w:rPr>
              <w:t>Grid Design and System Hardening</w:t>
            </w:r>
            <w:r>
              <w:rPr>
                <w:noProof/>
                <w:webHidden/>
              </w:rPr>
              <w:tab/>
            </w:r>
            <w:r>
              <w:rPr>
                <w:noProof/>
                <w:webHidden/>
              </w:rPr>
              <w:fldChar w:fldCharType="begin"/>
            </w:r>
            <w:r>
              <w:rPr>
                <w:noProof/>
                <w:webHidden/>
              </w:rPr>
              <w:instrText xml:space="preserve"> PAGEREF _Toc213312259 \h </w:instrText>
            </w:r>
            <w:r>
              <w:rPr>
                <w:noProof/>
                <w:webHidden/>
              </w:rPr>
            </w:r>
            <w:r>
              <w:rPr>
                <w:noProof/>
                <w:webHidden/>
              </w:rPr>
              <w:fldChar w:fldCharType="separate"/>
            </w:r>
            <w:r w:rsidR="006E4CA6">
              <w:rPr>
                <w:noProof/>
                <w:webHidden/>
              </w:rPr>
              <w:t>38</w:t>
            </w:r>
            <w:r>
              <w:rPr>
                <w:noProof/>
                <w:webHidden/>
              </w:rPr>
              <w:fldChar w:fldCharType="end"/>
            </w:r>
          </w:hyperlink>
        </w:p>
        <w:p w:rsidR="009751A7" w:rsidRDefault="009751A7" w14:paraId="6ADED0F7" w14:textId="4F518582">
          <w:pPr>
            <w:pStyle w:val="TOC2"/>
            <w:tabs>
              <w:tab w:val="right" w:leader="dot" w:pos="9350"/>
            </w:tabs>
            <w:rPr>
              <w:rFonts w:asciiTheme="minorHAnsi" w:hAnsiTheme="minorHAnsi" w:cstheme="minorBidi"/>
              <w:noProof/>
              <w:kern w:val="2"/>
              <w:sz w:val="24"/>
              <w:szCs w:val="24"/>
              <w14:ligatures w14:val="standardContextual"/>
            </w:rPr>
          </w:pPr>
          <w:hyperlink w:history="1" w:anchor="_Toc213312260">
            <w:r w:rsidRPr="00A10F11">
              <w:rPr>
                <w:rStyle w:val="Hyperlink"/>
                <w:noProof/>
              </w:rPr>
              <w:t>4.1.</w:t>
            </w:r>
            <w:r>
              <w:rPr>
                <w:rFonts w:asciiTheme="minorHAnsi" w:hAnsiTheme="minorHAnsi" w:cstheme="minorBidi"/>
                <w:noProof/>
                <w:kern w:val="2"/>
                <w:sz w:val="24"/>
                <w:szCs w:val="24"/>
                <w14:ligatures w14:val="standardContextual"/>
              </w:rPr>
              <w:tab/>
            </w:r>
            <w:r w:rsidRPr="00A10F11">
              <w:rPr>
                <w:rStyle w:val="Hyperlink"/>
                <w:noProof/>
              </w:rPr>
              <w:t>SDG&amp;E’s Track 2 Request</w:t>
            </w:r>
            <w:r>
              <w:rPr>
                <w:noProof/>
                <w:webHidden/>
              </w:rPr>
              <w:tab/>
            </w:r>
            <w:r>
              <w:rPr>
                <w:noProof/>
                <w:webHidden/>
              </w:rPr>
              <w:fldChar w:fldCharType="begin"/>
            </w:r>
            <w:r>
              <w:rPr>
                <w:noProof/>
                <w:webHidden/>
              </w:rPr>
              <w:instrText xml:space="preserve"> PAGEREF _Toc213312260 \h </w:instrText>
            </w:r>
            <w:r>
              <w:rPr>
                <w:noProof/>
                <w:webHidden/>
              </w:rPr>
            </w:r>
            <w:r>
              <w:rPr>
                <w:noProof/>
                <w:webHidden/>
              </w:rPr>
              <w:fldChar w:fldCharType="separate"/>
            </w:r>
            <w:r w:rsidR="006E4CA6">
              <w:rPr>
                <w:noProof/>
                <w:webHidden/>
              </w:rPr>
              <w:t>39</w:t>
            </w:r>
            <w:r>
              <w:rPr>
                <w:noProof/>
                <w:webHidden/>
              </w:rPr>
              <w:fldChar w:fldCharType="end"/>
            </w:r>
          </w:hyperlink>
        </w:p>
        <w:p w:rsidR="009751A7" w:rsidRDefault="009751A7" w14:paraId="01038B8C" w14:textId="7FBB6DCD">
          <w:pPr>
            <w:pStyle w:val="TOC2"/>
            <w:tabs>
              <w:tab w:val="right" w:leader="dot" w:pos="9350"/>
            </w:tabs>
            <w:rPr>
              <w:rFonts w:asciiTheme="minorHAnsi" w:hAnsiTheme="minorHAnsi" w:cstheme="minorBidi"/>
              <w:noProof/>
              <w:kern w:val="2"/>
              <w:sz w:val="24"/>
              <w:szCs w:val="24"/>
              <w14:ligatures w14:val="standardContextual"/>
            </w:rPr>
          </w:pPr>
          <w:hyperlink w:history="1" w:anchor="_Toc213312261">
            <w:r w:rsidRPr="00A10F11">
              <w:rPr>
                <w:rStyle w:val="Hyperlink"/>
                <w:noProof/>
              </w:rPr>
              <w:t>4.2.</w:t>
            </w:r>
            <w:r>
              <w:rPr>
                <w:rFonts w:asciiTheme="minorHAnsi" w:hAnsiTheme="minorHAnsi" w:cstheme="minorBidi"/>
                <w:noProof/>
                <w:kern w:val="2"/>
                <w:sz w:val="24"/>
                <w:szCs w:val="24"/>
                <w14:ligatures w14:val="standardContextual"/>
              </w:rPr>
              <w:tab/>
            </w:r>
            <w:r w:rsidRPr="00A10F11">
              <w:rPr>
                <w:rStyle w:val="Hyperlink"/>
                <w:noProof/>
              </w:rPr>
              <w:t>Distribution Overhead System Hardening Capital</w:t>
            </w:r>
            <w:r>
              <w:rPr>
                <w:noProof/>
                <w:webHidden/>
              </w:rPr>
              <w:tab/>
            </w:r>
            <w:r>
              <w:rPr>
                <w:noProof/>
                <w:webHidden/>
              </w:rPr>
              <w:fldChar w:fldCharType="begin"/>
            </w:r>
            <w:r>
              <w:rPr>
                <w:noProof/>
                <w:webHidden/>
              </w:rPr>
              <w:instrText xml:space="preserve"> PAGEREF _Toc213312261 \h </w:instrText>
            </w:r>
            <w:r>
              <w:rPr>
                <w:noProof/>
                <w:webHidden/>
              </w:rPr>
            </w:r>
            <w:r>
              <w:rPr>
                <w:noProof/>
                <w:webHidden/>
              </w:rPr>
              <w:fldChar w:fldCharType="separate"/>
            </w:r>
            <w:r w:rsidR="006E4CA6">
              <w:rPr>
                <w:noProof/>
                <w:webHidden/>
              </w:rPr>
              <w:t>45</w:t>
            </w:r>
            <w:r>
              <w:rPr>
                <w:noProof/>
                <w:webHidden/>
              </w:rPr>
              <w:fldChar w:fldCharType="end"/>
            </w:r>
          </w:hyperlink>
        </w:p>
        <w:p w:rsidR="009751A7" w:rsidRDefault="009751A7" w14:paraId="000D180F" w14:textId="12AECAB6">
          <w:pPr>
            <w:pStyle w:val="TOC2"/>
            <w:tabs>
              <w:tab w:val="right" w:leader="dot" w:pos="9350"/>
            </w:tabs>
            <w:rPr>
              <w:rFonts w:asciiTheme="minorHAnsi" w:hAnsiTheme="minorHAnsi" w:cstheme="minorBidi"/>
              <w:noProof/>
              <w:kern w:val="2"/>
              <w:sz w:val="24"/>
              <w:szCs w:val="24"/>
              <w14:ligatures w14:val="standardContextual"/>
            </w:rPr>
          </w:pPr>
          <w:hyperlink w:history="1" w:anchor="_Toc213312262">
            <w:r w:rsidRPr="00A10F11">
              <w:rPr>
                <w:rStyle w:val="Hyperlink"/>
                <w:noProof/>
              </w:rPr>
              <w:t>4.3.</w:t>
            </w:r>
            <w:r>
              <w:rPr>
                <w:rFonts w:asciiTheme="minorHAnsi" w:hAnsiTheme="minorHAnsi" w:cstheme="minorBidi"/>
                <w:noProof/>
                <w:kern w:val="2"/>
                <w:sz w:val="24"/>
                <w:szCs w:val="24"/>
                <w14:ligatures w14:val="standardContextual"/>
              </w:rPr>
              <w:tab/>
            </w:r>
            <w:r w:rsidRPr="00A10F11">
              <w:rPr>
                <w:rStyle w:val="Hyperlink"/>
                <w:noProof/>
              </w:rPr>
              <w:t>Covered Conductor</w:t>
            </w:r>
            <w:r>
              <w:rPr>
                <w:noProof/>
                <w:webHidden/>
              </w:rPr>
              <w:tab/>
            </w:r>
            <w:r>
              <w:rPr>
                <w:noProof/>
                <w:webHidden/>
              </w:rPr>
              <w:fldChar w:fldCharType="begin"/>
            </w:r>
            <w:r>
              <w:rPr>
                <w:noProof/>
                <w:webHidden/>
              </w:rPr>
              <w:instrText xml:space="preserve"> PAGEREF _Toc213312262 \h </w:instrText>
            </w:r>
            <w:r>
              <w:rPr>
                <w:noProof/>
                <w:webHidden/>
              </w:rPr>
            </w:r>
            <w:r>
              <w:rPr>
                <w:noProof/>
                <w:webHidden/>
              </w:rPr>
              <w:fldChar w:fldCharType="separate"/>
            </w:r>
            <w:r w:rsidR="006E4CA6">
              <w:rPr>
                <w:noProof/>
                <w:webHidden/>
              </w:rPr>
              <w:t>48</w:t>
            </w:r>
            <w:r>
              <w:rPr>
                <w:noProof/>
                <w:webHidden/>
              </w:rPr>
              <w:fldChar w:fldCharType="end"/>
            </w:r>
          </w:hyperlink>
        </w:p>
        <w:p w:rsidR="009751A7" w:rsidRDefault="009751A7" w14:paraId="1160B2A6" w14:textId="7BAF37DF">
          <w:pPr>
            <w:pStyle w:val="TOC2"/>
            <w:tabs>
              <w:tab w:val="right" w:leader="dot" w:pos="9350"/>
            </w:tabs>
            <w:rPr>
              <w:rFonts w:asciiTheme="minorHAnsi" w:hAnsiTheme="minorHAnsi" w:cstheme="minorBidi"/>
              <w:noProof/>
              <w:kern w:val="2"/>
              <w:sz w:val="24"/>
              <w:szCs w:val="24"/>
              <w14:ligatures w14:val="standardContextual"/>
            </w:rPr>
          </w:pPr>
          <w:hyperlink w:history="1" w:anchor="_Toc213312263">
            <w:r w:rsidRPr="00A10F11">
              <w:rPr>
                <w:rStyle w:val="Hyperlink"/>
                <w:noProof/>
              </w:rPr>
              <w:t>4.4.</w:t>
            </w:r>
            <w:r>
              <w:rPr>
                <w:rFonts w:asciiTheme="minorHAnsi" w:hAnsiTheme="minorHAnsi" w:cstheme="minorBidi"/>
                <w:noProof/>
                <w:kern w:val="2"/>
                <w:sz w:val="24"/>
                <w:szCs w:val="24"/>
                <w14:ligatures w14:val="standardContextual"/>
              </w:rPr>
              <w:tab/>
            </w:r>
            <w:r w:rsidRPr="00A10F11">
              <w:rPr>
                <w:rStyle w:val="Hyperlink"/>
                <w:noProof/>
              </w:rPr>
              <w:t>Strategic Undergrounding</w:t>
            </w:r>
            <w:r>
              <w:rPr>
                <w:noProof/>
                <w:webHidden/>
              </w:rPr>
              <w:tab/>
            </w:r>
            <w:r>
              <w:rPr>
                <w:noProof/>
                <w:webHidden/>
              </w:rPr>
              <w:fldChar w:fldCharType="begin"/>
            </w:r>
            <w:r>
              <w:rPr>
                <w:noProof/>
                <w:webHidden/>
              </w:rPr>
              <w:instrText xml:space="preserve"> PAGEREF _Toc213312263 \h </w:instrText>
            </w:r>
            <w:r>
              <w:rPr>
                <w:noProof/>
                <w:webHidden/>
              </w:rPr>
            </w:r>
            <w:r>
              <w:rPr>
                <w:noProof/>
                <w:webHidden/>
              </w:rPr>
              <w:fldChar w:fldCharType="separate"/>
            </w:r>
            <w:r w:rsidR="006E4CA6">
              <w:rPr>
                <w:noProof/>
                <w:webHidden/>
              </w:rPr>
              <w:t>53</w:t>
            </w:r>
            <w:r>
              <w:rPr>
                <w:noProof/>
                <w:webHidden/>
              </w:rPr>
              <w:fldChar w:fldCharType="end"/>
            </w:r>
          </w:hyperlink>
        </w:p>
        <w:p w:rsidR="009751A7" w:rsidRDefault="009751A7" w14:paraId="45B235F3" w14:textId="402D4E8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3312264">
            <w:r w:rsidRPr="00A10F11">
              <w:rPr>
                <w:rStyle w:val="Hyperlink"/>
                <w:noProof/>
              </w:rPr>
              <w:t>4.4.1.</w:t>
            </w:r>
            <w:r>
              <w:rPr>
                <w:rFonts w:asciiTheme="minorHAnsi" w:hAnsiTheme="minorHAnsi" w:cstheme="minorBidi"/>
                <w:noProof/>
                <w:kern w:val="2"/>
                <w:sz w:val="24"/>
                <w:szCs w:val="24"/>
                <w14:ligatures w14:val="standardContextual"/>
              </w:rPr>
              <w:tab/>
            </w:r>
            <w:r w:rsidRPr="00A10F11">
              <w:rPr>
                <w:rStyle w:val="Hyperlink"/>
                <w:noProof/>
              </w:rPr>
              <w:t>Intervenor Positions and Recommendations</w:t>
            </w:r>
            <w:r>
              <w:rPr>
                <w:noProof/>
                <w:webHidden/>
              </w:rPr>
              <w:tab/>
            </w:r>
            <w:r>
              <w:rPr>
                <w:noProof/>
                <w:webHidden/>
              </w:rPr>
              <w:fldChar w:fldCharType="begin"/>
            </w:r>
            <w:r>
              <w:rPr>
                <w:noProof/>
                <w:webHidden/>
              </w:rPr>
              <w:instrText xml:space="preserve"> PAGEREF _Toc213312264 \h </w:instrText>
            </w:r>
            <w:r>
              <w:rPr>
                <w:noProof/>
                <w:webHidden/>
              </w:rPr>
            </w:r>
            <w:r>
              <w:rPr>
                <w:noProof/>
                <w:webHidden/>
              </w:rPr>
              <w:fldChar w:fldCharType="separate"/>
            </w:r>
            <w:r w:rsidR="006E4CA6">
              <w:rPr>
                <w:noProof/>
                <w:webHidden/>
              </w:rPr>
              <w:t>55</w:t>
            </w:r>
            <w:r>
              <w:rPr>
                <w:noProof/>
                <w:webHidden/>
              </w:rPr>
              <w:fldChar w:fldCharType="end"/>
            </w:r>
          </w:hyperlink>
        </w:p>
        <w:p w:rsidR="009751A7" w:rsidRDefault="009751A7" w14:paraId="60CC7BFE" w14:textId="4407F760">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3312265">
            <w:r w:rsidRPr="00A10F11">
              <w:rPr>
                <w:rStyle w:val="Hyperlink"/>
                <w:noProof/>
              </w:rPr>
              <w:t>4.4.1.1.</w:t>
            </w:r>
            <w:r>
              <w:rPr>
                <w:rFonts w:asciiTheme="minorHAnsi" w:hAnsiTheme="minorHAnsi" w:eastAsiaTheme="minorEastAsia"/>
                <w:noProof/>
                <w:kern w:val="2"/>
                <w:sz w:val="24"/>
                <w:szCs w:val="24"/>
                <w14:ligatures w14:val="standardContextual"/>
              </w:rPr>
              <w:tab/>
            </w:r>
            <w:r w:rsidRPr="00A10F11">
              <w:rPr>
                <w:rStyle w:val="Hyperlink"/>
                <w:noProof/>
              </w:rPr>
              <w:t>Cal Advocates</w:t>
            </w:r>
            <w:r>
              <w:rPr>
                <w:noProof/>
                <w:webHidden/>
              </w:rPr>
              <w:tab/>
            </w:r>
            <w:r>
              <w:rPr>
                <w:noProof/>
                <w:webHidden/>
              </w:rPr>
              <w:fldChar w:fldCharType="begin"/>
            </w:r>
            <w:r>
              <w:rPr>
                <w:noProof/>
                <w:webHidden/>
              </w:rPr>
              <w:instrText xml:space="preserve"> PAGEREF _Toc213312265 \h </w:instrText>
            </w:r>
            <w:r>
              <w:rPr>
                <w:noProof/>
                <w:webHidden/>
              </w:rPr>
            </w:r>
            <w:r>
              <w:rPr>
                <w:noProof/>
                <w:webHidden/>
              </w:rPr>
              <w:fldChar w:fldCharType="separate"/>
            </w:r>
            <w:r w:rsidR="006E4CA6">
              <w:rPr>
                <w:noProof/>
                <w:webHidden/>
              </w:rPr>
              <w:t>55</w:t>
            </w:r>
            <w:r>
              <w:rPr>
                <w:noProof/>
                <w:webHidden/>
              </w:rPr>
              <w:fldChar w:fldCharType="end"/>
            </w:r>
          </w:hyperlink>
        </w:p>
        <w:p w:rsidR="009751A7" w:rsidRDefault="009751A7" w14:paraId="1FBDA94D" w14:textId="0DBB2851">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3312266">
            <w:r w:rsidRPr="00A10F11">
              <w:rPr>
                <w:rStyle w:val="Hyperlink"/>
                <w:noProof/>
              </w:rPr>
              <w:t>4.4.1.2.</w:t>
            </w:r>
            <w:r>
              <w:rPr>
                <w:rFonts w:asciiTheme="minorHAnsi" w:hAnsiTheme="minorHAnsi" w:eastAsiaTheme="minorEastAsia"/>
                <w:noProof/>
                <w:kern w:val="2"/>
                <w:sz w:val="24"/>
                <w:szCs w:val="24"/>
                <w14:ligatures w14:val="standardContextual"/>
              </w:rPr>
              <w:tab/>
            </w:r>
            <w:r w:rsidRPr="00A10F11">
              <w:rPr>
                <w:rStyle w:val="Hyperlink"/>
                <w:noProof/>
              </w:rPr>
              <w:t>Protect our Communities Foundation</w:t>
            </w:r>
            <w:r>
              <w:rPr>
                <w:noProof/>
                <w:webHidden/>
              </w:rPr>
              <w:tab/>
            </w:r>
            <w:r>
              <w:rPr>
                <w:noProof/>
                <w:webHidden/>
              </w:rPr>
              <w:fldChar w:fldCharType="begin"/>
            </w:r>
            <w:r>
              <w:rPr>
                <w:noProof/>
                <w:webHidden/>
              </w:rPr>
              <w:instrText xml:space="preserve"> PAGEREF _Toc213312266 \h </w:instrText>
            </w:r>
            <w:r>
              <w:rPr>
                <w:noProof/>
                <w:webHidden/>
              </w:rPr>
            </w:r>
            <w:r>
              <w:rPr>
                <w:noProof/>
                <w:webHidden/>
              </w:rPr>
              <w:fldChar w:fldCharType="separate"/>
            </w:r>
            <w:r w:rsidR="006E4CA6">
              <w:rPr>
                <w:noProof/>
                <w:webHidden/>
              </w:rPr>
              <w:t>55</w:t>
            </w:r>
            <w:r>
              <w:rPr>
                <w:noProof/>
                <w:webHidden/>
              </w:rPr>
              <w:fldChar w:fldCharType="end"/>
            </w:r>
          </w:hyperlink>
        </w:p>
        <w:p w:rsidR="009751A7" w:rsidRDefault="009751A7" w14:paraId="4A14A346" w14:textId="10B60BD0">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3312267">
            <w:r w:rsidRPr="00A10F11">
              <w:rPr>
                <w:rStyle w:val="Hyperlink"/>
                <w:noProof/>
              </w:rPr>
              <w:t>4.4.1.3.</w:t>
            </w:r>
            <w:r>
              <w:rPr>
                <w:rFonts w:asciiTheme="minorHAnsi" w:hAnsiTheme="minorHAnsi" w:eastAsiaTheme="minorEastAsia"/>
                <w:noProof/>
                <w:kern w:val="2"/>
                <w:sz w:val="24"/>
                <w:szCs w:val="24"/>
                <w14:ligatures w14:val="standardContextual"/>
              </w:rPr>
              <w:tab/>
            </w:r>
            <w:r w:rsidRPr="00A10F11">
              <w:rPr>
                <w:rStyle w:val="Hyperlink"/>
                <w:noProof/>
              </w:rPr>
              <w:t>TURN</w:t>
            </w:r>
            <w:r>
              <w:rPr>
                <w:noProof/>
                <w:webHidden/>
              </w:rPr>
              <w:tab/>
            </w:r>
            <w:r>
              <w:rPr>
                <w:noProof/>
                <w:webHidden/>
              </w:rPr>
              <w:fldChar w:fldCharType="begin"/>
            </w:r>
            <w:r>
              <w:rPr>
                <w:noProof/>
                <w:webHidden/>
              </w:rPr>
              <w:instrText xml:space="preserve"> PAGEREF _Toc213312267 \h </w:instrText>
            </w:r>
            <w:r>
              <w:rPr>
                <w:noProof/>
                <w:webHidden/>
              </w:rPr>
            </w:r>
            <w:r>
              <w:rPr>
                <w:noProof/>
                <w:webHidden/>
              </w:rPr>
              <w:fldChar w:fldCharType="separate"/>
            </w:r>
            <w:r w:rsidR="006E4CA6">
              <w:rPr>
                <w:noProof/>
                <w:webHidden/>
              </w:rPr>
              <w:t>56</w:t>
            </w:r>
            <w:r>
              <w:rPr>
                <w:noProof/>
                <w:webHidden/>
              </w:rPr>
              <w:fldChar w:fldCharType="end"/>
            </w:r>
          </w:hyperlink>
        </w:p>
        <w:p w:rsidR="009751A7" w:rsidRDefault="009751A7" w14:paraId="14C88608" w14:textId="02EE761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3312268">
            <w:r w:rsidRPr="00A10F11">
              <w:rPr>
                <w:rStyle w:val="Hyperlink"/>
                <w:noProof/>
              </w:rPr>
              <w:t>4.4.2.</w:t>
            </w:r>
            <w:r>
              <w:rPr>
                <w:rFonts w:asciiTheme="minorHAnsi" w:hAnsiTheme="minorHAnsi" w:cstheme="minorBidi"/>
                <w:noProof/>
                <w:kern w:val="2"/>
                <w:sz w:val="24"/>
                <w:szCs w:val="24"/>
                <w14:ligatures w14:val="standardContextual"/>
              </w:rPr>
              <w:tab/>
            </w:r>
            <w:r w:rsidRPr="00A10F11">
              <w:rPr>
                <w:rStyle w:val="Hyperlink"/>
                <w:noProof/>
              </w:rPr>
              <w:t>Discussion</w:t>
            </w:r>
            <w:r>
              <w:rPr>
                <w:noProof/>
                <w:webHidden/>
              </w:rPr>
              <w:tab/>
            </w:r>
            <w:r>
              <w:rPr>
                <w:noProof/>
                <w:webHidden/>
              </w:rPr>
              <w:fldChar w:fldCharType="begin"/>
            </w:r>
            <w:r>
              <w:rPr>
                <w:noProof/>
                <w:webHidden/>
              </w:rPr>
              <w:instrText xml:space="preserve"> PAGEREF _Toc213312268 \h </w:instrText>
            </w:r>
            <w:r>
              <w:rPr>
                <w:noProof/>
                <w:webHidden/>
              </w:rPr>
            </w:r>
            <w:r>
              <w:rPr>
                <w:noProof/>
                <w:webHidden/>
              </w:rPr>
              <w:fldChar w:fldCharType="separate"/>
            </w:r>
            <w:r w:rsidR="006E4CA6">
              <w:rPr>
                <w:noProof/>
                <w:webHidden/>
              </w:rPr>
              <w:t>56</w:t>
            </w:r>
            <w:r>
              <w:rPr>
                <w:noProof/>
                <w:webHidden/>
              </w:rPr>
              <w:fldChar w:fldCharType="end"/>
            </w:r>
          </w:hyperlink>
        </w:p>
        <w:p w:rsidR="009751A7" w:rsidRDefault="009751A7" w14:paraId="6BCA8CF6" w14:textId="2B8ADBC3">
          <w:pPr>
            <w:pStyle w:val="TOC2"/>
            <w:tabs>
              <w:tab w:val="right" w:leader="dot" w:pos="9350"/>
            </w:tabs>
            <w:rPr>
              <w:rFonts w:asciiTheme="minorHAnsi" w:hAnsiTheme="minorHAnsi" w:cstheme="minorBidi"/>
              <w:noProof/>
              <w:kern w:val="2"/>
              <w:sz w:val="24"/>
              <w:szCs w:val="24"/>
              <w14:ligatures w14:val="standardContextual"/>
            </w:rPr>
          </w:pPr>
          <w:hyperlink w:history="1" w:anchor="_Toc213312269">
            <w:r w:rsidRPr="00A10F11">
              <w:rPr>
                <w:rStyle w:val="Hyperlink"/>
                <w:noProof/>
              </w:rPr>
              <w:t>4.5.</w:t>
            </w:r>
            <w:r>
              <w:rPr>
                <w:rFonts w:asciiTheme="minorHAnsi" w:hAnsiTheme="minorHAnsi" w:cstheme="minorBidi"/>
                <w:noProof/>
                <w:kern w:val="2"/>
                <w:sz w:val="24"/>
                <w:szCs w:val="24"/>
                <w14:ligatures w14:val="standardContextual"/>
              </w:rPr>
              <w:tab/>
            </w:r>
            <w:r w:rsidRPr="00A10F11">
              <w:rPr>
                <w:rStyle w:val="Hyperlink"/>
                <w:noProof/>
              </w:rPr>
              <w:t>Other Work Performed Outside HFTD Tiers 2 or 3</w:t>
            </w:r>
            <w:r>
              <w:rPr>
                <w:noProof/>
                <w:webHidden/>
              </w:rPr>
              <w:tab/>
            </w:r>
            <w:r>
              <w:rPr>
                <w:noProof/>
                <w:webHidden/>
              </w:rPr>
              <w:fldChar w:fldCharType="begin"/>
            </w:r>
            <w:r>
              <w:rPr>
                <w:noProof/>
                <w:webHidden/>
              </w:rPr>
              <w:instrText xml:space="preserve"> PAGEREF _Toc213312269 \h </w:instrText>
            </w:r>
            <w:r>
              <w:rPr>
                <w:noProof/>
                <w:webHidden/>
              </w:rPr>
            </w:r>
            <w:r>
              <w:rPr>
                <w:noProof/>
                <w:webHidden/>
              </w:rPr>
              <w:fldChar w:fldCharType="separate"/>
            </w:r>
            <w:r w:rsidR="006E4CA6">
              <w:rPr>
                <w:noProof/>
                <w:webHidden/>
              </w:rPr>
              <w:t>61</w:t>
            </w:r>
            <w:r>
              <w:rPr>
                <w:noProof/>
                <w:webHidden/>
              </w:rPr>
              <w:fldChar w:fldCharType="end"/>
            </w:r>
          </w:hyperlink>
        </w:p>
        <w:p w:rsidR="009751A7" w:rsidRDefault="009751A7" w14:paraId="548EB213" w14:textId="52DB8145">
          <w:pPr>
            <w:pStyle w:val="TOC2"/>
            <w:tabs>
              <w:tab w:val="right" w:leader="dot" w:pos="9350"/>
            </w:tabs>
            <w:rPr>
              <w:rFonts w:asciiTheme="minorHAnsi" w:hAnsiTheme="minorHAnsi" w:cstheme="minorBidi"/>
              <w:noProof/>
              <w:kern w:val="2"/>
              <w:sz w:val="24"/>
              <w:szCs w:val="24"/>
              <w14:ligatures w14:val="standardContextual"/>
            </w:rPr>
          </w:pPr>
          <w:hyperlink w:history="1" w:anchor="_Toc213312270">
            <w:r w:rsidRPr="00A10F11">
              <w:rPr>
                <w:rStyle w:val="Hyperlink"/>
                <w:noProof/>
              </w:rPr>
              <w:t>4.6.</w:t>
            </w:r>
            <w:r>
              <w:rPr>
                <w:rFonts w:asciiTheme="minorHAnsi" w:hAnsiTheme="minorHAnsi" w:cstheme="minorBidi"/>
                <w:noProof/>
                <w:kern w:val="2"/>
                <w:sz w:val="24"/>
                <w:szCs w:val="24"/>
                <w14:ligatures w14:val="standardContextual"/>
              </w:rPr>
              <w:tab/>
            </w:r>
            <w:r w:rsidRPr="00A10F11">
              <w:rPr>
                <w:rStyle w:val="Hyperlink"/>
                <w:noProof/>
              </w:rPr>
              <w:t>Microgrids</w:t>
            </w:r>
            <w:r>
              <w:rPr>
                <w:noProof/>
                <w:webHidden/>
              </w:rPr>
              <w:tab/>
            </w:r>
            <w:r>
              <w:rPr>
                <w:noProof/>
                <w:webHidden/>
              </w:rPr>
              <w:fldChar w:fldCharType="begin"/>
            </w:r>
            <w:r>
              <w:rPr>
                <w:noProof/>
                <w:webHidden/>
              </w:rPr>
              <w:instrText xml:space="preserve"> PAGEREF _Toc213312270 \h </w:instrText>
            </w:r>
            <w:r>
              <w:rPr>
                <w:noProof/>
                <w:webHidden/>
              </w:rPr>
            </w:r>
            <w:r>
              <w:rPr>
                <w:noProof/>
                <w:webHidden/>
              </w:rPr>
              <w:fldChar w:fldCharType="separate"/>
            </w:r>
            <w:r w:rsidR="006E4CA6">
              <w:rPr>
                <w:noProof/>
                <w:webHidden/>
              </w:rPr>
              <w:t>63</w:t>
            </w:r>
            <w:r>
              <w:rPr>
                <w:noProof/>
                <w:webHidden/>
              </w:rPr>
              <w:fldChar w:fldCharType="end"/>
            </w:r>
          </w:hyperlink>
        </w:p>
        <w:p w:rsidR="009751A7" w:rsidRDefault="009751A7" w14:paraId="015274B9" w14:textId="52478A0D">
          <w:pPr>
            <w:pStyle w:val="TOC2"/>
            <w:tabs>
              <w:tab w:val="right" w:leader="dot" w:pos="9350"/>
            </w:tabs>
            <w:rPr>
              <w:rFonts w:asciiTheme="minorHAnsi" w:hAnsiTheme="minorHAnsi" w:cstheme="minorBidi"/>
              <w:noProof/>
              <w:kern w:val="2"/>
              <w:sz w:val="24"/>
              <w:szCs w:val="24"/>
              <w14:ligatures w14:val="standardContextual"/>
            </w:rPr>
          </w:pPr>
          <w:hyperlink w:history="1" w:anchor="_Toc213312271">
            <w:r w:rsidRPr="00A10F11">
              <w:rPr>
                <w:rStyle w:val="Hyperlink"/>
                <w:noProof/>
              </w:rPr>
              <w:t>4.7.</w:t>
            </w:r>
            <w:r>
              <w:rPr>
                <w:rFonts w:asciiTheme="minorHAnsi" w:hAnsiTheme="minorHAnsi" w:cstheme="minorBidi"/>
                <w:noProof/>
                <w:kern w:val="2"/>
                <w:sz w:val="24"/>
                <w:szCs w:val="24"/>
                <w14:ligatures w14:val="standardContextual"/>
              </w:rPr>
              <w:tab/>
            </w:r>
            <w:r w:rsidRPr="00A10F11">
              <w:rPr>
                <w:rStyle w:val="Hyperlink"/>
                <w:noProof/>
              </w:rPr>
              <w:t>SCADA Capacitors</w:t>
            </w:r>
            <w:r>
              <w:rPr>
                <w:noProof/>
                <w:webHidden/>
              </w:rPr>
              <w:tab/>
            </w:r>
            <w:r>
              <w:rPr>
                <w:noProof/>
                <w:webHidden/>
              </w:rPr>
              <w:fldChar w:fldCharType="begin"/>
            </w:r>
            <w:r>
              <w:rPr>
                <w:noProof/>
                <w:webHidden/>
              </w:rPr>
              <w:instrText xml:space="preserve"> PAGEREF _Toc213312271 \h </w:instrText>
            </w:r>
            <w:r>
              <w:rPr>
                <w:noProof/>
                <w:webHidden/>
              </w:rPr>
            </w:r>
            <w:r>
              <w:rPr>
                <w:noProof/>
                <w:webHidden/>
              </w:rPr>
              <w:fldChar w:fldCharType="separate"/>
            </w:r>
            <w:r w:rsidR="006E4CA6">
              <w:rPr>
                <w:noProof/>
                <w:webHidden/>
              </w:rPr>
              <w:t>64</w:t>
            </w:r>
            <w:r>
              <w:rPr>
                <w:noProof/>
                <w:webHidden/>
              </w:rPr>
              <w:fldChar w:fldCharType="end"/>
            </w:r>
          </w:hyperlink>
        </w:p>
        <w:p w:rsidR="009751A7" w:rsidRDefault="009751A7" w14:paraId="53548D4F" w14:textId="6784A20D">
          <w:pPr>
            <w:pStyle w:val="TOC2"/>
            <w:tabs>
              <w:tab w:val="right" w:leader="dot" w:pos="9350"/>
            </w:tabs>
            <w:rPr>
              <w:rFonts w:asciiTheme="minorHAnsi" w:hAnsiTheme="minorHAnsi" w:cstheme="minorBidi"/>
              <w:noProof/>
              <w:kern w:val="2"/>
              <w:sz w:val="24"/>
              <w:szCs w:val="24"/>
              <w14:ligatures w14:val="standardContextual"/>
            </w:rPr>
          </w:pPr>
          <w:hyperlink w:history="1" w:anchor="_Toc213312272">
            <w:r w:rsidRPr="00A10F11">
              <w:rPr>
                <w:rStyle w:val="Hyperlink"/>
                <w:noProof/>
              </w:rPr>
              <w:t>4.8.</w:t>
            </w:r>
            <w:r>
              <w:rPr>
                <w:rFonts w:asciiTheme="minorHAnsi" w:hAnsiTheme="minorHAnsi" w:cstheme="minorBidi"/>
                <w:noProof/>
                <w:kern w:val="2"/>
                <w:sz w:val="24"/>
                <w:szCs w:val="24"/>
                <w14:ligatures w14:val="standardContextual"/>
              </w:rPr>
              <w:tab/>
            </w:r>
            <w:r w:rsidRPr="00A10F11">
              <w:rPr>
                <w:rStyle w:val="Hyperlink"/>
                <w:noProof/>
              </w:rPr>
              <w:t>PSPS Sectionalizing Enhancements</w:t>
            </w:r>
            <w:r>
              <w:rPr>
                <w:noProof/>
                <w:webHidden/>
              </w:rPr>
              <w:tab/>
            </w:r>
            <w:r>
              <w:rPr>
                <w:noProof/>
                <w:webHidden/>
              </w:rPr>
              <w:fldChar w:fldCharType="begin"/>
            </w:r>
            <w:r>
              <w:rPr>
                <w:noProof/>
                <w:webHidden/>
              </w:rPr>
              <w:instrText xml:space="preserve"> PAGEREF _Toc213312272 \h </w:instrText>
            </w:r>
            <w:r>
              <w:rPr>
                <w:noProof/>
                <w:webHidden/>
              </w:rPr>
            </w:r>
            <w:r>
              <w:rPr>
                <w:noProof/>
                <w:webHidden/>
              </w:rPr>
              <w:fldChar w:fldCharType="separate"/>
            </w:r>
            <w:r w:rsidR="006E4CA6">
              <w:rPr>
                <w:noProof/>
                <w:webHidden/>
              </w:rPr>
              <w:t>65</w:t>
            </w:r>
            <w:r>
              <w:rPr>
                <w:noProof/>
                <w:webHidden/>
              </w:rPr>
              <w:fldChar w:fldCharType="end"/>
            </w:r>
          </w:hyperlink>
        </w:p>
        <w:p w:rsidR="009751A7" w:rsidRDefault="009751A7" w14:paraId="6DBE0110" w14:textId="335287D8">
          <w:pPr>
            <w:pStyle w:val="TOC2"/>
            <w:tabs>
              <w:tab w:val="right" w:leader="dot" w:pos="9350"/>
            </w:tabs>
            <w:rPr>
              <w:rFonts w:asciiTheme="minorHAnsi" w:hAnsiTheme="minorHAnsi" w:cstheme="minorBidi"/>
              <w:noProof/>
              <w:kern w:val="2"/>
              <w:sz w:val="24"/>
              <w:szCs w:val="24"/>
              <w14:ligatures w14:val="standardContextual"/>
            </w:rPr>
          </w:pPr>
          <w:hyperlink w:history="1" w:anchor="_Toc213312273">
            <w:r w:rsidRPr="00A10F11">
              <w:rPr>
                <w:rStyle w:val="Hyperlink"/>
                <w:noProof/>
              </w:rPr>
              <w:t>4.9.</w:t>
            </w:r>
            <w:r>
              <w:rPr>
                <w:rFonts w:asciiTheme="minorHAnsi" w:hAnsiTheme="minorHAnsi" w:cstheme="minorBidi"/>
                <w:noProof/>
                <w:kern w:val="2"/>
                <w:sz w:val="24"/>
                <w:szCs w:val="24"/>
                <w14:ligatures w14:val="standardContextual"/>
              </w:rPr>
              <w:tab/>
            </w:r>
            <w:r w:rsidRPr="00A10F11">
              <w:rPr>
                <w:rStyle w:val="Hyperlink"/>
                <w:noProof/>
              </w:rPr>
              <w:t>Distribution Communications Reliability Improvements</w:t>
            </w:r>
            <w:r>
              <w:rPr>
                <w:noProof/>
                <w:webHidden/>
              </w:rPr>
              <w:tab/>
            </w:r>
            <w:r>
              <w:rPr>
                <w:noProof/>
                <w:webHidden/>
              </w:rPr>
              <w:fldChar w:fldCharType="begin"/>
            </w:r>
            <w:r>
              <w:rPr>
                <w:noProof/>
                <w:webHidden/>
              </w:rPr>
              <w:instrText xml:space="preserve"> PAGEREF _Toc213312273 \h </w:instrText>
            </w:r>
            <w:r>
              <w:rPr>
                <w:noProof/>
                <w:webHidden/>
              </w:rPr>
            </w:r>
            <w:r>
              <w:rPr>
                <w:noProof/>
                <w:webHidden/>
              </w:rPr>
              <w:fldChar w:fldCharType="separate"/>
            </w:r>
            <w:r w:rsidR="006E4CA6">
              <w:rPr>
                <w:noProof/>
                <w:webHidden/>
              </w:rPr>
              <w:t>65</w:t>
            </w:r>
            <w:r>
              <w:rPr>
                <w:noProof/>
                <w:webHidden/>
              </w:rPr>
              <w:fldChar w:fldCharType="end"/>
            </w:r>
          </w:hyperlink>
        </w:p>
        <w:p w:rsidR="009751A7" w:rsidRDefault="009751A7" w14:paraId="2D3BC7A9" w14:textId="63289CFF">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274">
            <w:r w:rsidRPr="00A10F11">
              <w:rPr>
                <w:rStyle w:val="Hyperlink"/>
                <w:noProof/>
              </w:rPr>
              <w:t>4.10.</w:t>
            </w:r>
            <w:r>
              <w:rPr>
                <w:rFonts w:asciiTheme="minorHAnsi" w:hAnsiTheme="minorHAnsi" w:cstheme="minorBidi"/>
                <w:noProof/>
                <w:kern w:val="2"/>
                <w:sz w:val="24"/>
                <w:szCs w:val="24"/>
                <w14:ligatures w14:val="standardContextual"/>
              </w:rPr>
              <w:tab/>
            </w:r>
            <w:r w:rsidRPr="00A10F11">
              <w:rPr>
                <w:rStyle w:val="Hyperlink"/>
                <w:noProof/>
              </w:rPr>
              <w:t>Generator Grant, Generator Assistance, and Standby Power Programs</w:t>
            </w:r>
            <w:r>
              <w:rPr>
                <w:noProof/>
                <w:webHidden/>
              </w:rPr>
              <w:tab/>
            </w:r>
            <w:r>
              <w:rPr>
                <w:noProof/>
                <w:webHidden/>
              </w:rPr>
              <w:fldChar w:fldCharType="begin"/>
            </w:r>
            <w:r>
              <w:rPr>
                <w:noProof/>
                <w:webHidden/>
              </w:rPr>
              <w:instrText xml:space="preserve"> PAGEREF _Toc213312274 \h </w:instrText>
            </w:r>
            <w:r>
              <w:rPr>
                <w:noProof/>
                <w:webHidden/>
              </w:rPr>
            </w:r>
            <w:r>
              <w:rPr>
                <w:noProof/>
                <w:webHidden/>
              </w:rPr>
              <w:fldChar w:fldCharType="separate"/>
            </w:r>
            <w:r w:rsidR="006E4CA6">
              <w:rPr>
                <w:noProof/>
                <w:webHidden/>
              </w:rPr>
              <w:t>68</w:t>
            </w:r>
            <w:r>
              <w:rPr>
                <w:noProof/>
                <w:webHidden/>
              </w:rPr>
              <w:fldChar w:fldCharType="end"/>
            </w:r>
          </w:hyperlink>
        </w:p>
        <w:p w:rsidR="009751A7" w:rsidRDefault="009751A7" w14:paraId="69677A2E" w14:textId="3FCC470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275">
            <w:r w:rsidRPr="00A10F11">
              <w:rPr>
                <w:rStyle w:val="Hyperlink"/>
                <w:noProof/>
              </w:rPr>
              <w:t>4.11.</w:t>
            </w:r>
            <w:r>
              <w:rPr>
                <w:rFonts w:asciiTheme="minorHAnsi" w:hAnsiTheme="minorHAnsi" w:cstheme="minorBidi"/>
                <w:noProof/>
                <w:kern w:val="2"/>
                <w:sz w:val="24"/>
                <w:szCs w:val="24"/>
                <w14:ligatures w14:val="standardContextual"/>
              </w:rPr>
              <w:tab/>
            </w:r>
            <w:r w:rsidRPr="00A10F11">
              <w:rPr>
                <w:rStyle w:val="Hyperlink"/>
                <w:noProof/>
              </w:rPr>
              <w:t>Remaining GD&amp;SH Mitigations</w:t>
            </w:r>
            <w:r>
              <w:rPr>
                <w:noProof/>
                <w:webHidden/>
              </w:rPr>
              <w:tab/>
            </w:r>
            <w:r>
              <w:rPr>
                <w:noProof/>
                <w:webHidden/>
              </w:rPr>
              <w:fldChar w:fldCharType="begin"/>
            </w:r>
            <w:r>
              <w:rPr>
                <w:noProof/>
                <w:webHidden/>
              </w:rPr>
              <w:instrText xml:space="preserve"> PAGEREF _Toc213312275 \h </w:instrText>
            </w:r>
            <w:r>
              <w:rPr>
                <w:noProof/>
                <w:webHidden/>
              </w:rPr>
            </w:r>
            <w:r>
              <w:rPr>
                <w:noProof/>
                <w:webHidden/>
              </w:rPr>
              <w:fldChar w:fldCharType="separate"/>
            </w:r>
            <w:r w:rsidR="006E4CA6">
              <w:rPr>
                <w:noProof/>
                <w:webHidden/>
              </w:rPr>
              <w:t>71</w:t>
            </w:r>
            <w:r>
              <w:rPr>
                <w:noProof/>
                <w:webHidden/>
              </w:rPr>
              <w:fldChar w:fldCharType="end"/>
            </w:r>
          </w:hyperlink>
        </w:p>
        <w:p w:rsidR="009751A7" w:rsidRDefault="009751A7" w14:paraId="41C7241B" w14:textId="65A4F831">
          <w:pPr>
            <w:pStyle w:val="TOC1"/>
            <w:tabs>
              <w:tab w:val="right" w:leader="dot" w:pos="9350"/>
            </w:tabs>
            <w:rPr>
              <w:rFonts w:asciiTheme="minorHAnsi" w:hAnsiTheme="minorHAnsi" w:cstheme="minorBidi"/>
              <w:noProof/>
              <w:kern w:val="2"/>
              <w:sz w:val="24"/>
              <w:szCs w:val="24"/>
              <w14:ligatures w14:val="standardContextual"/>
            </w:rPr>
          </w:pPr>
          <w:hyperlink w:history="1" w:anchor="_Toc213312276">
            <w:r w:rsidRPr="00A10F11">
              <w:rPr>
                <w:rStyle w:val="Hyperlink"/>
                <w:noProof/>
              </w:rPr>
              <w:t>5.</w:t>
            </w:r>
            <w:r>
              <w:rPr>
                <w:rFonts w:asciiTheme="minorHAnsi" w:hAnsiTheme="minorHAnsi" w:cstheme="minorBidi"/>
                <w:noProof/>
                <w:kern w:val="2"/>
                <w:sz w:val="24"/>
                <w:szCs w:val="24"/>
                <w14:ligatures w14:val="standardContextual"/>
              </w:rPr>
              <w:tab/>
            </w:r>
            <w:r w:rsidRPr="00A10F11">
              <w:rPr>
                <w:rStyle w:val="Hyperlink"/>
                <w:noProof/>
              </w:rPr>
              <w:t>Emergency Planning &amp; Preparedness</w:t>
            </w:r>
            <w:r>
              <w:rPr>
                <w:noProof/>
                <w:webHidden/>
              </w:rPr>
              <w:tab/>
            </w:r>
            <w:r>
              <w:rPr>
                <w:noProof/>
                <w:webHidden/>
              </w:rPr>
              <w:fldChar w:fldCharType="begin"/>
            </w:r>
            <w:r>
              <w:rPr>
                <w:noProof/>
                <w:webHidden/>
              </w:rPr>
              <w:instrText xml:space="preserve"> PAGEREF _Toc213312276 \h </w:instrText>
            </w:r>
            <w:r>
              <w:rPr>
                <w:noProof/>
                <w:webHidden/>
              </w:rPr>
            </w:r>
            <w:r>
              <w:rPr>
                <w:noProof/>
                <w:webHidden/>
              </w:rPr>
              <w:fldChar w:fldCharType="separate"/>
            </w:r>
            <w:r w:rsidR="006E4CA6">
              <w:rPr>
                <w:noProof/>
                <w:webHidden/>
              </w:rPr>
              <w:t>72</w:t>
            </w:r>
            <w:r>
              <w:rPr>
                <w:noProof/>
                <w:webHidden/>
              </w:rPr>
              <w:fldChar w:fldCharType="end"/>
            </w:r>
          </w:hyperlink>
        </w:p>
        <w:p w:rsidR="009751A7" w:rsidRDefault="009751A7" w14:paraId="0FC10125" w14:textId="206A338C">
          <w:pPr>
            <w:pStyle w:val="TOC1"/>
            <w:tabs>
              <w:tab w:val="right" w:leader="dot" w:pos="9350"/>
            </w:tabs>
            <w:rPr>
              <w:rFonts w:asciiTheme="minorHAnsi" w:hAnsiTheme="minorHAnsi" w:cstheme="minorBidi"/>
              <w:noProof/>
              <w:kern w:val="2"/>
              <w:sz w:val="24"/>
              <w:szCs w:val="24"/>
              <w14:ligatures w14:val="standardContextual"/>
            </w:rPr>
          </w:pPr>
          <w:hyperlink w:history="1" w:anchor="_Toc213312277">
            <w:r w:rsidRPr="00A10F11">
              <w:rPr>
                <w:rStyle w:val="Hyperlink"/>
                <w:noProof/>
              </w:rPr>
              <w:t>6.</w:t>
            </w:r>
            <w:r>
              <w:rPr>
                <w:rFonts w:asciiTheme="minorHAnsi" w:hAnsiTheme="minorHAnsi" w:cstheme="minorBidi"/>
                <w:noProof/>
                <w:kern w:val="2"/>
                <w:sz w:val="24"/>
                <w:szCs w:val="24"/>
                <w14:ligatures w14:val="standardContextual"/>
              </w:rPr>
              <w:tab/>
            </w:r>
            <w:r w:rsidRPr="00A10F11">
              <w:rPr>
                <w:rStyle w:val="Hyperlink"/>
                <w:noProof/>
              </w:rPr>
              <w:t>Situational Awareness and Forecasting</w:t>
            </w:r>
            <w:r>
              <w:rPr>
                <w:noProof/>
                <w:webHidden/>
              </w:rPr>
              <w:tab/>
            </w:r>
            <w:r>
              <w:rPr>
                <w:noProof/>
                <w:webHidden/>
              </w:rPr>
              <w:fldChar w:fldCharType="begin"/>
            </w:r>
            <w:r>
              <w:rPr>
                <w:noProof/>
                <w:webHidden/>
              </w:rPr>
              <w:instrText xml:space="preserve"> PAGEREF _Toc213312277 \h </w:instrText>
            </w:r>
            <w:r>
              <w:rPr>
                <w:noProof/>
                <w:webHidden/>
              </w:rPr>
            </w:r>
            <w:r>
              <w:rPr>
                <w:noProof/>
                <w:webHidden/>
              </w:rPr>
              <w:fldChar w:fldCharType="separate"/>
            </w:r>
            <w:r w:rsidR="006E4CA6">
              <w:rPr>
                <w:noProof/>
                <w:webHidden/>
              </w:rPr>
              <w:t>75</w:t>
            </w:r>
            <w:r>
              <w:rPr>
                <w:noProof/>
                <w:webHidden/>
              </w:rPr>
              <w:fldChar w:fldCharType="end"/>
            </w:r>
          </w:hyperlink>
        </w:p>
        <w:p w:rsidR="009751A7" w:rsidRDefault="009751A7" w14:paraId="7A559A0A" w14:textId="31EA38CA">
          <w:pPr>
            <w:pStyle w:val="TOC1"/>
            <w:tabs>
              <w:tab w:val="right" w:leader="dot" w:pos="9350"/>
            </w:tabs>
            <w:rPr>
              <w:rFonts w:asciiTheme="minorHAnsi" w:hAnsiTheme="minorHAnsi" w:cstheme="minorBidi"/>
              <w:noProof/>
              <w:kern w:val="2"/>
              <w:sz w:val="24"/>
              <w:szCs w:val="24"/>
              <w14:ligatures w14:val="standardContextual"/>
            </w:rPr>
          </w:pPr>
          <w:hyperlink w:history="1" w:anchor="_Toc213312278">
            <w:r w:rsidRPr="00A10F11">
              <w:rPr>
                <w:rStyle w:val="Hyperlink"/>
                <w:noProof/>
              </w:rPr>
              <w:t>7.</w:t>
            </w:r>
            <w:r>
              <w:rPr>
                <w:rFonts w:asciiTheme="minorHAnsi" w:hAnsiTheme="minorHAnsi" w:cstheme="minorBidi"/>
                <w:noProof/>
                <w:kern w:val="2"/>
                <w:sz w:val="24"/>
                <w:szCs w:val="24"/>
                <w14:ligatures w14:val="standardContextual"/>
              </w:rPr>
              <w:tab/>
            </w:r>
            <w:r w:rsidRPr="00A10F11">
              <w:rPr>
                <w:rStyle w:val="Hyperlink"/>
                <w:noProof/>
              </w:rPr>
              <w:t>Asset Management and Inspections</w:t>
            </w:r>
            <w:r>
              <w:rPr>
                <w:noProof/>
                <w:webHidden/>
              </w:rPr>
              <w:tab/>
            </w:r>
            <w:r>
              <w:rPr>
                <w:noProof/>
                <w:webHidden/>
              </w:rPr>
              <w:fldChar w:fldCharType="begin"/>
            </w:r>
            <w:r>
              <w:rPr>
                <w:noProof/>
                <w:webHidden/>
              </w:rPr>
              <w:instrText xml:space="preserve"> PAGEREF _Toc213312278 \h </w:instrText>
            </w:r>
            <w:r>
              <w:rPr>
                <w:noProof/>
                <w:webHidden/>
              </w:rPr>
            </w:r>
            <w:r>
              <w:rPr>
                <w:noProof/>
                <w:webHidden/>
              </w:rPr>
              <w:fldChar w:fldCharType="separate"/>
            </w:r>
            <w:r w:rsidR="006E4CA6">
              <w:rPr>
                <w:noProof/>
                <w:webHidden/>
              </w:rPr>
              <w:t>78</w:t>
            </w:r>
            <w:r>
              <w:rPr>
                <w:noProof/>
                <w:webHidden/>
              </w:rPr>
              <w:fldChar w:fldCharType="end"/>
            </w:r>
          </w:hyperlink>
        </w:p>
        <w:p w:rsidR="009751A7" w:rsidRDefault="009751A7" w14:paraId="41037B47" w14:textId="4E67B1B4">
          <w:pPr>
            <w:pStyle w:val="TOC2"/>
            <w:tabs>
              <w:tab w:val="right" w:leader="dot" w:pos="9350"/>
            </w:tabs>
            <w:rPr>
              <w:rFonts w:asciiTheme="minorHAnsi" w:hAnsiTheme="minorHAnsi" w:cstheme="minorBidi"/>
              <w:noProof/>
              <w:kern w:val="2"/>
              <w:sz w:val="24"/>
              <w:szCs w:val="24"/>
              <w14:ligatures w14:val="standardContextual"/>
            </w:rPr>
          </w:pPr>
          <w:hyperlink w:history="1" w:anchor="_Toc213312279">
            <w:r w:rsidRPr="00A10F11">
              <w:rPr>
                <w:rStyle w:val="Hyperlink"/>
                <w:noProof/>
              </w:rPr>
              <w:t>7.1.</w:t>
            </w:r>
            <w:r>
              <w:rPr>
                <w:rFonts w:asciiTheme="minorHAnsi" w:hAnsiTheme="minorHAnsi" w:cstheme="minorBidi"/>
                <w:noProof/>
                <w:kern w:val="2"/>
                <w:sz w:val="24"/>
                <w:szCs w:val="24"/>
                <w14:ligatures w14:val="standardContextual"/>
              </w:rPr>
              <w:tab/>
            </w:r>
            <w:r w:rsidRPr="00A10F11">
              <w:rPr>
                <w:rStyle w:val="Hyperlink"/>
                <w:noProof/>
              </w:rPr>
              <w:t>Detailed Inspections of Distribution Equipment</w:t>
            </w:r>
            <w:r>
              <w:rPr>
                <w:noProof/>
                <w:webHidden/>
              </w:rPr>
              <w:tab/>
            </w:r>
            <w:r>
              <w:rPr>
                <w:noProof/>
                <w:webHidden/>
              </w:rPr>
              <w:fldChar w:fldCharType="begin"/>
            </w:r>
            <w:r>
              <w:rPr>
                <w:noProof/>
                <w:webHidden/>
              </w:rPr>
              <w:instrText xml:space="preserve"> PAGEREF _Toc213312279 \h </w:instrText>
            </w:r>
            <w:r>
              <w:rPr>
                <w:noProof/>
                <w:webHidden/>
              </w:rPr>
            </w:r>
            <w:r>
              <w:rPr>
                <w:noProof/>
                <w:webHidden/>
              </w:rPr>
              <w:fldChar w:fldCharType="separate"/>
            </w:r>
            <w:r w:rsidR="006E4CA6">
              <w:rPr>
                <w:noProof/>
                <w:webHidden/>
              </w:rPr>
              <w:t>82</w:t>
            </w:r>
            <w:r>
              <w:rPr>
                <w:noProof/>
                <w:webHidden/>
              </w:rPr>
              <w:fldChar w:fldCharType="end"/>
            </w:r>
          </w:hyperlink>
        </w:p>
        <w:p w:rsidR="009751A7" w:rsidRDefault="009751A7" w14:paraId="3D9D2032" w14:textId="0AA5C282">
          <w:pPr>
            <w:pStyle w:val="TOC2"/>
            <w:tabs>
              <w:tab w:val="right" w:leader="dot" w:pos="9350"/>
            </w:tabs>
            <w:rPr>
              <w:rFonts w:asciiTheme="minorHAnsi" w:hAnsiTheme="minorHAnsi" w:cstheme="minorBidi"/>
              <w:noProof/>
              <w:kern w:val="2"/>
              <w:sz w:val="24"/>
              <w:szCs w:val="24"/>
              <w14:ligatures w14:val="standardContextual"/>
            </w:rPr>
          </w:pPr>
          <w:hyperlink w:history="1" w:anchor="_Toc213312281">
            <w:r w:rsidRPr="00A10F11">
              <w:rPr>
                <w:rStyle w:val="Hyperlink"/>
                <w:noProof/>
              </w:rPr>
              <w:t>7.2.</w:t>
            </w:r>
            <w:r>
              <w:rPr>
                <w:rFonts w:asciiTheme="minorHAnsi" w:hAnsiTheme="minorHAnsi" w:cstheme="minorBidi"/>
                <w:noProof/>
                <w:kern w:val="2"/>
                <w:sz w:val="24"/>
                <w:szCs w:val="24"/>
                <w14:ligatures w14:val="standardContextual"/>
              </w:rPr>
              <w:tab/>
            </w:r>
            <w:r w:rsidRPr="00A10F11">
              <w:rPr>
                <w:rStyle w:val="Hyperlink"/>
                <w:noProof/>
              </w:rPr>
              <w:t>Detailed Inspections of Transmission Equipment (Distribution Underbuild)</w:t>
            </w:r>
            <w:r>
              <w:rPr>
                <w:noProof/>
                <w:webHidden/>
              </w:rPr>
              <w:tab/>
            </w:r>
            <w:r>
              <w:rPr>
                <w:noProof/>
                <w:webHidden/>
              </w:rPr>
              <w:fldChar w:fldCharType="begin"/>
            </w:r>
            <w:r>
              <w:rPr>
                <w:noProof/>
                <w:webHidden/>
              </w:rPr>
              <w:instrText xml:space="preserve"> PAGEREF _Toc213312281 \h </w:instrText>
            </w:r>
            <w:r>
              <w:rPr>
                <w:noProof/>
                <w:webHidden/>
              </w:rPr>
            </w:r>
            <w:r>
              <w:rPr>
                <w:noProof/>
                <w:webHidden/>
              </w:rPr>
              <w:fldChar w:fldCharType="separate"/>
            </w:r>
            <w:r w:rsidR="006E4CA6">
              <w:rPr>
                <w:noProof/>
                <w:webHidden/>
              </w:rPr>
              <w:t>83</w:t>
            </w:r>
            <w:r>
              <w:rPr>
                <w:noProof/>
                <w:webHidden/>
              </w:rPr>
              <w:fldChar w:fldCharType="end"/>
            </w:r>
          </w:hyperlink>
        </w:p>
        <w:p w:rsidR="009751A7" w:rsidRDefault="009751A7" w14:paraId="4FE8E9FE" w14:textId="6787DC92">
          <w:pPr>
            <w:pStyle w:val="TOC2"/>
            <w:tabs>
              <w:tab w:val="right" w:leader="dot" w:pos="9350"/>
            </w:tabs>
            <w:rPr>
              <w:rFonts w:asciiTheme="minorHAnsi" w:hAnsiTheme="minorHAnsi" w:cstheme="minorBidi"/>
              <w:noProof/>
              <w:kern w:val="2"/>
              <w:sz w:val="24"/>
              <w:szCs w:val="24"/>
              <w14:ligatures w14:val="standardContextual"/>
            </w:rPr>
          </w:pPr>
          <w:hyperlink w:history="1" w:anchor="_Toc213312282">
            <w:r w:rsidRPr="00A10F11">
              <w:rPr>
                <w:rStyle w:val="Hyperlink"/>
                <w:noProof/>
              </w:rPr>
              <w:t>7.3.</w:t>
            </w:r>
            <w:r>
              <w:rPr>
                <w:rFonts w:asciiTheme="minorHAnsi" w:hAnsiTheme="minorHAnsi" w:cstheme="minorBidi"/>
                <w:noProof/>
                <w:kern w:val="2"/>
                <w:sz w:val="24"/>
                <w:szCs w:val="24"/>
                <w14:ligatures w14:val="standardContextual"/>
              </w:rPr>
              <w:tab/>
            </w:r>
            <w:r w:rsidRPr="00A10F11">
              <w:rPr>
                <w:rStyle w:val="Hyperlink"/>
                <w:noProof/>
              </w:rPr>
              <w:t>Wood Pole Intrusive Inspections</w:t>
            </w:r>
            <w:r>
              <w:rPr>
                <w:noProof/>
                <w:webHidden/>
              </w:rPr>
              <w:tab/>
            </w:r>
            <w:r>
              <w:rPr>
                <w:noProof/>
                <w:webHidden/>
              </w:rPr>
              <w:fldChar w:fldCharType="begin"/>
            </w:r>
            <w:r>
              <w:rPr>
                <w:noProof/>
                <w:webHidden/>
              </w:rPr>
              <w:instrText xml:space="preserve"> PAGEREF _Toc213312282 \h </w:instrText>
            </w:r>
            <w:r>
              <w:rPr>
                <w:noProof/>
                <w:webHidden/>
              </w:rPr>
            </w:r>
            <w:r>
              <w:rPr>
                <w:noProof/>
                <w:webHidden/>
              </w:rPr>
              <w:fldChar w:fldCharType="separate"/>
            </w:r>
            <w:r w:rsidR="006E4CA6">
              <w:rPr>
                <w:noProof/>
                <w:webHidden/>
              </w:rPr>
              <w:t>84</w:t>
            </w:r>
            <w:r>
              <w:rPr>
                <w:noProof/>
                <w:webHidden/>
              </w:rPr>
              <w:fldChar w:fldCharType="end"/>
            </w:r>
          </w:hyperlink>
        </w:p>
        <w:p w:rsidR="009751A7" w:rsidRDefault="009751A7" w14:paraId="35658838" w14:textId="70BD702B">
          <w:pPr>
            <w:pStyle w:val="TOC2"/>
            <w:tabs>
              <w:tab w:val="right" w:leader="dot" w:pos="9350"/>
            </w:tabs>
            <w:rPr>
              <w:rFonts w:asciiTheme="minorHAnsi" w:hAnsiTheme="minorHAnsi" w:cstheme="minorBidi"/>
              <w:noProof/>
              <w:kern w:val="2"/>
              <w:sz w:val="24"/>
              <w:szCs w:val="24"/>
              <w14:ligatures w14:val="standardContextual"/>
            </w:rPr>
          </w:pPr>
          <w:hyperlink w:history="1" w:anchor="_Toc213312283">
            <w:r w:rsidRPr="00A10F11">
              <w:rPr>
                <w:rStyle w:val="Hyperlink"/>
                <w:noProof/>
              </w:rPr>
              <w:t>7.4.</w:t>
            </w:r>
            <w:r>
              <w:rPr>
                <w:rFonts w:asciiTheme="minorHAnsi" w:hAnsiTheme="minorHAnsi" w:cstheme="minorBidi"/>
                <w:noProof/>
                <w:kern w:val="2"/>
                <w:sz w:val="24"/>
                <w:szCs w:val="24"/>
                <w14:ligatures w14:val="standardContextual"/>
              </w:rPr>
              <w:tab/>
            </w:r>
            <w:r w:rsidRPr="00A10F11">
              <w:rPr>
                <w:rStyle w:val="Hyperlink"/>
                <w:noProof/>
              </w:rPr>
              <w:t>Patrol Inspections of Distribution Equipment</w:t>
            </w:r>
            <w:r>
              <w:rPr>
                <w:noProof/>
                <w:webHidden/>
              </w:rPr>
              <w:tab/>
            </w:r>
            <w:r>
              <w:rPr>
                <w:noProof/>
                <w:webHidden/>
              </w:rPr>
              <w:fldChar w:fldCharType="begin"/>
            </w:r>
            <w:r>
              <w:rPr>
                <w:noProof/>
                <w:webHidden/>
              </w:rPr>
              <w:instrText xml:space="preserve"> PAGEREF _Toc213312283 \h </w:instrText>
            </w:r>
            <w:r>
              <w:rPr>
                <w:noProof/>
                <w:webHidden/>
              </w:rPr>
            </w:r>
            <w:r>
              <w:rPr>
                <w:noProof/>
                <w:webHidden/>
              </w:rPr>
              <w:fldChar w:fldCharType="separate"/>
            </w:r>
            <w:r w:rsidR="006E4CA6">
              <w:rPr>
                <w:noProof/>
                <w:webHidden/>
              </w:rPr>
              <w:t>88</w:t>
            </w:r>
            <w:r>
              <w:rPr>
                <w:noProof/>
                <w:webHidden/>
              </w:rPr>
              <w:fldChar w:fldCharType="end"/>
            </w:r>
          </w:hyperlink>
        </w:p>
        <w:p w:rsidR="009751A7" w:rsidRDefault="009751A7" w14:paraId="1327A91C" w14:textId="6A0936C2">
          <w:pPr>
            <w:pStyle w:val="TOC2"/>
            <w:tabs>
              <w:tab w:val="right" w:leader="dot" w:pos="9350"/>
            </w:tabs>
            <w:rPr>
              <w:rFonts w:asciiTheme="minorHAnsi" w:hAnsiTheme="minorHAnsi" w:cstheme="minorBidi"/>
              <w:noProof/>
              <w:kern w:val="2"/>
              <w:sz w:val="24"/>
              <w:szCs w:val="24"/>
              <w14:ligatures w14:val="standardContextual"/>
            </w:rPr>
          </w:pPr>
          <w:hyperlink w:history="1" w:anchor="_Toc213312284">
            <w:r w:rsidRPr="00A10F11">
              <w:rPr>
                <w:rStyle w:val="Hyperlink"/>
                <w:noProof/>
              </w:rPr>
              <w:t>7.5.</w:t>
            </w:r>
            <w:r>
              <w:rPr>
                <w:rFonts w:asciiTheme="minorHAnsi" w:hAnsiTheme="minorHAnsi" w:cstheme="minorBidi"/>
                <w:noProof/>
                <w:kern w:val="2"/>
                <w:sz w:val="24"/>
                <w:szCs w:val="24"/>
                <w14:ligatures w14:val="standardContextual"/>
              </w:rPr>
              <w:tab/>
            </w:r>
            <w:r w:rsidRPr="00A10F11">
              <w:rPr>
                <w:rStyle w:val="Hyperlink"/>
                <w:noProof/>
              </w:rPr>
              <w:t>HFTD Tier 3 Distribution Pole Inspections</w:t>
            </w:r>
            <w:r>
              <w:rPr>
                <w:noProof/>
                <w:webHidden/>
              </w:rPr>
              <w:tab/>
            </w:r>
            <w:r>
              <w:rPr>
                <w:noProof/>
                <w:webHidden/>
              </w:rPr>
              <w:fldChar w:fldCharType="begin"/>
            </w:r>
            <w:r>
              <w:rPr>
                <w:noProof/>
                <w:webHidden/>
              </w:rPr>
              <w:instrText xml:space="preserve"> PAGEREF _Toc213312284 \h </w:instrText>
            </w:r>
            <w:r>
              <w:rPr>
                <w:noProof/>
                <w:webHidden/>
              </w:rPr>
            </w:r>
            <w:r>
              <w:rPr>
                <w:noProof/>
                <w:webHidden/>
              </w:rPr>
              <w:fldChar w:fldCharType="separate"/>
            </w:r>
            <w:r w:rsidR="006E4CA6">
              <w:rPr>
                <w:noProof/>
                <w:webHidden/>
              </w:rPr>
              <w:t>89</w:t>
            </w:r>
            <w:r>
              <w:rPr>
                <w:noProof/>
                <w:webHidden/>
              </w:rPr>
              <w:fldChar w:fldCharType="end"/>
            </w:r>
          </w:hyperlink>
        </w:p>
        <w:p w:rsidR="009751A7" w:rsidRDefault="009751A7" w14:paraId="738F45B3" w14:textId="3D7046E3">
          <w:pPr>
            <w:pStyle w:val="TOC2"/>
            <w:tabs>
              <w:tab w:val="right" w:leader="dot" w:pos="9350"/>
            </w:tabs>
            <w:rPr>
              <w:rFonts w:asciiTheme="minorHAnsi" w:hAnsiTheme="minorHAnsi" w:cstheme="minorBidi"/>
              <w:noProof/>
              <w:kern w:val="2"/>
              <w:sz w:val="24"/>
              <w:szCs w:val="24"/>
              <w14:ligatures w14:val="standardContextual"/>
            </w:rPr>
          </w:pPr>
          <w:hyperlink w:history="1" w:anchor="_Toc213312285">
            <w:r w:rsidRPr="00A10F11">
              <w:rPr>
                <w:rStyle w:val="Hyperlink"/>
                <w:noProof/>
              </w:rPr>
              <w:t>7.6.</w:t>
            </w:r>
            <w:r>
              <w:rPr>
                <w:rFonts w:asciiTheme="minorHAnsi" w:hAnsiTheme="minorHAnsi" w:cstheme="minorBidi"/>
                <w:noProof/>
                <w:kern w:val="2"/>
                <w:sz w:val="24"/>
                <w:szCs w:val="24"/>
                <w14:ligatures w14:val="standardContextual"/>
              </w:rPr>
              <w:tab/>
            </w:r>
            <w:r w:rsidRPr="00A10F11">
              <w:rPr>
                <w:rStyle w:val="Hyperlink"/>
                <w:noProof/>
              </w:rPr>
              <w:t>Drone Assessments of Distribution Infrastructure</w:t>
            </w:r>
            <w:r>
              <w:rPr>
                <w:noProof/>
                <w:webHidden/>
              </w:rPr>
              <w:tab/>
            </w:r>
            <w:r>
              <w:rPr>
                <w:noProof/>
                <w:webHidden/>
              </w:rPr>
              <w:fldChar w:fldCharType="begin"/>
            </w:r>
            <w:r>
              <w:rPr>
                <w:noProof/>
                <w:webHidden/>
              </w:rPr>
              <w:instrText xml:space="preserve"> PAGEREF _Toc213312285 \h </w:instrText>
            </w:r>
            <w:r>
              <w:rPr>
                <w:noProof/>
                <w:webHidden/>
              </w:rPr>
            </w:r>
            <w:r>
              <w:rPr>
                <w:noProof/>
                <w:webHidden/>
              </w:rPr>
              <w:fldChar w:fldCharType="separate"/>
            </w:r>
            <w:r w:rsidR="006E4CA6">
              <w:rPr>
                <w:noProof/>
                <w:webHidden/>
              </w:rPr>
              <w:t>91</w:t>
            </w:r>
            <w:r>
              <w:rPr>
                <w:noProof/>
                <w:webHidden/>
              </w:rPr>
              <w:fldChar w:fldCharType="end"/>
            </w:r>
          </w:hyperlink>
        </w:p>
        <w:p w:rsidR="009751A7" w:rsidRDefault="009751A7" w14:paraId="5A71DC83" w14:textId="322BD4E3">
          <w:pPr>
            <w:pStyle w:val="TOC2"/>
            <w:tabs>
              <w:tab w:val="right" w:leader="dot" w:pos="9350"/>
            </w:tabs>
            <w:rPr>
              <w:rFonts w:asciiTheme="minorHAnsi" w:hAnsiTheme="minorHAnsi" w:cstheme="minorBidi"/>
              <w:noProof/>
              <w:kern w:val="2"/>
              <w:sz w:val="24"/>
              <w:szCs w:val="24"/>
              <w14:ligatures w14:val="standardContextual"/>
            </w:rPr>
          </w:pPr>
          <w:hyperlink w:history="1" w:anchor="_Toc213312286">
            <w:r w:rsidRPr="00A10F11">
              <w:rPr>
                <w:rStyle w:val="Hyperlink"/>
                <w:noProof/>
              </w:rPr>
              <w:t>7.7.</w:t>
            </w:r>
            <w:r>
              <w:rPr>
                <w:rFonts w:asciiTheme="minorHAnsi" w:hAnsiTheme="minorHAnsi" w:cstheme="minorBidi"/>
                <w:noProof/>
                <w:kern w:val="2"/>
                <w:sz w:val="24"/>
                <w:szCs w:val="24"/>
                <w14:ligatures w14:val="standardContextual"/>
              </w:rPr>
              <w:tab/>
            </w:r>
            <w:r w:rsidRPr="00A10F11">
              <w:rPr>
                <w:rStyle w:val="Hyperlink"/>
                <w:noProof/>
              </w:rPr>
              <w:t>Infrared Inspections of Distribution Infrastructure</w:t>
            </w:r>
            <w:r>
              <w:rPr>
                <w:noProof/>
                <w:webHidden/>
              </w:rPr>
              <w:tab/>
            </w:r>
            <w:r>
              <w:rPr>
                <w:noProof/>
                <w:webHidden/>
              </w:rPr>
              <w:fldChar w:fldCharType="begin"/>
            </w:r>
            <w:r>
              <w:rPr>
                <w:noProof/>
                <w:webHidden/>
              </w:rPr>
              <w:instrText xml:space="preserve"> PAGEREF _Toc213312286 \h </w:instrText>
            </w:r>
            <w:r>
              <w:rPr>
                <w:noProof/>
                <w:webHidden/>
              </w:rPr>
            </w:r>
            <w:r>
              <w:rPr>
                <w:noProof/>
                <w:webHidden/>
              </w:rPr>
              <w:fldChar w:fldCharType="separate"/>
            </w:r>
            <w:r w:rsidR="006E4CA6">
              <w:rPr>
                <w:noProof/>
                <w:webHidden/>
              </w:rPr>
              <w:t>101</w:t>
            </w:r>
            <w:r>
              <w:rPr>
                <w:noProof/>
                <w:webHidden/>
              </w:rPr>
              <w:fldChar w:fldCharType="end"/>
            </w:r>
          </w:hyperlink>
        </w:p>
        <w:p w:rsidR="009751A7" w:rsidRDefault="009751A7" w14:paraId="5D256A6D" w14:textId="669BAF58">
          <w:pPr>
            <w:pStyle w:val="TOC2"/>
            <w:tabs>
              <w:tab w:val="right" w:leader="dot" w:pos="9350"/>
            </w:tabs>
            <w:rPr>
              <w:rFonts w:asciiTheme="minorHAnsi" w:hAnsiTheme="minorHAnsi" w:cstheme="minorBidi"/>
              <w:noProof/>
              <w:kern w:val="2"/>
              <w:sz w:val="24"/>
              <w:szCs w:val="24"/>
              <w14:ligatures w14:val="standardContextual"/>
            </w:rPr>
          </w:pPr>
          <w:hyperlink w:history="1" w:anchor="_Toc213312287">
            <w:r w:rsidRPr="00A10F11">
              <w:rPr>
                <w:rStyle w:val="Hyperlink"/>
                <w:noProof/>
              </w:rPr>
              <w:t>7.8.</w:t>
            </w:r>
            <w:r>
              <w:rPr>
                <w:rFonts w:asciiTheme="minorHAnsi" w:hAnsiTheme="minorHAnsi" w:cstheme="minorBidi"/>
                <w:noProof/>
                <w:kern w:val="2"/>
                <w:sz w:val="24"/>
                <w:szCs w:val="24"/>
                <w14:ligatures w14:val="standardContextual"/>
              </w:rPr>
              <w:tab/>
            </w:r>
            <w:r w:rsidRPr="00A10F11">
              <w:rPr>
                <w:rStyle w:val="Hyperlink"/>
                <w:noProof/>
              </w:rPr>
              <w:t>Circuit Ownership Platform</w:t>
            </w:r>
            <w:r>
              <w:rPr>
                <w:noProof/>
                <w:webHidden/>
              </w:rPr>
              <w:tab/>
            </w:r>
            <w:r>
              <w:rPr>
                <w:noProof/>
                <w:webHidden/>
              </w:rPr>
              <w:fldChar w:fldCharType="begin"/>
            </w:r>
            <w:r>
              <w:rPr>
                <w:noProof/>
                <w:webHidden/>
              </w:rPr>
              <w:instrText xml:space="preserve"> PAGEREF _Toc213312287 \h </w:instrText>
            </w:r>
            <w:r>
              <w:rPr>
                <w:noProof/>
                <w:webHidden/>
              </w:rPr>
            </w:r>
            <w:r>
              <w:rPr>
                <w:noProof/>
                <w:webHidden/>
              </w:rPr>
              <w:fldChar w:fldCharType="separate"/>
            </w:r>
            <w:r w:rsidR="006E4CA6">
              <w:rPr>
                <w:noProof/>
                <w:webHidden/>
              </w:rPr>
              <w:t>102</w:t>
            </w:r>
            <w:r>
              <w:rPr>
                <w:noProof/>
                <w:webHidden/>
              </w:rPr>
              <w:fldChar w:fldCharType="end"/>
            </w:r>
          </w:hyperlink>
        </w:p>
        <w:p w:rsidR="009751A7" w:rsidRDefault="009751A7" w14:paraId="7F70B375" w14:textId="2125B107">
          <w:pPr>
            <w:pStyle w:val="TOC1"/>
            <w:tabs>
              <w:tab w:val="right" w:leader="dot" w:pos="9350"/>
            </w:tabs>
            <w:rPr>
              <w:rFonts w:asciiTheme="minorHAnsi" w:hAnsiTheme="minorHAnsi" w:cstheme="minorBidi"/>
              <w:noProof/>
              <w:kern w:val="2"/>
              <w:sz w:val="24"/>
              <w:szCs w:val="24"/>
              <w14:ligatures w14:val="standardContextual"/>
            </w:rPr>
          </w:pPr>
          <w:hyperlink w:history="1" w:anchor="_Toc213312288">
            <w:r w:rsidRPr="00A10F11">
              <w:rPr>
                <w:rStyle w:val="Hyperlink"/>
                <w:noProof/>
              </w:rPr>
              <w:t>8.</w:t>
            </w:r>
            <w:r>
              <w:rPr>
                <w:rFonts w:asciiTheme="minorHAnsi" w:hAnsiTheme="minorHAnsi" w:cstheme="minorBidi"/>
                <w:noProof/>
                <w:kern w:val="2"/>
                <w:sz w:val="24"/>
                <w:szCs w:val="24"/>
                <w14:ligatures w14:val="standardContextual"/>
              </w:rPr>
              <w:tab/>
            </w:r>
            <w:r w:rsidRPr="00A10F11">
              <w:rPr>
                <w:rStyle w:val="Hyperlink"/>
                <w:noProof/>
              </w:rPr>
              <w:t>Vegetation Management and Inspections</w:t>
            </w:r>
            <w:r>
              <w:rPr>
                <w:noProof/>
                <w:webHidden/>
              </w:rPr>
              <w:tab/>
            </w:r>
            <w:r>
              <w:rPr>
                <w:noProof/>
                <w:webHidden/>
              </w:rPr>
              <w:fldChar w:fldCharType="begin"/>
            </w:r>
            <w:r>
              <w:rPr>
                <w:noProof/>
                <w:webHidden/>
              </w:rPr>
              <w:instrText xml:space="preserve"> PAGEREF _Toc213312288 \h </w:instrText>
            </w:r>
            <w:r>
              <w:rPr>
                <w:noProof/>
                <w:webHidden/>
              </w:rPr>
            </w:r>
            <w:r>
              <w:rPr>
                <w:noProof/>
                <w:webHidden/>
              </w:rPr>
              <w:fldChar w:fldCharType="separate"/>
            </w:r>
            <w:r w:rsidR="006E4CA6">
              <w:rPr>
                <w:noProof/>
                <w:webHidden/>
              </w:rPr>
              <w:t>103</w:t>
            </w:r>
            <w:r>
              <w:rPr>
                <w:noProof/>
                <w:webHidden/>
              </w:rPr>
              <w:fldChar w:fldCharType="end"/>
            </w:r>
          </w:hyperlink>
        </w:p>
        <w:p w:rsidR="009751A7" w:rsidRDefault="009751A7" w14:paraId="21A183DF" w14:textId="45CE20B7">
          <w:pPr>
            <w:pStyle w:val="TOC2"/>
            <w:tabs>
              <w:tab w:val="right" w:leader="dot" w:pos="9350"/>
            </w:tabs>
            <w:rPr>
              <w:rFonts w:asciiTheme="minorHAnsi" w:hAnsiTheme="minorHAnsi" w:cstheme="minorBidi"/>
              <w:noProof/>
              <w:kern w:val="2"/>
              <w:sz w:val="24"/>
              <w:szCs w:val="24"/>
              <w14:ligatures w14:val="standardContextual"/>
            </w:rPr>
          </w:pPr>
          <w:hyperlink w:history="1" w:anchor="_Toc213312289">
            <w:r w:rsidRPr="00A10F11">
              <w:rPr>
                <w:rStyle w:val="Hyperlink"/>
                <w:noProof/>
              </w:rPr>
              <w:t>8.1.</w:t>
            </w:r>
            <w:r>
              <w:rPr>
                <w:rFonts w:asciiTheme="minorHAnsi" w:hAnsiTheme="minorHAnsi" w:cstheme="minorBidi"/>
                <w:noProof/>
                <w:kern w:val="2"/>
                <w:sz w:val="24"/>
                <w:szCs w:val="24"/>
                <w14:ligatures w14:val="standardContextual"/>
              </w:rPr>
              <w:tab/>
            </w:r>
            <w:r w:rsidRPr="00A10F11">
              <w:rPr>
                <w:rStyle w:val="Hyperlink"/>
                <w:noProof/>
              </w:rPr>
              <w:t>Pole Brushing</w:t>
            </w:r>
            <w:r>
              <w:rPr>
                <w:noProof/>
                <w:webHidden/>
              </w:rPr>
              <w:tab/>
            </w:r>
            <w:r>
              <w:rPr>
                <w:noProof/>
                <w:webHidden/>
              </w:rPr>
              <w:fldChar w:fldCharType="begin"/>
            </w:r>
            <w:r>
              <w:rPr>
                <w:noProof/>
                <w:webHidden/>
              </w:rPr>
              <w:instrText xml:space="preserve"> PAGEREF _Toc213312289 \h </w:instrText>
            </w:r>
            <w:r>
              <w:rPr>
                <w:noProof/>
                <w:webHidden/>
              </w:rPr>
            </w:r>
            <w:r>
              <w:rPr>
                <w:noProof/>
                <w:webHidden/>
              </w:rPr>
              <w:fldChar w:fldCharType="separate"/>
            </w:r>
            <w:r w:rsidR="006E4CA6">
              <w:rPr>
                <w:noProof/>
                <w:webHidden/>
              </w:rPr>
              <w:t>104</w:t>
            </w:r>
            <w:r>
              <w:rPr>
                <w:noProof/>
                <w:webHidden/>
              </w:rPr>
              <w:fldChar w:fldCharType="end"/>
            </w:r>
          </w:hyperlink>
        </w:p>
        <w:p w:rsidR="009751A7" w:rsidRDefault="009751A7" w14:paraId="4C4CB8EF" w14:textId="18FEBB0F">
          <w:pPr>
            <w:pStyle w:val="TOC2"/>
            <w:tabs>
              <w:tab w:val="right" w:leader="dot" w:pos="9350"/>
            </w:tabs>
            <w:rPr>
              <w:rFonts w:asciiTheme="minorHAnsi" w:hAnsiTheme="minorHAnsi" w:cstheme="minorBidi"/>
              <w:noProof/>
              <w:kern w:val="2"/>
              <w:sz w:val="24"/>
              <w:szCs w:val="24"/>
              <w14:ligatures w14:val="standardContextual"/>
            </w:rPr>
          </w:pPr>
          <w:hyperlink w:history="1" w:anchor="_Toc213312290">
            <w:r w:rsidRPr="00A10F11">
              <w:rPr>
                <w:rStyle w:val="Hyperlink"/>
                <w:noProof/>
              </w:rPr>
              <w:t>8.2.</w:t>
            </w:r>
            <w:r>
              <w:rPr>
                <w:rFonts w:asciiTheme="minorHAnsi" w:hAnsiTheme="minorHAnsi" w:cstheme="minorBidi"/>
                <w:noProof/>
                <w:kern w:val="2"/>
                <w:sz w:val="24"/>
                <w:szCs w:val="24"/>
                <w14:ligatures w14:val="standardContextual"/>
              </w:rPr>
              <w:tab/>
            </w:r>
            <w:r w:rsidRPr="00A10F11">
              <w:rPr>
                <w:rStyle w:val="Hyperlink"/>
                <w:noProof/>
              </w:rPr>
              <w:t>Fuels Management</w:t>
            </w:r>
            <w:r>
              <w:rPr>
                <w:noProof/>
                <w:webHidden/>
              </w:rPr>
              <w:tab/>
            </w:r>
            <w:r>
              <w:rPr>
                <w:noProof/>
                <w:webHidden/>
              </w:rPr>
              <w:fldChar w:fldCharType="begin"/>
            </w:r>
            <w:r>
              <w:rPr>
                <w:noProof/>
                <w:webHidden/>
              </w:rPr>
              <w:instrText xml:space="preserve"> PAGEREF _Toc213312290 \h </w:instrText>
            </w:r>
            <w:r>
              <w:rPr>
                <w:noProof/>
                <w:webHidden/>
              </w:rPr>
            </w:r>
            <w:r>
              <w:rPr>
                <w:noProof/>
                <w:webHidden/>
              </w:rPr>
              <w:fldChar w:fldCharType="separate"/>
            </w:r>
            <w:r w:rsidR="006E4CA6">
              <w:rPr>
                <w:noProof/>
                <w:webHidden/>
              </w:rPr>
              <w:t>107</w:t>
            </w:r>
            <w:r>
              <w:rPr>
                <w:noProof/>
                <w:webHidden/>
              </w:rPr>
              <w:fldChar w:fldCharType="end"/>
            </w:r>
          </w:hyperlink>
        </w:p>
        <w:p w:rsidR="009751A7" w:rsidRDefault="009751A7" w14:paraId="365F8822" w14:textId="710C89B9">
          <w:pPr>
            <w:pStyle w:val="TOC2"/>
            <w:tabs>
              <w:tab w:val="right" w:leader="dot" w:pos="9350"/>
            </w:tabs>
            <w:rPr>
              <w:rFonts w:asciiTheme="minorHAnsi" w:hAnsiTheme="minorHAnsi" w:cstheme="minorBidi"/>
              <w:noProof/>
              <w:kern w:val="2"/>
              <w:sz w:val="24"/>
              <w:szCs w:val="24"/>
              <w14:ligatures w14:val="standardContextual"/>
            </w:rPr>
          </w:pPr>
          <w:hyperlink w:history="1" w:anchor="_Toc213312291">
            <w:r w:rsidRPr="00A10F11">
              <w:rPr>
                <w:rStyle w:val="Hyperlink"/>
                <w:noProof/>
              </w:rPr>
              <w:t>8.3.</w:t>
            </w:r>
            <w:r>
              <w:rPr>
                <w:rFonts w:asciiTheme="minorHAnsi" w:hAnsiTheme="minorHAnsi" w:cstheme="minorBidi"/>
                <w:noProof/>
                <w:kern w:val="2"/>
                <w:sz w:val="24"/>
                <w:szCs w:val="24"/>
                <w14:ligatures w14:val="standardContextual"/>
              </w:rPr>
              <w:tab/>
            </w:r>
            <w:r w:rsidRPr="00A10F11">
              <w:rPr>
                <w:rStyle w:val="Hyperlink"/>
                <w:noProof/>
              </w:rPr>
              <w:t>LiDAR Inspections of Vegetation around Distribution Infrastructure</w:t>
            </w:r>
            <w:r>
              <w:rPr>
                <w:noProof/>
                <w:webHidden/>
              </w:rPr>
              <w:tab/>
            </w:r>
            <w:r>
              <w:rPr>
                <w:noProof/>
                <w:webHidden/>
              </w:rPr>
              <w:fldChar w:fldCharType="begin"/>
            </w:r>
            <w:r>
              <w:rPr>
                <w:noProof/>
                <w:webHidden/>
              </w:rPr>
              <w:instrText xml:space="preserve"> PAGEREF _Toc213312291 \h </w:instrText>
            </w:r>
            <w:r>
              <w:rPr>
                <w:noProof/>
                <w:webHidden/>
              </w:rPr>
            </w:r>
            <w:r>
              <w:rPr>
                <w:noProof/>
                <w:webHidden/>
              </w:rPr>
              <w:fldChar w:fldCharType="separate"/>
            </w:r>
            <w:r w:rsidR="006E4CA6">
              <w:rPr>
                <w:noProof/>
                <w:webHidden/>
              </w:rPr>
              <w:t>108</w:t>
            </w:r>
            <w:r>
              <w:rPr>
                <w:noProof/>
                <w:webHidden/>
              </w:rPr>
              <w:fldChar w:fldCharType="end"/>
            </w:r>
          </w:hyperlink>
        </w:p>
        <w:p w:rsidR="009751A7" w:rsidRDefault="009751A7" w14:paraId="09F65BFE" w14:textId="11B4F9C9">
          <w:pPr>
            <w:pStyle w:val="TOC2"/>
            <w:tabs>
              <w:tab w:val="right" w:leader="dot" w:pos="9350"/>
            </w:tabs>
            <w:rPr>
              <w:rFonts w:asciiTheme="minorHAnsi" w:hAnsiTheme="minorHAnsi" w:cstheme="minorBidi"/>
              <w:noProof/>
              <w:kern w:val="2"/>
              <w:sz w:val="24"/>
              <w:szCs w:val="24"/>
              <w14:ligatures w14:val="standardContextual"/>
            </w:rPr>
          </w:pPr>
          <w:hyperlink w:history="1" w:anchor="_Toc213312292">
            <w:r w:rsidRPr="00A10F11">
              <w:rPr>
                <w:rStyle w:val="Hyperlink"/>
                <w:noProof/>
              </w:rPr>
              <w:t>8.4.</w:t>
            </w:r>
            <w:r>
              <w:rPr>
                <w:rFonts w:asciiTheme="minorHAnsi" w:hAnsiTheme="minorHAnsi" w:cstheme="minorBidi"/>
                <w:noProof/>
                <w:kern w:val="2"/>
                <w:sz w:val="24"/>
                <w:szCs w:val="24"/>
                <w14:ligatures w14:val="standardContextual"/>
              </w:rPr>
              <w:tab/>
            </w:r>
            <w:r w:rsidRPr="00A10F11">
              <w:rPr>
                <w:rStyle w:val="Hyperlink"/>
                <w:noProof/>
              </w:rPr>
              <w:t>Vegetation Restoration</w:t>
            </w:r>
            <w:r>
              <w:rPr>
                <w:noProof/>
                <w:webHidden/>
              </w:rPr>
              <w:tab/>
            </w:r>
            <w:r>
              <w:rPr>
                <w:noProof/>
                <w:webHidden/>
              </w:rPr>
              <w:fldChar w:fldCharType="begin"/>
            </w:r>
            <w:r>
              <w:rPr>
                <w:noProof/>
                <w:webHidden/>
              </w:rPr>
              <w:instrText xml:space="preserve"> PAGEREF _Toc213312292 \h </w:instrText>
            </w:r>
            <w:r>
              <w:rPr>
                <w:noProof/>
                <w:webHidden/>
              </w:rPr>
            </w:r>
            <w:r>
              <w:rPr>
                <w:noProof/>
                <w:webHidden/>
              </w:rPr>
              <w:fldChar w:fldCharType="separate"/>
            </w:r>
            <w:r w:rsidR="006E4CA6">
              <w:rPr>
                <w:noProof/>
                <w:webHidden/>
              </w:rPr>
              <w:t>110</w:t>
            </w:r>
            <w:r>
              <w:rPr>
                <w:noProof/>
                <w:webHidden/>
              </w:rPr>
              <w:fldChar w:fldCharType="end"/>
            </w:r>
          </w:hyperlink>
        </w:p>
        <w:p w:rsidR="009751A7" w:rsidRDefault="009751A7" w14:paraId="4B33D85E" w14:textId="720085A1">
          <w:pPr>
            <w:pStyle w:val="TOC2"/>
            <w:tabs>
              <w:tab w:val="right" w:leader="dot" w:pos="9350"/>
            </w:tabs>
            <w:rPr>
              <w:rFonts w:asciiTheme="minorHAnsi" w:hAnsiTheme="minorHAnsi" w:cstheme="minorBidi"/>
              <w:noProof/>
              <w:kern w:val="2"/>
              <w:sz w:val="24"/>
              <w:szCs w:val="24"/>
              <w14:ligatures w14:val="standardContextual"/>
            </w:rPr>
          </w:pPr>
          <w:hyperlink w:history="1" w:anchor="_Toc213312293">
            <w:r w:rsidRPr="00A10F11">
              <w:rPr>
                <w:rStyle w:val="Hyperlink"/>
                <w:noProof/>
              </w:rPr>
              <w:t>8.5.</w:t>
            </w:r>
            <w:r>
              <w:rPr>
                <w:rFonts w:asciiTheme="minorHAnsi" w:hAnsiTheme="minorHAnsi" w:cstheme="minorBidi"/>
                <w:noProof/>
                <w:kern w:val="2"/>
                <w:sz w:val="24"/>
                <w:szCs w:val="24"/>
                <w14:ligatures w14:val="standardContextual"/>
              </w:rPr>
              <w:tab/>
            </w:r>
            <w:r w:rsidRPr="00A10F11">
              <w:rPr>
                <w:rStyle w:val="Hyperlink"/>
                <w:noProof/>
              </w:rPr>
              <w:t>Cost Savings from Strategic Undergrounding</w:t>
            </w:r>
            <w:r>
              <w:rPr>
                <w:noProof/>
                <w:webHidden/>
              </w:rPr>
              <w:tab/>
            </w:r>
            <w:r>
              <w:rPr>
                <w:noProof/>
                <w:webHidden/>
              </w:rPr>
              <w:fldChar w:fldCharType="begin"/>
            </w:r>
            <w:r>
              <w:rPr>
                <w:noProof/>
                <w:webHidden/>
              </w:rPr>
              <w:instrText xml:space="preserve"> PAGEREF _Toc213312293 \h </w:instrText>
            </w:r>
            <w:r>
              <w:rPr>
                <w:noProof/>
                <w:webHidden/>
              </w:rPr>
            </w:r>
            <w:r>
              <w:rPr>
                <w:noProof/>
                <w:webHidden/>
              </w:rPr>
              <w:fldChar w:fldCharType="separate"/>
            </w:r>
            <w:r w:rsidR="006E4CA6">
              <w:rPr>
                <w:noProof/>
                <w:webHidden/>
              </w:rPr>
              <w:t>111</w:t>
            </w:r>
            <w:r>
              <w:rPr>
                <w:noProof/>
                <w:webHidden/>
              </w:rPr>
              <w:fldChar w:fldCharType="end"/>
            </w:r>
          </w:hyperlink>
        </w:p>
        <w:p w:rsidR="009751A7" w:rsidRDefault="009751A7" w14:paraId="1F0077BA" w14:textId="3D597A3A">
          <w:pPr>
            <w:pStyle w:val="TOC1"/>
            <w:tabs>
              <w:tab w:val="right" w:leader="dot" w:pos="9350"/>
            </w:tabs>
            <w:rPr>
              <w:rFonts w:asciiTheme="minorHAnsi" w:hAnsiTheme="minorHAnsi" w:cstheme="minorBidi"/>
              <w:noProof/>
              <w:kern w:val="2"/>
              <w:sz w:val="24"/>
              <w:szCs w:val="24"/>
              <w14:ligatures w14:val="standardContextual"/>
            </w:rPr>
          </w:pPr>
          <w:hyperlink w:history="1" w:anchor="_Toc213312294">
            <w:r w:rsidRPr="00A10F11">
              <w:rPr>
                <w:rStyle w:val="Hyperlink"/>
                <w:noProof/>
              </w:rPr>
              <w:t>9.</w:t>
            </w:r>
            <w:r>
              <w:rPr>
                <w:rFonts w:asciiTheme="minorHAnsi" w:hAnsiTheme="minorHAnsi" w:cstheme="minorBidi"/>
                <w:noProof/>
                <w:kern w:val="2"/>
                <w:sz w:val="24"/>
                <w:szCs w:val="24"/>
                <w14:ligatures w14:val="standardContextual"/>
              </w:rPr>
              <w:tab/>
            </w:r>
            <w:r w:rsidRPr="00A10F11">
              <w:rPr>
                <w:rStyle w:val="Hyperlink"/>
                <w:noProof/>
              </w:rPr>
              <w:t>Grid Operations &amp; Operating Protocols (GO&amp;OP)</w:t>
            </w:r>
            <w:r>
              <w:rPr>
                <w:noProof/>
                <w:webHidden/>
              </w:rPr>
              <w:tab/>
            </w:r>
            <w:r>
              <w:rPr>
                <w:noProof/>
                <w:webHidden/>
              </w:rPr>
              <w:fldChar w:fldCharType="begin"/>
            </w:r>
            <w:r>
              <w:rPr>
                <w:noProof/>
                <w:webHidden/>
              </w:rPr>
              <w:instrText xml:space="preserve"> PAGEREF _Toc213312294 \h </w:instrText>
            </w:r>
            <w:r>
              <w:rPr>
                <w:noProof/>
                <w:webHidden/>
              </w:rPr>
            </w:r>
            <w:r>
              <w:rPr>
                <w:noProof/>
                <w:webHidden/>
              </w:rPr>
              <w:fldChar w:fldCharType="separate"/>
            </w:r>
            <w:r w:rsidR="006E4CA6">
              <w:rPr>
                <w:noProof/>
                <w:webHidden/>
              </w:rPr>
              <w:t>112</w:t>
            </w:r>
            <w:r>
              <w:rPr>
                <w:noProof/>
                <w:webHidden/>
              </w:rPr>
              <w:fldChar w:fldCharType="end"/>
            </w:r>
          </w:hyperlink>
        </w:p>
        <w:p w:rsidR="009751A7" w:rsidRDefault="009751A7" w14:paraId="6FFDCB6C" w14:textId="67526C63">
          <w:pPr>
            <w:pStyle w:val="TOC2"/>
            <w:tabs>
              <w:tab w:val="right" w:leader="dot" w:pos="9350"/>
            </w:tabs>
            <w:rPr>
              <w:rFonts w:asciiTheme="minorHAnsi" w:hAnsiTheme="minorHAnsi" w:cstheme="minorBidi"/>
              <w:noProof/>
              <w:kern w:val="2"/>
              <w:sz w:val="24"/>
              <w:szCs w:val="24"/>
              <w14:ligatures w14:val="standardContextual"/>
            </w:rPr>
          </w:pPr>
          <w:hyperlink w:history="1" w:anchor="_Toc213312295">
            <w:r w:rsidRPr="00A10F11">
              <w:rPr>
                <w:rStyle w:val="Hyperlink"/>
                <w:noProof/>
              </w:rPr>
              <w:t>9.1</w:t>
            </w:r>
            <w:r>
              <w:rPr>
                <w:rFonts w:asciiTheme="minorHAnsi" w:hAnsiTheme="minorHAnsi" w:cstheme="minorBidi"/>
                <w:noProof/>
                <w:kern w:val="2"/>
                <w:sz w:val="24"/>
                <w:szCs w:val="24"/>
                <w14:ligatures w14:val="standardContextual"/>
              </w:rPr>
              <w:tab/>
            </w:r>
            <w:r w:rsidRPr="00A10F11">
              <w:rPr>
                <w:rStyle w:val="Hyperlink"/>
                <w:noProof/>
              </w:rPr>
              <w:t>Personnel Work Procedures and Training in Conditions of Elevated Fire Risk</w:t>
            </w:r>
            <w:r>
              <w:rPr>
                <w:noProof/>
                <w:webHidden/>
              </w:rPr>
              <w:tab/>
            </w:r>
            <w:r>
              <w:rPr>
                <w:noProof/>
                <w:webHidden/>
              </w:rPr>
              <w:fldChar w:fldCharType="begin"/>
            </w:r>
            <w:r>
              <w:rPr>
                <w:noProof/>
                <w:webHidden/>
              </w:rPr>
              <w:instrText xml:space="preserve"> PAGEREF _Toc213312295 \h </w:instrText>
            </w:r>
            <w:r>
              <w:rPr>
                <w:noProof/>
                <w:webHidden/>
              </w:rPr>
            </w:r>
            <w:r>
              <w:rPr>
                <w:noProof/>
                <w:webHidden/>
              </w:rPr>
              <w:fldChar w:fldCharType="separate"/>
            </w:r>
            <w:r w:rsidR="006E4CA6">
              <w:rPr>
                <w:noProof/>
                <w:webHidden/>
              </w:rPr>
              <w:t>112</w:t>
            </w:r>
            <w:r>
              <w:rPr>
                <w:noProof/>
                <w:webHidden/>
              </w:rPr>
              <w:fldChar w:fldCharType="end"/>
            </w:r>
          </w:hyperlink>
        </w:p>
        <w:p w:rsidR="009751A7" w:rsidRDefault="009751A7" w14:paraId="7671D88E" w14:textId="5A7171AA">
          <w:pPr>
            <w:pStyle w:val="TOC2"/>
            <w:tabs>
              <w:tab w:val="right" w:leader="dot" w:pos="9350"/>
            </w:tabs>
            <w:rPr>
              <w:rFonts w:asciiTheme="minorHAnsi" w:hAnsiTheme="minorHAnsi" w:cstheme="minorBidi"/>
              <w:noProof/>
              <w:kern w:val="2"/>
              <w:sz w:val="24"/>
              <w:szCs w:val="24"/>
              <w14:ligatures w14:val="standardContextual"/>
            </w:rPr>
          </w:pPr>
          <w:hyperlink w:history="1" w:anchor="_Toc213312296">
            <w:r w:rsidRPr="00A10F11">
              <w:rPr>
                <w:rStyle w:val="Hyperlink"/>
                <w:noProof/>
              </w:rPr>
              <w:t>9.2</w:t>
            </w:r>
            <w:r>
              <w:rPr>
                <w:rFonts w:asciiTheme="minorHAnsi" w:hAnsiTheme="minorHAnsi" w:cstheme="minorBidi"/>
                <w:noProof/>
                <w:kern w:val="2"/>
                <w:sz w:val="24"/>
                <w:szCs w:val="24"/>
                <w14:ligatures w14:val="standardContextual"/>
              </w:rPr>
              <w:tab/>
            </w:r>
            <w:r w:rsidRPr="00A10F11">
              <w:rPr>
                <w:rStyle w:val="Hyperlink"/>
                <w:noProof/>
              </w:rPr>
              <w:t>Aviation Firefighting</w:t>
            </w:r>
            <w:r>
              <w:rPr>
                <w:noProof/>
                <w:webHidden/>
              </w:rPr>
              <w:tab/>
            </w:r>
            <w:r>
              <w:rPr>
                <w:noProof/>
                <w:webHidden/>
              </w:rPr>
              <w:fldChar w:fldCharType="begin"/>
            </w:r>
            <w:r>
              <w:rPr>
                <w:noProof/>
                <w:webHidden/>
              </w:rPr>
              <w:instrText xml:space="preserve"> PAGEREF _Toc213312296 \h </w:instrText>
            </w:r>
            <w:r>
              <w:rPr>
                <w:noProof/>
                <w:webHidden/>
              </w:rPr>
            </w:r>
            <w:r>
              <w:rPr>
                <w:noProof/>
                <w:webHidden/>
              </w:rPr>
              <w:fldChar w:fldCharType="separate"/>
            </w:r>
            <w:r w:rsidR="006E4CA6">
              <w:rPr>
                <w:noProof/>
                <w:webHidden/>
              </w:rPr>
              <w:t>114</w:t>
            </w:r>
            <w:r>
              <w:rPr>
                <w:noProof/>
                <w:webHidden/>
              </w:rPr>
              <w:fldChar w:fldCharType="end"/>
            </w:r>
          </w:hyperlink>
        </w:p>
        <w:p w:rsidR="009751A7" w:rsidRDefault="009751A7" w14:paraId="088DB633" w14:textId="3BEA61C7">
          <w:pPr>
            <w:pStyle w:val="TOC1"/>
            <w:tabs>
              <w:tab w:val="right" w:leader="dot" w:pos="9350"/>
            </w:tabs>
            <w:rPr>
              <w:rFonts w:asciiTheme="minorHAnsi" w:hAnsiTheme="minorHAnsi" w:cstheme="minorBidi"/>
              <w:noProof/>
              <w:kern w:val="2"/>
              <w:sz w:val="24"/>
              <w:szCs w:val="24"/>
              <w14:ligatures w14:val="standardContextual"/>
            </w:rPr>
          </w:pPr>
          <w:hyperlink w:history="1" w:anchor="_Toc213312297">
            <w:r w:rsidRPr="00A10F11">
              <w:rPr>
                <w:rStyle w:val="Hyperlink"/>
                <w:noProof/>
              </w:rPr>
              <w:t>10.</w:t>
            </w:r>
            <w:r>
              <w:rPr>
                <w:rFonts w:asciiTheme="minorHAnsi" w:hAnsiTheme="minorHAnsi" w:cstheme="minorBidi"/>
                <w:noProof/>
                <w:kern w:val="2"/>
                <w:sz w:val="24"/>
                <w:szCs w:val="24"/>
                <w14:ligatures w14:val="standardContextual"/>
              </w:rPr>
              <w:tab/>
            </w:r>
            <w:r w:rsidRPr="00A10F11">
              <w:rPr>
                <w:rStyle w:val="Hyperlink"/>
                <w:noProof/>
              </w:rPr>
              <w:t>Data Governance (DG)</w:t>
            </w:r>
            <w:r>
              <w:rPr>
                <w:noProof/>
                <w:webHidden/>
              </w:rPr>
              <w:tab/>
            </w:r>
            <w:r>
              <w:rPr>
                <w:noProof/>
                <w:webHidden/>
              </w:rPr>
              <w:fldChar w:fldCharType="begin"/>
            </w:r>
            <w:r>
              <w:rPr>
                <w:noProof/>
                <w:webHidden/>
              </w:rPr>
              <w:instrText xml:space="preserve"> PAGEREF _Toc213312297 \h </w:instrText>
            </w:r>
            <w:r>
              <w:rPr>
                <w:noProof/>
                <w:webHidden/>
              </w:rPr>
            </w:r>
            <w:r>
              <w:rPr>
                <w:noProof/>
                <w:webHidden/>
              </w:rPr>
              <w:fldChar w:fldCharType="separate"/>
            </w:r>
            <w:r w:rsidR="006E4CA6">
              <w:rPr>
                <w:noProof/>
                <w:webHidden/>
              </w:rPr>
              <w:t>117</w:t>
            </w:r>
            <w:r>
              <w:rPr>
                <w:noProof/>
                <w:webHidden/>
              </w:rPr>
              <w:fldChar w:fldCharType="end"/>
            </w:r>
          </w:hyperlink>
        </w:p>
        <w:p w:rsidR="009751A7" w:rsidRDefault="009751A7" w14:paraId="3F938AAF" w14:textId="0B1C319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298">
            <w:r w:rsidRPr="00A10F11">
              <w:rPr>
                <w:rStyle w:val="Hyperlink"/>
                <w:noProof/>
              </w:rPr>
              <w:t>10.1</w:t>
            </w:r>
            <w:r>
              <w:rPr>
                <w:rFonts w:asciiTheme="minorHAnsi" w:hAnsiTheme="minorHAnsi" w:cstheme="minorBidi"/>
                <w:noProof/>
                <w:kern w:val="2"/>
                <w:sz w:val="24"/>
                <w:szCs w:val="24"/>
                <w14:ligatures w14:val="standardContextual"/>
              </w:rPr>
              <w:tab/>
            </w:r>
            <w:r w:rsidRPr="00A10F11">
              <w:rPr>
                <w:rStyle w:val="Hyperlink"/>
                <w:noProof/>
              </w:rPr>
              <w:t>Centralized Repository for Data</w:t>
            </w:r>
            <w:r>
              <w:rPr>
                <w:noProof/>
                <w:webHidden/>
              </w:rPr>
              <w:tab/>
            </w:r>
            <w:r>
              <w:rPr>
                <w:noProof/>
                <w:webHidden/>
              </w:rPr>
              <w:fldChar w:fldCharType="begin"/>
            </w:r>
            <w:r>
              <w:rPr>
                <w:noProof/>
                <w:webHidden/>
              </w:rPr>
              <w:instrText xml:space="preserve"> PAGEREF _Toc213312298 \h </w:instrText>
            </w:r>
            <w:r>
              <w:rPr>
                <w:noProof/>
                <w:webHidden/>
              </w:rPr>
            </w:r>
            <w:r>
              <w:rPr>
                <w:noProof/>
                <w:webHidden/>
              </w:rPr>
              <w:fldChar w:fldCharType="separate"/>
            </w:r>
            <w:r w:rsidR="006E4CA6">
              <w:rPr>
                <w:noProof/>
                <w:webHidden/>
              </w:rPr>
              <w:t>118</w:t>
            </w:r>
            <w:r>
              <w:rPr>
                <w:noProof/>
                <w:webHidden/>
              </w:rPr>
              <w:fldChar w:fldCharType="end"/>
            </w:r>
          </w:hyperlink>
        </w:p>
        <w:p w:rsidR="009751A7" w:rsidRDefault="009751A7" w14:paraId="1A3C3258" w14:textId="71507D0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299">
            <w:r w:rsidRPr="00A10F11">
              <w:rPr>
                <w:rStyle w:val="Hyperlink"/>
                <w:noProof/>
              </w:rPr>
              <w:t>10.2</w:t>
            </w:r>
            <w:r>
              <w:rPr>
                <w:rFonts w:asciiTheme="minorHAnsi" w:hAnsiTheme="minorHAnsi" w:cstheme="minorBidi"/>
                <w:noProof/>
                <w:kern w:val="2"/>
                <w:sz w:val="24"/>
                <w:szCs w:val="24"/>
                <w14:ligatures w14:val="standardContextual"/>
              </w:rPr>
              <w:tab/>
            </w:r>
            <w:r w:rsidRPr="00A10F11">
              <w:rPr>
                <w:rStyle w:val="Hyperlink"/>
                <w:noProof/>
              </w:rPr>
              <w:t>Documentation and Disclosure of Wildfire-Related Data and Algorithms</w:t>
            </w:r>
            <w:r>
              <w:rPr>
                <w:noProof/>
                <w:webHidden/>
              </w:rPr>
              <w:tab/>
            </w:r>
            <w:r>
              <w:rPr>
                <w:noProof/>
                <w:webHidden/>
              </w:rPr>
              <w:fldChar w:fldCharType="begin"/>
            </w:r>
            <w:r>
              <w:rPr>
                <w:noProof/>
                <w:webHidden/>
              </w:rPr>
              <w:instrText xml:space="preserve"> PAGEREF _Toc213312299 \h </w:instrText>
            </w:r>
            <w:r>
              <w:rPr>
                <w:noProof/>
                <w:webHidden/>
              </w:rPr>
            </w:r>
            <w:r>
              <w:rPr>
                <w:noProof/>
                <w:webHidden/>
              </w:rPr>
              <w:fldChar w:fldCharType="separate"/>
            </w:r>
            <w:r w:rsidR="006E4CA6">
              <w:rPr>
                <w:noProof/>
                <w:webHidden/>
              </w:rPr>
              <w:t>118</w:t>
            </w:r>
            <w:r>
              <w:rPr>
                <w:noProof/>
                <w:webHidden/>
              </w:rPr>
              <w:fldChar w:fldCharType="end"/>
            </w:r>
          </w:hyperlink>
        </w:p>
        <w:p w:rsidR="009751A7" w:rsidRDefault="009751A7" w14:paraId="12641A7C" w14:textId="1F33EB5E">
          <w:pPr>
            <w:pStyle w:val="TOC1"/>
            <w:tabs>
              <w:tab w:val="right" w:leader="dot" w:pos="9350"/>
            </w:tabs>
            <w:rPr>
              <w:rFonts w:asciiTheme="minorHAnsi" w:hAnsiTheme="minorHAnsi" w:cstheme="minorBidi"/>
              <w:noProof/>
              <w:kern w:val="2"/>
              <w:sz w:val="24"/>
              <w:szCs w:val="24"/>
              <w14:ligatures w14:val="standardContextual"/>
            </w:rPr>
          </w:pPr>
          <w:hyperlink w:history="1" w:anchor="_Toc213312300">
            <w:r w:rsidRPr="00A10F11">
              <w:rPr>
                <w:rStyle w:val="Hyperlink"/>
                <w:noProof/>
              </w:rPr>
              <w:t>11.</w:t>
            </w:r>
            <w:r>
              <w:rPr>
                <w:rFonts w:asciiTheme="minorHAnsi" w:hAnsiTheme="minorHAnsi" w:cstheme="minorBidi"/>
                <w:noProof/>
                <w:kern w:val="2"/>
                <w:sz w:val="24"/>
                <w:szCs w:val="24"/>
                <w14:ligatures w14:val="standardContextual"/>
              </w:rPr>
              <w:tab/>
            </w:r>
            <w:r w:rsidRPr="00A10F11">
              <w:rPr>
                <w:rStyle w:val="Hyperlink"/>
                <w:noProof/>
              </w:rPr>
              <w:t>Resource Allocation Methodology (RAM)</w:t>
            </w:r>
            <w:r>
              <w:rPr>
                <w:noProof/>
                <w:webHidden/>
              </w:rPr>
              <w:tab/>
            </w:r>
            <w:r>
              <w:rPr>
                <w:noProof/>
                <w:webHidden/>
              </w:rPr>
              <w:fldChar w:fldCharType="begin"/>
            </w:r>
            <w:r>
              <w:rPr>
                <w:noProof/>
                <w:webHidden/>
              </w:rPr>
              <w:instrText xml:space="preserve"> PAGEREF _Toc213312300 \h </w:instrText>
            </w:r>
            <w:r>
              <w:rPr>
                <w:noProof/>
                <w:webHidden/>
              </w:rPr>
            </w:r>
            <w:r>
              <w:rPr>
                <w:noProof/>
                <w:webHidden/>
              </w:rPr>
              <w:fldChar w:fldCharType="separate"/>
            </w:r>
            <w:r w:rsidR="006E4CA6">
              <w:rPr>
                <w:noProof/>
                <w:webHidden/>
              </w:rPr>
              <w:t>120</w:t>
            </w:r>
            <w:r>
              <w:rPr>
                <w:noProof/>
                <w:webHidden/>
              </w:rPr>
              <w:fldChar w:fldCharType="end"/>
            </w:r>
          </w:hyperlink>
        </w:p>
        <w:p w:rsidR="009751A7" w:rsidRDefault="009751A7" w14:paraId="2558C996" w14:textId="1902C394">
          <w:pPr>
            <w:pStyle w:val="TOC1"/>
            <w:tabs>
              <w:tab w:val="right" w:leader="dot" w:pos="9350"/>
            </w:tabs>
            <w:rPr>
              <w:rFonts w:asciiTheme="minorHAnsi" w:hAnsiTheme="minorHAnsi" w:cstheme="minorBidi"/>
              <w:noProof/>
              <w:kern w:val="2"/>
              <w:sz w:val="24"/>
              <w:szCs w:val="24"/>
              <w14:ligatures w14:val="standardContextual"/>
            </w:rPr>
          </w:pPr>
          <w:hyperlink w:history="1" w:anchor="_Toc213312301">
            <w:r w:rsidRPr="00A10F11">
              <w:rPr>
                <w:rStyle w:val="Hyperlink"/>
                <w:noProof/>
              </w:rPr>
              <w:t>12.</w:t>
            </w:r>
            <w:r>
              <w:rPr>
                <w:rFonts w:asciiTheme="minorHAnsi" w:hAnsiTheme="minorHAnsi" w:cstheme="minorBidi"/>
                <w:noProof/>
                <w:kern w:val="2"/>
                <w:sz w:val="24"/>
                <w:szCs w:val="24"/>
                <w14:ligatures w14:val="standardContextual"/>
              </w:rPr>
              <w:tab/>
            </w:r>
            <w:r w:rsidRPr="00A10F11">
              <w:rPr>
                <w:rStyle w:val="Hyperlink"/>
                <w:noProof/>
              </w:rPr>
              <w:t>Stakeholder Cooperation &amp; Community Engagement  (SC&amp;CE)</w:t>
            </w:r>
            <w:r>
              <w:rPr>
                <w:noProof/>
                <w:webHidden/>
              </w:rPr>
              <w:tab/>
            </w:r>
            <w:r>
              <w:rPr>
                <w:noProof/>
                <w:webHidden/>
              </w:rPr>
              <w:fldChar w:fldCharType="begin"/>
            </w:r>
            <w:r>
              <w:rPr>
                <w:noProof/>
                <w:webHidden/>
              </w:rPr>
              <w:instrText xml:space="preserve"> PAGEREF _Toc213312301 \h </w:instrText>
            </w:r>
            <w:r>
              <w:rPr>
                <w:noProof/>
                <w:webHidden/>
              </w:rPr>
            </w:r>
            <w:r>
              <w:rPr>
                <w:noProof/>
                <w:webHidden/>
              </w:rPr>
              <w:fldChar w:fldCharType="separate"/>
            </w:r>
            <w:r w:rsidR="006E4CA6">
              <w:rPr>
                <w:noProof/>
                <w:webHidden/>
              </w:rPr>
              <w:t>123</w:t>
            </w:r>
            <w:r>
              <w:rPr>
                <w:noProof/>
                <w:webHidden/>
              </w:rPr>
              <w:fldChar w:fldCharType="end"/>
            </w:r>
          </w:hyperlink>
        </w:p>
        <w:p w:rsidR="009751A7" w:rsidRDefault="009751A7" w14:paraId="5A3A3E5B" w14:textId="087EE464">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302">
            <w:r w:rsidRPr="00A10F11">
              <w:rPr>
                <w:rStyle w:val="Hyperlink"/>
                <w:noProof/>
              </w:rPr>
              <w:t>12.1</w:t>
            </w:r>
            <w:r>
              <w:rPr>
                <w:rFonts w:asciiTheme="minorHAnsi" w:hAnsiTheme="minorHAnsi" w:cstheme="minorBidi"/>
                <w:noProof/>
                <w:kern w:val="2"/>
                <w:sz w:val="24"/>
                <w:szCs w:val="24"/>
                <w14:ligatures w14:val="standardContextual"/>
              </w:rPr>
              <w:tab/>
            </w:r>
            <w:r w:rsidRPr="00A10F11">
              <w:rPr>
                <w:rStyle w:val="Hyperlink"/>
                <w:noProof/>
              </w:rPr>
              <w:t>Community Engagement</w:t>
            </w:r>
            <w:r>
              <w:rPr>
                <w:noProof/>
                <w:webHidden/>
              </w:rPr>
              <w:tab/>
            </w:r>
            <w:r>
              <w:rPr>
                <w:noProof/>
                <w:webHidden/>
              </w:rPr>
              <w:fldChar w:fldCharType="begin"/>
            </w:r>
            <w:r>
              <w:rPr>
                <w:noProof/>
                <w:webHidden/>
              </w:rPr>
              <w:instrText xml:space="preserve"> PAGEREF _Toc213312302 \h </w:instrText>
            </w:r>
            <w:r>
              <w:rPr>
                <w:noProof/>
                <w:webHidden/>
              </w:rPr>
            </w:r>
            <w:r>
              <w:rPr>
                <w:noProof/>
                <w:webHidden/>
              </w:rPr>
              <w:fldChar w:fldCharType="separate"/>
            </w:r>
            <w:r w:rsidR="006E4CA6">
              <w:rPr>
                <w:noProof/>
                <w:webHidden/>
              </w:rPr>
              <w:t>124</w:t>
            </w:r>
            <w:r>
              <w:rPr>
                <w:noProof/>
                <w:webHidden/>
              </w:rPr>
              <w:fldChar w:fldCharType="end"/>
            </w:r>
          </w:hyperlink>
        </w:p>
        <w:p w:rsidR="009751A7" w:rsidRDefault="009751A7" w14:paraId="0777121D" w14:textId="7E9DB5B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303">
            <w:r w:rsidRPr="00A10F11">
              <w:rPr>
                <w:rStyle w:val="Hyperlink"/>
                <w:noProof/>
              </w:rPr>
              <w:t>12.2</w:t>
            </w:r>
            <w:r>
              <w:rPr>
                <w:rFonts w:asciiTheme="minorHAnsi" w:hAnsiTheme="minorHAnsi" w:cstheme="minorBidi"/>
                <w:noProof/>
                <w:kern w:val="2"/>
                <w:sz w:val="24"/>
                <w:szCs w:val="24"/>
                <w14:ligatures w14:val="standardContextual"/>
              </w:rPr>
              <w:tab/>
            </w:r>
            <w:r w:rsidRPr="00A10F11">
              <w:rPr>
                <w:rStyle w:val="Hyperlink"/>
                <w:noProof/>
              </w:rPr>
              <w:t>Communication Practices</w:t>
            </w:r>
            <w:r>
              <w:rPr>
                <w:noProof/>
                <w:webHidden/>
              </w:rPr>
              <w:tab/>
            </w:r>
            <w:r>
              <w:rPr>
                <w:noProof/>
                <w:webHidden/>
              </w:rPr>
              <w:fldChar w:fldCharType="begin"/>
            </w:r>
            <w:r>
              <w:rPr>
                <w:noProof/>
                <w:webHidden/>
              </w:rPr>
              <w:instrText xml:space="preserve"> PAGEREF _Toc213312303 \h </w:instrText>
            </w:r>
            <w:r>
              <w:rPr>
                <w:noProof/>
                <w:webHidden/>
              </w:rPr>
            </w:r>
            <w:r>
              <w:rPr>
                <w:noProof/>
                <w:webHidden/>
              </w:rPr>
              <w:fldChar w:fldCharType="separate"/>
            </w:r>
            <w:r w:rsidR="006E4CA6">
              <w:rPr>
                <w:noProof/>
                <w:webHidden/>
              </w:rPr>
              <w:t>125</w:t>
            </w:r>
            <w:r>
              <w:rPr>
                <w:noProof/>
                <w:webHidden/>
              </w:rPr>
              <w:fldChar w:fldCharType="end"/>
            </w:r>
          </w:hyperlink>
        </w:p>
        <w:p w:rsidR="009751A7" w:rsidRDefault="009751A7" w14:paraId="7DFE88F8" w14:textId="4F551E66">
          <w:pPr>
            <w:pStyle w:val="TOC1"/>
            <w:tabs>
              <w:tab w:val="right" w:leader="dot" w:pos="9350"/>
            </w:tabs>
            <w:rPr>
              <w:rFonts w:asciiTheme="minorHAnsi" w:hAnsiTheme="minorHAnsi" w:cstheme="minorBidi"/>
              <w:noProof/>
              <w:kern w:val="2"/>
              <w:sz w:val="24"/>
              <w:szCs w:val="24"/>
              <w14:ligatures w14:val="standardContextual"/>
            </w:rPr>
          </w:pPr>
          <w:hyperlink w:history="1" w:anchor="_Toc213312304">
            <w:r w:rsidRPr="00A10F11">
              <w:rPr>
                <w:rStyle w:val="Hyperlink"/>
                <w:noProof/>
              </w:rPr>
              <w:t>13.</w:t>
            </w:r>
            <w:r>
              <w:rPr>
                <w:rFonts w:asciiTheme="minorHAnsi" w:hAnsiTheme="minorHAnsi" w:cstheme="minorBidi"/>
                <w:noProof/>
                <w:kern w:val="2"/>
                <w:sz w:val="24"/>
                <w:szCs w:val="24"/>
                <w14:ligatures w14:val="standardContextual"/>
              </w:rPr>
              <w:tab/>
            </w:r>
            <w:r w:rsidRPr="00A10F11">
              <w:rPr>
                <w:rStyle w:val="Hyperlink"/>
                <w:noProof/>
              </w:rPr>
              <w:t>Labor and Indirect Costs along with Independent Review by Ernst and Young</w:t>
            </w:r>
            <w:r>
              <w:rPr>
                <w:noProof/>
                <w:webHidden/>
              </w:rPr>
              <w:tab/>
            </w:r>
            <w:r>
              <w:rPr>
                <w:noProof/>
                <w:webHidden/>
              </w:rPr>
              <w:fldChar w:fldCharType="begin"/>
            </w:r>
            <w:r>
              <w:rPr>
                <w:noProof/>
                <w:webHidden/>
              </w:rPr>
              <w:instrText xml:space="preserve"> PAGEREF _Toc213312304 \h </w:instrText>
            </w:r>
            <w:r>
              <w:rPr>
                <w:noProof/>
                <w:webHidden/>
              </w:rPr>
            </w:r>
            <w:r>
              <w:rPr>
                <w:noProof/>
                <w:webHidden/>
              </w:rPr>
              <w:fldChar w:fldCharType="separate"/>
            </w:r>
            <w:r w:rsidR="006E4CA6">
              <w:rPr>
                <w:noProof/>
                <w:webHidden/>
              </w:rPr>
              <w:t>129</w:t>
            </w:r>
            <w:r>
              <w:rPr>
                <w:noProof/>
                <w:webHidden/>
              </w:rPr>
              <w:fldChar w:fldCharType="end"/>
            </w:r>
          </w:hyperlink>
        </w:p>
        <w:p w:rsidR="009751A7" w:rsidRDefault="009751A7" w14:paraId="28D99944" w14:textId="7E67EED1">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305">
            <w:r w:rsidRPr="00A10F11">
              <w:rPr>
                <w:rStyle w:val="Hyperlink"/>
                <w:noProof/>
              </w:rPr>
              <w:t>13.1</w:t>
            </w:r>
            <w:r>
              <w:rPr>
                <w:rFonts w:asciiTheme="minorHAnsi" w:hAnsiTheme="minorHAnsi" w:cstheme="minorBidi"/>
                <w:noProof/>
                <w:kern w:val="2"/>
                <w:sz w:val="24"/>
                <w:szCs w:val="24"/>
                <w14:ligatures w14:val="standardContextual"/>
              </w:rPr>
              <w:tab/>
            </w:r>
            <w:r w:rsidRPr="00A10F11">
              <w:rPr>
                <w:rStyle w:val="Hyperlink"/>
                <w:noProof/>
              </w:rPr>
              <w:t>Additional Straight-Time Labor</w:t>
            </w:r>
            <w:r>
              <w:rPr>
                <w:noProof/>
                <w:webHidden/>
              </w:rPr>
              <w:tab/>
            </w:r>
            <w:r>
              <w:rPr>
                <w:noProof/>
                <w:webHidden/>
              </w:rPr>
              <w:fldChar w:fldCharType="begin"/>
            </w:r>
            <w:r>
              <w:rPr>
                <w:noProof/>
                <w:webHidden/>
              </w:rPr>
              <w:instrText xml:space="preserve"> PAGEREF _Toc213312305 \h </w:instrText>
            </w:r>
            <w:r>
              <w:rPr>
                <w:noProof/>
                <w:webHidden/>
              </w:rPr>
            </w:r>
            <w:r>
              <w:rPr>
                <w:noProof/>
                <w:webHidden/>
              </w:rPr>
              <w:fldChar w:fldCharType="separate"/>
            </w:r>
            <w:r w:rsidR="006E4CA6">
              <w:rPr>
                <w:noProof/>
                <w:webHidden/>
              </w:rPr>
              <w:t>129</w:t>
            </w:r>
            <w:r>
              <w:rPr>
                <w:noProof/>
                <w:webHidden/>
              </w:rPr>
              <w:fldChar w:fldCharType="end"/>
            </w:r>
          </w:hyperlink>
        </w:p>
        <w:p w:rsidR="009751A7" w:rsidRDefault="009751A7" w14:paraId="3ED99341" w14:textId="5D9A1590">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306">
            <w:r w:rsidRPr="00A10F11">
              <w:rPr>
                <w:rStyle w:val="Hyperlink"/>
                <w:noProof/>
              </w:rPr>
              <w:t>13.2</w:t>
            </w:r>
            <w:r>
              <w:rPr>
                <w:rFonts w:asciiTheme="minorHAnsi" w:hAnsiTheme="minorHAnsi" w:cstheme="minorBidi"/>
                <w:noProof/>
                <w:kern w:val="2"/>
                <w:sz w:val="24"/>
                <w:szCs w:val="24"/>
                <w14:ligatures w14:val="standardContextual"/>
              </w:rPr>
              <w:tab/>
            </w:r>
            <w:r w:rsidRPr="00A10F11">
              <w:rPr>
                <w:rStyle w:val="Hyperlink"/>
                <w:noProof/>
              </w:rPr>
              <w:t>Employee Benefits</w:t>
            </w:r>
            <w:r>
              <w:rPr>
                <w:noProof/>
                <w:webHidden/>
              </w:rPr>
              <w:tab/>
            </w:r>
            <w:r>
              <w:rPr>
                <w:noProof/>
                <w:webHidden/>
              </w:rPr>
              <w:fldChar w:fldCharType="begin"/>
            </w:r>
            <w:r>
              <w:rPr>
                <w:noProof/>
                <w:webHidden/>
              </w:rPr>
              <w:instrText xml:space="preserve"> PAGEREF _Toc213312306 \h </w:instrText>
            </w:r>
            <w:r>
              <w:rPr>
                <w:noProof/>
                <w:webHidden/>
              </w:rPr>
            </w:r>
            <w:r>
              <w:rPr>
                <w:noProof/>
                <w:webHidden/>
              </w:rPr>
              <w:fldChar w:fldCharType="separate"/>
            </w:r>
            <w:r w:rsidR="006E4CA6">
              <w:rPr>
                <w:noProof/>
                <w:webHidden/>
              </w:rPr>
              <w:t>131</w:t>
            </w:r>
            <w:r>
              <w:rPr>
                <w:noProof/>
                <w:webHidden/>
              </w:rPr>
              <w:fldChar w:fldCharType="end"/>
            </w:r>
          </w:hyperlink>
        </w:p>
        <w:p w:rsidR="009751A7" w:rsidRDefault="009751A7" w14:paraId="3BF2FE61" w14:textId="6346B68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307">
            <w:r w:rsidRPr="00A10F11">
              <w:rPr>
                <w:rStyle w:val="Hyperlink"/>
                <w:noProof/>
              </w:rPr>
              <w:t>13.3</w:t>
            </w:r>
            <w:r>
              <w:rPr>
                <w:rFonts w:asciiTheme="minorHAnsi" w:hAnsiTheme="minorHAnsi" w:cstheme="minorBidi"/>
                <w:noProof/>
                <w:kern w:val="2"/>
                <w:sz w:val="24"/>
                <w:szCs w:val="24"/>
                <w14:ligatures w14:val="standardContextual"/>
              </w:rPr>
              <w:tab/>
            </w:r>
            <w:r w:rsidRPr="00A10F11">
              <w:rPr>
                <w:rStyle w:val="Hyperlink"/>
                <w:noProof/>
              </w:rPr>
              <w:t>Indirect or Overhead Costs</w:t>
            </w:r>
            <w:r>
              <w:rPr>
                <w:noProof/>
                <w:webHidden/>
              </w:rPr>
              <w:tab/>
            </w:r>
            <w:r>
              <w:rPr>
                <w:noProof/>
                <w:webHidden/>
              </w:rPr>
              <w:fldChar w:fldCharType="begin"/>
            </w:r>
            <w:r>
              <w:rPr>
                <w:noProof/>
                <w:webHidden/>
              </w:rPr>
              <w:instrText xml:space="preserve"> PAGEREF _Toc213312307 \h </w:instrText>
            </w:r>
            <w:r>
              <w:rPr>
                <w:noProof/>
                <w:webHidden/>
              </w:rPr>
            </w:r>
            <w:r>
              <w:rPr>
                <w:noProof/>
                <w:webHidden/>
              </w:rPr>
              <w:fldChar w:fldCharType="separate"/>
            </w:r>
            <w:r w:rsidR="006E4CA6">
              <w:rPr>
                <w:noProof/>
                <w:webHidden/>
              </w:rPr>
              <w:t>132</w:t>
            </w:r>
            <w:r>
              <w:rPr>
                <w:noProof/>
                <w:webHidden/>
              </w:rPr>
              <w:fldChar w:fldCharType="end"/>
            </w:r>
          </w:hyperlink>
        </w:p>
        <w:p w:rsidR="009751A7" w:rsidRDefault="009751A7" w14:paraId="741599F0" w14:textId="267C4D36">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308">
            <w:r w:rsidRPr="00A10F11">
              <w:rPr>
                <w:rStyle w:val="Hyperlink"/>
                <w:noProof/>
              </w:rPr>
              <w:t>13.4</w:t>
            </w:r>
            <w:r>
              <w:rPr>
                <w:rFonts w:asciiTheme="minorHAnsi" w:hAnsiTheme="minorHAnsi" w:cstheme="minorBidi"/>
                <w:noProof/>
                <w:kern w:val="2"/>
                <w:sz w:val="24"/>
                <w:szCs w:val="24"/>
                <w14:ligatures w14:val="standardContextual"/>
              </w:rPr>
              <w:tab/>
            </w:r>
            <w:r w:rsidRPr="00A10F11">
              <w:rPr>
                <w:rStyle w:val="Hyperlink"/>
                <w:noProof/>
              </w:rPr>
              <w:t>Dues</w:t>
            </w:r>
            <w:r>
              <w:rPr>
                <w:noProof/>
                <w:webHidden/>
              </w:rPr>
              <w:tab/>
            </w:r>
            <w:r>
              <w:rPr>
                <w:noProof/>
                <w:webHidden/>
              </w:rPr>
              <w:fldChar w:fldCharType="begin"/>
            </w:r>
            <w:r>
              <w:rPr>
                <w:noProof/>
                <w:webHidden/>
              </w:rPr>
              <w:instrText xml:space="preserve"> PAGEREF _Toc213312308 \h </w:instrText>
            </w:r>
            <w:r>
              <w:rPr>
                <w:noProof/>
                <w:webHidden/>
              </w:rPr>
            </w:r>
            <w:r>
              <w:rPr>
                <w:noProof/>
                <w:webHidden/>
              </w:rPr>
              <w:fldChar w:fldCharType="separate"/>
            </w:r>
            <w:r w:rsidR="006E4CA6">
              <w:rPr>
                <w:noProof/>
                <w:webHidden/>
              </w:rPr>
              <w:t>133</w:t>
            </w:r>
            <w:r>
              <w:rPr>
                <w:noProof/>
                <w:webHidden/>
              </w:rPr>
              <w:fldChar w:fldCharType="end"/>
            </w:r>
          </w:hyperlink>
        </w:p>
        <w:p w:rsidR="009751A7" w:rsidRDefault="009751A7" w14:paraId="7BBF900F" w14:textId="033214F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309">
            <w:r w:rsidRPr="00A10F11">
              <w:rPr>
                <w:rStyle w:val="Hyperlink"/>
                <w:noProof/>
              </w:rPr>
              <w:t>13.5</w:t>
            </w:r>
            <w:r>
              <w:rPr>
                <w:rFonts w:asciiTheme="minorHAnsi" w:hAnsiTheme="minorHAnsi" w:cstheme="minorBidi"/>
                <w:noProof/>
                <w:kern w:val="2"/>
                <w:sz w:val="24"/>
                <w:szCs w:val="24"/>
                <w14:ligatures w14:val="standardContextual"/>
              </w:rPr>
              <w:tab/>
            </w:r>
            <w:r w:rsidRPr="00A10F11">
              <w:rPr>
                <w:rStyle w:val="Hyperlink"/>
                <w:noProof/>
              </w:rPr>
              <w:t>Market Research</w:t>
            </w:r>
            <w:r>
              <w:rPr>
                <w:noProof/>
                <w:webHidden/>
              </w:rPr>
              <w:tab/>
            </w:r>
            <w:r>
              <w:rPr>
                <w:noProof/>
                <w:webHidden/>
              </w:rPr>
              <w:fldChar w:fldCharType="begin"/>
            </w:r>
            <w:r>
              <w:rPr>
                <w:noProof/>
                <w:webHidden/>
              </w:rPr>
              <w:instrText xml:space="preserve"> PAGEREF _Toc213312309 \h </w:instrText>
            </w:r>
            <w:r>
              <w:rPr>
                <w:noProof/>
                <w:webHidden/>
              </w:rPr>
            </w:r>
            <w:r>
              <w:rPr>
                <w:noProof/>
                <w:webHidden/>
              </w:rPr>
              <w:fldChar w:fldCharType="separate"/>
            </w:r>
            <w:r w:rsidR="006E4CA6">
              <w:rPr>
                <w:noProof/>
                <w:webHidden/>
              </w:rPr>
              <w:t>134</w:t>
            </w:r>
            <w:r>
              <w:rPr>
                <w:noProof/>
                <w:webHidden/>
              </w:rPr>
              <w:fldChar w:fldCharType="end"/>
            </w:r>
          </w:hyperlink>
        </w:p>
        <w:p w:rsidR="009751A7" w:rsidRDefault="009751A7" w14:paraId="7F0683A9" w14:textId="7236B6C0">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310">
            <w:r w:rsidRPr="00A10F11">
              <w:rPr>
                <w:rStyle w:val="Hyperlink"/>
                <w:noProof/>
              </w:rPr>
              <w:t>13.6</w:t>
            </w:r>
            <w:r>
              <w:rPr>
                <w:rFonts w:asciiTheme="minorHAnsi" w:hAnsiTheme="minorHAnsi" w:cstheme="minorBidi"/>
                <w:noProof/>
                <w:kern w:val="2"/>
                <w:sz w:val="24"/>
                <w:szCs w:val="24"/>
                <w14:ligatures w14:val="standardContextual"/>
              </w:rPr>
              <w:tab/>
            </w:r>
            <w:r w:rsidRPr="00A10F11">
              <w:rPr>
                <w:rStyle w:val="Hyperlink"/>
                <w:noProof/>
              </w:rPr>
              <w:t xml:space="preserve">Ernst &amp; Young </w:t>
            </w:r>
            <w:r w:rsidR="009F7D99">
              <w:rPr>
                <w:rStyle w:val="Hyperlink"/>
                <w:noProof/>
              </w:rPr>
              <w:t>Report</w:t>
            </w:r>
            <w:r>
              <w:rPr>
                <w:noProof/>
                <w:webHidden/>
              </w:rPr>
              <w:tab/>
            </w:r>
            <w:r>
              <w:rPr>
                <w:noProof/>
                <w:webHidden/>
              </w:rPr>
              <w:fldChar w:fldCharType="begin"/>
            </w:r>
            <w:r>
              <w:rPr>
                <w:noProof/>
                <w:webHidden/>
              </w:rPr>
              <w:instrText xml:space="preserve"> PAGEREF _Toc213312310 \h </w:instrText>
            </w:r>
            <w:r>
              <w:rPr>
                <w:noProof/>
                <w:webHidden/>
              </w:rPr>
            </w:r>
            <w:r>
              <w:rPr>
                <w:noProof/>
                <w:webHidden/>
              </w:rPr>
              <w:fldChar w:fldCharType="separate"/>
            </w:r>
            <w:r w:rsidR="006E4CA6">
              <w:rPr>
                <w:noProof/>
                <w:webHidden/>
              </w:rPr>
              <w:t>135</w:t>
            </w:r>
            <w:r>
              <w:rPr>
                <w:noProof/>
                <w:webHidden/>
              </w:rPr>
              <w:fldChar w:fldCharType="end"/>
            </w:r>
          </w:hyperlink>
        </w:p>
        <w:p w:rsidR="009751A7" w:rsidRDefault="009751A7" w14:paraId="37F5E01C" w14:textId="6C3390A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3312311">
            <w:r w:rsidRPr="00A10F11">
              <w:rPr>
                <w:rStyle w:val="Hyperlink"/>
                <w:noProof/>
              </w:rPr>
              <w:t>13.7</w:t>
            </w:r>
            <w:r>
              <w:rPr>
                <w:rFonts w:asciiTheme="minorHAnsi" w:hAnsiTheme="minorHAnsi" w:cstheme="minorBidi"/>
                <w:noProof/>
                <w:kern w:val="2"/>
                <w:sz w:val="24"/>
                <w:szCs w:val="24"/>
                <w14:ligatures w14:val="standardContextual"/>
              </w:rPr>
              <w:tab/>
            </w:r>
            <w:r w:rsidRPr="00A10F11">
              <w:rPr>
                <w:rStyle w:val="Hyperlink"/>
                <w:noProof/>
              </w:rPr>
              <w:t>Proportional Reductions to Indirect Costs</w:t>
            </w:r>
            <w:r>
              <w:rPr>
                <w:noProof/>
                <w:webHidden/>
              </w:rPr>
              <w:tab/>
            </w:r>
            <w:r>
              <w:rPr>
                <w:noProof/>
                <w:webHidden/>
              </w:rPr>
              <w:fldChar w:fldCharType="begin"/>
            </w:r>
            <w:r>
              <w:rPr>
                <w:noProof/>
                <w:webHidden/>
              </w:rPr>
              <w:instrText xml:space="preserve"> PAGEREF _Toc213312311 \h </w:instrText>
            </w:r>
            <w:r>
              <w:rPr>
                <w:noProof/>
                <w:webHidden/>
              </w:rPr>
            </w:r>
            <w:r>
              <w:rPr>
                <w:noProof/>
                <w:webHidden/>
              </w:rPr>
              <w:fldChar w:fldCharType="separate"/>
            </w:r>
            <w:r w:rsidR="006E4CA6">
              <w:rPr>
                <w:noProof/>
                <w:webHidden/>
              </w:rPr>
              <w:t>137</w:t>
            </w:r>
            <w:r>
              <w:rPr>
                <w:noProof/>
                <w:webHidden/>
              </w:rPr>
              <w:fldChar w:fldCharType="end"/>
            </w:r>
          </w:hyperlink>
        </w:p>
        <w:p w:rsidR="009751A7" w:rsidRDefault="009751A7" w14:paraId="6EA3536F" w14:textId="2A21EDE3">
          <w:pPr>
            <w:pStyle w:val="TOC1"/>
            <w:tabs>
              <w:tab w:val="right" w:leader="dot" w:pos="9350"/>
            </w:tabs>
            <w:rPr>
              <w:rFonts w:asciiTheme="minorHAnsi" w:hAnsiTheme="minorHAnsi" w:cstheme="minorBidi"/>
              <w:noProof/>
              <w:kern w:val="2"/>
              <w:sz w:val="24"/>
              <w:szCs w:val="24"/>
              <w14:ligatures w14:val="standardContextual"/>
            </w:rPr>
          </w:pPr>
          <w:hyperlink w:history="1" w:anchor="_Toc213312312">
            <w:r w:rsidRPr="00A10F11">
              <w:rPr>
                <w:rStyle w:val="Hyperlink"/>
                <w:noProof/>
              </w:rPr>
              <w:t>14.</w:t>
            </w:r>
            <w:r>
              <w:rPr>
                <w:rFonts w:asciiTheme="minorHAnsi" w:hAnsiTheme="minorHAnsi" w:cstheme="minorBidi"/>
                <w:noProof/>
                <w:kern w:val="2"/>
                <w:sz w:val="24"/>
                <w:szCs w:val="24"/>
                <w14:ligatures w14:val="standardContextual"/>
              </w:rPr>
              <w:tab/>
            </w:r>
            <w:r w:rsidRPr="00A10F11">
              <w:rPr>
                <w:rStyle w:val="Hyperlink"/>
                <w:noProof/>
              </w:rPr>
              <w:t>Recovery of the Total Undercollected Revenue Requirement For Authorized 2019–2022 WMPMA Recorded Costs and Forecast for 2023–2027</w:t>
            </w:r>
            <w:r>
              <w:rPr>
                <w:noProof/>
                <w:webHidden/>
              </w:rPr>
              <w:tab/>
            </w:r>
            <w:r>
              <w:rPr>
                <w:noProof/>
                <w:webHidden/>
              </w:rPr>
              <w:fldChar w:fldCharType="begin"/>
            </w:r>
            <w:r>
              <w:rPr>
                <w:noProof/>
                <w:webHidden/>
              </w:rPr>
              <w:instrText xml:space="preserve"> PAGEREF _Toc213312312 \h </w:instrText>
            </w:r>
            <w:r>
              <w:rPr>
                <w:noProof/>
                <w:webHidden/>
              </w:rPr>
            </w:r>
            <w:r>
              <w:rPr>
                <w:noProof/>
                <w:webHidden/>
              </w:rPr>
              <w:fldChar w:fldCharType="separate"/>
            </w:r>
            <w:r w:rsidR="006E4CA6">
              <w:rPr>
                <w:noProof/>
                <w:webHidden/>
              </w:rPr>
              <w:t>138</w:t>
            </w:r>
            <w:r>
              <w:rPr>
                <w:noProof/>
                <w:webHidden/>
              </w:rPr>
              <w:fldChar w:fldCharType="end"/>
            </w:r>
          </w:hyperlink>
        </w:p>
        <w:p w:rsidR="009751A7" w:rsidRDefault="009751A7" w14:paraId="0AC4AB2F" w14:textId="3DA0938D">
          <w:pPr>
            <w:pStyle w:val="TOC1"/>
            <w:tabs>
              <w:tab w:val="right" w:leader="dot" w:pos="9350"/>
            </w:tabs>
            <w:rPr>
              <w:rFonts w:asciiTheme="minorHAnsi" w:hAnsiTheme="minorHAnsi" w:cstheme="minorBidi"/>
              <w:noProof/>
              <w:kern w:val="2"/>
              <w:sz w:val="24"/>
              <w:szCs w:val="24"/>
              <w14:ligatures w14:val="standardContextual"/>
            </w:rPr>
          </w:pPr>
          <w:hyperlink w:history="1" w:anchor="_Toc213312313">
            <w:r w:rsidRPr="00A10F11">
              <w:rPr>
                <w:rStyle w:val="Hyperlink"/>
                <w:noProof/>
              </w:rPr>
              <w:t>15.</w:t>
            </w:r>
            <w:r>
              <w:rPr>
                <w:rFonts w:asciiTheme="minorHAnsi" w:hAnsiTheme="minorHAnsi" w:cstheme="minorBidi"/>
                <w:noProof/>
                <w:kern w:val="2"/>
                <w:sz w:val="24"/>
                <w:szCs w:val="24"/>
                <w14:ligatures w14:val="standardContextual"/>
              </w:rPr>
              <w:tab/>
            </w:r>
            <w:r w:rsidRPr="00A10F11">
              <w:rPr>
                <w:rStyle w:val="Hyperlink"/>
                <w:noProof/>
              </w:rPr>
              <w:t>Undercollection Financing</w:t>
            </w:r>
            <w:r>
              <w:rPr>
                <w:noProof/>
                <w:webHidden/>
              </w:rPr>
              <w:tab/>
            </w:r>
            <w:r>
              <w:rPr>
                <w:noProof/>
                <w:webHidden/>
              </w:rPr>
              <w:fldChar w:fldCharType="begin"/>
            </w:r>
            <w:r>
              <w:rPr>
                <w:noProof/>
                <w:webHidden/>
              </w:rPr>
              <w:instrText xml:space="preserve"> PAGEREF _Toc213312313 \h </w:instrText>
            </w:r>
            <w:r>
              <w:rPr>
                <w:noProof/>
                <w:webHidden/>
              </w:rPr>
            </w:r>
            <w:r>
              <w:rPr>
                <w:noProof/>
                <w:webHidden/>
              </w:rPr>
              <w:fldChar w:fldCharType="separate"/>
            </w:r>
            <w:r w:rsidR="006E4CA6">
              <w:rPr>
                <w:noProof/>
                <w:webHidden/>
              </w:rPr>
              <w:t>146</w:t>
            </w:r>
            <w:r>
              <w:rPr>
                <w:noProof/>
                <w:webHidden/>
              </w:rPr>
              <w:fldChar w:fldCharType="end"/>
            </w:r>
          </w:hyperlink>
        </w:p>
        <w:p w:rsidR="009751A7" w:rsidRDefault="009751A7" w14:paraId="35E7E63E" w14:textId="06E4A793">
          <w:pPr>
            <w:pStyle w:val="TOC1"/>
            <w:tabs>
              <w:tab w:val="right" w:leader="dot" w:pos="9350"/>
            </w:tabs>
            <w:rPr>
              <w:rFonts w:asciiTheme="minorHAnsi" w:hAnsiTheme="minorHAnsi" w:cstheme="minorBidi"/>
              <w:noProof/>
              <w:kern w:val="2"/>
              <w:sz w:val="24"/>
              <w:szCs w:val="24"/>
              <w14:ligatures w14:val="standardContextual"/>
            </w:rPr>
          </w:pPr>
          <w:hyperlink w:history="1" w:anchor="_Toc213312314">
            <w:r w:rsidRPr="00A10F11">
              <w:rPr>
                <w:rStyle w:val="Hyperlink"/>
                <w:rFonts w:cs="Arial"/>
                <w:noProof/>
              </w:rPr>
              <w:t>16.</w:t>
            </w:r>
            <w:r>
              <w:rPr>
                <w:rFonts w:asciiTheme="minorHAnsi" w:hAnsiTheme="minorHAnsi" w:cstheme="minorBidi"/>
                <w:noProof/>
                <w:kern w:val="2"/>
                <w:sz w:val="24"/>
                <w:szCs w:val="24"/>
                <w14:ligatures w14:val="standardContextual"/>
              </w:rPr>
              <w:tab/>
            </w:r>
            <w:r w:rsidRPr="00A10F11">
              <w:rPr>
                <w:rStyle w:val="Hyperlink"/>
                <w:noProof/>
              </w:rPr>
              <w:t>Timing of Applications</w:t>
            </w:r>
            <w:r>
              <w:rPr>
                <w:noProof/>
                <w:webHidden/>
              </w:rPr>
              <w:tab/>
            </w:r>
            <w:r>
              <w:rPr>
                <w:noProof/>
                <w:webHidden/>
              </w:rPr>
              <w:fldChar w:fldCharType="begin"/>
            </w:r>
            <w:r>
              <w:rPr>
                <w:noProof/>
                <w:webHidden/>
              </w:rPr>
              <w:instrText xml:space="preserve"> PAGEREF _Toc213312314 \h </w:instrText>
            </w:r>
            <w:r>
              <w:rPr>
                <w:noProof/>
                <w:webHidden/>
              </w:rPr>
            </w:r>
            <w:r>
              <w:rPr>
                <w:noProof/>
                <w:webHidden/>
              </w:rPr>
              <w:fldChar w:fldCharType="separate"/>
            </w:r>
            <w:r w:rsidR="006E4CA6">
              <w:rPr>
                <w:noProof/>
                <w:webHidden/>
              </w:rPr>
              <w:t>152</w:t>
            </w:r>
            <w:r>
              <w:rPr>
                <w:noProof/>
                <w:webHidden/>
              </w:rPr>
              <w:fldChar w:fldCharType="end"/>
            </w:r>
          </w:hyperlink>
        </w:p>
        <w:p w:rsidR="009751A7" w:rsidRDefault="009751A7" w14:paraId="1C78ACE5" w14:textId="2D624A08">
          <w:pPr>
            <w:pStyle w:val="TOC1"/>
            <w:tabs>
              <w:tab w:val="right" w:leader="dot" w:pos="9350"/>
            </w:tabs>
            <w:rPr>
              <w:rFonts w:asciiTheme="minorHAnsi" w:hAnsiTheme="minorHAnsi" w:cstheme="minorBidi"/>
              <w:noProof/>
              <w:kern w:val="2"/>
              <w:sz w:val="24"/>
              <w:szCs w:val="24"/>
              <w14:ligatures w14:val="standardContextual"/>
            </w:rPr>
          </w:pPr>
          <w:hyperlink w:history="1" w:anchor="_Toc213312315">
            <w:r w:rsidRPr="00A10F11">
              <w:rPr>
                <w:rStyle w:val="Hyperlink"/>
                <w:noProof/>
              </w:rPr>
              <w:t>17.</w:t>
            </w:r>
            <w:r>
              <w:rPr>
                <w:rFonts w:asciiTheme="minorHAnsi" w:hAnsiTheme="minorHAnsi" w:cstheme="minorBidi"/>
                <w:noProof/>
                <w:kern w:val="2"/>
                <w:sz w:val="24"/>
                <w:szCs w:val="24"/>
                <w14:ligatures w14:val="standardContextual"/>
              </w:rPr>
              <w:tab/>
            </w:r>
            <w:r w:rsidRPr="00A10F11">
              <w:rPr>
                <w:rStyle w:val="Hyperlink"/>
                <w:noProof/>
              </w:rPr>
              <w:t>CPUC/OEIS 2021 Audit and Other Issues Raised by PCF</w:t>
            </w:r>
            <w:r>
              <w:rPr>
                <w:noProof/>
                <w:webHidden/>
              </w:rPr>
              <w:tab/>
            </w:r>
            <w:r>
              <w:rPr>
                <w:noProof/>
                <w:webHidden/>
              </w:rPr>
              <w:fldChar w:fldCharType="begin"/>
            </w:r>
            <w:r>
              <w:rPr>
                <w:noProof/>
                <w:webHidden/>
              </w:rPr>
              <w:instrText xml:space="preserve"> PAGEREF _Toc213312315 \h </w:instrText>
            </w:r>
            <w:r>
              <w:rPr>
                <w:noProof/>
                <w:webHidden/>
              </w:rPr>
            </w:r>
            <w:r>
              <w:rPr>
                <w:noProof/>
                <w:webHidden/>
              </w:rPr>
              <w:fldChar w:fldCharType="separate"/>
            </w:r>
            <w:r w:rsidR="006E4CA6">
              <w:rPr>
                <w:noProof/>
                <w:webHidden/>
              </w:rPr>
              <w:t>154</w:t>
            </w:r>
            <w:r>
              <w:rPr>
                <w:noProof/>
                <w:webHidden/>
              </w:rPr>
              <w:fldChar w:fldCharType="end"/>
            </w:r>
          </w:hyperlink>
        </w:p>
        <w:p w:rsidR="009751A7" w:rsidRDefault="009751A7" w14:paraId="5C8D94E5" w14:textId="57A941B3">
          <w:pPr>
            <w:pStyle w:val="TOC1"/>
            <w:tabs>
              <w:tab w:val="right" w:leader="dot" w:pos="9350"/>
            </w:tabs>
            <w:rPr>
              <w:rFonts w:asciiTheme="minorHAnsi" w:hAnsiTheme="minorHAnsi" w:cstheme="minorBidi"/>
              <w:noProof/>
              <w:kern w:val="2"/>
              <w:sz w:val="24"/>
              <w:szCs w:val="24"/>
              <w14:ligatures w14:val="standardContextual"/>
            </w:rPr>
          </w:pPr>
          <w:hyperlink w:history="1" w:anchor="_Toc213312316">
            <w:r w:rsidRPr="00A10F11">
              <w:rPr>
                <w:rStyle w:val="Hyperlink"/>
                <w:noProof/>
              </w:rPr>
              <w:t>18.</w:t>
            </w:r>
            <w:r>
              <w:rPr>
                <w:rFonts w:asciiTheme="minorHAnsi" w:hAnsiTheme="minorHAnsi" w:cstheme="minorBidi"/>
                <w:noProof/>
                <w:kern w:val="2"/>
                <w:sz w:val="24"/>
                <w:szCs w:val="24"/>
                <w14:ligatures w14:val="standardContextual"/>
              </w:rPr>
              <w:tab/>
            </w:r>
            <w:r w:rsidRPr="00A10F11">
              <w:rPr>
                <w:rStyle w:val="Hyperlink"/>
                <w:noProof/>
              </w:rPr>
              <w:t>Conclusion</w:t>
            </w:r>
            <w:r>
              <w:rPr>
                <w:noProof/>
                <w:webHidden/>
              </w:rPr>
              <w:tab/>
            </w:r>
            <w:r>
              <w:rPr>
                <w:noProof/>
                <w:webHidden/>
              </w:rPr>
              <w:fldChar w:fldCharType="begin"/>
            </w:r>
            <w:r>
              <w:rPr>
                <w:noProof/>
                <w:webHidden/>
              </w:rPr>
              <w:instrText xml:space="preserve"> PAGEREF _Toc213312316 \h </w:instrText>
            </w:r>
            <w:r>
              <w:rPr>
                <w:noProof/>
                <w:webHidden/>
              </w:rPr>
            </w:r>
            <w:r>
              <w:rPr>
                <w:noProof/>
                <w:webHidden/>
              </w:rPr>
              <w:fldChar w:fldCharType="separate"/>
            </w:r>
            <w:r w:rsidR="006E4CA6">
              <w:rPr>
                <w:noProof/>
                <w:webHidden/>
              </w:rPr>
              <w:t>156</w:t>
            </w:r>
            <w:r>
              <w:rPr>
                <w:noProof/>
                <w:webHidden/>
              </w:rPr>
              <w:fldChar w:fldCharType="end"/>
            </w:r>
          </w:hyperlink>
        </w:p>
        <w:p w:rsidR="009751A7" w:rsidRDefault="009751A7" w14:paraId="3E960EE0" w14:textId="33EFBFC2">
          <w:pPr>
            <w:pStyle w:val="TOC1"/>
            <w:tabs>
              <w:tab w:val="right" w:leader="dot" w:pos="9350"/>
            </w:tabs>
            <w:rPr>
              <w:rFonts w:asciiTheme="minorHAnsi" w:hAnsiTheme="minorHAnsi" w:cstheme="minorBidi"/>
              <w:noProof/>
              <w:kern w:val="2"/>
              <w:sz w:val="24"/>
              <w:szCs w:val="24"/>
              <w14:ligatures w14:val="standardContextual"/>
            </w:rPr>
          </w:pPr>
          <w:hyperlink w:history="1" w:anchor="_Toc213312317">
            <w:r w:rsidRPr="00A10F11">
              <w:rPr>
                <w:rStyle w:val="Hyperlink"/>
                <w:noProof/>
              </w:rPr>
              <w:t>19.</w:t>
            </w:r>
            <w:r>
              <w:rPr>
                <w:rFonts w:asciiTheme="minorHAnsi" w:hAnsiTheme="minorHAnsi" w:cstheme="minorBidi"/>
                <w:noProof/>
                <w:kern w:val="2"/>
                <w:sz w:val="24"/>
                <w:szCs w:val="24"/>
                <w14:ligatures w14:val="standardContextual"/>
              </w:rPr>
              <w:tab/>
            </w:r>
            <w:r w:rsidRPr="00A10F11">
              <w:rPr>
                <w:rStyle w:val="Hyperlink"/>
                <w:noProof/>
              </w:rPr>
              <w:t>Procedural Matters</w:t>
            </w:r>
            <w:r>
              <w:rPr>
                <w:noProof/>
                <w:webHidden/>
              </w:rPr>
              <w:tab/>
            </w:r>
            <w:r>
              <w:rPr>
                <w:noProof/>
                <w:webHidden/>
              </w:rPr>
              <w:fldChar w:fldCharType="begin"/>
            </w:r>
            <w:r>
              <w:rPr>
                <w:noProof/>
                <w:webHidden/>
              </w:rPr>
              <w:instrText xml:space="preserve"> PAGEREF _Toc213312317 \h </w:instrText>
            </w:r>
            <w:r>
              <w:rPr>
                <w:noProof/>
                <w:webHidden/>
              </w:rPr>
            </w:r>
            <w:r>
              <w:rPr>
                <w:noProof/>
                <w:webHidden/>
              </w:rPr>
              <w:fldChar w:fldCharType="separate"/>
            </w:r>
            <w:r w:rsidR="006E4CA6">
              <w:rPr>
                <w:noProof/>
                <w:webHidden/>
              </w:rPr>
              <w:t>157</w:t>
            </w:r>
            <w:r>
              <w:rPr>
                <w:noProof/>
                <w:webHidden/>
              </w:rPr>
              <w:fldChar w:fldCharType="end"/>
            </w:r>
          </w:hyperlink>
        </w:p>
        <w:p w:rsidR="009751A7" w:rsidRDefault="009751A7" w14:paraId="1DC5809E" w14:textId="49D8D69D">
          <w:pPr>
            <w:pStyle w:val="TOC1"/>
            <w:tabs>
              <w:tab w:val="right" w:leader="dot" w:pos="9350"/>
            </w:tabs>
            <w:rPr>
              <w:rFonts w:asciiTheme="minorHAnsi" w:hAnsiTheme="minorHAnsi" w:cstheme="minorBidi"/>
              <w:noProof/>
              <w:kern w:val="2"/>
              <w:sz w:val="24"/>
              <w:szCs w:val="24"/>
              <w14:ligatures w14:val="standardContextual"/>
            </w:rPr>
          </w:pPr>
          <w:hyperlink w:history="1" w:anchor="_Toc213312318">
            <w:r w:rsidRPr="00A10F11">
              <w:rPr>
                <w:rStyle w:val="Hyperlink"/>
                <w:noProof/>
              </w:rPr>
              <w:t>20.</w:t>
            </w:r>
            <w:r>
              <w:rPr>
                <w:rFonts w:asciiTheme="minorHAnsi" w:hAnsiTheme="minorHAnsi" w:cstheme="minorBidi"/>
                <w:noProof/>
                <w:kern w:val="2"/>
                <w:sz w:val="24"/>
                <w:szCs w:val="24"/>
                <w14:ligatures w14:val="standardContextual"/>
              </w:rPr>
              <w:tab/>
            </w:r>
            <w:r w:rsidRPr="00A10F11">
              <w:rPr>
                <w:rStyle w:val="Hyperlink"/>
                <w:noProof/>
              </w:rPr>
              <w:t>Comments on Proposed Decision</w:t>
            </w:r>
            <w:r>
              <w:rPr>
                <w:noProof/>
                <w:webHidden/>
              </w:rPr>
              <w:tab/>
            </w:r>
            <w:r>
              <w:rPr>
                <w:noProof/>
                <w:webHidden/>
              </w:rPr>
              <w:fldChar w:fldCharType="begin"/>
            </w:r>
            <w:r>
              <w:rPr>
                <w:noProof/>
                <w:webHidden/>
              </w:rPr>
              <w:instrText xml:space="preserve"> PAGEREF _Toc213312318 \h </w:instrText>
            </w:r>
            <w:r>
              <w:rPr>
                <w:noProof/>
                <w:webHidden/>
              </w:rPr>
            </w:r>
            <w:r>
              <w:rPr>
                <w:noProof/>
                <w:webHidden/>
              </w:rPr>
              <w:fldChar w:fldCharType="separate"/>
            </w:r>
            <w:r w:rsidR="006E4CA6">
              <w:rPr>
                <w:noProof/>
                <w:webHidden/>
              </w:rPr>
              <w:t>157</w:t>
            </w:r>
            <w:r>
              <w:rPr>
                <w:noProof/>
                <w:webHidden/>
              </w:rPr>
              <w:fldChar w:fldCharType="end"/>
            </w:r>
          </w:hyperlink>
        </w:p>
        <w:p w:rsidR="009751A7" w:rsidRDefault="009751A7" w14:paraId="3CE3EDB0" w14:textId="677B8504">
          <w:pPr>
            <w:pStyle w:val="TOC1"/>
            <w:tabs>
              <w:tab w:val="right" w:leader="dot" w:pos="9350"/>
            </w:tabs>
            <w:rPr>
              <w:rFonts w:asciiTheme="minorHAnsi" w:hAnsiTheme="minorHAnsi" w:cstheme="minorBidi"/>
              <w:noProof/>
              <w:kern w:val="2"/>
              <w:sz w:val="24"/>
              <w:szCs w:val="24"/>
              <w14:ligatures w14:val="standardContextual"/>
            </w:rPr>
          </w:pPr>
          <w:hyperlink w:history="1" w:anchor="_Toc213312319">
            <w:r w:rsidRPr="00A10F11">
              <w:rPr>
                <w:rStyle w:val="Hyperlink"/>
                <w:noProof/>
              </w:rPr>
              <w:t>21.</w:t>
            </w:r>
            <w:r>
              <w:rPr>
                <w:rFonts w:asciiTheme="minorHAnsi" w:hAnsiTheme="minorHAnsi" w:cstheme="minorBidi"/>
                <w:noProof/>
                <w:kern w:val="2"/>
                <w:sz w:val="24"/>
                <w:szCs w:val="24"/>
                <w14:ligatures w14:val="standardContextual"/>
              </w:rPr>
              <w:tab/>
            </w:r>
            <w:r w:rsidRPr="00A10F11">
              <w:rPr>
                <w:rStyle w:val="Hyperlink"/>
                <w:noProof/>
              </w:rPr>
              <w:t>Assignment of Proceeding</w:t>
            </w:r>
            <w:r>
              <w:rPr>
                <w:noProof/>
                <w:webHidden/>
              </w:rPr>
              <w:tab/>
            </w:r>
            <w:r>
              <w:rPr>
                <w:noProof/>
                <w:webHidden/>
              </w:rPr>
              <w:fldChar w:fldCharType="begin"/>
            </w:r>
            <w:r>
              <w:rPr>
                <w:noProof/>
                <w:webHidden/>
              </w:rPr>
              <w:instrText xml:space="preserve"> PAGEREF _Toc213312319 \h </w:instrText>
            </w:r>
            <w:r>
              <w:rPr>
                <w:noProof/>
                <w:webHidden/>
              </w:rPr>
            </w:r>
            <w:r>
              <w:rPr>
                <w:noProof/>
                <w:webHidden/>
              </w:rPr>
              <w:fldChar w:fldCharType="separate"/>
            </w:r>
            <w:r w:rsidR="006E4CA6">
              <w:rPr>
                <w:noProof/>
                <w:webHidden/>
              </w:rPr>
              <w:t>163</w:t>
            </w:r>
            <w:r>
              <w:rPr>
                <w:noProof/>
                <w:webHidden/>
              </w:rPr>
              <w:fldChar w:fldCharType="end"/>
            </w:r>
          </w:hyperlink>
        </w:p>
        <w:p w:rsidRPr="00C85CD9" w:rsidR="009751A7" w:rsidRDefault="009751A7" w14:paraId="0F224CEF" w14:textId="6FF48BF0">
          <w:pPr>
            <w:pStyle w:val="TOC1"/>
            <w:tabs>
              <w:tab w:val="right" w:leader="dot" w:pos="9350"/>
            </w:tabs>
            <w:rPr>
              <w:rFonts w:cstheme="minorBidi"/>
              <w:noProof/>
              <w:kern w:val="2"/>
              <w:sz w:val="24"/>
              <w:szCs w:val="24"/>
              <w14:ligatures w14:val="standardContextual"/>
            </w:rPr>
          </w:pPr>
          <w:hyperlink w:history="1" w:anchor="_Toc213312320">
            <w:r w:rsidRPr="00C85CD9">
              <w:rPr>
                <w:rStyle w:val="Hyperlink"/>
                <w:noProof/>
              </w:rPr>
              <w:t>Findings of Fact</w:t>
            </w:r>
            <w:r w:rsidRPr="00C85CD9">
              <w:rPr>
                <w:noProof/>
                <w:webHidden/>
              </w:rPr>
              <w:tab/>
            </w:r>
            <w:r w:rsidRPr="00C85CD9">
              <w:rPr>
                <w:noProof/>
                <w:webHidden/>
              </w:rPr>
              <w:fldChar w:fldCharType="begin"/>
            </w:r>
            <w:r w:rsidRPr="00C85CD9">
              <w:rPr>
                <w:noProof/>
                <w:webHidden/>
              </w:rPr>
              <w:instrText xml:space="preserve"> PAGEREF _Toc213312320 \h </w:instrText>
            </w:r>
            <w:r w:rsidRPr="00C85CD9">
              <w:rPr>
                <w:noProof/>
                <w:webHidden/>
              </w:rPr>
            </w:r>
            <w:r w:rsidRPr="00C85CD9">
              <w:rPr>
                <w:noProof/>
                <w:webHidden/>
              </w:rPr>
              <w:fldChar w:fldCharType="separate"/>
            </w:r>
            <w:r w:rsidR="006E4CA6">
              <w:rPr>
                <w:noProof/>
                <w:webHidden/>
              </w:rPr>
              <w:t>163</w:t>
            </w:r>
            <w:r w:rsidRPr="00C85CD9">
              <w:rPr>
                <w:noProof/>
                <w:webHidden/>
              </w:rPr>
              <w:fldChar w:fldCharType="end"/>
            </w:r>
          </w:hyperlink>
        </w:p>
        <w:p w:rsidRPr="00C85CD9" w:rsidR="009751A7" w:rsidRDefault="009751A7" w14:paraId="31EE380E" w14:textId="47D40539">
          <w:pPr>
            <w:pStyle w:val="TOC1"/>
            <w:tabs>
              <w:tab w:val="right" w:leader="dot" w:pos="9350"/>
            </w:tabs>
            <w:rPr>
              <w:rFonts w:cstheme="minorBidi"/>
              <w:noProof/>
              <w:kern w:val="2"/>
              <w:sz w:val="24"/>
              <w:szCs w:val="24"/>
              <w14:ligatures w14:val="standardContextual"/>
            </w:rPr>
          </w:pPr>
          <w:hyperlink w:history="1" w:anchor="_Toc213312321">
            <w:r w:rsidRPr="00C85CD9">
              <w:rPr>
                <w:rStyle w:val="Hyperlink"/>
                <w:noProof/>
              </w:rPr>
              <w:t>Conclusion</w:t>
            </w:r>
            <w:r w:rsidRPr="00C85CD9">
              <w:rPr>
                <w:rStyle w:val="Hyperlink"/>
                <w:noProof/>
                <w:kern w:val="28"/>
              </w:rPr>
              <w:t>s of Law</w:t>
            </w:r>
            <w:r w:rsidRPr="00C85CD9">
              <w:rPr>
                <w:noProof/>
                <w:webHidden/>
              </w:rPr>
              <w:tab/>
            </w:r>
            <w:r w:rsidRPr="00C85CD9">
              <w:rPr>
                <w:noProof/>
                <w:webHidden/>
              </w:rPr>
              <w:fldChar w:fldCharType="begin"/>
            </w:r>
            <w:r w:rsidRPr="00C85CD9">
              <w:rPr>
                <w:noProof/>
                <w:webHidden/>
              </w:rPr>
              <w:instrText xml:space="preserve"> PAGEREF _Toc213312321 \h </w:instrText>
            </w:r>
            <w:r w:rsidRPr="00C85CD9">
              <w:rPr>
                <w:noProof/>
                <w:webHidden/>
              </w:rPr>
            </w:r>
            <w:r w:rsidRPr="00C85CD9">
              <w:rPr>
                <w:noProof/>
                <w:webHidden/>
              </w:rPr>
              <w:fldChar w:fldCharType="separate"/>
            </w:r>
            <w:r w:rsidR="006E4CA6">
              <w:rPr>
                <w:noProof/>
                <w:webHidden/>
              </w:rPr>
              <w:t>166</w:t>
            </w:r>
            <w:r w:rsidRPr="00C85CD9">
              <w:rPr>
                <w:noProof/>
                <w:webHidden/>
              </w:rPr>
              <w:fldChar w:fldCharType="end"/>
            </w:r>
          </w:hyperlink>
        </w:p>
        <w:p w:rsidRPr="00C85CD9" w:rsidR="009751A7" w:rsidRDefault="009751A7" w14:paraId="1AE932A7" w14:textId="7E8E75E9">
          <w:pPr>
            <w:pStyle w:val="TOC1"/>
            <w:tabs>
              <w:tab w:val="right" w:leader="dot" w:pos="9350"/>
            </w:tabs>
            <w:rPr>
              <w:rFonts w:cstheme="minorBidi"/>
              <w:noProof/>
              <w:kern w:val="2"/>
              <w:sz w:val="24"/>
              <w:szCs w:val="24"/>
              <w14:ligatures w14:val="standardContextual"/>
            </w:rPr>
          </w:pPr>
          <w:hyperlink w:history="1" w:anchor="_Toc213312322">
            <w:r w:rsidRPr="00C85CD9">
              <w:rPr>
                <w:rStyle w:val="Hyperlink"/>
                <w:noProof/>
              </w:rPr>
              <w:t>ORDER</w:t>
            </w:r>
            <w:r w:rsidRPr="00C85CD9">
              <w:rPr>
                <w:noProof/>
                <w:webHidden/>
              </w:rPr>
              <w:tab/>
            </w:r>
            <w:r w:rsidRPr="00C85CD9">
              <w:rPr>
                <w:noProof/>
                <w:webHidden/>
              </w:rPr>
              <w:fldChar w:fldCharType="begin"/>
            </w:r>
            <w:r w:rsidRPr="00C85CD9">
              <w:rPr>
                <w:noProof/>
                <w:webHidden/>
              </w:rPr>
              <w:instrText xml:space="preserve"> PAGEREF _Toc213312322 \h </w:instrText>
            </w:r>
            <w:r w:rsidRPr="00C85CD9">
              <w:rPr>
                <w:noProof/>
                <w:webHidden/>
              </w:rPr>
            </w:r>
            <w:r w:rsidRPr="00C85CD9">
              <w:rPr>
                <w:noProof/>
                <w:webHidden/>
              </w:rPr>
              <w:fldChar w:fldCharType="separate"/>
            </w:r>
            <w:r w:rsidR="006E4CA6">
              <w:rPr>
                <w:noProof/>
                <w:webHidden/>
              </w:rPr>
              <w:t>172</w:t>
            </w:r>
            <w:r w:rsidRPr="00C85CD9">
              <w:rPr>
                <w:noProof/>
                <w:webHidden/>
              </w:rPr>
              <w:fldChar w:fldCharType="end"/>
            </w:r>
          </w:hyperlink>
        </w:p>
        <w:p w:rsidR="00D82A43" w:rsidP="008C7413" w:rsidRDefault="008C7413" w14:paraId="22DB6B36" w14:textId="7F48E1AB">
          <w:pPr>
            <w:pStyle w:val="TOC1"/>
            <w:tabs>
              <w:tab w:val="right" w:leader="dot" w:pos="9350"/>
            </w:tabs>
          </w:pPr>
          <w:r>
            <w:rPr>
              <w:rFonts w:asciiTheme="minorHAnsi" w:hAnsiTheme="minorHAnsi"/>
              <w:sz w:val="22"/>
            </w:rPr>
            <w:fldChar w:fldCharType="end"/>
          </w:r>
        </w:p>
      </w:sdtContent>
    </w:sdt>
    <w:p w:rsidRPr="000F7142" w:rsidR="000F7142" w:rsidP="000F7142" w:rsidRDefault="000F7142" w14:paraId="24D04D34" w14:textId="6B65570A">
      <w:pPr>
        <w:spacing w:line="240" w:lineRule="auto"/>
        <w:ind w:firstLine="0"/>
        <w:rPr>
          <w:rFonts w:cs="Arial"/>
          <w:b/>
          <w:bCs/>
          <w:iCs/>
          <w:szCs w:val="26"/>
        </w:rPr>
      </w:pPr>
      <w:r w:rsidRPr="000F7142">
        <w:rPr>
          <w:rFonts w:cs="Arial"/>
          <w:b/>
          <w:bCs/>
          <w:iCs/>
          <w:szCs w:val="26"/>
        </w:rPr>
        <w:t xml:space="preserve">Appendix A </w:t>
      </w:r>
      <w:r w:rsidRPr="0037110F">
        <w:rPr>
          <w:rFonts w:cs="Arial"/>
          <w:iCs/>
          <w:szCs w:val="26"/>
        </w:rPr>
        <w:t>–</w:t>
      </w:r>
      <w:r w:rsidRPr="00881DCC" w:rsidR="00881DCC">
        <w:t xml:space="preserve"> </w:t>
      </w:r>
      <w:r w:rsidR="00881DCC">
        <w:rPr>
          <w:rFonts w:cs="Arial"/>
          <w:iCs/>
          <w:szCs w:val="26"/>
        </w:rPr>
        <w:t>Cost Reduction Summary</w:t>
      </w:r>
    </w:p>
    <w:p w:rsidRPr="000F7142" w:rsidR="000F7142" w:rsidP="000F7142" w:rsidRDefault="000F7142" w14:paraId="2149CFF1" w14:textId="64D66554">
      <w:pPr>
        <w:spacing w:line="240" w:lineRule="auto"/>
        <w:ind w:firstLine="0"/>
        <w:rPr>
          <w:rFonts w:cs="Arial"/>
          <w:iCs/>
          <w:szCs w:val="26"/>
        </w:rPr>
      </w:pPr>
      <w:r w:rsidRPr="000F7142">
        <w:rPr>
          <w:rFonts w:cs="Arial"/>
          <w:b/>
          <w:bCs/>
          <w:iCs/>
          <w:szCs w:val="26"/>
        </w:rPr>
        <w:t xml:space="preserve">Appendix B </w:t>
      </w:r>
      <w:r w:rsidRPr="0037110F">
        <w:rPr>
          <w:rFonts w:cs="Arial"/>
          <w:iCs/>
          <w:szCs w:val="26"/>
        </w:rPr>
        <w:t>-</w:t>
      </w:r>
      <w:r w:rsidRPr="000F7142">
        <w:rPr>
          <w:rFonts w:cs="Arial"/>
          <w:b/>
          <w:bCs/>
          <w:iCs/>
          <w:szCs w:val="26"/>
        </w:rPr>
        <w:t xml:space="preserve"> </w:t>
      </w:r>
      <w:r w:rsidR="00881DCC">
        <w:rPr>
          <w:rFonts w:cs="Arial"/>
          <w:iCs/>
          <w:szCs w:val="26"/>
        </w:rPr>
        <w:t>Authorized Results of Operation Model</w:t>
      </w:r>
    </w:p>
    <w:p w:rsidRPr="000F7142" w:rsidR="000F7142" w:rsidP="000F7142" w:rsidRDefault="000F7142" w14:paraId="27BB0FB8" w14:textId="0E1FA0A9">
      <w:pPr>
        <w:spacing w:line="240" w:lineRule="auto"/>
        <w:ind w:firstLine="0"/>
        <w:rPr>
          <w:rFonts w:cs="Arial"/>
          <w:b/>
          <w:bCs/>
          <w:iCs/>
          <w:szCs w:val="26"/>
        </w:rPr>
      </w:pPr>
    </w:p>
    <w:p w:rsidR="000F7142" w:rsidP="00D44DB6" w:rsidRDefault="000F7142" w14:paraId="13BB4B9B" w14:textId="77777777">
      <w:pPr>
        <w:spacing w:line="240" w:lineRule="auto"/>
        <w:ind w:firstLine="0"/>
        <w:rPr>
          <w:rFonts w:cs="Arial"/>
          <w:iCs/>
          <w:szCs w:val="26"/>
        </w:rPr>
      </w:pPr>
    </w:p>
    <w:p w:rsidRPr="001B05D3" w:rsidR="000F7142" w:rsidP="00D44DB6" w:rsidRDefault="000F7142" w14:paraId="651F88BE" w14:textId="3EECCE46">
      <w:pPr>
        <w:spacing w:line="240" w:lineRule="auto"/>
        <w:ind w:firstLine="0"/>
        <w:rPr>
          <w:rFonts w:cs="Arial"/>
          <w:iCs/>
          <w:szCs w:val="26"/>
        </w:rPr>
        <w:sectPr w:rsidRPr="001B05D3" w:rsidR="000F7142"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7253C8" w:rsidP="007253C8" w:rsidRDefault="007253C8" w14:paraId="1B70FC18" w14:textId="66DDA4E6">
      <w:pPr>
        <w:pStyle w:val="main0"/>
        <w:spacing w:line="240" w:lineRule="auto"/>
      </w:pPr>
      <w:r w:rsidRPr="00F6219E">
        <w:lastRenderedPageBreak/>
        <w:t>DECISION ADDRESSING S</w:t>
      </w:r>
      <w:r>
        <w:t xml:space="preserve">AN DIEGO GAS </w:t>
      </w:r>
      <w:r w:rsidR="00A22BC4">
        <w:t>&amp;</w:t>
      </w:r>
      <w:r>
        <w:t xml:space="preserve"> ELECTRIC COMPANY</w:t>
      </w:r>
      <w:r w:rsidRPr="00F6219E">
        <w:t xml:space="preserve">’S TRACK </w:t>
      </w:r>
      <w:r>
        <w:t>2</w:t>
      </w:r>
      <w:r w:rsidRPr="00F6219E">
        <w:t xml:space="preserve"> REQUEST FOR RECOVERY OF WILDFIRE MITIGATION</w:t>
      </w:r>
      <w:r>
        <w:t xml:space="preserve"> PLAN</w:t>
      </w:r>
      <w:r w:rsidRPr="00F6219E">
        <w:t xml:space="preserve"> MEMORANDUM ACCOUNT</w:t>
      </w:r>
      <w:r>
        <w:t xml:space="preserve"> COSTS</w:t>
      </w:r>
    </w:p>
    <w:p w:rsidR="007253C8" w:rsidP="007253C8" w:rsidRDefault="007253C8" w14:paraId="10CE53E6" w14:textId="77777777">
      <w:pPr>
        <w:pStyle w:val="Dummy"/>
      </w:pPr>
    </w:p>
    <w:p w:rsidR="007253C8" w:rsidP="007253C8" w:rsidRDefault="007253C8" w14:paraId="361F8027" w14:textId="3DE4E267">
      <w:pPr>
        <w:pStyle w:val="Dummy"/>
      </w:pPr>
      <w:bookmarkStart w:name="_Toc213312238" w:id="4"/>
      <w:r w:rsidRPr="00271C98">
        <w:t>Summary</w:t>
      </w:r>
      <w:bookmarkEnd w:id="4"/>
    </w:p>
    <w:p w:rsidR="007253C8" w:rsidP="007253C8" w:rsidRDefault="007253C8" w14:paraId="71841AB4" w14:textId="7FBF51B4">
      <w:pPr>
        <w:pStyle w:val="Standard"/>
      </w:pPr>
      <w:r w:rsidRPr="3CB917D8">
        <w:t xml:space="preserve">In this application, San Diego Gas </w:t>
      </w:r>
      <w:r w:rsidR="00A22BC4">
        <w:t>&amp;</w:t>
      </w:r>
      <w:r w:rsidRPr="3CB917D8">
        <w:t xml:space="preserve"> Electric Company (SDG&amp;E) seeks recovery of costs recorded in its Electric and Gas Wildfire Mitigation Plan Memorandum Accounts (WMPMAs) from May 2019 through the end of 2022</w:t>
      </w:r>
      <w:r w:rsidRPr="116904D8">
        <w:t>,</w:t>
      </w:r>
      <w:r w:rsidRPr="3CB917D8">
        <w:t xml:space="preserve"> above amounts not authorized by the Commission in SDG&amp;E’s 2019 Test Year General Rate Case (GRC) decision (Decision (D.) </w:t>
      </w:r>
      <w:r w:rsidRPr="72CC2099">
        <w:t>19-05-0</w:t>
      </w:r>
      <w:r w:rsidRPr="2DFF9FA3">
        <w:t>51</w:t>
      </w:r>
      <w:r w:rsidRPr="3CB917D8">
        <w:t xml:space="preserve">). The amount requested includes recovery of </w:t>
      </w:r>
      <w:r w:rsidR="001A7ACF">
        <w:t>o</w:t>
      </w:r>
      <w:r w:rsidRPr="3CB917D8">
        <w:t xml:space="preserve">perations and </w:t>
      </w:r>
      <w:r w:rsidR="001A7ACF">
        <w:t>m</w:t>
      </w:r>
      <w:r w:rsidRPr="3CB917D8">
        <w:t xml:space="preserve">aintenance (O&amp;M) costs totaling </w:t>
      </w:r>
      <w:r w:rsidRPr="18124A6B">
        <w:t>$28</w:t>
      </w:r>
      <w:r>
        <w:t>4</w:t>
      </w:r>
      <w:r w:rsidRPr="3CB917D8">
        <w:t xml:space="preserve"> million and capital expenditures placed in service during the</w:t>
      </w:r>
      <w:r>
        <w:t xml:space="preserve"> </w:t>
      </w:r>
      <w:r w:rsidRPr="3CB917D8">
        <w:t>2019 to 2022 period of $1,188 million.</w:t>
      </w:r>
      <w:r>
        <w:rPr>
          <w:rStyle w:val="FootnoteReference"/>
        </w:rPr>
        <w:footnoteReference w:id="2"/>
      </w:r>
      <w:r>
        <w:t xml:space="preserve"> </w:t>
      </w:r>
    </w:p>
    <w:p w:rsidR="007253C8" w:rsidP="007253C8" w:rsidRDefault="007253C8" w14:paraId="7401509E" w14:textId="45DB6834">
      <w:pPr>
        <w:pStyle w:val="Standard"/>
        <w:rPr>
          <w:b/>
        </w:rPr>
      </w:pPr>
      <w:r w:rsidRPr="3CB917D8">
        <w:t xml:space="preserve">SDG&amp;E </w:t>
      </w:r>
      <w:r w:rsidRPr="72CC2099">
        <w:t xml:space="preserve">also </w:t>
      </w:r>
      <w:r w:rsidRPr="3CB917D8">
        <w:t xml:space="preserve">seeks </w:t>
      </w:r>
      <w:r w:rsidRPr="72CC2099">
        <w:t xml:space="preserve">recovery of </w:t>
      </w:r>
      <w:r w:rsidRPr="59165C81">
        <w:t xml:space="preserve">the </w:t>
      </w:r>
      <w:proofErr w:type="spellStart"/>
      <w:r w:rsidRPr="59165C81">
        <w:t>undercollection</w:t>
      </w:r>
      <w:proofErr w:type="spellEnd"/>
      <w:r w:rsidRPr="59165C81">
        <w:t xml:space="preserve"> </w:t>
      </w:r>
      <w:r w:rsidRPr="2DFF9FA3">
        <w:t xml:space="preserve">of </w:t>
      </w:r>
      <w:r w:rsidRPr="72CC2099">
        <w:t>re</w:t>
      </w:r>
      <w:r w:rsidRPr="59165C81">
        <w:t>venue</w:t>
      </w:r>
      <w:r w:rsidRPr="72CC2099">
        <w:t xml:space="preserve"> requirement for depreciation, taxes, and the return on rate</w:t>
      </w:r>
      <w:r w:rsidR="00764B2E">
        <w:t xml:space="preserve"> </w:t>
      </w:r>
      <w:r w:rsidRPr="72CC2099">
        <w:t xml:space="preserve">base for capital assets placed into service </w:t>
      </w:r>
      <w:r w:rsidRPr="2DFF9FA3">
        <w:t>from 2019 to 2022</w:t>
      </w:r>
      <w:r w:rsidRPr="26D7ABF7">
        <w:rPr>
          <w:b/>
        </w:rPr>
        <w:t xml:space="preserve"> </w:t>
      </w:r>
      <w:r w:rsidRPr="2DFF9FA3">
        <w:t xml:space="preserve">through </w:t>
      </w:r>
      <w:r w:rsidRPr="72CC2099">
        <w:t xml:space="preserve">the period from 2023 to 2027, </w:t>
      </w:r>
      <w:r w:rsidRPr="3CB917D8">
        <w:t>totaling $774.3 million.</w:t>
      </w:r>
      <w:r w:rsidRPr="73E4AAD3">
        <w:rPr>
          <w:rStyle w:val="FootnoteReference"/>
          <w:bCs/>
        </w:rPr>
        <w:footnoteReference w:id="3"/>
      </w:r>
    </w:p>
    <w:p w:rsidR="007253C8" w:rsidP="007253C8" w:rsidRDefault="007253C8" w14:paraId="717EA685" w14:textId="742C10D5">
      <w:pPr>
        <w:pStyle w:val="Standard"/>
      </w:pPr>
      <w:r w:rsidRPr="4CC2C7F1">
        <w:t xml:space="preserve">This decision </w:t>
      </w:r>
      <w:r w:rsidRPr="08DAFECC">
        <w:t xml:space="preserve">finds unreasonable and </w:t>
      </w:r>
      <w:r w:rsidRPr="4CC2C7F1">
        <w:t xml:space="preserve">disallows </w:t>
      </w:r>
      <w:r w:rsidR="006D144B">
        <w:t>$</w:t>
      </w:r>
      <w:r w:rsidR="00E0212B">
        <w:t>20</w:t>
      </w:r>
      <w:r w:rsidR="00E2084A">
        <w:t>6.140</w:t>
      </w:r>
      <w:r w:rsidRPr="4CC2C7F1">
        <w:t xml:space="preserve"> million in O&amp;M costs and </w:t>
      </w:r>
      <w:r w:rsidR="0058395A">
        <w:t>$</w:t>
      </w:r>
      <w:r w:rsidR="009743E7">
        <w:t>24</w:t>
      </w:r>
      <w:r w:rsidR="00E2084A">
        <w:t>2.467</w:t>
      </w:r>
      <w:r w:rsidR="0058395A">
        <w:t xml:space="preserve"> </w:t>
      </w:r>
      <w:r w:rsidRPr="4CC2C7F1">
        <w:t>million in capital expenditures</w:t>
      </w:r>
      <w:r>
        <w:t>.</w:t>
      </w:r>
      <w:r>
        <w:rPr>
          <w:rStyle w:val="FootnoteReference"/>
        </w:rPr>
        <w:footnoteReference w:id="4"/>
      </w:r>
      <w:r>
        <w:t xml:space="preserve"> </w:t>
      </w:r>
      <w:r w:rsidR="0048709F">
        <w:t xml:space="preserve">These numbers include the cost of drone inspection and repair costs. The Commission defers the determination of the authorization of these costs until Track 3 of this proceeding. </w:t>
      </w:r>
      <w:r>
        <w:t xml:space="preserve">The Commission approves </w:t>
      </w:r>
      <w:r w:rsidRPr="4CC2C7F1">
        <w:t>the balance requested of $</w:t>
      </w:r>
      <w:r w:rsidR="00654C38">
        <w:t>7</w:t>
      </w:r>
      <w:r w:rsidR="00D737ED">
        <w:t>7.86</w:t>
      </w:r>
      <w:r w:rsidRPr="4CC2C7F1">
        <w:t xml:space="preserve"> million</w:t>
      </w:r>
      <w:r w:rsidR="00710804">
        <w:t xml:space="preserve"> </w:t>
      </w:r>
      <w:r w:rsidRPr="4CC2C7F1">
        <w:t>in O&amp;M expenses and $</w:t>
      </w:r>
      <w:r w:rsidR="003F3C8E">
        <w:t>945.</w:t>
      </w:r>
      <w:r w:rsidR="004918E0">
        <w:t>533</w:t>
      </w:r>
      <w:r w:rsidRPr="4CC2C7F1">
        <w:t xml:space="preserve"> million</w:t>
      </w:r>
      <w:r w:rsidR="00CF0D38">
        <w:t xml:space="preserve"> </w:t>
      </w:r>
      <w:r w:rsidRPr="4CC2C7F1">
        <w:t>in capital expenditures</w:t>
      </w:r>
      <w:r>
        <w:t>.</w:t>
      </w:r>
      <w:r>
        <w:rPr>
          <w:rStyle w:val="FootnoteReference"/>
        </w:rPr>
        <w:footnoteReference w:id="5"/>
      </w:r>
      <w:r>
        <w:t xml:space="preserve"> The Commission finds </w:t>
      </w:r>
      <w:r>
        <w:lastRenderedPageBreak/>
        <w:t xml:space="preserve">these costs to be reasonable, </w:t>
      </w:r>
      <w:r w:rsidRPr="363FA53B">
        <w:rPr>
          <w:rFonts w:eastAsia="Book Antiqua" w:cs="Book Antiqua"/>
        </w:rPr>
        <w:t>critical investments in wildfire mitigation required by legislation to reduce wildfire risk</w:t>
      </w:r>
      <w:r w:rsidRPr="4CC2C7F1">
        <w:t xml:space="preserve">. </w:t>
      </w:r>
    </w:p>
    <w:p w:rsidR="007253C8" w:rsidP="007253C8" w:rsidRDefault="007253C8" w14:paraId="22C73687" w14:textId="77777777">
      <w:pPr>
        <w:pStyle w:val="Standard"/>
      </w:pPr>
      <w:r>
        <w:t>T</w:t>
      </w:r>
      <w:r w:rsidRPr="3CB917D8">
        <w:t>ables 1 and 2 below detail the costs approved and disallowed by initiative or program.</w:t>
      </w:r>
    </w:p>
    <w:p w:rsidRPr="00D166DC" w:rsidR="007253C8" w:rsidP="007253C8" w:rsidRDefault="007253C8" w14:paraId="4F839669" w14:textId="77777777">
      <w:pPr>
        <w:pStyle w:val="main0"/>
        <w:ind w:firstLine="0"/>
        <w:rPr>
          <w:rFonts w:ascii="Book Antiqua" w:hAnsi="Book Antiqua"/>
          <w:bCs/>
        </w:rPr>
      </w:pPr>
      <w:r w:rsidRPr="00D166DC">
        <w:rPr>
          <w:rFonts w:ascii="Book Antiqua" w:hAnsi="Book Antiqua"/>
          <w:bCs/>
        </w:rPr>
        <w:t>Table 1</w:t>
      </w:r>
    </w:p>
    <w:p w:rsidR="007253C8" w:rsidP="007253C8" w:rsidRDefault="007253C8" w14:paraId="062E0AEC" w14:textId="77777777">
      <w:pPr>
        <w:pStyle w:val="main0"/>
        <w:ind w:firstLine="0"/>
        <w:rPr>
          <w:rFonts w:ascii="Book Antiqua" w:hAnsi="Book Antiqua"/>
          <w:b w:val="0"/>
        </w:rPr>
      </w:pPr>
      <w:r>
        <w:rPr>
          <w:rFonts w:ascii="Book Antiqua" w:hAnsi="Book Antiqua"/>
          <w:b w:val="0"/>
        </w:rPr>
        <w:t xml:space="preserve">Capital </w:t>
      </w:r>
      <w:r w:rsidRPr="005F6EBA">
        <w:rPr>
          <w:rFonts w:ascii="Book Antiqua" w:hAnsi="Book Antiqua"/>
          <w:b w:val="0"/>
        </w:rPr>
        <w:t>Requests, Reductions, and Authorizations ($000)</w:t>
      </w:r>
    </w:p>
    <w:p w:rsidR="007253C8" w:rsidP="007253C8" w:rsidRDefault="007253C8" w14:paraId="2F65ABDE" w14:textId="77777777">
      <w:pPr>
        <w:pStyle w:val="main0"/>
        <w:ind w:firstLine="0"/>
        <w:jc w:val="left"/>
        <w:rPr>
          <w:rFonts w:ascii="Book Antiqua" w:hAnsi="Book Antiqua"/>
          <w:b w:val="0"/>
        </w:rPr>
      </w:pPr>
    </w:p>
    <w:tbl>
      <w:tblPr>
        <w:tblW w:w="4110" w:type="pct"/>
        <w:tblLook w:val="0000" w:firstRow="0" w:lastRow="0" w:firstColumn="0" w:lastColumn="0" w:noHBand="0" w:noVBand="0"/>
      </w:tblPr>
      <w:tblGrid>
        <w:gridCol w:w="2310"/>
        <w:gridCol w:w="1420"/>
        <w:gridCol w:w="1399"/>
        <w:gridCol w:w="1191"/>
        <w:gridCol w:w="1399"/>
        <w:gridCol w:w="1574"/>
      </w:tblGrid>
      <w:tr w:rsidRPr="000A03AD" w:rsidR="00B23B73" w:rsidTr="00301BD8" w14:paraId="106C115A" w14:textId="77777777">
        <w:trPr>
          <w:cantSplit/>
          <w:trHeight w:val="900"/>
          <w:tblHeader/>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A7F3CF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Initiative</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E5296F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 xml:space="preserve">Direct Costs (DC) Requested </w:t>
            </w:r>
          </w:p>
          <w:p w:rsidRPr="000A03AD" w:rsidR="007253C8" w:rsidP="00301BD8" w:rsidRDefault="007253C8" w14:paraId="317737C9"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5A3E59F"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 xml:space="preserve">DC Reduction </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BACE92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Indirect Costs (IC)</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379D96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 xml:space="preserve">IC Reduction </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4955860"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 xml:space="preserve">Authorized </w:t>
            </w:r>
          </w:p>
        </w:tc>
      </w:tr>
      <w:tr w:rsidRPr="000A03AD" w:rsidR="00B23B73" w:rsidTr="00301BD8" w14:paraId="5CB3E574" w14:textId="77777777">
        <w:trPr>
          <w:cantSplit/>
          <w:trHeight w:val="32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CE25F32"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Circuit Ownership</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36ACF2A"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$713</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39A5B78"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$713</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40EEB35F" w14:textId="598EAA6C">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p>
          <w:p w:rsidRPr="000A03AD" w:rsidR="00AE1F04" w:rsidP="00301BD8" w:rsidRDefault="00AE1F04" w14:paraId="73B3E2EE" w14:textId="4F118EEC">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43AB385C" w14:textId="512CD291">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p>
          <w:p w:rsidRPr="000A03AD" w:rsidR="00AE1F04" w:rsidP="00301BD8" w:rsidRDefault="00AE1F04" w14:paraId="5715CA95" w14:textId="563DA124">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A09955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324B5FE3"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C7676DE" w14:textId="26191E83">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Detailed Inspections of Dist</w:t>
            </w:r>
            <w:r w:rsidR="009E10AB">
              <w:rPr>
                <w:rFonts w:eastAsia="MS Mincho" w:cs="Times New Roman"/>
                <w:color w:val="000000"/>
                <w:szCs w:val="26"/>
              </w:rPr>
              <w:t>ribution</w:t>
            </w:r>
            <w:r w:rsidRPr="000A03AD">
              <w:rPr>
                <w:rFonts w:eastAsia="MS Mincho" w:cs="Times New Roman"/>
                <w:color w:val="000000"/>
                <w:szCs w:val="26"/>
              </w:rPr>
              <w:t xml:space="preserve"> Equip</w:t>
            </w:r>
            <w:r w:rsidR="009E10AB">
              <w:rPr>
                <w:rFonts w:eastAsia="MS Mincho" w:cs="Times New Roman"/>
                <w:color w:val="000000"/>
                <w:szCs w:val="26"/>
              </w:rPr>
              <w:t>ment</w:t>
            </w:r>
            <w:r w:rsidRPr="000A03AD">
              <w:rPr>
                <w:rFonts w:eastAsia="MS Mincho" w:cs="Times New Roman"/>
                <w:color w:val="000000"/>
                <w:szCs w:val="26"/>
              </w:rPr>
              <w:t>.</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7BB19C8"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$6,383</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FD906AB"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3E18F0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$31,000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F38251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7F44D6F"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$37,382</w:t>
            </w:r>
          </w:p>
        </w:tc>
      </w:tr>
      <w:tr w:rsidRPr="000A03AD" w:rsidR="00B23B73" w:rsidTr="00301BD8" w14:paraId="4CE4E9B0"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0AA42A9" w14:textId="647DB853">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Detailed Inspections of Dist</w:t>
            </w:r>
            <w:r w:rsidR="009E10AB">
              <w:rPr>
                <w:rFonts w:eastAsia="MS Mincho" w:cs="Times New Roman"/>
                <w:color w:val="000000"/>
                <w:szCs w:val="26"/>
              </w:rPr>
              <w:t>ribution</w:t>
            </w:r>
            <w:r w:rsidRPr="000A03AD">
              <w:rPr>
                <w:rFonts w:eastAsia="MS Mincho" w:cs="Times New Roman"/>
                <w:color w:val="000000"/>
                <w:szCs w:val="26"/>
              </w:rPr>
              <w:t xml:space="preserve"> </w:t>
            </w:r>
            <w:proofErr w:type="spellStart"/>
            <w:r w:rsidRPr="000A03AD">
              <w:rPr>
                <w:rFonts w:eastAsia="MS Mincho" w:cs="Times New Roman"/>
                <w:color w:val="000000"/>
                <w:szCs w:val="26"/>
              </w:rPr>
              <w:t>Underbuild</w:t>
            </w:r>
            <w:proofErr w:type="spellEnd"/>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ECC13E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$225</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6245BD6"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$225</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BE3EF3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$1,684</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25C0B7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$146</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0306D7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$1,538</w:t>
            </w:r>
          </w:p>
        </w:tc>
      </w:tr>
      <w:tr w:rsidRPr="000A03AD" w:rsidR="00B23B73" w:rsidTr="00301BD8" w14:paraId="78FBA803"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4E5F542"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Drone Assessments of Dist. Infrastructure</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4FEA32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$80,809</w:t>
            </w:r>
          </w:p>
        </w:tc>
        <w:tc>
          <w:tcPr>
            <w:tcW w:w="602"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22274697" w14:textId="3F96DCA4">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p>
          <w:p w:rsidRPr="000A03AD" w:rsidR="00CC2D85" w:rsidP="00301BD8" w:rsidRDefault="00CC2D85" w14:paraId="37C67952" w14:textId="5231BB39">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Pr>
                <w:rFonts w:eastAsia="MS Mincho" w:cs="Times New Roman"/>
                <w:color w:val="000000"/>
                <w:szCs w:val="26"/>
              </w:rPr>
              <w:t>$80,809</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4290A5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$9,150</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02B25687" w14:textId="199B62DC">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p>
          <w:p w:rsidRPr="000A03AD" w:rsidR="000952BE" w:rsidP="00301BD8" w:rsidRDefault="000952BE" w14:paraId="457DA2DD" w14:textId="61DA526D">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Pr>
                <w:rFonts w:eastAsia="MS Mincho" w:cs="Times New Roman"/>
                <w:color w:val="000000"/>
                <w:szCs w:val="26"/>
              </w:rPr>
              <w:t>$9,150</w:t>
            </w:r>
          </w:p>
        </w:tc>
        <w:tc>
          <w:tcPr>
            <w:tcW w:w="615"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265A009F" w14:textId="792C5F3F">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p>
          <w:p w:rsidRPr="000A03AD" w:rsidR="00B472A2" w:rsidP="00301BD8" w:rsidRDefault="00B472A2" w14:paraId="7FDDBF2A" w14:textId="2B3D63B5">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Pr>
                <w:rFonts w:eastAsia="MS Mincho" w:cs="Times New Roman"/>
                <w:b/>
                <w:bCs/>
                <w:color w:val="000000"/>
                <w:szCs w:val="26"/>
              </w:rPr>
              <w:t>$0</w:t>
            </w:r>
          </w:p>
        </w:tc>
      </w:tr>
      <w:tr w:rsidRPr="000A03AD" w:rsidR="00B23B73" w:rsidTr="00301BD8" w14:paraId="0CEC1C99"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96981BC" w14:textId="7A4E579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HFTD</w:t>
            </w:r>
            <w:r w:rsidR="009E10AB">
              <w:rPr>
                <w:rStyle w:val="FootnoteReference"/>
                <w:rFonts w:eastAsia="MS Mincho" w:cs="Times New Roman"/>
                <w:color w:val="000000"/>
                <w:szCs w:val="26"/>
              </w:rPr>
              <w:footnoteReference w:id="6"/>
            </w:r>
            <w:r w:rsidRPr="000A03AD">
              <w:rPr>
                <w:rFonts w:eastAsia="MS Mincho" w:cs="Times New Roman"/>
                <w:color w:val="000000"/>
                <w:szCs w:val="26"/>
              </w:rPr>
              <w:t xml:space="preserve"> Tier 3 Inspections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FA2F2E0"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$3,111</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94C2C3A"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$3,111</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A499764"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$7,478</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441CDF0"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$2,597</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B865EB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$4,882</w:t>
            </w:r>
          </w:p>
        </w:tc>
      </w:tr>
      <w:tr w:rsidRPr="000A03AD" w:rsidR="00B23B73" w:rsidTr="00301BD8" w14:paraId="309BA807"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911E110" w14:textId="7555C664">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Infrared Inspections of Dist</w:t>
            </w:r>
            <w:r w:rsidR="009E10AB">
              <w:rPr>
                <w:rFonts w:eastAsia="MS Mincho" w:cs="Times New Roman"/>
                <w:color w:val="000000"/>
                <w:szCs w:val="26"/>
              </w:rPr>
              <w:t>ribution</w:t>
            </w:r>
            <w:r w:rsidRPr="000A03AD">
              <w:rPr>
                <w:rFonts w:eastAsia="MS Mincho" w:cs="Times New Roman"/>
                <w:color w:val="000000"/>
                <w:szCs w:val="26"/>
              </w:rPr>
              <w:t xml:space="preserve"> Infrastructure</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DF40798"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5D41176"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3AE9B0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C7E607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74797EA"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63E687CF"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E89DAF9"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lastRenderedPageBreak/>
              <w:t>Intrusive Pole Inspections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9A278C4"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$2,064</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8FFF024"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DAC4F00"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$4,250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65F762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743ECF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$6,314</w:t>
            </w:r>
          </w:p>
        </w:tc>
      </w:tr>
      <w:tr w:rsidRPr="000A03AD" w:rsidR="00B23B73" w:rsidTr="00301BD8" w14:paraId="62BE9D7A"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DF5065D" w14:textId="4886C349">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Patrol Inspections of Dist</w:t>
            </w:r>
            <w:r w:rsidR="009E10AB">
              <w:rPr>
                <w:rFonts w:eastAsia="MS Mincho" w:cs="Times New Roman"/>
                <w:color w:val="000000"/>
                <w:szCs w:val="26"/>
              </w:rPr>
              <w:t>ribution</w:t>
            </w:r>
            <w:r w:rsidRPr="000A03AD">
              <w:rPr>
                <w:rFonts w:eastAsia="MS Mincho" w:cs="Times New Roman"/>
                <w:color w:val="000000"/>
                <w:szCs w:val="26"/>
              </w:rPr>
              <w:t xml:space="preserve"> Equipment</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C01E26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$927</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F580B65"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$927</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FBA0A70"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$3,364</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F2F6858"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$774</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8C2C2F8"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$2,591</w:t>
            </w:r>
          </w:p>
        </w:tc>
      </w:tr>
      <w:tr w:rsidRPr="000A03AD" w:rsidR="00B23B73" w:rsidTr="00301BD8" w14:paraId="72736C23"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9E10AB" w14:paraId="45AC350D" w14:textId="453A3A3D">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Pr>
                <w:rFonts w:eastAsia="MS Mincho" w:cs="Times New Roman"/>
                <w:i/>
                <w:iCs/>
                <w:color w:val="000000"/>
                <w:szCs w:val="26"/>
              </w:rPr>
              <w:t>AM&amp;I</w:t>
            </w:r>
            <w:r w:rsidR="00E70A3F">
              <w:rPr>
                <w:rStyle w:val="FootnoteReference"/>
                <w:rFonts w:eastAsia="MS Mincho" w:cs="Times New Roman"/>
                <w:i/>
                <w:iCs/>
                <w:color w:val="000000"/>
                <w:szCs w:val="26"/>
              </w:rPr>
              <w:footnoteReference w:id="7"/>
            </w:r>
            <w:r w:rsidRPr="000A03AD" w:rsidR="007253C8">
              <w:rPr>
                <w:rFonts w:eastAsia="MS Mincho" w:cs="Times New Roman"/>
                <w:i/>
                <w:iCs/>
                <w:color w:val="000000"/>
                <w:szCs w:val="26"/>
              </w:rPr>
              <w:t xml:space="preserve"> Total</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A7C047E"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$94,233</w:t>
            </w:r>
          </w:p>
        </w:tc>
        <w:tc>
          <w:tcPr>
            <w:tcW w:w="602"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7B6460CF" w14:textId="364EDF1C">
            <w:pPr>
              <w:autoSpaceDE w:val="0"/>
              <w:autoSpaceDN w:val="0"/>
              <w:adjustRightInd w:val="0"/>
              <w:spacing w:before="100" w:beforeAutospacing="1" w:after="100" w:afterAutospacing="1" w:line="240" w:lineRule="auto"/>
              <w:ind w:firstLine="12"/>
              <w:contextualSpacing/>
              <w:jc w:val="center"/>
              <w:rPr>
                <w:rFonts w:eastAsia="MS Mincho" w:cs="Times New Roman"/>
                <w:i/>
                <w:iCs/>
                <w:color w:val="000000"/>
                <w:szCs w:val="26"/>
              </w:rPr>
            </w:pPr>
          </w:p>
          <w:p w:rsidRPr="000A03AD" w:rsidR="00E278D8" w:rsidP="00301BD8" w:rsidRDefault="00E278D8" w14:paraId="02C54EA3" w14:textId="694C6EE5">
            <w:pPr>
              <w:autoSpaceDE w:val="0"/>
              <w:autoSpaceDN w:val="0"/>
              <w:adjustRightInd w:val="0"/>
              <w:spacing w:before="100" w:beforeAutospacing="1" w:after="100" w:afterAutospacing="1" w:line="240" w:lineRule="auto"/>
              <w:ind w:firstLine="12"/>
              <w:contextualSpacing/>
              <w:jc w:val="center"/>
              <w:rPr>
                <w:rFonts w:eastAsia="MS Mincho" w:cs="Times New Roman"/>
                <w:i/>
                <w:iCs/>
                <w:color w:val="000000"/>
                <w:szCs w:val="26"/>
              </w:rPr>
            </w:pPr>
            <w:r>
              <w:rPr>
                <w:rFonts w:eastAsia="MS Mincho" w:cs="Times New Roman"/>
                <w:i/>
                <w:iCs/>
                <w:color w:val="000000"/>
                <w:szCs w:val="26"/>
              </w:rPr>
              <w:t>$85,</w:t>
            </w:r>
            <w:r w:rsidR="00E65EBE">
              <w:rPr>
                <w:rFonts w:eastAsia="MS Mincho" w:cs="Times New Roman"/>
                <w:i/>
                <w:iCs/>
                <w:color w:val="000000"/>
                <w:szCs w:val="26"/>
              </w:rPr>
              <w:t>785</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2C7141C5" w14:textId="0AD20C51">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p>
          <w:p w:rsidRPr="000A03AD" w:rsidR="000739E0" w:rsidP="00301BD8" w:rsidRDefault="000739E0" w14:paraId="6666763D" w14:textId="4419CEFC">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Pr>
                <w:rFonts w:eastAsia="MS Mincho" w:cs="Times New Roman"/>
                <w:i/>
                <w:iCs/>
                <w:color w:val="000000"/>
                <w:szCs w:val="26"/>
              </w:rPr>
              <w:t>$56,</w:t>
            </w:r>
            <w:r w:rsidR="00022602">
              <w:rPr>
                <w:rFonts w:eastAsia="MS Mincho" w:cs="Times New Roman"/>
                <w:i/>
                <w:iCs/>
                <w:color w:val="000000"/>
                <w:szCs w:val="26"/>
              </w:rPr>
              <w:t>926</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693A9396" w14:textId="372F3C6B">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p>
          <w:p w:rsidRPr="000A03AD" w:rsidR="00022602" w:rsidP="00301BD8" w:rsidRDefault="00022602" w14:paraId="03D2F6C1" w14:textId="19F4F30B">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Pr>
                <w:rFonts w:eastAsia="MS Mincho" w:cs="Times New Roman"/>
                <w:i/>
                <w:iCs/>
                <w:color w:val="000000"/>
                <w:szCs w:val="26"/>
              </w:rPr>
              <w:t>$12,666</w:t>
            </w:r>
          </w:p>
        </w:tc>
        <w:tc>
          <w:tcPr>
            <w:tcW w:w="615"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6F395D34" w14:textId="2A2DA92B">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p>
          <w:p w:rsidRPr="000A03AD" w:rsidR="00022602" w:rsidP="00301BD8" w:rsidRDefault="00022602" w14:paraId="4F510681" w14:textId="4308DD2D">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Pr>
                <w:rFonts w:eastAsia="MS Mincho" w:cs="Times New Roman"/>
                <w:b/>
                <w:bCs/>
                <w:i/>
                <w:iCs/>
                <w:color w:val="000000"/>
                <w:szCs w:val="26"/>
              </w:rPr>
              <w:t>$52,707</w:t>
            </w:r>
          </w:p>
        </w:tc>
      </w:tr>
      <w:tr w:rsidRPr="000A03AD" w:rsidR="00B23B73" w:rsidTr="00301BD8" w14:paraId="6B9F7A55"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1085C6C"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Centralized Repository for Data</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8CE6FAE"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$35,742</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29F34E3"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$35,742</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24160C2B" w14:textId="34BF975C">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p>
          <w:p w:rsidRPr="000A03AD" w:rsidR="008D7A45" w:rsidP="00301BD8" w:rsidRDefault="008D7A45" w14:paraId="20BCB7AB" w14:textId="0B57C345">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Pr>
                <w:rFonts w:eastAsia="MS Mincho" w:cs="Times New Roman"/>
                <w:color w:val="000000"/>
                <w:szCs w:val="26"/>
              </w:rPr>
              <w:t>$3,453</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22D69D96" w14:textId="351E7BDD">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p>
          <w:p w:rsidRPr="000A03AD" w:rsidR="008D7A45" w:rsidP="00301BD8" w:rsidRDefault="008D7A45" w14:paraId="02DECE60" w14:textId="3DC57849">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Pr>
                <w:rFonts w:eastAsia="MS Mincho" w:cs="Times New Roman"/>
                <w:color w:val="000000"/>
                <w:szCs w:val="26"/>
              </w:rPr>
              <w:t>$3,453</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89FF5A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7236175F"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024F2FB"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Document. &amp; Disclosure</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48A7AC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$8,714</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F95C85D"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$8,714</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71EA2EF9" w14:textId="6D82A626">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p>
          <w:p w:rsidRPr="000A03AD" w:rsidR="00DB1867" w:rsidP="00301BD8" w:rsidRDefault="00DB1867" w14:paraId="403472F9" w14:textId="12B2E53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Pr>
                <w:rFonts w:eastAsia="MS Mincho" w:cs="Times New Roman"/>
                <w:color w:val="000000"/>
                <w:szCs w:val="26"/>
              </w:rPr>
              <w:t>$505</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090DD65C" w14:textId="482CE9FA">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p>
          <w:p w:rsidRPr="000A03AD" w:rsidR="00DB1867" w:rsidP="00301BD8" w:rsidRDefault="00DB1867" w14:paraId="372B9678" w14:textId="2414EA93">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Pr>
                <w:rFonts w:eastAsia="MS Mincho" w:cs="Times New Roman"/>
                <w:color w:val="000000"/>
                <w:szCs w:val="26"/>
              </w:rPr>
              <w:t>$505</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E385588"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5B090A38"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02B96F8" w14:textId="20148482">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D</w:t>
            </w:r>
            <w:r w:rsidR="009E10AB">
              <w:rPr>
                <w:rFonts w:eastAsia="MS Mincho" w:cs="Times New Roman"/>
                <w:i/>
                <w:iCs/>
                <w:color w:val="000000"/>
                <w:szCs w:val="26"/>
              </w:rPr>
              <w:t xml:space="preserve">ata </w:t>
            </w:r>
            <w:r w:rsidRPr="000A03AD">
              <w:rPr>
                <w:rFonts w:eastAsia="MS Mincho" w:cs="Times New Roman"/>
                <w:i/>
                <w:iCs/>
                <w:color w:val="000000"/>
                <w:szCs w:val="26"/>
              </w:rPr>
              <w:t>G</w:t>
            </w:r>
            <w:r w:rsidR="009E10AB">
              <w:rPr>
                <w:rFonts w:eastAsia="MS Mincho" w:cs="Times New Roman"/>
                <w:i/>
                <w:iCs/>
                <w:color w:val="000000"/>
                <w:szCs w:val="26"/>
              </w:rPr>
              <w:t>overnance (DG)</w:t>
            </w:r>
            <w:r w:rsidRPr="000A03AD">
              <w:rPr>
                <w:rFonts w:eastAsia="MS Mincho" w:cs="Times New Roman"/>
                <w:i/>
                <w:iCs/>
                <w:color w:val="000000"/>
                <w:szCs w:val="26"/>
              </w:rPr>
              <w:t xml:space="preserve"> Total</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34B5A8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$44,456</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CDC8386"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i/>
                <w:iCs/>
                <w:color w:val="000000"/>
                <w:szCs w:val="26"/>
              </w:rPr>
            </w:pPr>
            <w:r w:rsidRPr="000A03AD">
              <w:rPr>
                <w:rFonts w:eastAsia="MS Mincho" w:cs="Times New Roman"/>
                <w:i/>
                <w:iCs/>
                <w:color w:val="000000"/>
                <w:szCs w:val="26"/>
              </w:rPr>
              <w:t>$44,456</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2AE720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$3,958</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959B29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$3,958</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12607E0"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sidRPr="000A03AD">
              <w:rPr>
                <w:rFonts w:eastAsia="MS Mincho" w:cs="Times New Roman"/>
                <w:b/>
                <w:bCs/>
                <w:i/>
                <w:iCs/>
                <w:color w:val="000000"/>
                <w:szCs w:val="26"/>
              </w:rPr>
              <w:t>$0</w:t>
            </w:r>
          </w:p>
        </w:tc>
      </w:tr>
      <w:tr w:rsidRPr="000A03AD" w:rsidR="00B23B73" w:rsidTr="00301BD8" w14:paraId="3FAA33B2"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4D9EB47" w14:textId="6C398F5D">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CO, PA, &amp; Comm</w:t>
            </w:r>
            <w:r w:rsidR="009E10AB">
              <w:rPr>
                <w:rFonts w:eastAsia="MS Mincho" w:cs="Times New Roman"/>
                <w:color w:val="000000"/>
                <w:szCs w:val="26"/>
              </w:rPr>
              <w:t>. Effort</w:t>
            </w:r>
            <w:r w:rsidRPr="000A03AD">
              <w:rPr>
                <w:rFonts w:eastAsia="MS Mincho" w:cs="Times New Roman"/>
                <w:color w:val="000000"/>
                <w:szCs w:val="26"/>
              </w:rPr>
              <w:t>s</w:t>
            </w:r>
            <w:r w:rsidR="009E10AB">
              <w:rPr>
                <w:rStyle w:val="FootnoteReference"/>
                <w:rFonts w:eastAsia="MS Mincho" w:cs="Times New Roman"/>
                <w:color w:val="000000"/>
                <w:szCs w:val="26"/>
              </w:rPr>
              <w:footnoteReference w:id="8"/>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723A99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$7,686</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E2E7C98"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$7,686</w:t>
            </w:r>
          </w:p>
        </w:tc>
        <w:tc>
          <w:tcPr>
            <w:tcW w:w="617" w:type="pct"/>
            <w:tcBorders>
              <w:top w:val="single" w:color="auto" w:sz="6" w:space="0"/>
              <w:left w:val="single" w:color="auto" w:sz="6" w:space="0"/>
              <w:bottom w:val="single" w:color="auto" w:sz="6" w:space="0"/>
              <w:right w:val="single" w:color="auto" w:sz="6" w:space="0"/>
            </w:tcBorders>
            <w:vAlign w:val="center"/>
          </w:tcPr>
          <w:p w:rsidR="00E87C24" w:rsidP="00301BD8" w:rsidRDefault="00E87C24" w14:paraId="42256E42" w14:textId="7E19047E">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p>
          <w:p w:rsidRPr="000A03AD" w:rsidR="007253C8" w:rsidP="00301BD8" w:rsidRDefault="00E87C24" w14:paraId="086EB288" w14:textId="1F740D0D">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Pr>
                <w:rFonts w:eastAsia="MS Mincho" w:cs="Times New Roman"/>
                <w:color w:val="000000"/>
                <w:szCs w:val="26"/>
              </w:rPr>
              <w:t>$1,002</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0BA026F1" w14:textId="20CE4C76">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p>
          <w:p w:rsidRPr="000A03AD" w:rsidR="00E87C24" w:rsidP="00301BD8" w:rsidRDefault="00E87C24" w14:paraId="19C3C0AF" w14:textId="4EEEE8D4">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Pr>
                <w:rFonts w:eastAsia="MS Mincho" w:cs="Times New Roman"/>
                <w:color w:val="000000"/>
                <w:szCs w:val="26"/>
              </w:rPr>
              <w:t>$1,002</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5C3B2A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0E7ABBCF"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F8E0AE1" w14:textId="255819EB">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Emergency M</w:t>
            </w:r>
            <w:r w:rsidR="009E10AB">
              <w:rPr>
                <w:rFonts w:eastAsia="MS Mincho" w:cs="Times New Roman"/>
                <w:color w:val="000000"/>
                <w:szCs w:val="26"/>
              </w:rPr>
              <w:t>ana</w:t>
            </w:r>
            <w:r w:rsidRPr="000A03AD">
              <w:rPr>
                <w:rFonts w:eastAsia="MS Mincho" w:cs="Times New Roman"/>
                <w:color w:val="000000"/>
                <w:szCs w:val="26"/>
              </w:rPr>
              <w:t>g</w:t>
            </w:r>
            <w:r w:rsidR="009E10AB">
              <w:rPr>
                <w:rFonts w:eastAsia="MS Mincho" w:cs="Times New Roman"/>
                <w:color w:val="000000"/>
                <w:szCs w:val="26"/>
              </w:rPr>
              <w:t>e</w:t>
            </w:r>
            <w:r w:rsidRPr="000A03AD">
              <w:rPr>
                <w:rFonts w:eastAsia="MS Mincho" w:cs="Times New Roman"/>
                <w:color w:val="000000"/>
                <w:szCs w:val="26"/>
              </w:rPr>
              <w:t>m</w:t>
            </w:r>
            <w:r w:rsidR="009E10AB">
              <w:rPr>
                <w:rFonts w:eastAsia="MS Mincho" w:cs="Times New Roman"/>
                <w:color w:val="000000"/>
                <w:szCs w:val="26"/>
              </w:rPr>
              <w:t>ent</w:t>
            </w:r>
            <w:r w:rsidRPr="000A03AD">
              <w:rPr>
                <w:rFonts w:eastAsia="MS Mincho" w:cs="Times New Roman"/>
                <w:color w:val="000000"/>
                <w:szCs w:val="26"/>
              </w:rPr>
              <w:t xml:space="preserve"> Operations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744441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($5,237)</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0F3EA0F"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8672FE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9A533F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1C85BE8"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($5,237)</w:t>
            </w:r>
          </w:p>
        </w:tc>
      </w:tr>
      <w:tr w:rsidRPr="000A03AD" w:rsidR="00B23B73" w:rsidTr="00301BD8" w14:paraId="63F3169E"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9E10AB" w14:paraId="1583B697" w14:textId="24359A69">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Pr>
                <w:rFonts w:eastAsia="MS Mincho" w:cs="Times New Roman"/>
                <w:i/>
                <w:iCs/>
                <w:color w:val="000000"/>
                <w:szCs w:val="26"/>
              </w:rPr>
              <w:t xml:space="preserve">Emergency </w:t>
            </w:r>
            <w:r w:rsidRPr="000A03AD" w:rsidR="007253C8">
              <w:rPr>
                <w:rFonts w:eastAsia="MS Mincho" w:cs="Times New Roman"/>
                <w:i/>
                <w:iCs/>
                <w:color w:val="000000"/>
                <w:szCs w:val="26"/>
              </w:rPr>
              <w:t>P</w:t>
            </w:r>
            <w:r>
              <w:rPr>
                <w:rFonts w:eastAsia="MS Mincho" w:cs="Times New Roman"/>
                <w:i/>
                <w:iCs/>
                <w:color w:val="000000"/>
                <w:szCs w:val="26"/>
              </w:rPr>
              <w:t xml:space="preserve">lanning </w:t>
            </w:r>
            <w:r w:rsidRPr="000A03AD" w:rsidR="007253C8">
              <w:rPr>
                <w:rFonts w:eastAsia="MS Mincho" w:cs="Times New Roman"/>
                <w:i/>
                <w:iCs/>
                <w:color w:val="000000"/>
                <w:szCs w:val="26"/>
              </w:rPr>
              <w:t>&amp;</w:t>
            </w:r>
            <w:r>
              <w:rPr>
                <w:rFonts w:eastAsia="MS Mincho" w:cs="Times New Roman"/>
                <w:i/>
                <w:iCs/>
                <w:color w:val="000000"/>
                <w:szCs w:val="26"/>
              </w:rPr>
              <w:t xml:space="preserve"> P</w:t>
            </w:r>
            <w:r w:rsidR="00C8291A">
              <w:rPr>
                <w:rFonts w:eastAsia="MS Mincho" w:cs="Times New Roman"/>
                <w:i/>
                <w:iCs/>
                <w:color w:val="000000"/>
                <w:szCs w:val="26"/>
              </w:rPr>
              <w:t>reparedness (EP&amp;P</w:t>
            </w:r>
            <w:r w:rsidR="000C7F56">
              <w:rPr>
                <w:rFonts w:eastAsia="MS Mincho" w:cs="Times New Roman"/>
                <w:i/>
                <w:iCs/>
                <w:color w:val="000000"/>
                <w:szCs w:val="26"/>
              </w:rPr>
              <w:t>)</w:t>
            </w:r>
            <w:r w:rsidRPr="000A03AD" w:rsidR="007253C8">
              <w:rPr>
                <w:rFonts w:eastAsia="MS Mincho" w:cs="Times New Roman"/>
                <w:i/>
                <w:iCs/>
                <w:color w:val="000000"/>
                <w:szCs w:val="26"/>
              </w:rPr>
              <w:t xml:space="preserve"> Total</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9006FC8"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$2,449</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0CD3CF3"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i/>
                <w:iCs/>
                <w:color w:val="000000"/>
                <w:szCs w:val="26"/>
              </w:rPr>
            </w:pPr>
            <w:r w:rsidRPr="000A03AD">
              <w:rPr>
                <w:rFonts w:eastAsia="MS Mincho" w:cs="Times New Roman"/>
                <w:i/>
                <w:iCs/>
                <w:color w:val="000000"/>
                <w:szCs w:val="26"/>
              </w:rPr>
              <w:t>$7,686</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346309B6" w14:textId="3FE7180D">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p>
          <w:p w:rsidRPr="000A03AD" w:rsidR="00B70F20" w:rsidP="00301BD8" w:rsidRDefault="00B70F20" w14:paraId="7CA80254" w14:textId="5EAB9878">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Pr>
                <w:rFonts w:eastAsia="MS Mincho" w:cs="Times New Roman"/>
                <w:i/>
                <w:iCs/>
                <w:color w:val="000000"/>
                <w:szCs w:val="26"/>
              </w:rPr>
              <w:t>$1,002</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6F0F4032" w14:textId="1F926FBC">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p>
          <w:p w:rsidRPr="000A03AD" w:rsidR="00B70F20" w:rsidP="00301BD8" w:rsidRDefault="00B70F20" w14:paraId="546E385E" w14:textId="36FDAAFD">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Pr>
                <w:rFonts w:eastAsia="MS Mincho" w:cs="Times New Roman"/>
                <w:i/>
                <w:iCs/>
                <w:color w:val="000000"/>
                <w:szCs w:val="26"/>
              </w:rPr>
              <w:t>$1,002</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3753EB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sidRPr="000A03AD">
              <w:rPr>
                <w:rFonts w:eastAsia="MS Mincho" w:cs="Times New Roman"/>
                <w:b/>
                <w:bCs/>
                <w:i/>
                <w:iCs/>
                <w:color w:val="000000"/>
                <w:szCs w:val="26"/>
              </w:rPr>
              <w:t>($5,237)</w:t>
            </w:r>
          </w:p>
        </w:tc>
      </w:tr>
      <w:tr w:rsidRPr="000A03AD" w:rsidR="00B23B73" w:rsidTr="00301BD8" w14:paraId="0C83137B"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FB79113"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Advanced Protection</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045726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($7,267)</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3428D7E"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$82</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B3AFDD4"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$21,188</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1288CC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$35</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BAE65C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$13,805</w:t>
            </w:r>
          </w:p>
        </w:tc>
      </w:tr>
      <w:tr w:rsidRPr="000A03AD" w:rsidR="00B23B73" w:rsidTr="00301BD8" w14:paraId="34434FC9"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B8F1227"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Avian Mitigation</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AB82C0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($1,852)</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67EA5F1"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3B109B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$2,219</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9CF3C7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E4EE8B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$368</w:t>
            </w:r>
          </w:p>
        </w:tc>
      </w:tr>
      <w:tr w:rsidRPr="000A03AD" w:rsidR="00B23B73" w:rsidTr="00301BD8" w14:paraId="037FFFBE"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558A39F"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Cleveland National Forest Fire Hardening</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489B6D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$64,440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23768A3"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2B6009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$27,251</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B4196B7"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E3FDFF8"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$91,691</w:t>
            </w:r>
          </w:p>
        </w:tc>
      </w:tr>
      <w:tr w:rsidRPr="000A03AD" w:rsidR="00B23B73" w:rsidTr="00301BD8" w14:paraId="3E33A765"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462A29" w14:paraId="6082DCE9" w14:textId="773DCC82">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Pr>
                <w:rFonts w:eastAsia="MS Mincho" w:cs="Times New Roman"/>
                <w:color w:val="000000"/>
                <w:szCs w:val="26"/>
              </w:rPr>
              <w:lastRenderedPageBreak/>
              <w:t>Covered Conductor</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761BC0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$136,496</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B7702CE"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$25,959</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FB35D6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$29,322</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0677444C" w14:textId="4FD53DF0">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p>
          <w:p w:rsidRPr="000A03AD" w:rsidR="00A9082F" w:rsidP="00301BD8" w:rsidRDefault="00A9082F" w14:paraId="5F12CD3F" w14:textId="14F9951F">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Pr>
                <w:rFonts w:eastAsia="MS Mincho" w:cs="Times New Roman"/>
                <w:color w:val="000000"/>
                <w:szCs w:val="26"/>
              </w:rPr>
              <w:t>$</w:t>
            </w:r>
            <w:r w:rsidR="001578DB">
              <w:rPr>
                <w:rFonts w:eastAsia="MS Mincho" w:cs="Times New Roman"/>
                <w:color w:val="000000"/>
                <w:szCs w:val="26"/>
              </w:rPr>
              <w:t>5,577</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F58D6C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$134,282</w:t>
            </w:r>
          </w:p>
        </w:tc>
      </w:tr>
      <w:tr w:rsidRPr="000A03AD" w:rsidR="00B23B73" w:rsidTr="00301BD8" w14:paraId="17D8CD0D"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EA99C24" w14:textId="37425744">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Dist</w:t>
            </w:r>
            <w:r w:rsidR="00C8291A">
              <w:rPr>
                <w:rFonts w:eastAsia="MS Mincho" w:cs="Times New Roman"/>
                <w:color w:val="000000"/>
                <w:szCs w:val="26"/>
              </w:rPr>
              <w:t>ribution,</w:t>
            </w:r>
            <w:r w:rsidRPr="000A03AD">
              <w:rPr>
                <w:rFonts w:eastAsia="MS Mincho" w:cs="Times New Roman"/>
                <w:color w:val="000000"/>
                <w:szCs w:val="26"/>
              </w:rPr>
              <w:t xml:space="preserve"> Comm</w:t>
            </w:r>
            <w:r w:rsidR="00C8291A">
              <w:rPr>
                <w:rFonts w:eastAsia="MS Mincho" w:cs="Times New Roman"/>
                <w:color w:val="000000"/>
                <w:szCs w:val="26"/>
              </w:rPr>
              <w:t>unication</w:t>
            </w:r>
            <w:r w:rsidRPr="000A03AD">
              <w:rPr>
                <w:rFonts w:eastAsia="MS Mincho" w:cs="Times New Roman"/>
                <w:color w:val="000000"/>
                <w:szCs w:val="26"/>
              </w:rPr>
              <w:t xml:space="preserve"> Reliability Improvements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BD7F1B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$42,622</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6619F47"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A282270"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$21,686</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0BDECA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12C342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$64,307</w:t>
            </w:r>
          </w:p>
        </w:tc>
      </w:tr>
      <w:tr w:rsidRPr="000A03AD" w:rsidR="00B23B73" w:rsidTr="00301BD8" w14:paraId="34A9AAC8"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33F3740" w14:textId="42B5F455">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Distribution O</w:t>
            </w:r>
            <w:r w:rsidR="00C8291A">
              <w:rPr>
                <w:rFonts w:eastAsia="MS Mincho" w:cs="Times New Roman"/>
                <w:color w:val="000000"/>
                <w:szCs w:val="26"/>
              </w:rPr>
              <w:t>verhead (OH)</w:t>
            </w:r>
            <w:r w:rsidRPr="000A03AD">
              <w:rPr>
                <w:rFonts w:eastAsia="MS Mincho" w:cs="Times New Roman"/>
                <w:color w:val="000000"/>
                <w:szCs w:val="26"/>
              </w:rPr>
              <w:t xml:space="preserve"> System Hardening</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B377B30"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$97,139</w:t>
            </w:r>
          </w:p>
        </w:tc>
        <w:tc>
          <w:tcPr>
            <w:tcW w:w="602"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2F6489A2" w14:textId="596B3A0B">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p>
          <w:p w:rsidRPr="000A03AD" w:rsidR="003866CF" w:rsidP="00301BD8" w:rsidRDefault="003866CF" w14:paraId="7A7DB614" w14:textId="6B3F1F5D">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Pr>
                <w:rFonts w:eastAsia="MS Mincho" w:cs="Times New Roman"/>
                <w:color w:val="000000"/>
                <w:szCs w:val="26"/>
              </w:rPr>
              <w:t>$922</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3BF0EB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$76,839</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0E65DF61" w14:textId="019E97AF">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p>
          <w:p w:rsidRPr="000A03AD" w:rsidR="003866CF" w:rsidP="00301BD8" w:rsidRDefault="003866CF" w14:paraId="13A40FE5" w14:textId="1B70FE9A">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Pr>
                <w:rFonts w:eastAsia="MS Mincho" w:cs="Times New Roman"/>
                <w:color w:val="000000"/>
                <w:szCs w:val="26"/>
              </w:rPr>
              <w:t>$186</w:t>
            </w:r>
          </w:p>
        </w:tc>
        <w:tc>
          <w:tcPr>
            <w:tcW w:w="615"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073931D4" w14:textId="3C2DC654">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p>
          <w:p w:rsidRPr="000A03AD" w:rsidR="003866CF" w:rsidP="00301BD8" w:rsidRDefault="003866CF" w14:paraId="18028B60" w14:textId="30871656">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Pr>
                <w:rFonts w:eastAsia="MS Mincho" w:cs="Times New Roman"/>
                <w:b/>
                <w:bCs/>
                <w:color w:val="000000"/>
                <w:szCs w:val="26"/>
              </w:rPr>
              <w:t>$172,869</w:t>
            </w:r>
          </w:p>
        </w:tc>
      </w:tr>
      <w:tr w:rsidRPr="000A03AD" w:rsidR="00B23B73" w:rsidTr="00301BD8" w14:paraId="7A143B29"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C098A61"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Expulsion Fuse Replacement</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50E8F44"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$17,922</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A9B106C"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9D1EE9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$13,500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5BA7A7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DF8BA6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$31,422</w:t>
            </w:r>
          </w:p>
        </w:tc>
      </w:tr>
      <w:tr w:rsidRPr="000A03AD" w:rsidR="00B23B73" w:rsidTr="00301BD8" w14:paraId="2643D39B"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52E9F2F"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Generator Assistance Programs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89DC1B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71C6143"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6CC4FD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72082F7"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54D019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37ED84A3"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319A69F"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Generator Grant Programs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A19D5E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C3035AB"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087BBC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23BDF9F"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DFE82D2"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63603684"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E064399"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Hotline Clamps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15C0B04"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31F6868"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6F509F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18D0F32"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B8CCB4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04170E4C"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D18555E"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Lightning Arrestor Replacements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98FFB2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$5,556</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3A3A2ED"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7AE0CB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$4,569</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B2A2E7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C45FD6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$10,125</w:t>
            </w:r>
          </w:p>
        </w:tc>
      </w:tr>
      <w:tr w:rsidRPr="000A03AD" w:rsidR="00B23B73" w:rsidTr="00301BD8" w14:paraId="4DFB2F79"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38C1DBB"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Microgrids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15D312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$20,170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F34658F"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829137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$12,320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ADC810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84E46B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$32,490</w:t>
            </w:r>
          </w:p>
        </w:tc>
      </w:tr>
      <w:tr w:rsidRPr="000A03AD" w:rsidR="00B23B73" w:rsidTr="00301BD8" w14:paraId="5BAAA578"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85904C2" w14:textId="6AAC768F">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P</w:t>
            </w:r>
            <w:r w:rsidR="00C8291A">
              <w:rPr>
                <w:rFonts w:eastAsia="MS Mincho" w:cs="Times New Roman"/>
                <w:color w:val="000000"/>
                <w:szCs w:val="26"/>
              </w:rPr>
              <w:t xml:space="preserve">ublic </w:t>
            </w:r>
            <w:r w:rsidRPr="000A03AD">
              <w:rPr>
                <w:rFonts w:eastAsia="MS Mincho" w:cs="Times New Roman"/>
                <w:color w:val="000000"/>
                <w:szCs w:val="26"/>
              </w:rPr>
              <w:t>S</w:t>
            </w:r>
            <w:r w:rsidR="00C8291A">
              <w:rPr>
                <w:rFonts w:eastAsia="MS Mincho" w:cs="Times New Roman"/>
                <w:color w:val="000000"/>
                <w:szCs w:val="26"/>
              </w:rPr>
              <w:t xml:space="preserve">afety </w:t>
            </w:r>
            <w:r w:rsidRPr="000A03AD">
              <w:rPr>
                <w:rFonts w:eastAsia="MS Mincho" w:cs="Times New Roman"/>
                <w:color w:val="000000"/>
                <w:szCs w:val="26"/>
              </w:rPr>
              <w:t>P</w:t>
            </w:r>
            <w:r w:rsidR="00C8291A">
              <w:rPr>
                <w:rFonts w:eastAsia="MS Mincho" w:cs="Times New Roman"/>
                <w:color w:val="000000"/>
                <w:szCs w:val="26"/>
              </w:rPr>
              <w:t xml:space="preserve">ower </w:t>
            </w:r>
            <w:r w:rsidRPr="000A03AD">
              <w:rPr>
                <w:rFonts w:eastAsia="MS Mincho" w:cs="Times New Roman"/>
                <w:color w:val="000000"/>
                <w:szCs w:val="26"/>
              </w:rPr>
              <w:t>S</w:t>
            </w:r>
            <w:r w:rsidR="00C8291A">
              <w:rPr>
                <w:rFonts w:eastAsia="MS Mincho" w:cs="Times New Roman"/>
                <w:color w:val="000000"/>
                <w:szCs w:val="26"/>
              </w:rPr>
              <w:t>hutoff (PSPS)</w:t>
            </w:r>
            <w:r w:rsidRPr="000A03AD">
              <w:rPr>
                <w:rFonts w:eastAsia="MS Mincho" w:cs="Times New Roman"/>
                <w:color w:val="000000"/>
                <w:szCs w:val="26"/>
              </w:rPr>
              <w:t xml:space="preserve"> Sectionalizing Enhancements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A184B1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$11,135</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10659B3"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BABEA6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$8,275</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D4CBBC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3CD726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$19,410</w:t>
            </w:r>
          </w:p>
        </w:tc>
      </w:tr>
      <w:tr w:rsidRPr="000A03AD" w:rsidR="00B23B73" w:rsidTr="00301BD8" w14:paraId="3A445FDC"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C9AD472" w14:textId="6BD7FE06">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SCADA</w:t>
            </w:r>
            <w:r w:rsidR="00C8291A">
              <w:rPr>
                <w:rStyle w:val="FootnoteReference"/>
                <w:rFonts w:eastAsia="MS Mincho" w:cs="Times New Roman"/>
                <w:color w:val="000000"/>
                <w:szCs w:val="26"/>
              </w:rPr>
              <w:footnoteReference w:id="9"/>
            </w:r>
            <w:r w:rsidRPr="000A03AD">
              <w:rPr>
                <w:rFonts w:eastAsia="MS Mincho" w:cs="Times New Roman"/>
                <w:color w:val="000000"/>
                <w:szCs w:val="26"/>
              </w:rPr>
              <w:t xml:space="preserve"> Capacitors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AD4E9D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($1,946)</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51AA694"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A7569B0"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$5,129</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5644A6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386ED2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$3,183</w:t>
            </w:r>
          </w:p>
        </w:tc>
      </w:tr>
      <w:tr w:rsidRPr="000A03AD" w:rsidR="00B23B73" w:rsidTr="00301BD8" w14:paraId="6C4E39C5"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C1E5655"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Standby Power Programs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2E2EBC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67CC0C2"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AFBAF8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48A0B8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EE96ED8"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4FE8F707"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462A29" w14:paraId="100B2A96" w14:textId="2364C1A5">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Pr>
                <w:rFonts w:eastAsia="MS Mincho" w:cs="Times New Roman"/>
                <w:color w:val="000000"/>
                <w:szCs w:val="26"/>
              </w:rPr>
              <w:lastRenderedPageBreak/>
              <w:t xml:space="preserve">Strategic Undergrounding </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76D8540"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$241,233</w:t>
            </w:r>
          </w:p>
        </w:tc>
        <w:tc>
          <w:tcPr>
            <w:tcW w:w="602"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2FA1CD1E" w14:textId="431E4F5F">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p>
          <w:p w:rsidRPr="000A03AD" w:rsidR="00F04AE3" w:rsidP="00301BD8" w:rsidRDefault="00F04AE3" w14:paraId="5F9DAA09" w14:textId="280C58E8">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Pr>
                <w:rFonts w:eastAsia="MS Mincho" w:cs="Times New Roman"/>
                <w:color w:val="000000"/>
                <w:szCs w:val="26"/>
              </w:rPr>
              <w:t>$24</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E91078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$48,404</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103469A7" w14:textId="7CD7C00E">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p>
          <w:p w:rsidRPr="000A03AD" w:rsidR="00F04AE3" w:rsidP="00301BD8" w:rsidRDefault="00F04AE3" w14:paraId="5CDB2507" w14:textId="70321C82">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Pr>
                <w:rFonts w:eastAsia="MS Mincho" w:cs="Times New Roman"/>
                <w:color w:val="000000"/>
                <w:szCs w:val="26"/>
              </w:rPr>
              <w:t>$5</w:t>
            </w:r>
          </w:p>
        </w:tc>
        <w:tc>
          <w:tcPr>
            <w:tcW w:w="615"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6F3258D1" w14:textId="7BEFE366">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p>
          <w:p w:rsidRPr="000A03AD" w:rsidR="00F04AE3" w:rsidP="00301BD8" w:rsidRDefault="00F04AE3" w14:paraId="5E286CF6" w14:textId="393D6210">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Pr>
                <w:rFonts w:eastAsia="MS Mincho" w:cs="Times New Roman"/>
                <w:b/>
                <w:bCs/>
                <w:color w:val="000000"/>
                <w:szCs w:val="26"/>
              </w:rPr>
              <w:t>$289,608</w:t>
            </w:r>
          </w:p>
        </w:tc>
      </w:tr>
      <w:tr w:rsidRPr="000A03AD" w:rsidR="00B23B73" w:rsidTr="00301BD8" w14:paraId="3345C29D"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B9618B" w:rsidR="007253C8" w:rsidP="00301BD8" w:rsidRDefault="007253C8" w14:paraId="3759A355" w14:textId="6B65A4DD">
            <w:pPr>
              <w:autoSpaceDE w:val="0"/>
              <w:autoSpaceDN w:val="0"/>
              <w:adjustRightInd w:val="0"/>
              <w:spacing w:before="100" w:beforeAutospacing="1" w:after="100" w:afterAutospacing="1" w:line="240" w:lineRule="auto"/>
              <w:ind w:firstLine="0"/>
              <w:contextualSpacing/>
              <w:rPr>
                <w:rFonts w:eastAsia="MS Mincho" w:cs="Times New Roman"/>
                <w:color w:val="000000"/>
                <w:szCs w:val="26"/>
                <w:lang w:val="da-DK"/>
              </w:rPr>
            </w:pPr>
            <w:r w:rsidRPr="00B9618B">
              <w:rPr>
                <w:rFonts w:eastAsia="MS Mincho" w:cs="Times New Roman"/>
                <w:color w:val="000000"/>
                <w:szCs w:val="26"/>
                <w:lang w:val="da-DK"/>
              </w:rPr>
              <w:t>T</w:t>
            </w:r>
            <w:r w:rsidRPr="00B9618B" w:rsidR="00A231FD">
              <w:rPr>
                <w:rFonts w:eastAsia="MS Mincho" w:cs="Times New Roman"/>
                <w:color w:val="000000"/>
                <w:szCs w:val="26"/>
                <w:lang w:val="da-DK"/>
              </w:rPr>
              <w:t xml:space="preserve">ransmission  </w:t>
            </w:r>
            <w:r w:rsidRPr="00B9618B">
              <w:rPr>
                <w:rFonts w:eastAsia="MS Mincho" w:cs="Times New Roman"/>
                <w:color w:val="000000"/>
                <w:szCs w:val="26"/>
                <w:lang w:val="da-DK"/>
              </w:rPr>
              <w:t>O</w:t>
            </w:r>
            <w:r w:rsidRPr="00B9618B" w:rsidR="00A231FD">
              <w:rPr>
                <w:rFonts w:eastAsia="MS Mincho" w:cs="Times New Roman"/>
                <w:color w:val="000000"/>
                <w:szCs w:val="26"/>
                <w:lang w:val="da-DK"/>
              </w:rPr>
              <w:t xml:space="preserve">verhead </w:t>
            </w:r>
            <w:r w:rsidRPr="00B9618B">
              <w:rPr>
                <w:rFonts w:eastAsia="MS Mincho" w:cs="Times New Roman"/>
                <w:color w:val="000000"/>
                <w:szCs w:val="26"/>
                <w:lang w:val="da-DK"/>
              </w:rPr>
              <w:t>S</w:t>
            </w:r>
            <w:r w:rsidRPr="00B9618B" w:rsidR="00A231FD">
              <w:rPr>
                <w:rFonts w:eastAsia="MS Mincho" w:cs="Times New Roman"/>
                <w:color w:val="000000"/>
                <w:szCs w:val="26"/>
                <w:lang w:val="da-DK"/>
              </w:rPr>
              <w:t xml:space="preserve">ystem </w:t>
            </w:r>
            <w:r w:rsidRPr="00B9618B">
              <w:rPr>
                <w:rFonts w:eastAsia="MS Mincho" w:cs="Times New Roman"/>
                <w:color w:val="000000"/>
                <w:szCs w:val="26"/>
                <w:lang w:val="da-DK"/>
              </w:rPr>
              <w:t>H</w:t>
            </w:r>
            <w:r w:rsidRPr="00B9618B" w:rsidR="00A231FD">
              <w:rPr>
                <w:rFonts w:eastAsia="MS Mincho" w:cs="Times New Roman"/>
                <w:color w:val="000000"/>
                <w:szCs w:val="26"/>
                <w:lang w:val="da-DK"/>
              </w:rPr>
              <w:t>ardening</w:t>
            </w:r>
            <w:r w:rsidRPr="00B9618B">
              <w:rPr>
                <w:rFonts w:eastAsia="MS Mincho" w:cs="Times New Roman"/>
                <w:color w:val="000000"/>
                <w:szCs w:val="26"/>
                <w:lang w:val="da-DK"/>
              </w:rPr>
              <w:t xml:space="preserve"> - Dist. Underbuil</w:t>
            </w:r>
            <w:r w:rsidR="00A231FD">
              <w:rPr>
                <w:rFonts w:eastAsia="MS Mincho" w:cs="Times New Roman"/>
                <w:color w:val="000000"/>
                <w:szCs w:val="26"/>
                <w:lang w:val="da-DK"/>
              </w:rPr>
              <w:t>d</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4DBBAEA"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$14,321</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C9E5DF9"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28817C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$11,558</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A055D74"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ADEE00A"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$25,879</w:t>
            </w:r>
          </w:p>
        </w:tc>
      </w:tr>
      <w:tr w:rsidRPr="000A03AD" w:rsidR="00B23B73" w:rsidTr="00301BD8" w14:paraId="64266DB6"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647D8DB" w14:textId="3CF3CC3F">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G</w:t>
            </w:r>
            <w:r w:rsidR="001B0E48">
              <w:rPr>
                <w:rFonts w:eastAsia="MS Mincho" w:cs="Times New Roman"/>
                <w:i/>
                <w:iCs/>
                <w:color w:val="000000"/>
                <w:szCs w:val="26"/>
              </w:rPr>
              <w:t xml:space="preserve">rid </w:t>
            </w:r>
            <w:r w:rsidRPr="000A03AD">
              <w:rPr>
                <w:rFonts w:eastAsia="MS Mincho" w:cs="Times New Roman"/>
                <w:i/>
                <w:iCs/>
                <w:color w:val="000000"/>
                <w:szCs w:val="26"/>
              </w:rPr>
              <w:t>D</w:t>
            </w:r>
            <w:r w:rsidR="001B0E48">
              <w:rPr>
                <w:rFonts w:eastAsia="MS Mincho" w:cs="Times New Roman"/>
                <w:i/>
                <w:iCs/>
                <w:color w:val="000000"/>
                <w:szCs w:val="26"/>
              </w:rPr>
              <w:t xml:space="preserve">esign </w:t>
            </w:r>
            <w:r w:rsidRPr="000A03AD">
              <w:rPr>
                <w:rFonts w:eastAsia="MS Mincho" w:cs="Times New Roman"/>
                <w:i/>
                <w:iCs/>
                <w:color w:val="000000"/>
                <w:szCs w:val="26"/>
              </w:rPr>
              <w:t>&amp;</w:t>
            </w:r>
            <w:r w:rsidR="001B0E48">
              <w:rPr>
                <w:rFonts w:eastAsia="MS Mincho" w:cs="Times New Roman"/>
                <w:i/>
                <w:iCs/>
                <w:color w:val="000000"/>
                <w:szCs w:val="26"/>
              </w:rPr>
              <w:t xml:space="preserve"> </w:t>
            </w:r>
            <w:r w:rsidRPr="000A03AD">
              <w:rPr>
                <w:rFonts w:eastAsia="MS Mincho" w:cs="Times New Roman"/>
                <w:i/>
                <w:iCs/>
                <w:color w:val="000000"/>
                <w:szCs w:val="26"/>
              </w:rPr>
              <w:t>S</w:t>
            </w:r>
            <w:r w:rsidR="001B0E48">
              <w:rPr>
                <w:rFonts w:eastAsia="MS Mincho" w:cs="Times New Roman"/>
                <w:i/>
                <w:iCs/>
                <w:color w:val="000000"/>
                <w:szCs w:val="26"/>
              </w:rPr>
              <w:t xml:space="preserve">ystem </w:t>
            </w:r>
            <w:r w:rsidRPr="000A03AD">
              <w:rPr>
                <w:rFonts w:eastAsia="MS Mincho" w:cs="Times New Roman"/>
                <w:i/>
                <w:iCs/>
                <w:color w:val="000000"/>
                <w:szCs w:val="26"/>
              </w:rPr>
              <w:t>H</w:t>
            </w:r>
            <w:r w:rsidR="001B0E48">
              <w:rPr>
                <w:rFonts w:eastAsia="MS Mincho" w:cs="Times New Roman"/>
                <w:i/>
                <w:iCs/>
                <w:color w:val="000000"/>
                <w:szCs w:val="26"/>
              </w:rPr>
              <w:t>ardening (GD</w:t>
            </w:r>
            <w:r w:rsidR="00A12C24">
              <w:rPr>
                <w:rFonts w:eastAsia="MS Mincho" w:cs="Times New Roman"/>
                <w:i/>
                <w:iCs/>
                <w:color w:val="000000"/>
                <w:szCs w:val="26"/>
              </w:rPr>
              <w:t>&amp;</w:t>
            </w:r>
            <w:r w:rsidR="001B0E48">
              <w:rPr>
                <w:rFonts w:eastAsia="MS Mincho" w:cs="Times New Roman"/>
                <w:i/>
                <w:iCs/>
                <w:color w:val="000000"/>
                <w:szCs w:val="26"/>
              </w:rPr>
              <w:t>SH)</w:t>
            </w:r>
            <w:r w:rsidRPr="000A03AD">
              <w:rPr>
                <w:rFonts w:eastAsia="MS Mincho" w:cs="Times New Roman"/>
                <w:i/>
                <w:iCs/>
                <w:color w:val="000000"/>
                <w:szCs w:val="26"/>
              </w:rPr>
              <w:t xml:space="preserve"> Total</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D56F88A"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$639,968</w:t>
            </w:r>
          </w:p>
        </w:tc>
        <w:tc>
          <w:tcPr>
            <w:tcW w:w="602"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6D3CD154" w14:textId="6FEF6107">
            <w:pPr>
              <w:autoSpaceDE w:val="0"/>
              <w:autoSpaceDN w:val="0"/>
              <w:adjustRightInd w:val="0"/>
              <w:spacing w:before="100" w:beforeAutospacing="1" w:after="100" w:afterAutospacing="1" w:line="240" w:lineRule="auto"/>
              <w:ind w:firstLine="12"/>
              <w:contextualSpacing/>
              <w:jc w:val="center"/>
              <w:rPr>
                <w:rFonts w:eastAsia="MS Mincho" w:cs="Times New Roman"/>
                <w:i/>
                <w:iCs/>
                <w:color w:val="000000"/>
                <w:szCs w:val="26"/>
              </w:rPr>
            </w:pPr>
          </w:p>
          <w:p w:rsidRPr="000A03AD" w:rsidR="0034663B" w:rsidP="00301BD8" w:rsidRDefault="0034663B" w14:paraId="6C899BB3" w14:textId="1C193D2D">
            <w:pPr>
              <w:autoSpaceDE w:val="0"/>
              <w:autoSpaceDN w:val="0"/>
              <w:adjustRightInd w:val="0"/>
              <w:spacing w:before="100" w:beforeAutospacing="1" w:after="100" w:afterAutospacing="1" w:line="240" w:lineRule="auto"/>
              <w:ind w:firstLine="12"/>
              <w:contextualSpacing/>
              <w:jc w:val="center"/>
              <w:rPr>
                <w:rFonts w:eastAsia="MS Mincho" w:cs="Times New Roman"/>
                <w:i/>
                <w:iCs/>
                <w:color w:val="000000"/>
                <w:szCs w:val="26"/>
              </w:rPr>
            </w:pPr>
            <w:r>
              <w:rPr>
                <w:rFonts w:eastAsia="MS Mincho" w:cs="Times New Roman"/>
                <w:i/>
                <w:iCs/>
                <w:color w:val="000000"/>
                <w:szCs w:val="26"/>
              </w:rPr>
              <w:t>$</w:t>
            </w:r>
            <w:r w:rsidR="00F15DA6">
              <w:rPr>
                <w:rFonts w:eastAsia="MS Mincho" w:cs="Times New Roman"/>
                <w:i/>
                <w:iCs/>
                <w:color w:val="000000"/>
                <w:szCs w:val="26"/>
              </w:rPr>
              <w:t>26,987</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6270C7F"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$282,260</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48915978" w14:textId="4D6A4912">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p>
          <w:p w:rsidRPr="000A03AD" w:rsidR="00F15DA6" w:rsidP="00301BD8" w:rsidRDefault="00F15DA6" w14:paraId="531768AF" w14:textId="2F5F791D">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Pr>
                <w:rFonts w:eastAsia="MS Mincho" w:cs="Times New Roman"/>
                <w:i/>
                <w:iCs/>
                <w:color w:val="000000"/>
                <w:szCs w:val="26"/>
              </w:rPr>
              <w:t>$5,803</w:t>
            </w:r>
          </w:p>
        </w:tc>
        <w:tc>
          <w:tcPr>
            <w:tcW w:w="615"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02F3B9B4" w14:textId="01821760">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p>
          <w:p w:rsidRPr="000A03AD" w:rsidR="00F15DA6" w:rsidP="00301BD8" w:rsidRDefault="00F15DA6" w14:paraId="4417E7DA" w14:textId="0017DE49">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Pr>
                <w:rFonts w:eastAsia="MS Mincho" w:cs="Times New Roman"/>
                <w:b/>
                <w:bCs/>
                <w:i/>
                <w:iCs/>
                <w:color w:val="000000"/>
                <w:szCs w:val="26"/>
              </w:rPr>
              <w:t>$889,437</w:t>
            </w:r>
          </w:p>
        </w:tc>
      </w:tr>
      <w:tr w:rsidRPr="000A03AD" w:rsidR="00B23B73" w:rsidTr="00301BD8" w14:paraId="4C471479"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14BBEF4"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Aviation Firefighting Program</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1E95654"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$32,601</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FA1BD7E"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$32,601</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AEF509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$4,564</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9F42F3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$4,564</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7C5046A"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6E71140D"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DE9481D" w14:textId="3572AEE4">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Personnel Work Procedures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980586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$851</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BCD29E9"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$851</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8CDA117"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$130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3A9DA3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$130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624D7A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2DAEAEA2"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31B2B64" w14:textId="2523FE41">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GO&amp;OP</w:t>
            </w:r>
            <w:r w:rsidR="00E70A3F">
              <w:rPr>
                <w:rStyle w:val="FootnoteReference"/>
                <w:rFonts w:eastAsia="MS Mincho" w:cs="Times New Roman"/>
                <w:i/>
                <w:iCs/>
                <w:color w:val="000000"/>
                <w:szCs w:val="26"/>
              </w:rPr>
              <w:footnoteReference w:id="10"/>
            </w:r>
            <w:r w:rsidRPr="000A03AD">
              <w:rPr>
                <w:rFonts w:eastAsia="MS Mincho" w:cs="Times New Roman"/>
                <w:i/>
                <w:iCs/>
                <w:color w:val="000000"/>
                <w:szCs w:val="26"/>
              </w:rPr>
              <w:t xml:space="preserve"> Total</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45C47C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$33,452</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339D2AB"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i/>
                <w:iCs/>
                <w:color w:val="000000"/>
                <w:szCs w:val="26"/>
              </w:rPr>
            </w:pPr>
            <w:r w:rsidRPr="000A03AD">
              <w:rPr>
                <w:rFonts w:eastAsia="MS Mincho" w:cs="Times New Roman"/>
                <w:i/>
                <w:iCs/>
                <w:color w:val="000000"/>
                <w:szCs w:val="26"/>
              </w:rPr>
              <w:t>$33,452</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C53B7E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$4,695</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2C2BAD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$4,695</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3876EB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sidRPr="000A03AD">
              <w:rPr>
                <w:rFonts w:eastAsia="MS Mincho" w:cs="Times New Roman"/>
                <w:b/>
                <w:bCs/>
                <w:i/>
                <w:iCs/>
                <w:color w:val="000000"/>
                <w:szCs w:val="26"/>
              </w:rPr>
              <w:t>$0</w:t>
            </w:r>
          </w:p>
        </w:tc>
      </w:tr>
      <w:tr w:rsidRPr="000A03AD" w:rsidR="00B23B73" w:rsidTr="00301BD8" w14:paraId="0323188C"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16E3C05"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Summarized Risk Map</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D014404"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$1,869</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49B09C5"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AD2ACDF"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$58</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F3ECCD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745282E"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$1,927</w:t>
            </w:r>
          </w:p>
        </w:tc>
      </w:tr>
      <w:tr w:rsidRPr="000A03AD" w:rsidR="00B23B73" w:rsidTr="00301BD8" w14:paraId="45640178"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471704C" w14:textId="192AE5DD">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R</w:t>
            </w:r>
            <w:r w:rsidR="001B0E48">
              <w:rPr>
                <w:rFonts w:eastAsia="MS Mincho" w:cs="Times New Roman"/>
                <w:i/>
                <w:iCs/>
                <w:color w:val="000000"/>
                <w:szCs w:val="26"/>
              </w:rPr>
              <w:t xml:space="preserve">isk </w:t>
            </w:r>
            <w:r w:rsidRPr="000A03AD">
              <w:rPr>
                <w:rFonts w:eastAsia="MS Mincho" w:cs="Times New Roman"/>
                <w:i/>
                <w:iCs/>
                <w:color w:val="000000"/>
                <w:szCs w:val="26"/>
              </w:rPr>
              <w:t>A</w:t>
            </w:r>
            <w:r w:rsidR="001B0E48">
              <w:rPr>
                <w:rFonts w:eastAsia="MS Mincho" w:cs="Times New Roman"/>
                <w:i/>
                <w:iCs/>
                <w:color w:val="000000"/>
                <w:szCs w:val="26"/>
              </w:rPr>
              <w:t xml:space="preserve">ssessment </w:t>
            </w:r>
            <w:r w:rsidRPr="000A03AD">
              <w:rPr>
                <w:rFonts w:eastAsia="MS Mincho" w:cs="Times New Roman"/>
                <w:i/>
                <w:iCs/>
                <w:color w:val="000000"/>
                <w:szCs w:val="26"/>
              </w:rPr>
              <w:t>&amp;</w:t>
            </w:r>
            <w:r w:rsidR="001B0E48">
              <w:rPr>
                <w:rFonts w:eastAsia="MS Mincho" w:cs="Times New Roman"/>
                <w:i/>
                <w:iCs/>
                <w:color w:val="000000"/>
                <w:szCs w:val="26"/>
              </w:rPr>
              <w:t xml:space="preserve"> </w:t>
            </w:r>
            <w:r w:rsidRPr="000A03AD">
              <w:rPr>
                <w:rFonts w:eastAsia="MS Mincho" w:cs="Times New Roman"/>
                <w:i/>
                <w:iCs/>
                <w:color w:val="000000"/>
                <w:szCs w:val="26"/>
              </w:rPr>
              <w:t>M</w:t>
            </w:r>
            <w:r w:rsidR="001B0E48">
              <w:rPr>
                <w:rFonts w:eastAsia="MS Mincho" w:cs="Times New Roman"/>
                <w:i/>
                <w:iCs/>
                <w:color w:val="000000"/>
                <w:szCs w:val="26"/>
              </w:rPr>
              <w:t>apping</w:t>
            </w:r>
            <w:r w:rsidR="00A12C24">
              <w:rPr>
                <w:rFonts w:eastAsia="MS Mincho" w:cs="Times New Roman"/>
                <w:i/>
                <w:iCs/>
                <w:color w:val="000000"/>
                <w:szCs w:val="26"/>
              </w:rPr>
              <w:t xml:space="preserve"> </w:t>
            </w:r>
            <w:r w:rsidR="001B0E48">
              <w:rPr>
                <w:rFonts w:eastAsia="MS Mincho" w:cs="Times New Roman"/>
                <w:i/>
                <w:iCs/>
                <w:color w:val="000000"/>
                <w:szCs w:val="26"/>
              </w:rPr>
              <w:t>(RA&amp;M)</w:t>
            </w:r>
            <w:r w:rsidRPr="000A03AD">
              <w:rPr>
                <w:rFonts w:eastAsia="MS Mincho" w:cs="Times New Roman"/>
                <w:i/>
                <w:iCs/>
                <w:color w:val="000000"/>
                <w:szCs w:val="26"/>
              </w:rPr>
              <w:t xml:space="preserve"> Total</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EEE11B7"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$1,869</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E2A7EDC"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i/>
                <w:iCs/>
                <w:color w:val="000000"/>
                <w:szCs w:val="26"/>
              </w:rPr>
            </w:pPr>
            <w:r w:rsidRPr="000A03AD">
              <w:rPr>
                <w:rFonts w:eastAsia="MS Mincho" w:cs="Times New Roman"/>
                <w:i/>
                <w:iCs/>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F518E8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$58</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6D6556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797CB6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sidRPr="000A03AD">
              <w:rPr>
                <w:rFonts w:eastAsia="MS Mincho" w:cs="Times New Roman"/>
                <w:b/>
                <w:bCs/>
                <w:i/>
                <w:iCs/>
                <w:color w:val="000000"/>
                <w:szCs w:val="26"/>
              </w:rPr>
              <w:t>$1,927</w:t>
            </w:r>
          </w:p>
        </w:tc>
      </w:tr>
      <w:tr w:rsidRPr="000A03AD" w:rsidR="00B23B73" w:rsidTr="00301BD8" w14:paraId="0344DF11"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8992F83" w14:textId="44C3E024">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Allocation Method</w:t>
            </w:r>
            <w:r w:rsidR="001B0E48">
              <w:rPr>
                <w:rFonts w:eastAsia="MS Mincho" w:cs="Times New Roman"/>
                <w:color w:val="000000"/>
                <w:szCs w:val="26"/>
              </w:rPr>
              <w:t>ology</w:t>
            </w:r>
            <w:r w:rsidRPr="000A03AD">
              <w:rPr>
                <w:rFonts w:eastAsia="MS Mincho" w:cs="Times New Roman"/>
                <w:color w:val="000000"/>
                <w:szCs w:val="26"/>
              </w:rPr>
              <w:t xml:space="preserve"> Develop</w:t>
            </w:r>
            <w:r w:rsidR="001B0E48">
              <w:rPr>
                <w:rFonts w:eastAsia="MS Mincho" w:cs="Times New Roman"/>
                <w:color w:val="000000"/>
                <w:szCs w:val="26"/>
              </w:rPr>
              <w:t>ment</w:t>
            </w:r>
            <w:r w:rsidRPr="000A03AD">
              <w:rPr>
                <w:rFonts w:eastAsia="MS Mincho" w:cs="Times New Roman"/>
                <w:color w:val="000000"/>
                <w:szCs w:val="26"/>
              </w:rPr>
              <w:t>. &amp; App.</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7C0830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F6FF74A"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56EB7D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$41</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39054E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316F86A"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$41</w:t>
            </w:r>
          </w:p>
        </w:tc>
      </w:tr>
      <w:tr w:rsidRPr="000A03AD" w:rsidR="00B23B73" w:rsidTr="00301BD8" w14:paraId="5EC8D579"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42E3984"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RAM Total</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C61221E"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566CD54"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i/>
                <w:iCs/>
                <w:color w:val="000000"/>
                <w:szCs w:val="26"/>
              </w:rPr>
            </w:pPr>
            <w:r w:rsidRPr="000A03AD">
              <w:rPr>
                <w:rFonts w:eastAsia="MS Mincho" w:cs="Times New Roman"/>
                <w:i/>
                <w:iCs/>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3DFE48F"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$41</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F50220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0357B52"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sidRPr="000A03AD">
              <w:rPr>
                <w:rFonts w:eastAsia="MS Mincho" w:cs="Times New Roman"/>
                <w:b/>
                <w:bCs/>
                <w:i/>
                <w:iCs/>
                <w:color w:val="000000"/>
                <w:szCs w:val="26"/>
              </w:rPr>
              <w:t>$41</w:t>
            </w:r>
          </w:p>
        </w:tc>
      </w:tr>
      <w:tr w:rsidRPr="000A03AD" w:rsidR="00B23B73" w:rsidTr="00301BD8" w14:paraId="573CCEB1"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9B2773F"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Advanced Weather Monitoring &amp; Stations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E95822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-$229</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8AE0873"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787032A"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$582</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1911E80"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74BEFD7"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$352</w:t>
            </w:r>
          </w:p>
        </w:tc>
      </w:tr>
      <w:tr w:rsidRPr="000A03AD" w:rsidR="00B23B73" w:rsidTr="00301BD8" w14:paraId="7268E4F7"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2D22FFF"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Air Quality Index</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4881F5A"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527B81B"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FCEB9A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$55</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8B601D4"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971161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$55</w:t>
            </w:r>
          </w:p>
        </w:tc>
      </w:tr>
      <w:tr w:rsidRPr="000A03AD" w:rsidR="00B23B73" w:rsidTr="00301BD8" w14:paraId="6C6BCB31"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D24C08E"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Camera Network</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5FBE5E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$9</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BB05C82"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7D9D5E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AEF96F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47F8DB2"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$9</w:t>
            </w:r>
          </w:p>
        </w:tc>
      </w:tr>
      <w:tr w:rsidRPr="000A03AD" w:rsidR="00B23B73" w:rsidTr="00301BD8" w14:paraId="3D5A6F2D"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E5EF55B"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lastRenderedPageBreak/>
              <w:t>Fire Potential Index</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BF7AD4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$4,539</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7BE6092"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D8B7F3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$67</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B9CCB2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929A2E2"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$4,606</w:t>
            </w:r>
          </w:p>
        </w:tc>
      </w:tr>
      <w:tr w:rsidRPr="000A03AD" w:rsidR="00B23B73" w:rsidTr="00301BD8" w14:paraId="5A83D898"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167D83B" w14:textId="224C5F80">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 xml:space="preserve">Fire Science &amp; Climate Adaptation </w:t>
            </w:r>
            <w:r w:rsidR="00E70A3F">
              <w:rPr>
                <w:rFonts w:eastAsia="MS Mincho" w:cs="Times New Roman"/>
                <w:color w:val="000000"/>
                <w:szCs w:val="26"/>
              </w:rPr>
              <w:t>Department</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7DF22D5"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647FF39"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317103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6D6C887"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8D7D144"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4CEA3B59"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F193695" w14:textId="44034DFB">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H</w:t>
            </w:r>
            <w:r w:rsidR="00B23B73">
              <w:rPr>
                <w:rFonts w:eastAsia="MS Mincho" w:cs="Times New Roman"/>
                <w:color w:val="000000"/>
                <w:szCs w:val="26"/>
              </w:rPr>
              <w:t xml:space="preserve">igh </w:t>
            </w:r>
            <w:r w:rsidRPr="000A03AD">
              <w:rPr>
                <w:rFonts w:eastAsia="MS Mincho" w:cs="Times New Roman"/>
                <w:color w:val="000000"/>
                <w:szCs w:val="26"/>
              </w:rPr>
              <w:t>P</w:t>
            </w:r>
            <w:r w:rsidR="00B23B73">
              <w:rPr>
                <w:rFonts w:eastAsia="MS Mincho" w:cs="Times New Roman"/>
                <w:color w:val="000000"/>
                <w:szCs w:val="26"/>
              </w:rPr>
              <w:t>erformance</w:t>
            </w:r>
            <w:r w:rsidRPr="000A03AD">
              <w:rPr>
                <w:rFonts w:eastAsia="MS Mincho" w:cs="Times New Roman"/>
                <w:color w:val="000000"/>
                <w:szCs w:val="26"/>
              </w:rPr>
              <w:t xml:space="preserve"> Computing Infrastructure</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54FB32A"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$5,240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D994592"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C0EE0C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$102</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1D2447A"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A99E4C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$5,342</w:t>
            </w:r>
          </w:p>
        </w:tc>
      </w:tr>
      <w:tr w:rsidRPr="000A03AD" w:rsidR="00B23B73" w:rsidTr="00301BD8" w14:paraId="4DC780AD"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0F3A0BE"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Wireless Fault Indicators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D6A89F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($6,548)</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B3AB21F"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5D04BB8"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$2,517</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2F5A071"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418FDA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($4,031)</w:t>
            </w:r>
          </w:p>
        </w:tc>
      </w:tr>
      <w:tr w:rsidRPr="000A03AD" w:rsidR="00B23B73" w:rsidTr="00301BD8" w14:paraId="7CA1F90D"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9A04F9A" w14:textId="79A40A58">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S</w:t>
            </w:r>
            <w:r w:rsidR="00B23B73">
              <w:rPr>
                <w:rFonts w:eastAsia="MS Mincho" w:cs="Times New Roman"/>
                <w:i/>
                <w:iCs/>
                <w:color w:val="000000"/>
                <w:szCs w:val="26"/>
              </w:rPr>
              <w:t xml:space="preserve">ituational </w:t>
            </w:r>
            <w:r w:rsidRPr="000A03AD">
              <w:rPr>
                <w:rFonts w:eastAsia="MS Mincho" w:cs="Times New Roman"/>
                <w:i/>
                <w:iCs/>
                <w:color w:val="000000"/>
                <w:szCs w:val="26"/>
              </w:rPr>
              <w:t>A</w:t>
            </w:r>
            <w:r w:rsidR="00B23B73">
              <w:rPr>
                <w:rFonts w:eastAsia="MS Mincho" w:cs="Times New Roman"/>
                <w:i/>
                <w:iCs/>
                <w:color w:val="000000"/>
                <w:szCs w:val="26"/>
              </w:rPr>
              <w:t xml:space="preserve">wareness </w:t>
            </w:r>
            <w:r w:rsidRPr="000A03AD">
              <w:rPr>
                <w:rFonts w:eastAsia="MS Mincho" w:cs="Times New Roman"/>
                <w:i/>
                <w:iCs/>
                <w:color w:val="000000"/>
                <w:szCs w:val="26"/>
              </w:rPr>
              <w:t>&amp;</w:t>
            </w:r>
            <w:r w:rsidR="00B23B73">
              <w:rPr>
                <w:rFonts w:eastAsia="MS Mincho" w:cs="Times New Roman"/>
                <w:i/>
                <w:iCs/>
                <w:color w:val="000000"/>
                <w:szCs w:val="26"/>
              </w:rPr>
              <w:t xml:space="preserve"> </w:t>
            </w:r>
            <w:r w:rsidRPr="000A03AD">
              <w:rPr>
                <w:rFonts w:eastAsia="MS Mincho" w:cs="Times New Roman"/>
                <w:i/>
                <w:iCs/>
                <w:color w:val="000000"/>
                <w:szCs w:val="26"/>
              </w:rPr>
              <w:t>F</w:t>
            </w:r>
            <w:r w:rsidR="00B23B73">
              <w:rPr>
                <w:rFonts w:eastAsia="MS Mincho" w:cs="Times New Roman"/>
                <w:i/>
                <w:iCs/>
                <w:color w:val="000000"/>
                <w:szCs w:val="26"/>
              </w:rPr>
              <w:t>orecasting (SA&amp;F)</w:t>
            </w:r>
            <w:r w:rsidRPr="000A03AD">
              <w:rPr>
                <w:rFonts w:eastAsia="MS Mincho" w:cs="Times New Roman"/>
                <w:i/>
                <w:iCs/>
                <w:color w:val="000000"/>
                <w:szCs w:val="26"/>
              </w:rPr>
              <w:t xml:space="preserve"> Total</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61AB03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$3,010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8E73621"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i/>
                <w:iCs/>
                <w:color w:val="000000"/>
                <w:szCs w:val="26"/>
              </w:rPr>
            </w:pPr>
            <w:r w:rsidRPr="000A03AD">
              <w:rPr>
                <w:rFonts w:eastAsia="MS Mincho" w:cs="Times New Roman"/>
                <w:i/>
                <w:iCs/>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914450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$3,323</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9A95B30"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11C1017"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sidRPr="000A03AD">
              <w:rPr>
                <w:rFonts w:eastAsia="MS Mincho" w:cs="Times New Roman"/>
                <w:b/>
                <w:bCs/>
                <w:i/>
                <w:iCs/>
                <w:color w:val="000000"/>
                <w:szCs w:val="26"/>
              </w:rPr>
              <w:t>$6,333</w:t>
            </w:r>
          </w:p>
        </w:tc>
      </w:tr>
      <w:tr w:rsidRPr="000A03AD" w:rsidR="00B23B73" w:rsidTr="00301BD8" w14:paraId="003F3900"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CDC587D" w14:textId="0BAC3D5E">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Comm</w:t>
            </w:r>
            <w:r w:rsidR="00B23B73">
              <w:rPr>
                <w:rFonts w:eastAsia="MS Mincho" w:cs="Times New Roman"/>
                <w:color w:val="000000"/>
                <w:szCs w:val="26"/>
              </w:rPr>
              <w:t xml:space="preserve">unity </w:t>
            </w:r>
            <w:r w:rsidRPr="000A03AD">
              <w:rPr>
                <w:rFonts w:eastAsia="MS Mincho" w:cs="Times New Roman"/>
                <w:color w:val="000000"/>
                <w:szCs w:val="26"/>
              </w:rPr>
              <w:t xml:space="preserve"> Engagement - Outreach &amp; P</w:t>
            </w:r>
            <w:r w:rsidR="00B23B73">
              <w:rPr>
                <w:rFonts w:eastAsia="MS Mincho" w:cs="Times New Roman"/>
                <w:color w:val="000000"/>
                <w:szCs w:val="26"/>
              </w:rPr>
              <w:t xml:space="preserve">ublic </w:t>
            </w:r>
            <w:r w:rsidRPr="000A03AD">
              <w:rPr>
                <w:rFonts w:eastAsia="MS Mincho" w:cs="Times New Roman"/>
                <w:color w:val="000000"/>
                <w:szCs w:val="26"/>
              </w:rPr>
              <w:t>A</w:t>
            </w:r>
            <w:r w:rsidR="00B23B73">
              <w:rPr>
                <w:rFonts w:eastAsia="MS Mincho" w:cs="Times New Roman"/>
                <w:color w:val="000000"/>
                <w:szCs w:val="26"/>
              </w:rPr>
              <w:t>wareness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C3B9B7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5C8C96C"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2E42B3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65AEE4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973884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24C317EC"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47A737E" w14:textId="77777777">
            <w:pPr>
              <w:autoSpaceDE w:val="0"/>
              <w:autoSpaceDN w:val="0"/>
              <w:adjustRightInd w:val="0"/>
              <w:spacing w:before="100" w:beforeAutospacing="1" w:after="100" w:afterAutospacing="1" w:line="240" w:lineRule="auto"/>
              <w:ind w:firstLine="0"/>
              <w:contextualSpacing/>
              <w:rPr>
                <w:rFonts w:eastAsia="MS Mincho" w:cs="Times New Roman"/>
                <w:color w:val="000000"/>
                <w:szCs w:val="26"/>
              </w:rPr>
            </w:pPr>
            <w:r w:rsidRPr="000A03AD">
              <w:rPr>
                <w:rFonts w:eastAsia="MS Mincho" w:cs="Times New Roman"/>
                <w:color w:val="000000"/>
                <w:szCs w:val="26"/>
              </w:rPr>
              <w:t>PSPS Communication Practices</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8AD6EFC"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$15,809</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08782F5"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color w:val="000000"/>
                <w:szCs w:val="26"/>
              </w:rPr>
            </w:pPr>
            <w:r w:rsidRPr="000A03AD">
              <w:rPr>
                <w:rFonts w:eastAsia="MS Mincho" w:cs="Times New Roman"/>
                <w:color w:val="000000"/>
                <w:szCs w:val="26"/>
              </w:rPr>
              <w:t>$15,809</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9B7D303"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$821</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C26E40B" w14:textId="77777777">
            <w:pPr>
              <w:autoSpaceDE w:val="0"/>
              <w:autoSpaceDN w:val="0"/>
              <w:adjustRightInd w:val="0"/>
              <w:spacing w:before="100" w:beforeAutospacing="1" w:after="100" w:afterAutospacing="1" w:line="240" w:lineRule="auto"/>
              <w:ind w:firstLine="0"/>
              <w:contextualSpacing/>
              <w:jc w:val="center"/>
              <w:rPr>
                <w:rFonts w:eastAsia="MS Mincho" w:cs="Times New Roman"/>
                <w:color w:val="000000"/>
                <w:szCs w:val="26"/>
              </w:rPr>
            </w:pPr>
            <w:r w:rsidRPr="000A03AD">
              <w:rPr>
                <w:rFonts w:eastAsia="MS Mincho" w:cs="Times New Roman"/>
                <w:color w:val="000000"/>
                <w:szCs w:val="26"/>
              </w:rPr>
              <w:t>$821</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B075E8D"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color w:val="000000"/>
                <w:szCs w:val="26"/>
              </w:rPr>
            </w:pPr>
            <w:r w:rsidRPr="000A03AD">
              <w:rPr>
                <w:rFonts w:eastAsia="MS Mincho" w:cs="Times New Roman"/>
                <w:b/>
                <w:bCs/>
                <w:color w:val="000000"/>
                <w:szCs w:val="26"/>
              </w:rPr>
              <w:t>$0</w:t>
            </w:r>
          </w:p>
        </w:tc>
      </w:tr>
      <w:tr w:rsidRPr="000A03AD" w:rsidR="00B23B73" w:rsidTr="00301BD8" w14:paraId="4ADB1640" w14:textId="77777777">
        <w:trPr>
          <w:cantSplit/>
          <w:trHeight w:val="30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B798443" w14:textId="448F818C">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SC&amp;CE</w:t>
            </w:r>
            <w:r w:rsidR="00B23B73">
              <w:rPr>
                <w:rStyle w:val="FootnoteReference"/>
                <w:rFonts w:eastAsia="MS Mincho" w:cs="Times New Roman"/>
                <w:i/>
                <w:iCs/>
                <w:color w:val="000000"/>
                <w:szCs w:val="26"/>
              </w:rPr>
              <w:footnoteReference w:id="11"/>
            </w:r>
            <w:r w:rsidRPr="000A03AD">
              <w:rPr>
                <w:rFonts w:eastAsia="MS Mincho" w:cs="Times New Roman"/>
                <w:i/>
                <w:iCs/>
                <w:color w:val="000000"/>
                <w:szCs w:val="26"/>
              </w:rPr>
              <w:t xml:space="preserve"> Total</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FD3DBC7"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$15,809</w:t>
            </w:r>
          </w:p>
        </w:tc>
        <w:tc>
          <w:tcPr>
            <w:tcW w:w="602"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DA3283F" w14:textId="77777777">
            <w:pPr>
              <w:autoSpaceDE w:val="0"/>
              <w:autoSpaceDN w:val="0"/>
              <w:adjustRightInd w:val="0"/>
              <w:spacing w:before="100" w:beforeAutospacing="1" w:after="100" w:afterAutospacing="1" w:line="240" w:lineRule="auto"/>
              <w:ind w:firstLine="12"/>
              <w:contextualSpacing/>
              <w:jc w:val="center"/>
              <w:rPr>
                <w:rFonts w:eastAsia="MS Mincho" w:cs="Times New Roman"/>
                <w:i/>
                <w:iCs/>
                <w:color w:val="000000"/>
                <w:szCs w:val="26"/>
              </w:rPr>
            </w:pPr>
            <w:r w:rsidRPr="000A03AD">
              <w:rPr>
                <w:rFonts w:eastAsia="MS Mincho" w:cs="Times New Roman"/>
                <w:i/>
                <w:iCs/>
                <w:color w:val="000000"/>
                <w:szCs w:val="26"/>
              </w:rPr>
              <w:t>$15,809</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74BF99E"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$821</w:t>
            </w:r>
          </w:p>
        </w:tc>
        <w:tc>
          <w:tcPr>
            <w:tcW w:w="617"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8B3D846" w14:textId="77777777">
            <w:pPr>
              <w:autoSpaceDE w:val="0"/>
              <w:autoSpaceDN w:val="0"/>
              <w:adjustRightInd w:val="0"/>
              <w:spacing w:before="100" w:beforeAutospacing="1" w:after="100" w:afterAutospacing="1" w:line="240" w:lineRule="auto"/>
              <w:ind w:firstLine="0"/>
              <w:contextualSpacing/>
              <w:jc w:val="center"/>
              <w:rPr>
                <w:rFonts w:eastAsia="MS Mincho" w:cs="Times New Roman"/>
                <w:i/>
                <w:iCs/>
                <w:color w:val="000000"/>
                <w:szCs w:val="26"/>
              </w:rPr>
            </w:pPr>
            <w:r w:rsidRPr="000A03AD">
              <w:rPr>
                <w:rFonts w:eastAsia="MS Mincho" w:cs="Times New Roman"/>
                <w:i/>
                <w:iCs/>
                <w:color w:val="000000"/>
                <w:szCs w:val="26"/>
              </w:rPr>
              <w:t>$821</w:t>
            </w:r>
          </w:p>
        </w:tc>
        <w:tc>
          <w:tcPr>
            <w:tcW w:w="615"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67CBFE9"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sidRPr="000A03AD">
              <w:rPr>
                <w:rFonts w:eastAsia="MS Mincho" w:cs="Times New Roman"/>
                <w:b/>
                <w:bCs/>
                <w:i/>
                <w:iCs/>
                <w:color w:val="000000"/>
                <w:szCs w:val="26"/>
              </w:rPr>
              <w:t>$0</w:t>
            </w:r>
          </w:p>
        </w:tc>
      </w:tr>
      <w:tr w:rsidRPr="000A03AD" w:rsidR="00B23B73" w:rsidTr="00301BD8" w14:paraId="49045244" w14:textId="77777777">
        <w:trPr>
          <w:cantSplit/>
          <w:trHeight w:val="280"/>
        </w:trPr>
        <w:tc>
          <w:tcPr>
            <w:tcW w:w="189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1F16F77" w14:textId="76C77D90">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sidRPr="000A03AD">
              <w:rPr>
                <w:rFonts w:eastAsia="MS Mincho" w:cs="Times New Roman"/>
                <w:b/>
                <w:bCs/>
                <w:i/>
                <w:iCs/>
                <w:color w:val="000000"/>
                <w:szCs w:val="26"/>
              </w:rPr>
              <w:t>W</w:t>
            </w:r>
            <w:r w:rsidR="00B23B73">
              <w:rPr>
                <w:rFonts w:eastAsia="MS Mincho" w:cs="Times New Roman"/>
                <w:b/>
                <w:bCs/>
                <w:i/>
                <w:iCs/>
                <w:color w:val="000000"/>
                <w:szCs w:val="26"/>
              </w:rPr>
              <w:t xml:space="preserve">ILDFIRE </w:t>
            </w:r>
            <w:r w:rsidRPr="000A03AD">
              <w:rPr>
                <w:rFonts w:eastAsia="MS Mincho" w:cs="Times New Roman"/>
                <w:b/>
                <w:bCs/>
                <w:i/>
                <w:iCs/>
                <w:color w:val="000000"/>
                <w:szCs w:val="26"/>
              </w:rPr>
              <w:t>M</w:t>
            </w:r>
            <w:r w:rsidR="00B23B73">
              <w:rPr>
                <w:rFonts w:eastAsia="MS Mincho" w:cs="Times New Roman"/>
                <w:b/>
                <w:bCs/>
                <w:i/>
                <w:iCs/>
                <w:color w:val="000000"/>
                <w:szCs w:val="26"/>
              </w:rPr>
              <w:t xml:space="preserve">ITIGATION </w:t>
            </w:r>
            <w:r w:rsidRPr="000A03AD">
              <w:rPr>
                <w:rFonts w:eastAsia="MS Mincho" w:cs="Times New Roman"/>
                <w:b/>
                <w:bCs/>
                <w:i/>
                <w:iCs/>
                <w:color w:val="000000"/>
                <w:szCs w:val="26"/>
              </w:rPr>
              <w:t>P</w:t>
            </w:r>
            <w:r w:rsidR="00B23B73">
              <w:rPr>
                <w:rFonts w:eastAsia="MS Mincho" w:cs="Times New Roman"/>
                <w:b/>
                <w:bCs/>
                <w:i/>
                <w:iCs/>
                <w:color w:val="000000"/>
                <w:szCs w:val="26"/>
              </w:rPr>
              <w:t xml:space="preserve">LAN </w:t>
            </w:r>
            <w:r w:rsidRPr="000A03AD">
              <w:rPr>
                <w:rFonts w:eastAsia="MS Mincho" w:cs="Times New Roman"/>
                <w:b/>
                <w:bCs/>
                <w:i/>
                <w:iCs/>
                <w:color w:val="000000"/>
                <w:szCs w:val="26"/>
              </w:rPr>
              <w:t>M</w:t>
            </w:r>
            <w:r w:rsidR="00B23B73">
              <w:rPr>
                <w:rFonts w:eastAsia="MS Mincho" w:cs="Times New Roman"/>
                <w:b/>
                <w:bCs/>
                <w:i/>
                <w:iCs/>
                <w:color w:val="000000"/>
                <w:szCs w:val="26"/>
              </w:rPr>
              <w:t xml:space="preserve">EMORANDUM </w:t>
            </w:r>
            <w:r w:rsidRPr="000A03AD">
              <w:rPr>
                <w:rFonts w:eastAsia="MS Mincho" w:cs="Times New Roman"/>
                <w:b/>
                <w:bCs/>
                <w:i/>
                <w:iCs/>
                <w:color w:val="000000"/>
                <w:szCs w:val="26"/>
              </w:rPr>
              <w:t>A</w:t>
            </w:r>
            <w:r w:rsidR="00B23B73">
              <w:rPr>
                <w:rFonts w:eastAsia="MS Mincho" w:cs="Times New Roman"/>
                <w:b/>
                <w:bCs/>
                <w:i/>
                <w:iCs/>
                <w:color w:val="000000"/>
                <w:szCs w:val="26"/>
              </w:rPr>
              <w:t>CCOUNT (WMPMA)</w:t>
            </w:r>
            <w:r w:rsidRPr="000A03AD">
              <w:rPr>
                <w:rFonts w:eastAsia="MS Mincho" w:cs="Times New Roman"/>
                <w:b/>
                <w:bCs/>
                <w:i/>
                <w:iCs/>
                <w:color w:val="000000"/>
                <w:szCs w:val="26"/>
              </w:rPr>
              <w:t xml:space="preserve"> Total</w:t>
            </w:r>
          </w:p>
        </w:tc>
        <w:tc>
          <w:tcPr>
            <w:tcW w:w="64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64DF662" w14:textId="77777777">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sidRPr="000A03AD">
              <w:rPr>
                <w:rFonts w:eastAsia="MS Mincho" w:cs="Times New Roman"/>
                <w:b/>
                <w:bCs/>
                <w:i/>
                <w:iCs/>
                <w:color w:val="000000"/>
                <w:szCs w:val="26"/>
              </w:rPr>
              <w:t>$835,247</w:t>
            </w:r>
          </w:p>
        </w:tc>
        <w:tc>
          <w:tcPr>
            <w:tcW w:w="602"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04439955" w14:textId="5E28E649">
            <w:pPr>
              <w:autoSpaceDE w:val="0"/>
              <w:autoSpaceDN w:val="0"/>
              <w:adjustRightInd w:val="0"/>
              <w:spacing w:before="100" w:beforeAutospacing="1" w:after="100" w:afterAutospacing="1" w:line="240" w:lineRule="auto"/>
              <w:ind w:firstLine="12"/>
              <w:contextualSpacing/>
              <w:jc w:val="center"/>
              <w:rPr>
                <w:rFonts w:eastAsia="MS Mincho" w:cs="Times New Roman"/>
                <w:b/>
                <w:bCs/>
                <w:i/>
                <w:iCs/>
                <w:color w:val="000000"/>
                <w:szCs w:val="26"/>
              </w:rPr>
            </w:pPr>
          </w:p>
          <w:p w:rsidRPr="000A03AD" w:rsidR="00D0328D" w:rsidP="00301BD8" w:rsidRDefault="00D0328D" w14:paraId="67F1D262" w14:textId="62099112">
            <w:pPr>
              <w:autoSpaceDE w:val="0"/>
              <w:autoSpaceDN w:val="0"/>
              <w:adjustRightInd w:val="0"/>
              <w:spacing w:before="100" w:beforeAutospacing="1" w:after="100" w:afterAutospacing="1" w:line="240" w:lineRule="auto"/>
              <w:ind w:firstLine="12"/>
              <w:contextualSpacing/>
              <w:jc w:val="center"/>
              <w:rPr>
                <w:rFonts w:eastAsia="MS Mincho" w:cs="Times New Roman"/>
                <w:b/>
                <w:bCs/>
                <w:i/>
                <w:iCs/>
                <w:color w:val="000000"/>
                <w:szCs w:val="26"/>
              </w:rPr>
            </w:pPr>
            <w:r>
              <w:rPr>
                <w:rFonts w:eastAsia="MS Mincho" w:cs="Times New Roman"/>
                <w:b/>
                <w:bCs/>
                <w:i/>
                <w:iCs/>
                <w:color w:val="000000"/>
                <w:szCs w:val="26"/>
              </w:rPr>
              <w:t>$214,176</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669359AE" w14:textId="62177654">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p>
          <w:p w:rsidRPr="000A03AD" w:rsidR="00D0328D" w:rsidP="00301BD8" w:rsidRDefault="00D0328D" w14:paraId="4320F010" w14:textId="295AD466">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Pr>
                <w:rFonts w:eastAsia="MS Mincho" w:cs="Times New Roman"/>
                <w:b/>
                <w:bCs/>
                <w:i/>
                <w:iCs/>
                <w:color w:val="000000"/>
                <w:szCs w:val="26"/>
              </w:rPr>
              <w:t>$353,082</w:t>
            </w:r>
          </w:p>
        </w:tc>
        <w:tc>
          <w:tcPr>
            <w:tcW w:w="617"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3CEB33F3" w14:textId="39235F5D">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p>
          <w:p w:rsidRPr="000A03AD" w:rsidR="0031491F" w:rsidP="00301BD8" w:rsidRDefault="0031491F" w14:paraId="61A67652" w14:textId="036EF397">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Pr>
                <w:rFonts w:eastAsia="MS Mincho" w:cs="Times New Roman"/>
                <w:b/>
                <w:bCs/>
                <w:i/>
                <w:iCs/>
                <w:color w:val="000000"/>
                <w:szCs w:val="26"/>
              </w:rPr>
              <w:t>$28,</w:t>
            </w:r>
            <w:r w:rsidR="008376BD">
              <w:rPr>
                <w:rFonts w:eastAsia="MS Mincho" w:cs="Times New Roman"/>
                <w:b/>
                <w:bCs/>
                <w:i/>
                <w:iCs/>
                <w:color w:val="000000"/>
                <w:szCs w:val="26"/>
              </w:rPr>
              <w:t>945</w:t>
            </w:r>
          </w:p>
        </w:tc>
        <w:tc>
          <w:tcPr>
            <w:tcW w:w="615"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00F663EE" w14:textId="1D0E4D60">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p>
          <w:p w:rsidRPr="000A03AD" w:rsidR="008376BD" w:rsidP="00301BD8" w:rsidRDefault="008376BD" w14:paraId="4A15FFD4" w14:textId="08710451">
            <w:pPr>
              <w:autoSpaceDE w:val="0"/>
              <w:autoSpaceDN w:val="0"/>
              <w:adjustRightInd w:val="0"/>
              <w:spacing w:before="100" w:beforeAutospacing="1" w:after="100" w:afterAutospacing="1" w:line="240" w:lineRule="auto"/>
              <w:ind w:firstLine="0"/>
              <w:contextualSpacing/>
              <w:jc w:val="center"/>
              <w:rPr>
                <w:rFonts w:eastAsia="MS Mincho" w:cs="Times New Roman"/>
                <w:b/>
                <w:bCs/>
                <w:i/>
                <w:iCs/>
                <w:color w:val="000000"/>
                <w:szCs w:val="26"/>
              </w:rPr>
            </w:pPr>
            <w:r>
              <w:rPr>
                <w:rFonts w:eastAsia="MS Mincho" w:cs="Times New Roman"/>
                <w:b/>
                <w:bCs/>
                <w:i/>
                <w:iCs/>
                <w:color w:val="000000"/>
                <w:szCs w:val="26"/>
              </w:rPr>
              <w:t>$945,209</w:t>
            </w:r>
          </w:p>
        </w:tc>
      </w:tr>
    </w:tbl>
    <w:p w:rsidRPr="005F6EBA" w:rsidR="007253C8" w:rsidP="007253C8" w:rsidRDefault="007253C8" w14:paraId="45D4C3E8" w14:textId="77777777">
      <w:pPr>
        <w:pStyle w:val="main0"/>
        <w:ind w:firstLine="0"/>
        <w:rPr>
          <w:rFonts w:ascii="Book Antiqua" w:hAnsi="Book Antiqua"/>
          <w:b w:val="0"/>
        </w:rPr>
        <w:sectPr w:rsidRPr="005F6EBA" w:rsidR="007253C8" w:rsidSect="00D166DC">
          <w:headerReference w:type="default" r:id="rId15"/>
          <w:footerReference w:type="default" r:id="rId16"/>
          <w:headerReference w:type="first" r:id="rId17"/>
          <w:footerReference w:type="first" r:id="rId18"/>
          <w:pgSz w:w="12240" w:h="15840" w:code="1"/>
          <w:pgMar w:top="1728" w:right="1440" w:bottom="1440" w:left="1440" w:header="720" w:footer="720" w:gutter="0"/>
          <w:pgNumType w:start="2"/>
          <w:cols w:space="720"/>
          <w:titlePg/>
          <w:docGrid w:linePitch="354"/>
        </w:sectPr>
      </w:pPr>
    </w:p>
    <w:p w:rsidRPr="00D166DC" w:rsidR="007253C8" w:rsidP="007253C8" w:rsidRDefault="007253C8" w14:paraId="4FC56D4D" w14:textId="77777777">
      <w:pPr>
        <w:pStyle w:val="Standard"/>
        <w:ind w:firstLine="0"/>
        <w:jc w:val="center"/>
        <w:rPr>
          <w:b/>
          <w:bCs/>
        </w:rPr>
      </w:pPr>
      <w:bookmarkStart w:name="Table_2_OM_Reduction" w:id="5"/>
      <w:r w:rsidRPr="00D166DC">
        <w:rPr>
          <w:b/>
          <w:bCs/>
        </w:rPr>
        <w:lastRenderedPageBreak/>
        <w:t>Table 2</w:t>
      </w:r>
    </w:p>
    <w:p w:rsidR="007253C8" w:rsidP="007253C8" w:rsidRDefault="007253C8" w14:paraId="63FEFD69" w14:textId="77777777">
      <w:pPr>
        <w:pStyle w:val="Standard"/>
        <w:ind w:firstLine="0"/>
        <w:jc w:val="center"/>
      </w:pPr>
      <w:r>
        <w:t>O&amp;M Requests, Reductions, and Authorizations ($000)</w:t>
      </w:r>
    </w:p>
    <w:tbl>
      <w:tblPr>
        <w:tblW w:w="5101" w:type="pct"/>
        <w:tblLook w:val="0000" w:firstRow="0" w:lastRow="0" w:firstColumn="0" w:lastColumn="0" w:noHBand="0" w:noVBand="0"/>
      </w:tblPr>
      <w:tblGrid>
        <w:gridCol w:w="2624"/>
        <w:gridCol w:w="1420"/>
        <w:gridCol w:w="1399"/>
        <w:gridCol w:w="1117"/>
        <w:gridCol w:w="1399"/>
        <w:gridCol w:w="1574"/>
      </w:tblGrid>
      <w:tr w:rsidRPr="000A03AD" w:rsidR="007253C8" w:rsidTr="00B9618B" w14:paraId="4DEE719E" w14:textId="77777777">
        <w:trPr>
          <w:cantSplit/>
          <w:trHeight w:val="600"/>
          <w:tblHeader/>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84C8833" w14:textId="77777777">
            <w:pPr>
              <w:autoSpaceDE w:val="0"/>
              <w:autoSpaceDN w:val="0"/>
              <w:adjustRightInd w:val="0"/>
              <w:spacing w:line="240" w:lineRule="auto"/>
              <w:ind w:hanging="26"/>
              <w:contextualSpacing/>
              <w:jc w:val="center"/>
              <w:rPr>
                <w:rFonts w:eastAsia="MS Mincho" w:cs="Times New Roman"/>
                <w:color w:val="000000"/>
                <w:szCs w:val="26"/>
              </w:rPr>
            </w:pPr>
            <w:r w:rsidRPr="000A03AD">
              <w:rPr>
                <w:rFonts w:eastAsia="MS Mincho" w:cs="Times New Roman"/>
                <w:color w:val="000000"/>
                <w:szCs w:val="26"/>
              </w:rPr>
              <w:t>Initiative</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B11EB50" w14:textId="4384599E">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Direct Costs</w:t>
            </w:r>
            <w:r w:rsidR="00BF25BA">
              <w:rPr>
                <w:rFonts w:eastAsia="MS Mincho" w:cs="Times New Roman"/>
                <w:color w:val="000000"/>
                <w:szCs w:val="26"/>
              </w:rPr>
              <w:t xml:space="preserve"> (DC)</w:t>
            </w:r>
            <w:r w:rsidRPr="000A03AD">
              <w:rPr>
                <w:rFonts w:eastAsia="MS Mincho" w:cs="Times New Roman"/>
                <w:color w:val="000000"/>
                <w:szCs w:val="26"/>
              </w:rPr>
              <w:t xml:space="preserve"> Requested</w:t>
            </w:r>
          </w:p>
          <w:p w:rsidRPr="000A03AD" w:rsidR="007253C8" w:rsidP="00301BD8" w:rsidRDefault="007253C8" w14:paraId="397D2D49" w14:textId="77777777">
            <w:pPr>
              <w:autoSpaceDE w:val="0"/>
              <w:autoSpaceDN w:val="0"/>
              <w:adjustRightInd w:val="0"/>
              <w:spacing w:line="240" w:lineRule="auto"/>
              <w:ind w:firstLine="2"/>
              <w:contextualSpacing/>
              <w:jc w:val="center"/>
              <w:rPr>
                <w:rFonts w:eastAsia="MS Mincho" w:cs="Times New Roman"/>
                <w:color w:val="000000"/>
                <w:szCs w:val="26"/>
              </w:rPr>
            </w:pP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23F1F77"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DC Reduction</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AA6D8D2"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Indirect Costs (IC)</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DD8B9CC"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 xml:space="preserve">IC Reduction </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E5C81DA"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Authorized</w:t>
            </w:r>
          </w:p>
        </w:tc>
      </w:tr>
      <w:tr w:rsidRPr="000A03AD" w:rsidR="007253C8" w:rsidTr="00B9618B" w14:paraId="2F41E90B" w14:textId="77777777">
        <w:trPr>
          <w:trHeight w:val="32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F89AA0A"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Circuit Ownership</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F4D3432"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FD857F3"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9B2F3CC"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13FAFF3"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34DEB20"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13D20A51"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E960A3D" w14:textId="45DAC033">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Detailed Inspections of Dist</w:t>
            </w:r>
            <w:r w:rsidR="00B23B73">
              <w:rPr>
                <w:rFonts w:eastAsia="MS Mincho" w:cs="Times New Roman"/>
                <w:color w:val="000000"/>
                <w:szCs w:val="26"/>
              </w:rPr>
              <w:t>ribution</w:t>
            </w:r>
            <w:r w:rsidRPr="000A03AD">
              <w:rPr>
                <w:rFonts w:eastAsia="MS Mincho" w:cs="Times New Roman"/>
                <w:color w:val="000000"/>
                <w:szCs w:val="26"/>
              </w:rPr>
              <w:t xml:space="preserve"> Equip</w:t>
            </w:r>
            <w:r w:rsidR="00B23B73">
              <w:rPr>
                <w:rFonts w:eastAsia="MS Mincho" w:cs="Times New Roman"/>
                <w:color w:val="000000"/>
                <w:szCs w:val="26"/>
              </w:rPr>
              <w:t>ment</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D138554"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-$45,998</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0EE9FB6"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D71EBCC"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$1,700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66FD36A"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B0E6F57"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-$44,298</w:t>
            </w:r>
          </w:p>
        </w:tc>
      </w:tr>
      <w:tr w:rsidRPr="000A03AD" w:rsidR="007253C8" w:rsidTr="00B9618B" w14:paraId="20EAF70D"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BE27141" w14:textId="740C403D">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Detailed Inspections of Dist</w:t>
            </w:r>
            <w:r w:rsidR="00B23B73">
              <w:rPr>
                <w:rFonts w:eastAsia="MS Mincho" w:cs="Times New Roman"/>
                <w:color w:val="000000"/>
                <w:szCs w:val="26"/>
              </w:rPr>
              <w:t>ribution</w:t>
            </w:r>
            <w:r w:rsidRPr="000A03AD">
              <w:rPr>
                <w:rFonts w:eastAsia="MS Mincho" w:cs="Times New Roman"/>
                <w:color w:val="000000"/>
                <w:szCs w:val="26"/>
              </w:rPr>
              <w:t xml:space="preserve"> </w:t>
            </w:r>
            <w:proofErr w:type="spellStart"/>
            <w:r w:rsidRPr="000A03AD">
              <w:rPr>
                <w:rFonts w:eastAsia="MS Mincho" w:cs="Times New Roman"/>
                <w:color w:val="000000"/>
                <w:szCs w:val="26"/>
              </w:rPr>
              <w:t>Underbuild</w:t>
            </w:r>
            <w:proofErr w:type="spellEnd"/>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91FD4C8"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532D466"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-$225</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A0B1B6E"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72824A6"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A12DE67"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$225</w:t>
            </w:r>
          </w:p>
        </w:tc>
      </w:tr>
      <w:tr w:rsidRPr="000A03AD" w:rsidR="007253C8" w:rsidTr="00B9618B" w14:paraId="450D2310"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1147B32" w14:textId="15094A9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Drone Assessments of Dist</w:t>
            </w:r>
            <w:r w:rsidR="00B23B73">
              <w:rPr>
                <w:rFonts w:eastAsia="MS Mincho" w:cs="Times New Roman"/>
                <w:color w:val="000000"/>
                <w:szCs w:val="26"/>
              </w:rPr>
              <w:t>ribution</w:t>
            </w:r>
            <w:r w:rsidRPr="000A03AD">
              <w:rPr>
                <w:rFonts w:eastAsia="MS Mincho" w:cs="Times New Roman"/>
                <w:color w:val="000000"/>
                <w:szCs w:val="26"/>
              </w:rPr>
              <w:t xml:space="preserve"> Infrastructure</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9C72653"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$137,446</w:t>
            </w:r>
          </w:p>
        </w:tc>
        <w:tc>
          <w:tcPr>
            <w:tcW w:w="679"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419E8601" w14:textId="48BB2681">
            <w:pPr>
              <w:autoSpaceDE w:val="0"/>
              <w:autoSpaceDN w:val="0"/>
              <w:adjustRightInd w:val="0"/>
              <w:spacing w:line="240" w:lineRule="auto"/>
              <w:ind w:firstLine="0"/>
              <w:contextualSpacing/>
              <w:jc w:val="center"/>
              <w:rPr>
                <w:rFonts w:eastAsia="MS Mincho" w:cs="Times New Roman"/>
                <w:color w:val="000000"/>
                <w:szCs w:val="26"/>
              </w:rPr>
            </w:pPr>
          </w:p>
          <w:p w:rsidRPr="000A03AD" w:rsidR="00B868A4" w:rsidP="00301BD8" w:rsidRDefault="00B868A4" w14:paraId="28160D0E" w14:textId="5899C4C0">
            <w:pPr>
              <w:autoSpaceDE w:val="0"/>
              <w:autoSpaceDN w:val="0"/>
              <w:adjustRightInd w:val="0"/>
              <w:spacing w:line="240" w:lineRule="auto"/>
              <w:ind w:firstLine="0"/>
              <w:contextualSpacing/>
              <w:jc w:val="center"/>
              <w:rPr>
                <w:rFonts w:eastAsia="MS Mincho" w:cs="Times New Roman"/>
                <w:color w:val="000000"/>
                <w:szCs w:val="26"/>
              </w:rPr>
            </w:pPr>
            <w:r>
              <w:rPr>
                <w:rFonts w:eastAsia="MS Mincho" w:cs="Times New Roman"/>
                <w:color w:val="000000"/>
                <w:szCs w:val="26"/>
              </w:rPr>
              <w:t>$137,446</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0FF8FD3"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$4,800</w:t>
            </w:r>
          </w:p>
        </w:tc>
        <w:tc>
          <w:tcPr>
            <w:tcW w:w="679"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0772641F" w14:textId="4EC0F968">
            <w:pPr>
              <w:autoSpaceDE w:val="0"/>
              <w:autoSpaceDN w:val="0"/>
              <w:adjustRightInd w:val="0"/>
              <w:spacing w:line="240" w:lineRule="auto"/>
              <w:ind w:firstLine="6"/>
              <w:contextualSpacing/>
              <w:jc w:val="center"/>
              <w:rPr>
                <w:rFonts w:eastAsia="MS Mincho" w:cs="Times New Roman"/>
                <w:color w:val="000000"/>
                <w:szCs w:val="26"/>
              </w:rPr>
            </w:pPr>
          </w:p>
          <w:p w:rsidRPr="000A03AD" w:rsidR="00B868A4" w:rsidP="00301BD8" w:rsidRDefault="00B868A4" w14:paraId="173D8545" w14:textId="096FEAD0">
            <w:pPr>
              <w:autoSpaceDE w:val="0"/>
              <w:autoSpaceDN w:val="0"/>
              <w:adjustRightInd w:val="0"/>
              <w:spacing w:line="240" w:lineRule="auto"/>
              <w:ind w:firstLine="6"/>
              <w:contextualSpacing/>
              <w:jc w:val="center"/>
              <w:rPr>
                <w:rFonts w:eastAsia="MS Mincho" w:cs="Times New Roman"/>
                <w:color w:val="000000"/>
                <w:szCs w:val="26"/>
              </w:rPr>
            </w:pPr>
            <w:r>
              <w:rPr>
                <w:rFonts w:eastAsia="MS Mincho" w:cs="Times New Roman"/>
                <w:color w:val="000000"/>
                <w:szCs w:val="26"/>
              </w:rPr>
              <w:t>$4,800</w:t>
            </w:r>
          </w:p>
        </w:tc>
        <w:tc>
          <w:tcPr>
            <w:tcW w:w="861"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26CDAF66" w14:textId="5C2CDCC0">
            <w:pPr>
              <w:autoSpaceDE w:val="0"/>
              <w:autoSpaceDN w:val="0"/>
              <w:adjustRightInd w:val="0"/>
              <w:spacing w:line="240" w:lineRule="auto"/>
              <w:ind w:firstLine="0"/>
              <w:contextualSpacing/>
              <w:jc w:val="center"/>
              <w:rPr>
                <w:rFonts w:eastAsia="MS Mincho" w:cs="Times New Roman"/>
                <w:b/>
                <w:color w:val="000000"/>
                <w:szCs w:val="26"/>
              </w:rPr>
            </w:pPr>
          </w:p>
          <w:p w:rsidRPr="000A03AD" w:rsidR="00B868A4" w:rsidP="00301BD8" w:rsidRDefault="00B868A4" w14:paraId="2E2E6609" w14:textId="7CB3AC09">
            <w:pPr>
              <w:autoSpaceDE w:val="0"/>
              <w:autoSpaceDN w:val="0"/>
              <w:adjustRightInd w:val="0"/>
              <w:spacing w:line="240" w:lineRule="auto"/>
              <w:ind w:firstLine="0"/>
              <w:contextualSpacing/>
              <w:jc w:val="center"/>
              <w:rPr>
                <w:rFonts w:eastAsia="MS Mincho" w:cs="Times New Roman"/>
                <w:b/>
                <w:color w:val="000000"/>
                <w:szCs w:val="26"/>
              </w:rPr>
            </w:pPr>
            <w:r>
              <w:rPr>
                <w:rFonts w:eastAsia="MS Mincho" w:cs="Times New Roman"/>
                <w:b/>
                <w:color w:val="000000"/>
                <w:szCs w:val="26"/>
              </w:rPr>
              <w:t>$0</w:t>
            </w:r>
          </w:p>
        </w:tc>
      </w:tr>
      <w:tr w:rsidRPr="000A03AD" w:rsidR="007253C8" w:rsidTr="00B9618B" w14:paraId="11904A8B"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406F4B5"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HFTD Tier 3 Inspections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9E679B4"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9D7BFD6"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-$3,111</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4E75F97"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B4AFE71"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710260C"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$3,111</w:t>
            </w:r>
          </w:p>
        </w:tc>
      </w:tr>
      <w:tr w:rsidRPr="000A03AD" w:rsidR="007253C8" w:rsidTr="00B9618B" w14:paraId="1D19E159"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788621A" w14:textId="6E92A0A4">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Infrared Inspections of Dist</w:t>
            </w:r>
            <w:r w:rsidR="00B23B73">
              <w:rPr>
                <w:rFonts w:eastAsia="MS Mincho" w:cs="Times New Roman"/>
                <w:color w:val="000000"/>
                <w:szCs w:val="26"/>
              </w:rPr>
              <w:t>ribution</w:t>
            </w:r>
            <w:r w:rsidR="00AF264F">
              <w:rPr>
                <w:rFonts w:eastAsia="MS Mincho" w:cs="Times New Roman"/>
                <w:color w:val="000000"/>
                <w:szCs w:val="26"/>
              </w:rPr>
              <w:t xml:space="preserve"> </w:t>
            </w:r>
            <w:r w:rsidRPr="000A03AD">
              <w:rPr>
                <w:rFonts w:eastAsia="MS Mincho" w:cs="Times New Roman"/>
                <w:color w:val="000000"/>
                <w:szCs w:val="26"/>
              </w:rPr>
              <w:t>Infrastructure</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62874B5"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$577</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91227DD"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$577</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88FF02D"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$300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4FDAC3D"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$300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2C57B58"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5BB4A6C9"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4E6C8E9"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Intrusive Pole Inspections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4B64140"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$2,987</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EF20D56"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6F69B53"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$500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DB17506"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BE35805"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$3,487</w:t>
            </w:r>
          </w:p>
        </w:tc>
      </w:tr>
      <w:tr w:rsidRPr="000A03AD" w:rsidR="007253C8" w:rsidTr="00B9618B" w14:paraId="7F0C34A7"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C6F474F" w14:textId="2A267D8F">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Patrol Inspections of Dist</w:t>
            </w:r>
            <w:r w:rsidR="00B23B73">
              <w:rPr>
                <w:rFonts w:eastAsia="MS Mincho" w:cs="Times New Roman"/>
                <w:color w:val="000000"/>
                <w:szCs w:val="26"/>
              </w:rPr>
              <w:t>ribution</w:t>
            </w:r>
            <w:r w:rsidRPr="000A03AD">
              <w:rPr>
                <w:rFonts w:eastAsia="MS Mincho" w:cs="Times New Roman"/>
                <w:color w:val="000000"/>
                <w:szCs w:val="26"/>
              </w:rPr>
              <w:t xml:space="preserve"> Equip</w:t>
            </w:r>
            <w:r w:rsidR="00B23B73">
              <w:rPr>
                <w:rFonts w:eastAsia="MS Mincho" w:cs="Times New Roman"/>
                <w:color w:val="000000"/>
                <w:szCs w:val="26"/>
              </w:rPr>
              <w:t>ment</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40F76D2"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04E16F4"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-$927</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ED35F1D"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DF4B885"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057B01E"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$927</w:t>
            </w:r>
          </w:p>
        </w:tc>
      </w:tr>
      <w:tr w:rsidRPr="000A03AD" w:rsidR="007253C8" w:rsidTr="00B9618B" w14:paraId="3047F655"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24CEEFF" w14:textId="77777777">
            <w:pPr>
              <w:autoSpaceDE w:val="0"/>
              <w:autoSpaceDN w:val="0"/>
              <w:adjustRightInd w:val="0"/>
              <w:spacing w:line="240" w:lineRule="auto"/>
              <w:ind w:hanging="26"/>
              <w:contextualSpacing/>
              <w:jc w:val="center"/>
              <w:rPr>
                <w:rFonts w:eastAsia="MS Mincho" w:cs="Times New Roman"/>
                <w:i/>
                <w:color w:val="000000"/>
                <w:szCs w:val="26"/>
              </w:rPr>
            </w:pPr>
            <w:r w:rsidRPr="000A03AD">
              <w:rPr>
                <w:rFonts w:eastAsia="MS Mincho" w:cs="Times New Roman"/>
                <w:i/>
                <w:color w:val="000000"/>
                <w:szCs w:val="26"/>
              </w:rPr>
              <w:t>AM&amp;I Total</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C7957B9" w14:textId="77777777">
            <w:pPr>
              <w:autoSpaceDE w:val="0"/>
              <w:autoSpaceDN w:val="0"/>
              <w:adjustRightInd w:val="0"/>
              <w:spacing w:line="240" w:lineRule="auto"/>
              <w:ind w:firstLine="2"/>
              <w:contextualSpacing/>
              <w:jc w:val="center"/>
              <w:rPr>
                <w:rFonts w:eastAsia="MS Mincho" w:cs="Times New Roman"/>
                <w:i/>
                <w:color w:val="000000"/>
                <w:szCs w:val="26"/>
              </w:rPr>
            </w:pPr>
            <w:r w:rsidRPr="000A03AD">
              <w:rPr>
                <w:rFonts w:eastAsia="MS Mincho" w:cs="Times New Roman"/>
                <w:i/>
                <w:color w:val="000000"/>
                <w:szCs w:val="26"/>
              </w:rPr>
              <w:t>$95,013</w:t>
            </w:r>
          </w:p>
        </w:tc>
        <w:tc>
          <w:tcPr>
            <w:tcW w:w="679"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77408397" w14:textId="401DA703">
            <w:pPr>
              <w:autoSpaceDE w:val="0"/>
              <w:autoSpaceDN w:val="0"/>
              <w:adjustRightInd w:val="0"/>
              <w:spacing w:line="240" w:lineRule="auto"/>
              <w:ind w:firstLine="0"/>
              <w:contextualSpacing/>
              <w:jc w:val="center"/>
              <w:rPr>
                <w:rFonts w:eastAsia="MS Mincho" w:cs="Times New Roman"/>
                <w:i/>
                <w:color w:val="000000"/>
                <w:szCs w:val="26"/>
              </w:rPr>
            </w:pPr>
          </w:p>
          <w:p w:rsidRPr="000A03AD" w:rsidR="007608B7" w:rsidP="00301BD8" w:rsidRDefault="007608B7" w14:paraId="462718B1" w14:textId="0A792AEC">
            <w:pPr>
              <w:autoSpaceDE w:val="0"/>
              <w:autoSpaceDN w:val="0"/>
              <w:adjustRightInd w:val="0"/>
              <w:spacing w:line="240" w:lineRule="auto"/>
              <w:ind w:firstLine="0"/>
              <w:contextualSpacing/>
              <w:jc w:val="center"/>
              <w:rPr>
                <w:rFonts w:eastAsia="MS Mincho" w:cs="Times New Roman"/>
                <w:i/>
                <w:color w:val="000000"/>
                <w:szCs w:val="26"/>
              </w:rPr>
            </w:pPr>
            <w:r>
              <w:rPr>
                <w:rFonts w:eastAsia="MS Mincho" w:cs="Times New Roman"/>
                <w:i/>
                <w:color w:val="000000"/>
                <w:szCs w:val="26"/>
              </w:rPr>
              <w:t>$133,761</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4EB18E3"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$7,300</w:t>
            </w:r>
          </w:p>
        </w:tc>
        <w:tc>
          <w:tcPr>
            <w:tcW w:w="679"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61D6668F" w14:textId="4C9D0232">
            <w:pPr>
              <w:autoSpaceDE w:val="0"/>
              <w:autoSpaceDN w:val="0"/>
              <w:adjustRightInd w:val="0"/>
              <w:spacing w:line="240" w:lineRule="auto"/>
              <w:ind w:firstLine="6"/>
              <w:contextualSpacing/>
              <w:jc w:val="center"/>
              <w:rPr>
                <w:rFonts w:eastAsia="MS Mincho" w:cs="Times New Roman"/>
                <w:i/>
                <w:color w:val="000000"/>
                <w:szCs w:val="26"/>
              </w:rPr>
            </w:pPr>
          </w:p>
          <w:p w:rsidRPr="000A03AD" w:rsidR="005B6B63" w:rsidP="00301BD8" w:rsidRDefault="005B6B63" w14:paraId="2A26AD75" w14:textId="098E0DB1">
            <w:pPr>
              <w:autoSpaceDE w:val="0"/>
              <w:autoSpaceDN w:val="0"/>
              <w:adjustRightInd w:val="0"/>
              <w:spacing w:line="240" w:lineRule="auto"/>
              <w:ind w:firstLine="6"/>
              <w:contextualSpacing/>
              <w:jc w:val="center"/>
              <w:rPr>
                <w:rFonts w:eastAsia="MS Mincho" w:cs="Times New Roman"/>
                <w:i/>
                <w:color w:val="000000"/>
                <w:szCs w:val="26"/>
              </w:rPr>
            </w:pPr>
            <w:r>
              <w:rPr>
                <w:rFonts w:eastAsia="MS Mincho" w:cs="Times New Roman"/>
                <w:i/>
                <w:color w:val="000000"/>
                <w:szCs w:val="26"/>
              </w:rPr>
              <w:t>$5,100</w:t>
            </w:r>
          </w:p>
        </w:tc>
        <w:tc>
          <w:tcPr>
            <w:tcW w:w="861"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6D033FD4" w14:textId="3E6A056A">
            <w:pPr>
              <w:autoSpaceDE w:val="0"/>
              <w:autoSpaceDN w:val="0"/>
              <w:adjustRightInd w:val="0"/>
              <w:spacing w:line="240" w:lineRule="auto"/>
              <w:ind w:firstLine="0"/>
              <w:contextualSpacing/>
              <w:jc w:val="center"/>
              <w:rPr>
                <w:rFonts w:eastAsia="MS Mincho" w:cs="Times New Roman"/>
                <w:b/>
                <w:i/>
                <w:color w:val="000000"/>
                <w:szCs w:val="26"/>
              </w:rPr>
            </w:pPr>
          </w:p>
          <w:p w:rsidRPr="000A03AD" w:rsidR="005B6B63" w:rsidP="00301BD8" w:rsidRDefault="005B6B63" w14:paraId="28D9380C" w14:textId="55ED795E">
            <w:pPr>
              <w:autoSpaceDE w:val="0"/>
              <w:autoSpaceDN w:val="0"/>
              <w:adjustRightInd w:val="0"/>
              <w:spacing w:line="240" w:lineRule="auto"/>
              <w:ind w:firstLine="0"/>
              <w:contextualSpacing/>
              <w:jc w:val="center"/>
              <w:rPr>
                <w:rFonts w:eastAsia="MS Mincho" w:cs="Times New Roman"/>
                <w:b/>
                <w:i/>
                <w:color w:val="000000"/>
                <w:szCs w:val="26"/>
              </w:rPr>
            </w:pPr>
            <w:r>
              <w:rPr>
                <w:rFonts w:eastAsia="MS Mincho" w:cs="Times New Roman"/>
                <w:b/>
                <w:i/>
                <w:color w:val="000000"/>
                <w:szCs w:val="26"/>
              </w:rPr>
              <w:t>-$</w:t>
            </w:r>
            <w:r w:rsidR="00AF7893">
              <w:rPr>
                <w:rFonts w:eastAsia="MS Mincho" w:cs="Times New Roman"/>
                <w:b/>
                <w:i/>
                <w:color w:val="000000"/>
                <w:szCs w:val="26"/>
              </w:rPr>
              <w:t>36,547</w:t>
            </w:r>
          </w:p>
        </w:tc>
      </w:tr>
      <w:tr w:rsidRPr="000A03AD" w:rsidR="007253C8" w:rsidTr="00B9618B" w14:paraId="025EB79D"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3C1E9C7"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Centralized Repository for Data</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1325B65"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3E9254F"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2490596"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6684D0A"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A607B16"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169ED834"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6B6B37E"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Document. &amp; Disclosure</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A1097C2"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-$692</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99AB3AC"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EEBC602"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$500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61807E7"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2F40633"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-$192</w:t>
            </w:r>
          </w:p>
        </w:tc>
      </w:tr>
      <w:tr w:rsidRPr="000A03AD" w:rsidR="007253C8" w:rsidTr="00B9618B" w14:paraId="6FF77B21"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6D8F82A" w14:textId="0714926B">
            <w:pPr>
              <w:autoSpaceDE w:val="0"/>
              <w:autoSpaceDN w:val="0"/>
              <w:adjustRightInd w:val="0"/>
              <w:spacing w:line="240" w:lineRule="auto"/>
              <w:ind w:hanging="26"/>
              <w:contextualSpacing/>
              <w:jc w:val="center"/>
              <w:rPr>
                <w:rFonts w:eastAsia="MS Mincho" w:cs="Times New Roman"/>
                <w:i/>
                <w:color w:val="000000"/>
                <w:szCs w:val="26"/>
              </w:rPr>
            </w:pPr>
            <w:r w:rsidRPr="000A03AD">
              <w:rPr>
                <w:rFonts w:eastAsia="MS Mincho" w:cs="Times New Roman"/>
                <w:i/>
                <w:color w:val="000000"/>
                <w:szCs w:val="26"/>
              </w:rPr>
              <w:t>D</w:t>
            </w:r>
            <w:r w:rsidR="009E10AB">
              <w:rPr>
                <w:rFonts w:eastAsia="MS Mincho" w:cs="Times New Roman"/>
                <w:i/>
                <w:color w:val="000000"/>
                <w:szCs w:val="26"/>
              </w:rPr>
              <w:t xml:space="preserve">ata </w:t>
            </w:r>
            <w:r w:rsidRPr="000A03AD">
              <w:rPr>
                <w:rFonts w:eastAsia="MS Mincho" w:cs="Times New Roman"/>
                <w:i/>
                <w:color w:val="000000"/>
                <w:szCs w:val="26"/>
              </w:rPr>
              <w:t>G</w:t>
            </w:r>
            <w:r w:rsidR="009E10AB">
              <w:rPr>
                <w:rFonts w:eastAsia="MS Mincho" w:cs="Times New Roman"/>
                <w:i/>
                <w:color w:val="000000"/>
                <w:szCs w:val="26"/>
              </w:rPr>
              <w:t>overnance</w:t>
            </w:r>
            <w:r w:rsidRPr="000A03AD">
              <w:rPr>
                <w:rFonts w:eastAsia="MS Mincho" w:cs="Times New Roman"/>
                <w:i/>
                <w:color w:val="000000"/>
                <w:szCs w:val="26"/>
              </w:rPr>
              <w:t xml:space="preserve"> Total</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CB542B8" w14:textId="77777777">
            <w:pPr>
              <w:autoSpaceDE w:val="0"/>
              <w:autoSpaceDN w:val="0"/>
              <w:adjustRightInd w:val="0"/>
              <w:spacing w:line="240" w:lineRule="auto"/>
              <w:ind w:firstLine="2"/>
              <w:contextualSpacing/>
              <w:jc w:val="center"/>
              <w:rPr>
                <w:rFonts w:eastAsia="MS Mincho" w:cs="Times New Roman"/>
                <w:i/>
                <w:color w:val="000000"/>
                <w:szCs w:val="26"/>
              </w:rPr>
            </w:pPr>
            <w:r w:rsidRPr="000A03AD">
              <w:rPr>
                <w:rFonts w:eastAsia="MS Mincho" w:cs="Times New Roman"/>
                <w:i/>
                <w:color w:val="000000"/>
                <w:szCs w:val="26"/>
              </w:rPr>
              <w:t>-$692</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0CD500E"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F85004E"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$500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C69744C" w14:textId="77777777">
            <w:pPr>
              <w:autoSpaceDE w:val="0"/>
              <w:autoSpaceDN w:val="0"/>
              <w:adjustRightInd w:val="0"/>
              <w:spacing w:line="240" w:lineRule="auto"/>
              <w:ind w:firstLine="6"/>
              <w:contextualSpacing/>
              <w:jc w:val="center"/>
              <w:rPr>
                <w:rFonts w:eastAsia="MS Mincho" w:cs="Times New Roman"/>
                <w:i/>
                <w:color w:val="000000"/>
                <w:szCs w:val="26"/>
              </w:rPr>
            </w:pPr>
            <w:r w:rsidRPr="000A03AD">
              <w:rPr>
                <w:rFonts w:eastAsia="MS Mincho" w:cs="Times New Roman"/>
                <w:i/>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49F57C9" w14:textId="77777777">
            <w:pPr>
              <w:autoSpaceDE w:val="0"/>
              <w:autoSpaceDN w:val="0"/>
              <w:adjustRightInd w:val="0"/>
              <w:spacing w:line="240" w:lineRule="auto"/>
              <w:ind w:firstLine="0"/>
              <w:contextualSpacing/>
              <w:jc w:val="center"/>
              <w:rPr>
                <w:rFonts w:eastAsia="MS Mincho" w:cs="Times New Roman"/>
                <w:b/>
                <w:i/>
                <w:color w:val="000000"/>
                <w:szCs w:val="26"/>
              </w:rPr>
            </w:pPr>
            <w:r w:rsidRPr="000A03AD">
              <w:rPr>
                <w:rFonts w:eastAsia="MS Mincho" w:cs="Times New Roman"/>
                <w:b/>
                <w:i/>
                <w:color w:val="000000"/>
                <w:szCs w:val="26"/>
              </w:rPr>
              <w:t>-$192</w:t>
            </w:r>
          </w:p>
        </w:tc>
      </w:tr>
      <w:tr w:rsidRPr="000A03AD" w:rsidR="007253C8" w:rsidTr="00B9618B" w14:paraId="5E43EA3C"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43B9B46" w14:textId="21AB92E5">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lastRenderedPageBreak/>
              <w:t>CO, PA, &amp; Comm</w:t>
            </w:r>
            <w:r w:rsidR="00B23B73">
              <w:rPr>
                <w:rFonts w:eastAsia="MS Mincho" w:cs="Times New Roman"/>
                <w:color w:val="000000"/>
                <w:szCs w:val="26"/>
              </w:rPr>
              <w:t>unications Efforts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DC090B0"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F7B9BFC"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-$7,686</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41BE9B1"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DE0E84A"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83C598B"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$7,686</w:t>
            </w:r>
          </w:p>
        </w:tc>
      </w:tr>
      <w:tr w:rsidRPr="000A03AD" w:rsidR="007253C8" w:rsidTr="00B9618B" w14:paraId="5A9C72E7"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E7DD73C" w14:textId="4E2F1AA8">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Emergency M</w:t>
            </w:r>
            <w:r w:rsidR="00B23B73">
              <w:rPr>
                <w:rFonts w:eastAsia="MS Mincho" w:cs="Times New Roman"/>
                <w:color w:val="000000"/>
                <w:szCs w:val="26"/>
              </w:rPr>
              <w:t>ana</w:t>
            </w:r>
            <w:r w:rsidRPr="000A03AD">
              <w:rPr>
                <w:rFonts w:eastAsia="MS Mincho" w:cs="Times New Roman"/>
                <w:color w:val="000000"/>
                <w:szCs w:val="26"/>
              </w:rPr>
              <w:t>g</w:t>
            </w:r>
            <w:r w:rsidR="00B23B73">
              <w:rPr>
                <w:rFonts w:eastAsia="MS Mincho" w:cs="Times New Roman"/>
                <w:color w:val="000000"/>
                <w:szCs w:val="26"/>
              </w:rPr>
              <w:t>e</w:t>
            </w:r>
            <w:r w:rsidRPr="000A03AD">
              <w:rPr>
                <w:rFonts w:eastAsia="MS Mincho" w:cs="Times New Roman"/>
                <w:color w:val="000000"/>
                <w:szCs w:val="26"/>
              </w:rPr>
              <w:t>m</w:t>
            </w:r>
            <w:r w:rsidR="00B23B73">
              <w:rPr>
                <w:rFonts w:eastAsia="MS Mincho" w:cs="Times New Roman"/>
                <w:color w:val="000000"/>
                <w:szCs w:val="26"/>
              </w:rPr>
              <w:t>en</w:t>
            </w:r>
            <w:r w:rsidRPr="000A03AD">
              <w:rPr>
                <w:rFonts w:eastAsia="MS Mincho" w:cs="Times New Roman"/>
                <w:color w:val="000000"/>
                <w:szCs w:val="26"/>
              </w:rPr>
              <w:t>t Operations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CB71806"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$34,472</w:t>
            </w:r>
          </w:p>
        </w:tc>
        <w:tc>
          <w:tcPr>
            <w:tcW w:w="679"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479BBC7D" w14:textId="045E97C4">
            <w:pPr>
              <w:autoSpaceDE w:val="0"/>
              <w:autoSpaceDN w:val="0"/>
              <w:adjustRightInd w:val="0"/>
              <w:spacing w:line="240" w:lineRule="auto"/>
              <w:ind w:firstLine="0"/>
              <w:contextualSpacing/>
              <w:jc w:val="center"/>
              <w:rPr>
                <w:rFonts w:eastAsia="MS Mincho" w:cs="Times New Roman"/>
                <w:color w:val="000000"/>
                <w:szCs w:val="26"/>
              </w:rPr>
            </w:pPr>
          </w:p>
          <w:p w:rsidRPr="000A03AD" w:rsidR="00352A83" w:rsidP="00301BD8" w:rsidRDefault="00352A83" w14:paraId="47218881" w14:textId="3CE11854">
            <w:pPr>
              <w:autoSpaceDE w:val="0"/>
              <w:autoSpaceDN w:val="0"/>
              <w:adjustRightInd w:val="0"/>
              <w:spacing w:line="240" w:lineRule="auto"/>
              <w:ind w:firstLine="0"/>
              <w:contextualSpacing/>
              <w:jc w:val="center"/>
              <w:rPr>
                <w:rFonts w:eastAsia="MS Mincho" w:cs="Times New Roman"/>
                <w:color w:val="000000"/>
                <w:szCs w:val="26"/>
              </w:rPr>
            </w:pPr>
            <w:r>
              <w:rPr>
                <w:rFonts w:eastAsia="MS Mincho" w:cs="Times New Roman"/>
                <w:color w:val="000000"/>
                <w:szCs w:val="26"/>
              </w:rPr>
              <w:t>$102</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C7E8D1C"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$7,800</w:t>
            </w:r>
          </w:p>
        </w:tc>
        <w:tc>
          <w:tcPr>
            <w:tcW w:w="679"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20A20F55" w14:textId="3BF0EF07">
            <w:pPr>
              <w:autoSpaceDE w:val="0"/>
              <w:autoSpaceDN w:val="0"/>
              <w:adjustRightInd w:val="0"/>
              <w:spacing w:line="240" w:lineRule="auto"/>
              <w:ind w:firstLine="6"/>
              <w:contextualSpacing/>
              <w:jc w:val="center"/>
              <w:rPr>
                <w:rFonts w:eastAsia="MS Mincho" w:cs="Times New Roman"/>
                <w:color w:val="000000"/>
                <w:szCs w:val="26"/>
              </w:rPr>
            </w:pPr>
          </w:p>
          <w:p w:rsidRPr="000A03AD" w:rsidR="00122571" w:rsidP="00301BD8" w:rsidRDefault="00122571" w14:paraId="4DF8599E" w14:textId="448E597F">
            <w:pPr>
              <w:autoSpaceDE w:val="0"/>
              <w:autoSpaceDN w:val="0"/>
              <w:adjustRightInd w:val="0"/>
              <w:spacing w:line="240" w:lineRule="auto"/>
              <w:ind w:firstLine="6"/>
              <w:contextualSpacing/>
              <w:jc w:val="center"/>
              <w:rPr>
                <w:rFonts w:eastAsia="MS Mincho" w:cs="Times New Roman"/>
                <w:color w:val="000000"/>
                <w:szCs w:val="26"/>
              </w:rPr>
            </w:pPr>
            <w:r>
              <w:rPr>
                <w:rFonts w:eastAsia="MS Mincho" w:cs="Times New Roman"/>
                <w:color w:val="000000"/>
                <w:szCs w:val="26"/>
              </w:rPr>
              <w:t>$19</w:t>
            </w:r>
          </w:p>
        </w:tc>
        <w:tc>
          <w:tcPr>
            <w:tcW w:w="861"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1EF0F1C5" w14:textId="250EBB8F">
            <w:pPr>
              <w:autoSpaceDE w:val="0"/>
              <w:autoSpaceDN w:val="0"/>
              <w:adjustRightInd w:val="0"/>
              <w:spacing w:line="240" w:lineRule="auto"/>
              <w:ind w:firstLine="0"/>
              <w:contextualSpacing/>
              <w:jc w:val="center"/>
              <w:rPr>
                <w:rFonts w:eastAsia="MS Mincho" w:cs="Times New Roman"/>
                <w:b/>
                <w:color w:val="000000"/>
                <w:szCs w:val="26"/>
              </w:rPr>
            </w:pPr>
          </w:p>
          <w:p w:rsidRPr="000A03AD" w:rsidR="00122571" w:rsidP="00301BD8" w:rsidRDefault="00122571" w14:paraId="4B92D259" w14:textId="0DFD9039">
            <w:pPr>
              <w:autoSpaceDE w:val="0"/>
              <w:autoSpaceDN w:val="0"/>
              <w:adjustRightInd w:val="0"/>
              <w:spacing w:line="240" w:lineRule="auto"/>
              <w:ind w:firstLine="0"/>
              <w:contextualSpacing/>
              <w:jc w:val="center"/>
              <w:rPr>
                <w:rFonts w:eastAsia="MS Mincho" w:cs="Times New Roman"/>
                <w:b/>
                <w:color w:val="000000"/>
                <w:szCs w:val="26"/>
              </w:rPr>
            </w:pPr>
            <w:r>
              <w:rPr>
                <w:rFonts w:eastAsia="MS Mincho" w:cs="Times New Roman"/>
                <w:b/>
                <w:color w:val="000000"/>
                <w:szCs w:val="26"/>
              </w:rPr>
              <w:t>$42,151</w:t>
            </w:r>
          </w:p>
        </w:tc>
      </w:tr>
      <w:tr w:rsidRPr="000A03AD" w:rsidR="007253C8" w:rsidTr="00B9618B" w14:paraId="43894179"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EF0E834" w14:textId="77777777">
            <w:pPr>
              <w:autoSpaceDE w:val="0"/>
              <w:autoSpaceDN w:val="0"/>
              <w:adjustRightInd w:val="0"/>
              <w:spacing w:line="240" w:lineRule="auto"/>
              <w:ind w:hanging="26"/>
              <w:contextualSpacing/>
              <w:jc w:val="center"/>
              <w:rPr>
                <w:rFonts w:eastAsia="MS Mincho" w:cs="Times New Roman"/>
                <w:i/>
                <w:color w:val="000000"/>
                <w:szCs w:val="26"/>
              </w:rPr>
            </w:pPr>
            <w:r w:rsidRPr="000A03AD">
              <w:rPr>
                <w:rFonts w:eastAsia="MS Mincho" w:cs="Times New Roman"/>
                <w:i/>
                <w:color w:val="000000"/>
                <w:szCs w:val="26"/>
              </w:rPr>
              <w:t>EP&amp;P Total</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B08D607" w14:textId="77777777">
            <w:pPr>
              <w:autoSpaceDE w:val="0"/>
              <w:autoSpaceDN w:val="0"/>
              <w:adjustRightInd w:val="0"/>
              <w:spacing w:line="240" w:lineRule="auto"/>
              <w:ind w:firstLine="2"/>
              <w:contextualSpacing/>
              <w:jc w:val="center"/>
              <w:rPr>
                <w:rFonts w:eastAsia="MS Mincho" w:cs="Times New Roman"/>
                <w:i/>
                <w:color w:val="000000"/>
                <w:szCs w:val="26"/>
              </w:rPr>
            </w:pPr>
            <w:r w:rsidRPr="000A03AD">
              <w:rPr>
                <w:rFonts w:eastAsia="MS Mincho" w:cs="Times New Roman"/>
                <w:i/>
                <w:color w:val="000000"/>
                <w:szCs w:val="26"/>
              </w:rPr>
              <w:t>$34,472</w:t>
            </w:r>
          </w:p>
        </w:tc>
        <w:tc>
          <w:tcPr>
            <w:tcW w:w="679"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43150BBA" w14:textId="413E1286">
            <w:pPr>
              <w:autoSpaceDE w:val="0"/>
              <w:autoSpaceDN w:val="0"/>
              <w:adjustRightInd w:val="0"/>
              <w:spacing w:line="240" w:lineRule="auto"/>
              <w:ind w:firstLine="0"/>
              <w:contextualSpacing/>
              <w:jc w:val="center"/>
              <w:rPr>
                <w:rFonts w:eastAsia="MS Mincho" w:cs="Times New Roman"/>
                <w:i/>
                <w:color w:val="000000"/>
                <w:szCs w:val="26"/>
              </w:rPr>
            </w:pPr>
          </w:p>
          <w:p w:rsidRPr="000A03AD" w:rsidR="00413353" w:rsidP="00301BD8" w:rsidRDefault="00413353" w14:paraId="5D079ACA" w14:textId="6D3DBC98">
            <w:pPr>
              <w:autoSpaceDE w:val="0"/>
              <w:autoSpaceDN w:val="0"/>
              <w:adjustRightInd w:val="0"/>
              <w:spacing w:line="240" w:lineRule="auto"/>
              <w:ind w:firstLine="0"/>
              <w:contextualSpacing/>
              <w:jc w:val="center"/>
              <w:rPr>
                <w:rFonts w:eastAsia="MS Mincho" w:cs="Times New Roman"/>
                <w:i/>
                <w:color w:val="000000"/>
                <w:szCs w:val="26"/>
              </w:rPr>
            </w:pPr>
            <w:r>
              <w:rPr>
                <w:rFonts w:eastAsia="MS Mincho" w:cs="Times New Roman"/>
                <w:i/>
                <w:color w:val="000000"/>
                <w:szCs w:val="26"/>
              </w:rPr>
              <w:t>-$7,584</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7CA25D5"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$7,800</w:t>
            </w:r>
          </w:p>
        </w:tc>
        <w:tc>
          <w:tcPr>
            <w:tcW w:w="679"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6DBFEE5F" w14:textId="055973A7">
            <w:pPr>
              <w:autoSpaceDE w:val="0"/>
              <w:autoSpaceDN w:val="0"/>
              <w:adjustRightInd w:val="0"/>
              <w:spacing w:line="240" w:lineRule="auto"/>
              <w:ind w:firstLine="6"/>
              <w:contextualSpacing/>
              <w:jc w:val="center"/>
              <w:rPr>
                <w:rFonts w:eastAsia="MS Mincho" w:cs="Times New Roman"/>
                <w:i/>
                <w:color w:val="000000"/>
                <w:szCs w:val="26"/>
              </w:rPr>
            </w:pPr>
          </w:p>
          <w:p w:rsidRPr="000A03AD" w:rsidR="00D476EA" w:rsidP="00301BD8" w:rsidRDefault="00D476EA" w14:paraId="711A05D0" w14:textId="0C595A07">
            <w:pPr>
              <w:autoSpaceDE w:val="0"/>
              <w:autoSpaceDN w:val="0"/>
              <w:adjustRightInd w:val="0"/>
              <w:spacing w:line="240" w:lineRule="auto"/>
              <w:ind w:firstLine="6"/>
              <w:contextualSpacing/>
              <w:jc w:val="center"/>
              <w:rPr>
                <w:rFonts w:eastAsia="MS Mincho" w:cs="Times New Roman"/>
                <w:i/>
                <w:color w:val="000000"/>
                <w:szCs w:val="26"/>
              </w:rPr>
            </w:pPr>
            <w:r>
              <w:rPr>
                <w:rFonts w:eastAsia="MS Mincho" w:cs="Times New Roman"/>
                <w:i/>
                <w:color w:val="000000"/>
                <w:szCs w:val="26"/>
              </w:rPr>
              <w:t>$19</w:t>
            </w:r>
          </w:p>
        </w:tc>
        <w:tc>
          <w:tcPr>
            <w:tcW w:w="861"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46715E96" w14:textId="53B68065">
            <w:pPr>
              <w:autoSpaceDE w:val="0"/>
              <w:autoSpaceDN w:val="0"/>
              <w:adjustRightInd w:val="0"/>
              <w:spacing w:line="240" w:lineRule="auto"/>
              <w:ind w:firstLine="0"/>
              <w:contextualSpacing/>
              <w:jc w:val="center"/>
              <w:rPr>
                <w:rFonts w:eastAsia="MS Mincho" w:cs="Times New Roman"/>
                <w:b/>
                <w:i/>
                <w:color w:val="000000"/>
                <w:szCs w:val="26"/>
              </w:rPr>
            </w:pPr>
          </w:p>
          <w:p w:rsidRPr="000A03AD" w:rsidR="00075523" w:rsidP="00301BD8" w:rsidRDefault="00075523" w14:paraId="0E5DE790" w14:textId="28AFF0BA">
            <w:pPr>
              <w:autoSpaceDE w:val="0"/>
              <w:autoSpaceDN w:val="0"/>
              <w:adjustRightInd w:val="0"/>
              <w:spacing w:line="240" w:lineRule="auto"/>
              <w:ind w:firstLine="0"/>
              <w:contextualSpacing/>
              <w:jc w:val="center"/>
              <w:rPr>
                <w:rFonts w:eastAsia="MS Mincho" w:cs="Times New Roman"/>
                <w:b/>
                <w:i/>
                <w:color w:val="000000"/>
                <w:szCs w:val="26"/>
              </w:rPr>
            </w:pPr>
            <w:r>
              <w:rPr>
                <w:rFonts w:eastAsia="MS Mincho" w:cs="Times New Roman"/>
                <w:b/>
                <w:i/>
                <w:color w:val="000000"/>
                <w:szCs w:val="26"/>
              </w:rPr>
              <w:t>$</w:t>
            </w:r>
            <w:r w:rsidR="00BD7ECE">
              <w:rPr>
                <w:rFonts w:eastAsia="MS Mincho" w:cs="Times New Roman"/>
                <w:b/>
                <w:i/>
                <w:color w:val="000000"/>
                <w:szCs w:val="26"/>
              </w:rPr>
              <w:t>49,837</w:t>
            </w:r>
          </w:p>
        </w:tc>
      </w:tr>
      <w:tr w:rsidRPr="000A03AD" w:rsidR="007253C8" w:rsidTr="00B9618B" w14:paraId="71DE12E7"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3A1A7B6"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Advanced Protection</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BABA20B"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$153</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274714A"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82AEFF0"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2438BAC"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4523C3F"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$153</w:t>
            </w:r>
          </w:p>
        </w:tc>
      </w:tr>
      <w:tr w:rsidRPr="000A03AD" w:rsidR="007253C8" w:rsidTr="00B9618B" w14:paraId="3C1317DD"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F8815D6"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Avian Mitigation</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2BA9E90"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$17</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C61E2D6"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248147E"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246FD11"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867401B"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$17</w:t>
            </w:r>
          </w:p>
        </w:tc>
      </w:tr>
      <w:tr w:rsidRPr="000A03AD" w:rsidR="007253C8" w:rsidTr="00B9618B" w14:paraId="25DC342D"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3873AC6"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Cleveland National Forest Fire Hardening</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5E68E54"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$2,456</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8EF0288"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4410954"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$149</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E0FA0E6"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89C7909"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$2,606</w:t>
            </w:r>
          </w:p>
        </w:tc>
      </w:tr>
      <w:tr w:rsidRPr="000A03AD" w:rsidR="007253C8" w:rsidTr="00B9618B" w14:paraId="27882C9A"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462A29" w14:paraId="0BCA5707" w14:textId="001E731B">
            <w:pPr>
              <w:autoSpaceDE w:val="0"/>
              <w:autoSpaceDN w:val="0"/>
              <w:adjustRightInd w:val="0"/>
              <w:spacing w:line="240" w:lineRule="auto"/>
              <w:ind w:hanging="26"/>
              <w:contextualSpacing/>
              <w:rPr>
                <w:rFonts w:eastAsia="MS Mincho" w:cs="Times New Roman"/>
                <w:color w:val="000000"/>
                <w:szCs w:val="26"/>
              </w:rPr>
            </w:pPr>
            <w:r>
              <w:rPr>
                <w:rFonts w:eastAsia="MS Mincho" w:cs="Times New Roman"/>
                <w:color w:val="000000"/>
                <w:szCs w:val="26"/>
              </w:rPr>
              <w:t>Covered Conductor</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C794F41"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$3,762</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4E254CC"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9DBC40A"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$187</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EFC9ABB"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BC8F5BD"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$3,949</w:t>
            </w:r>
          </w:p>
        </w:tc>
      </w:tr>
      <w:tr w:rsidRPr="000A03AD" w:rsidR="007253C8" w:rsidTr="00B9618B" w14:paraId="596A4DD4"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E23DABA" w14:textId="4B313D62">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Dist</w:t>
            </w:r>
            <w:r w:rsidR="00B23B73">
              <w:rPr>
                <w:rFonts w:eastAsia="MS Mincho" w:cs="Times New Roman"/>
                <w:color w:val="000000"/>
                <w:szCs w:val="26"/>
              </w:rPr>
              <w:t>ribution</w:t>
            </w:r>
            <w:r w:rsidRPr="000A03AD">
              <w:rPr>
                <w:rFonts w:eastAsia="MS Mincho" w:cs="Times New Roman"/>
                <w:color w:val="000000"/>
                <w:szCs w:val="26"/>
              </w:rPr>
              <w:t xml:space="preserve"> Comm</w:t>
            </w:r>
            <w:r w:rsidR="00B23B73">
              <w:rPr>
                <w:rFonts w:eastAsia="MS Mincho" w:cs="Times New Roman"/>
                <w:color w:val="000000"/>
                <w:szCs w:val="26"/>
              </w:rPr>
              <w:t>unication</w:t>
            </w:r>
            <w:r w:rsidRPr="000A03AD">
              <w:rPr>
                <w:rFonts w:eastAsia="MS Mincho" w:cs="Times New Roman"/>
                <w:color w:val="000000"/>
                <w:szCs w:val="26"/>
              </w:rPr>
              <w:t xml:space="preserve"> Reliability Improvements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08ACFB0"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$715</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84E5CAA"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145DBC5"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00CF1A2"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B9E77E5"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$715</w:t>
            </w:r>
          </w:p>
        </w:tc>
      </w:tr>
      <w:tr w:rsidRPr="000A03AD" w:rsidR="007253C8" w:rsidTr="00B9618B" w14:paraId="69CC1152"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E38AA01"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Distribution OH System Hardening</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EDED6E2"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-$10,586</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5E672DF"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$671</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4D19586"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$693</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7621E95"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$43</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A3BF8FE"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-$10,608</w:t>
            </w:r>
          </w:p>
        </w:tc>
      </w:tr>
      <w:tr w:rsidRPr="000A03AD" w:rsidR="007253C8" w:rsidTr="00B9618B" w14:paraId="2B6AEC7C"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4C16A1A"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Expulsion Fuse Replacement</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B105631"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CC75B1C"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6FF1BAF"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3D5F299"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1C8B23F"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517F591F"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FFF2378"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Generator Assistance Programs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A0084F1"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$2,250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0F8DCEE"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64065F6"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$174</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F945D7F"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9D37D6B"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$2,424</w:t>
            </w:r>
          </w:p>
        </w:tc>
      </w:tr>
      <w:tr w:rsidRPr="000A03AD" w:rsidR="007253C8" w:rsidTr="00B9618B" w14:paraId="5200C6C6"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D8ADFA4"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Generator Grant Programs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3B26733"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$17,117</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E2DFA74"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4EDEF68"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$392</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7065CA0"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A1C128E"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$17,509</w:t>
            </w:r>
          </w:p>
        </w:tc>
      </w:tr>
      <w:tr w:rsidRPr="000A03AD" w:rsidR="007253C8" w:rsidTr="00B9618B" w14:paraId="6E429B87"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2D67712"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Hotline Clamps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8A2988B"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$9,937</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0C316BF"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74C4660"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$1,006</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4349210"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FD44AB3"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$10,943</w:t>
            </w:r>
          </w:p>
        </w:tc>
      </w:tr>
      <w:tr w:rsidRPr="000A03AD" w:rsidR="007253C8" w:rsidTr="00B9618B" w14:paraId="423BD287"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C557678"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Lightning Arrestor Replacement</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5AE86C7"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$28</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3754813"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55ADB31"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997BBEC"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D110D65"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$28</w:t>
            </w:r>
          </w:p>
        </w:tc>
      </w:tr>
      <w:tr w:rsidRPr="000A03AD" w:rsidR="007253C8" w:rsidTr="00B9618B" w14:paraId="30B9D30F"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C08622F"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Microgrids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8AB5015"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$3,292</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F2C1983"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9DB6EEF"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$135</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23BB770"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7F94430"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$3,427</w:t>
            </w:r>
          </w:p>
        </w:tc>
      </w:tr>
      <w:tr w:rsidRPr="000A03AD" w:rsidR="007253C8" w:rsidTr="00B9618B" w14:paraId="10F2DB16"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3E2B665"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PSPS Sectionalizing Enhancements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B7C39A1"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7BB8F69"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1797248"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B220468"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30FD1DE"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6AFF919C"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FCB9FA1"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SCADA Capacitors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1B7BCA7"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0CD325B"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B117ED0"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93ABC6A"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D5B19F5"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4CD478C7"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982040E"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lastRenderedPageBreak/>
              <w:t>Standby Power Programs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BE28CFD"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$22,744</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D47A212"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$247</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021766A"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$268</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EC88D4F"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$3</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EE1F082"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$22,762</w:t>
            </w:r>
          </w:p>
        </w:tc>
      </w:tr>
      <w:tr w:rsidRPr="000A03AD" w:rsidR="007253C8" w:rsidTr="00B9618B" w14:paraId="67E48F7C"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462A29" w14:paraId="0E2A440F" w14:textId="3B0CBEBB">
            <w:pPr>
              <w:autoSpaceDE w:val="0"/>
              <w:autoSpaceDN w:val="0"/>
              <w:adjustRightInd w:val="0"/>
              <w:spacing w:line="240" w:lineRule="auto"/>
              <w:ind w:hanging="26"/>
              <w:contextualSpacing/>
              <w:rPr>
                <w:rFonts w:eastAsia="MS Mincho" w:cs="Times New Roman"/>
                <w:color w:val="000000"/>
                <w:szCs w:val="26"/>
              </w:rPr>
            </w:pPr>
            <w:r>
              <w:rPr>
                <w:rFonts w:eastAsia="MS Mincho" w:cs="Times New Roman"/>
                <w:color w:val="000000"/>
                <w:szCs w:val="26"/>
              </w:rPr>
              <w:t xml:space="preserve">Strategic Undergrounding </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681BE28"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$176</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A68BBAE"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EF4D00F"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0DEC515"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D3BBD94"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$176</w:t>
            </w:r>
          </w:p>
        </w:tc>
      </w:tr>
      <w:tr w:rsidRPr="000A03AD" w:rsidR="007253C8" w:rsidTr="00B9618B" w14:paraId="79A1EF1B"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6617524"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 xml:space="preserve">TOSH - Dist. </w:t>
            </w:r>
            <w:proofErr w:type="spellStart"/>
            <w:r w:rsidRPr="000A03AD">
              <w:rPr>
                <w:rFonts w:eastAsia="MS Mincho" w:cs="Times New Roman"/>
                <w:color w:val="000000"/>
                <w:szCs w:val="26"/>
              </w:rPr>
              <w:t>Underbuild</w:t>
            </w:r>
            <w:proofErr w:type="spellEnd"/>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3D7D1E7"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99C4D02"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C430124"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18FC3DA"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359731C"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7D30FAB8"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45EDB43" w14:textId="77777777">
            <w:pPr>
              <w:autoSpaceDE w:val="0"/>
              <w:autoSpaceDN w:val="0"/>
              <w:adjustRightInd w:val="0"/>
              <w:spacing w:line="240" w:lineRule="auto"/>
              <w:ind w:hanging="26"/>
              <w:contextualSpacing/>
              <w:jc w:val="center"/>
              <w:rPr>
                <w:rFonts w:eastAsia="MS Mincho" w:cs="Times New Roman"/>
                <w:i/>
                <w:color w:val="000000"/>
                <w:szCs w:val="26"/>
              </w:rPr>
            </w:pPr>
            <w:r w:rsidRPr="000A03AD">
              <w:rPr>
                <w:rFonts w:eastAsia="MS Mincho" w:cs="Times New Roman"/>
                <w:i/>
                <w:color w:val="000000"/>
                <w:szCs w:val="26"/>
              </w:rPr>
              <w:t>GD&amp;SH Total</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60E8E4D" w14:textId="77777777">
            <w:pPr>
              <w:autoSpaceDE w:val="0"/>
              <w:autoSpaceDN w:val="0"/>
              <w:adjustRightInd w:val="0"/>
              <w:spacing w:line="240" w:lineRule="auto"/>
              <w:ind w:firstLine="2"/>
              <w:contextualSpacing/>
              <w:jc w:val="center"/>
              <w:rPr>
                <w:rFonts w:eastAsia="MS Mincho" w:cs="Times New Roman"/>
                <w:i/>
                <w:color w:val="000000"/>
                <w:szCs w:val="26"/>
              </w:rPr>
            </w:pPr>
            <w:r w:rsidRPr="000A03AD">
              <w:rPr>
                <w:rFonts w:eastAsia="MS Mincho" w:cs="Times New Roman"/>
                <w:i/>
                <w:color w:val="000000"/>
                <w:szCs w:val="26"/>
              </w:rPr>
              <w:t>$52,060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7760E92"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$918</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719AE69"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$3,005</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F44D4E7" w14:textId="77777777">
            <w:pPr>
              <w:autoSpaceDE w:val="0"/>
              <w:autoSpaceDN w:val="0"/>
              <w:adjustRightInd w:val="0"/>
              <w:spacing w:line="240" w:lineRule="auto"/>
              <w:ind w:firstLine="6"/>
              <w:contextualSpacing/>
              <w:jc w:val="center"/>
              <w:rPr>
                <w:rFonts w:eastAsia="MS Mincho" w:cs="Times New Roman"/>
                <w:i/>
                <w:color w:val="000000"/>
                <w:szCs w:val="26"/>
              </w:rPr>
            </w:pPr>
            <w:r w:rsidRPr="000A03AD">
              <w:rPr>
                <w:rFonts w:eastAsia="MS Mincho" w:cs="Times New Roman"/>
                <w:i/>
                <w:color w:val="000000"/>
                <w:szCs w:val="26"/>
              </w:rPr>
              <w:t>$46</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EA864D4" w14:textId="77777777">
            <w:pPr>
              <w:autoSpaceDE w:val="0"/>
              <w:autoSpaceDN w:val="0"/>
              <w:adjustRightInd w:val="0"/>
              <w:spacing w:line="240" w:lineRule="auto"/>
              <w:ind w:firstLine="0"/>
              <w:contextualSpacing/>
              <w:jc w:val="center"/>
              <w:rPr>
                <w:rFonts w:eastAsia="MS Mincho" w:cs="Times New Roman"/>
                <w:b/>
                <w:i/>
                <w:color w:val="000000"/>
                <w:szCs w:val="26"/>
              </w:rPr>
            </w:pPr>
            <w:r w:rsidRPr="000A03AD">
              <w:rPr>
                <w:rFonts w:eastAsia="MS Mincho" w:cs="Times New Roman"/>
                <w:b/>
                <w:i/>
                <w:color w:val="000000"/>
                <w:szCs w:val="26"/>
              </w:rPr>
              <w:t>$54,100</w:t>
            </w:r>
          </w:p>
        </w:tc>
      </w:tr>
      <w:tr w:rsidRPr="000A03AD" w:rsidR="007253C8" w:rsidTr="00B9618B" w14:paraId="52D83E59"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B0F5FA6"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Aviation Firefighting Program</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7D5586A"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-$1,675</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EADD70A"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E1F7046"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7231EE0"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9642B27"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-$1,675</w:t>
            </w:r>
          </w:p>
        </w:tc>
      </w:tr>
      <w:tr w:rsidRPr="000A03AD" w:rsidR="007253C8" w:rsidTr="00B9618B" w14:paraId="376F3EB8"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CDCCB9A"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Personnel Work Procedures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D7BA2AB"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$878</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B1C5E27"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A54C474"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$52</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1015828"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B9FAAFA"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$930</w:t>
            </w:r>
          </w:p>
        </w:tc>
      </w:tr>
      <w:tr w:rsidRPr="000A03AD" w:rsidR="007253C8" w:rsidTr="00B9618B" w14:paraId="771C976B"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1C5E319" w14:textId="77777777">
            <w:pPr>
              <w:autoSpaceDE w:val="0"/>
              <w:autoSpaceDN w:val="0"/>
              <w:adjustRightInd w:val="0"/>
              <w:spacing w:line="240" w:lineRule="auto"/>
              <w:ind w:hanging="26"/>
              <w:contextualSpacing/>
              <w:jc w:val="center"/>
              <w:rPr>
                <w:rFonts w:eastAsia="MS Mincho" w:cs="Times New Roman"/>
                <w:i/>
                <w:color w:val="000000"/>
                <w:szCs w:val="26"/>
              </w:rPr>
            </w:pPr>
            <w:r w:rsidRPr="000A03AD">
              <w:rPr>
                <w:rFonts w:eastAsia="MS Mincho" w:cs="Times New Roman"/>
                <w:i/>
                <w:color w:val="000000"/>
                <w:szCs w:val="26"/>
              </w:rPr>
              <w:t>GO&amp;OP Total</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FA61025" w14:textId="77777777">
            <w:pPr>
              <w:autoSpaceDE w:val="0"/>
              <w:autoSpaceDN w:val="0"/>
              <w:adjustRightInd w:val="0"/>
              <w:spacing w:line="240" w:lineRule="auto"/>
              <w:ind w:firstLine="2"/>
              <w:contextualSpacing/>
              <w:jc w:val="center"/>
              <w:rPr>
                <w:rFonts w:eastAsia="MS Mincho" w:cs="Times New Roman"/>
                <w:i/>
                <w:color w:val="000000"/>
                <w:szCs w:val="26"/>
              </w:rPr>
            </w:pPr>
            <w:r w:rsidRPr="000A03AD">
              <w:rPr>
                <w:rFonts w:eastAsia="MS Mincho" w:cs="Times New Roman"/>
                <w:i/>
                <w:color w:val="000000"/>
                <w:szCs w:val="26"/>
              </w:rPr>
              <w:t>-$797</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0C64206"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0DF86D8"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$52</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A44DBD2" w14:textId="77777777">
            <w:pPr>
              <w:autoSpaceDE w:val="0"/>
              <w:autoSpaceDN w:val="0"/>
              <w:adjustRightInd w:val="0"/>
              <w:spacing w:line="240" w:lineRule="auto"/>
              <w:ind w:firstLine="6"/>
              <w:contextualSpacing/>
              <w:jc w:val="center"/>
              <w:rPr>
                <w:rFonts w:eastAsia="MS Mincho" w:cs="Times New Roman"/>
                <w:i/>
                <w:color w:val="000000"/>
                <w:szCs w:val="26"/>
              </w:rPr>
            </w:pPr>
            <w:r w:rsidRPr="000A03AD">
              <w:rPr>
                <w:rFonts w:eastAsia="MS Mincho" w:cs="Times New Roman"/>
                <w:i/>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EB1D3F1" w14:textId="77777777">
            <w:pPr>
              <w:autoSpaceDE w:val="0"/>
              <w:autoSpaceDN w:val="0"/>
              <w:adjustRightInd w:val="0"/>
              <w:spacing w:line="240" w:lineRule="auto"/>
              <w:ind w:firstLine="0"/>
              <w:contextualSpacing/>
              <w:jc w:val="center"/>
              <w:rPr>
                <w:rFonts w:eastAsia="MS Mincho" w:cs="Times New Roman"/>
                <w:b/>
                <w:i/>
                <w:color w:val="000000"/>
                <w:szCs w:val="26"/>
              </w:rPr>
            </w:pPr>
            <w:r w:rsidRPr="000A03AD">
              <w:rPr>
                <w:rFonts w:eastAsia="MS Mincho" w:cs="Times New Roman"/>
                <w:b/>
                <w:i/>
                <w:color w:val="000000"/>
                <w:szCs w:val="26"/>
              </w:rPr>
              <w:t>-$745</w:t>
            </w:r>
          </w:p>
        </w:tc>
      </w:tr>
      <w:tr w:rsidRPr="000A03AD" w:rsidR="007253C8" w:rsidTr="00B9618B" w14:paraId="2DDE78AB"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EE9E008"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Summarized Risk Map</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D4445A3"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$1,824</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F303092"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6C406EA"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$619</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94A097C"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85AC904"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$2,443</w:t>
            </w:r>
          </w:p>
        </w:tc>
      </w:tr>
      <w:tr w:rsidRPr="000A03AD" w:rsidR="007253C8" w:rsidTr="00B9618B" w14:paraId="6769E173"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AC80645" w14:textId="77777777">
            <w:pPr>
              <w:autoSpaceDE w:val="0"/>
              <w:autoSpaceDN w:val="0"/>
              <w:adjustRightInd w:val="0"/>
              <w:spacing w:line="240" w:lineRule="auto"/>
              <w:ind w:hanging="26"/>
              <w:contextualSpacing/>
              <w:jc w:val="center"/>
              <w:rPr>
                <w:rFonts w:eastAsia="MS Mincho" w:cs="Times New Roman"/>
                <w:i/>
                <w:color w:val="000000"/>
                <w:szCs w:val="26"/>
              </w:rPr>
            </w:pPr>
            <w:r w:rsidRPr="000A03AD">
              <w:rPr>
                <w:rFonts w:eastAsia="MS Mincho" w:cs="Times New Roman"/>
                <w:i/>
                <w:color w:val="000000"/>
                <w:szCs w:val="26"/>
              </w:rPr>
              <w:t>RA&amp;M Total</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6A57036" w14:textId="77777777">
            <w:pPr>
              <w:autoSpaceDE w:val="0"/>
              <w:autoSpaceDN w:val="0"/>
              <w:adjustRightInd w:val="0"/>
              <w:spacing w:line="240" w:lineRule="auto"/>
              <w:ind w:firstLine="2"/>
              <w:contextualSpacing/>
              <w:jc w:val="center"/>
              <w:rPr>
                <w:rFonts w:eastAsia="MS Mincho" w:cs="Times New Roman"/>
                <w:i/>
                <w:color w:val="000000"/>
                <w:szCs w:val="26"/>
              </w:rPr>
            </w:pPr>
            <w:r w:rsidRPr="000A03AD">
              <w:rPr>
                <w:rFonts w:eastAsia="MS Mincho" w:cs="Times New Roman"/>
                <w:i/>
                <w:color w:val="000000"/>
                <w:szCs w:val="26"/>
              </w:rPr>
              <w:t>$1,824</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3CEBE14"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D5EE5D9"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$619</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CA494D7" w14:textId="77777777">
            <w:pPr>
              <w:autoSpaceDE w:val="0"/>
              <w:autoSpaceDN w:val="0"/>
              <w:adjustRightInd w:val="0"/>
              <w:spacing w:line="240" w:lineRule="auto"/>
              <w:ind w:firstLine="6"/>
              <w:contextualSpacing/>
              <w:jc w:val="center"/>
              <w:rPr>
                <w:rFonts w:eastAsia="MS Mincho" w:cs="Times New Roman"/>
                <w:i/>
                <w:color w:val="000000"/>
                <w:szCs w:val="26"/>
              </w:rPr>
            </w:pPr>
            <w:r w:rsidRPr="000A03AD">
              <w:rPr>
                <w:rFonts w:eastAsia="MS Mincho" w:cs="Times New Roman"/>
                <w:i/>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0EEE23D" w14:textId="77777777">
            <w:pPr>
              <w:autoSpaceDE w:val="0"/>
              <w:autoSpaceDN w:val="0"/>
              <w:adjustRightInd w:val="0"/>
              <w:spacing w:line="240" w:lineRule="auto"/>
              <w:ind w:firstLine="0"/>
              <w:contextualSpacing/>
              <w:jc w:val="center"/>
              <w:rPr>
                <w:rFonts w:eastAsia="MS Mincho" w:cs="Times New Roman"/>
                <w:b/>
                <w:i/>
                <w:color w:val="000000"/>
                <w:szCs w:val="26"/>
              </w:rPr>
            </w:pPr>
            <w:r w:rsidRPr="000A03AD">
              <w:rPr>
                <w:rFonts w:eastAsia="MS Mincho" w:cs="Times New Roman"/>
                <w:b/>
                <w:i/>
                <w:color w:val="000000"/>
                <w:szCs w:val="26"/>
              </w:rPr>
              <w:t>$2,443</w:t>
            </w:r>
          </w:p>
        </w:tc>
      </w:tr>
      <w:tr w:rsidRPr="000A03AD" w:rsidR="007253C8" w:rsidTr="00B9618B" w14:paraId="63966212"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3FAE7D2" w14:textId="72FDD583">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Allocation Method Develop</w:t>
            </w:r>
            <w:r w:rsidR="00B23B73">
              <w:rPr>
                <w:rFonts w:eastAsia="MS Mincho" w:cs="Times New Roman"/>
                <w:color w:val="000000"/>
                <w:szCs w:val="26"/>
              </w:rPr>
              <w:t>ment</w:t>
            </w:r>
            <w:r w:rsidRPr="000A03AD">
              <w:rPr>
                <w:rFonts w:eastAsia="MS Mincho" w:cs="Times New Roman"/>
                <w:color w:val="000000"/>
                <w:szCs w:val="26"/>
              </w:rPr>
              <w:t xml:space="preserve"> &amp; App.</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B9C4FF0"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$7,964</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6B36C34"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$7,964</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C4ABB57"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$3,387</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A01D823"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$2,044</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3CDA741"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$1,343</w:t>
            </w:r>
          </w:p>
        </w:tc>
      </w:tr>
      <w:tr w:rsidRPr="000A03AD" w:rsidR="007253C8" w:rsidTr="00B9618B" w14:paraId="6D9C7A78"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B3D373D" w14:textId="77777777">
            <w:pPr>
              <w:autoSpaceDE w:val="0"/>
              <w:autoSpaceDN w:val="0"/>
              <w:adjustRightInd w:val="0"/>
              <w:spacing w:line="240" w:lineRule="auto"/>
              <w:ind w:hanging="26"/>
              <w:contextualSpacing/>
              <w:jc w:val="center"/>
              <w:rPr>
                <w:rFonts w:eastAsia="MS Mincho" w:cs="Times New Roman"/>
                <w:i/>
                <w:color w:val="000000"/>
                <w:szCs w:val="26"/>
              </w:rPr>
            </w:pPr>
            <w:r w:rsidRPr="000A03AD">
              <w:rPr>
                <w:rFonts w:eastAsia="MS Mincho" w:cs="Times New Roman"/>
                <w:i/>
                <w:color w:val="000000"/>
                <w:szCs w:val="26"/>
              </w:rPr>
              <w:t>RAM Total</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67CEBD1" w14:textId="77777777">
            <w:pPr>
              <w:autoSpaceDE w:val="0"/>
              <w:autoSpaceDN w:val="0"/>
              <w:adjustRightInd w:val="0"/>
              <w:spacing w:line="240" w:lineRule="auto"/>
              <w:ind w:firstLine="2"/>
              <w:contextualSpacing/>
              <w:jc w:val="center"/>
              <w:rPr>
                <w:rFonts w:eastAsia="MS Mincho" w:cs="Times New Roman"/>
                <w:i/>
                <w:color w:val="000000"/>
                <w:szCs w:val="26"/>
              </w:rPr>
            </w:pPr>
            <w:r w:rsidRPr="000A03AD">
              <w:rPr>
                <w:rFonts w:eastAsia="MS Mincho" w:cs="Times New Roman"/>
                <w:i/>
                <w:color w:val="000000"/>
                <w:szCs w:val="26"/>
              </w:rPr>
              <w:t>$7,964</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16F5D6F"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$7,964</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860411E"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$3,387</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FAEF4E9" w14:textId="77777777">
            <w:pPr>
              <w:autoSpaceDE w:val="0"/>
              <w:autoSpaceDN w:val="0"/>
              <w:adjustRightInd w:val="0"/>
              <w:spacing w:line="240" w:lineRule="auto"/>
              <w:ind w:firstLine="6"/>
              <w:contextualSpacing/>
              <w:jc w:val="center"/>
              <w:rPr>
                <w:rFonts w:eastAsia="MS Mincho" w:cs="Times New Roman"/>
                <w:i/>
                <w:color w:val="000000"/>
                <w:szCs w:val="26"/>
              </w:rPr>
            </w:pPr>
            <w:r w:rsidRPr="000A03AD">
              <w:rPr>
                <w:rFonts w:eastAsia="MS Mincho" w:cs="Times New Roman"/>
                <w:i/>
                <w:color w:val="000000"/>
                <w:szCs w:val="26"/>
              </w:rPr>
              <w:t>$2,044</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5F686C1" w14:textId="77777777">
            <w:pPr>
              <w:autoSpaceDE w:val="0"/>
              <w:autoSpaceDN w:val="0"/>
              <w:adjustRightInd w:val="0"/>
              <w:spacing w:line="240" w:lineRule="auto"/>
              <w:ind w:firstLine="0"/>
              <w:contextualSpacing/>
              <w:jc w:val="center"/>
              <w:rPr>
                <w:rFonts w:eastAsia="MS Mincho" w:cs="Times New Roman"/>
                <w:b/>
                <w:i/>
                <w:color w:val="000000"/>
                <w:szCs w:val="26"/>
              </w:rPr>
            </w:pPr>
            <w:r w:rsidRPr="000A03AD">
              <w:rPr>
                <w:rFonts w:eastAsia="MS Mincho" w:cs="Times New Roman"/>
                <w:b/>
                <w:i/>
                <w:color w:val="000000"/>
                <w:szCs w:val="26"/>
              </w:rPr>
              <w:t>$1,343</w:t>
            </w:r>
          </w:p>
        </w:tc>
      </w:tr>
      <w:tr w:rsidRPr="000A03AD" w:rsidR="007253C8" w:rsidTr="00B9618B" w14:paraId="784803A3"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7133E10"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Advanced Weather Monitoring &amp; Stations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840B804"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5E040E0"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725BFE6"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E3F8AF6"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6C2BFE2"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28A6C95E"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DC06971"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Air Quality Index</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999FD2D"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3927B32"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58CEA75"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A0B544F"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FAE3152"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294DA5E9"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187E5EE"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Camera Network</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58C9993"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DEC8C7F"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6D6B3C9"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5BC0314"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8CF0709"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10343B8B"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2E2939E"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Fire Potential Index</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945E22C"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902A0A7"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4DA0B5F"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BF31A26"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83EE718"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67CE500C"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EDD0356" w14:textId="0EF4EAAB">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Fire Science &amp; Climate Adaptation Dep</w:t>
            </w:r>
            <w:r w:rsidR="00B23B73">
              <w:rPr>
                <w:rFonts w:eastAsia="MS Mincho" w:cs="Times New Roman"/>
                <w:color w:val="000000"/>
                <w:szCs w:val="26"/>
              </w:rPr>
              <w:t>artment</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FD5CACA"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$1,854</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7D18B57"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$175</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CDB47EC"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$2,518</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362EEDE"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$39</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5729517"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$4,158</w:t>
            </w:r>
          </w:p>
        </w:tc>
      </w:tr>
      <w:tr w:rsidRPr="000A03AD" w:rsidR="007253C8" w:rsidTr="00B9618B" w14:paraId="7A4CA159"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0E1BB24" w14:textId="476CFB09">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H</w:t>
            </w:r>
            <w:r w:rsidR="00B23B73">
              <w:rPr>
                <w:rFonts w:eastAsia="MS Mincho" w:cs="Times New Roman"/>
                <w:color w:val="000000"/>
                <w:szCs w:val="26"/>
              </w:rPr>
              <w:t xml:space="preserve">igh </w:t>
            </w:r>
            <w:r w:rsidRPr="000A03AD">
              <w:rPr>
                <w:rFonts w:eastAsia="MS Mincho" w:cs="Times New Roman"/>
                <w:color w:val="000000"/>
                <w:szCs w:val="26"/>
              </w:rPr>
              <w:t>P</w:t>
            </w:r>
            <w:r w:rsidR="00B23B73">
              <w:rPr>
                <w:rFonts w:eastAsia="MS Mincho" w:cs="Times New Roman"/>
                <w:color w:val="000000"/>
                <w:szCs w:val="26"/>
              </w:rPr>
              <w:t>erformance</w:t>
            </w:r>
            <w:r w:rsidRPr="000A03AD">
              <w:rPr>
                <w:rFonts w:eastAsia="MS Mincho" w:cs="Times New Roman"/>
                <w:color w:val="000000"/>
                <w:szCs w:val="26"/>
              </w:rPr>
              <w:t xml:space="preserve"> Computing Infrastructure</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ED54BAB"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7C48EB3"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AA34FFA"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64019D6"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42C15CA"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00E62C79"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8D6D1A9"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lastRenderedPageBreak/>
              <w:t>Wireless Fault Indicators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43623D4"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C0930E9"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7A663FE"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556B8CE"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AFC6CC9"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055E0B63"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944BC15" w14:textId="77777777">
            <w:pPr>
              <w:autoSpaceDE w:val="0"/>
              <w:autoSpaceDN w:val="0"/>
              <w:adjustRightInd w:val="0"/>
              <w:spacing w:line="240" w:lineRule="auto"/>
              <w:ind w:hanging="26"/>
              <w:contextualSpacing/>
              <w:jc w:val="center"/>
              <w:rPr>
                <w:rFonts w:eastAsia="MS Mincho" w:cs="Times New Roman"/>
                <w:i/>
                <w:color w:val="000000"/>
                <w:szCs w:val="26"/>
              </w:rPr>
            </w:pPr>
            <w:r w:rsidRPr="000A03AD">
              <w:rPr>
                <w:rFonts w:eastAsia="MS Mincho" w:cs="Times New Roman"/>
                <w:i/>
                <w:color w:val="000000"/>
                <w:szCs w:val="26"/>
              </w:rPr>
              <w:t>SA&amp;F Total</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CF025DA" w14:textId="77777777">
            <w:pPr>
              <w:autoSpaceDE w:val="0"/>
              <w:autoSpaceDN w:val="0"/>
              <w:adjustRightInd w:val="0"/>
              <w:spacing w:line="240" w:lineRule="auto"/>
              <w:ind w:firstLine="2"/>
              <w:contextualSpacing/>
              <w:jc w:val="center"/>
              <w:rPr>
                <w:rFonts w:eastAsia="MS Mincho" w:cs="Times New Roman"/>
                <w:i/>
                <w:color w:val="000000"/>
                <w:szCs w:val="26"/>
              </w:rPr>
            </w:pPr>
            <w:r w:rsidRPr="000A03AD">
              <w:rPr>
                <w:rFonts w:eastAsia="MS Mincho" w:cs="Times New Roman"/>
                <w:i/>
                <w:color w:val="000000"/>
                <w:szCs w:val="26"/>
              </w:rPr>
              <w:t>$1,854</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3E918B1"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$175</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064FD2A"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$2,518</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D511D4E" w14:textId="77777777">
            <w:pPr>
              <w:autoSpaceDE w:val="0"/>
              <w:autoSpaceDN w:val="0"/>
              <w:adjustRightInd w:val="0"/>
              <w:spacing w:line="240" w:lineRule="auto"/>
              <w:ind w:firstLine="6"/>
              <w:contextualSpacing/>
              <w:jc w:val="center"/>
              <w:rPr>
                <w:rFonts w:eastAsia="MS Mincho" w:cs="Times New Roman"/>
                <w:i/>
                <w:color w:val="000000"/>
                <w:szCs w:val="26"/>
              </w:rPr>
            </w:pPr>
            <w:r w:rsidRPr="000A03AD">
              <w:rPr>
                <w:rFonts w:eastAsia="MS Mincho" w:cs="Times New Roman"/>
                <w:i/>
                <w:color w:val="000000"/>
                <w:szCs w:val="26"/>
              </w:rPr>
              <w:t>$39</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BDE2C81" w14:textId="77777777">
            <w:pPr>
              <w:autoSpaceDE w:val="0"/>
              <w:autoSpaceDN w:val="0"/>
              <w:adjustRightInd w:val="0"/>
              <w:spacing w:line="240" w:lineRule="auto"/>
              <w:ind w:firstLine="0"/>
              <w:contextualSpacing/>
              <w:jc w:val="center"/>
              <w:rPr>
                <w:rFonts w:eastAsia="MS Mincho" w:cs="Times New Roman"/>
                <w:b/>
                <w:i/>
                <w:color w:val="000000"/>
                <w:szCs w:val="26"/>
              </w:rPr>
            </w:pPr>
            <w:r w:rsidRPr="000A03AD">
              <w:rPr>
                <w:rFonts w:eastAsia="MS Mincho" w:cs="Times New Roman"/>
                <w:b/>
                <w:i/>
                <w:color w:val="000000"/>
                <w:szCs w:val="26"/>
              </w:rPr>
              <w:t>$4,158</w:t>
            </w:r>
          </w:p>
        </w:tc>
      </w:tr>
      <w:tr w:rsidRPr="000A03AD" w:rsidR="007253C8" w:rsidTr="00B9618B" w14:paraId="783EE050"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3E78320" w14:textId="64DB6122">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Comm</w:t>
            </w:r>
            <w:r w:rsidR="00B23B73">
              <w:rPr>
                <w:rFonts w:eastAsia="MS Mincho" w:cs="Times New Roman"/>
                <w:color w:val="000000"/>
                <w:szCs w:val="26"/>
              </w:rPr>
              <w:t>unity</w:t>
            </w:r>
            <w:r w:rsidRPr="000A03AD">
              <w:rPr>
                <w:rFonts w:eastAsia="MS Mincho" w:cs="Times New Roman"/>
                <w:color w:val="000000"/>
                <w:szCs w:val="26"/>
              </w:rPr>
              <w:t xml:space="preserve"> Engagement - Outreach &amp; P</w:t>
            </w:r>
            <w:r w:rsidR="005C59CA">
              <w:rPr>
                <w:rFonts w:eastAsia="MS Mincho" w:cs="Times New Roman"/>
                <w:color w:val="000000"/>
                <w:szCs w:val="26"/>
              </w:rPr>
              <w:t xml:space="preserve">ublic </w:t>
            </w:r>
            <w:r w:rsidRPr="000A03AD">
              <w:rPr>
                <w:rFonts w:eastAsia="MS Mincho" w:cs="Times New Roman"/>
                <w:color w:val="000000"/>
                <w:szCs w:val="26"/>
              </w:rPr>
              <w:t>A</w:t>
            </w:r>
            <w:r w:rsidR="005C59CA">
              <w:rPr>
                <w:rFonts w:eastAsia="MS Mincho" w:cs="Times New Roman"/>
                <w:color w:val="000000"/>
                <w:szCs w:val="26"/>
              </w:rPr>
              <w:t>wareness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39E11E7"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$1,614</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221BC5C"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$1,614</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343EF6A"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$307</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0446EC2"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$307</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C59B342"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2AC218E5"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F305686"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PSPS Communication Practices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C741717"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$31,055</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CA6A0FA"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$31,055</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F7A6593"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$2,509</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5976834"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$2,509</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C858EBE"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05B624FC"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341C50E" w14:textId="77777777">
            <w:pPr>
              <w:autoSpaceDE w:val="0"/>
              <w:autoSpaceDN w:val="0"/>
              <w:adjustRightInd w:val="0"/>
              <w:spacing w:line="240" w:lineRule="auto"/>
              <w:ind w:hanging="26"/>
              <w:contextualSpacing/>
              <w:jc w:val="center"/>
              <w:rPr>
                <w:rFonts w:eastAsia="MS Mincho" w:cs="Times New Roman"/>
                <w:i/>
                <w:color w:val="000000"/>
                <w:szCs w:val="26"/>
              </w:rPr>
            </w:pPr>
            <w:r w:rsidRPr="000A03AD">
              <w:rPr>
                <w:rFonts w:eastAsia="MS Mincho" w:cs="Times New Roman"/>
                <w:i/>
                <w:color w:val="000000"/>
                <w:szCs w:val="26"/>
              </w:rPr>
              <w:t>SC&amp;CE Total</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D31AF4F" w14:textId="77777777">
            <w:pPr>
              <w:autoSpaceDE w:val="0"/>
              <w:autoSpaceDN w:val="0"/>
              <w:adjustRightInd w:val="0"/>
              <w:spacing w:line="240" w:lineRule="auto"/>
              <w:ind w:firstLine="2"/>
              <w:contextualSpacing/>
              <w:jc w:val="center"/>
              <w:rPr>
                <w:rFonts w:eastAsia="MS Mincho" w:cs="Times New Roman"/>
                <w:i/>
                <w:color w:val="000000"/>
                <w:szCs w:val="26"/>
              </w:rPr>
            </w:pPr>
            <w:r w:rsidRPr="000A03AD">
              <w:rPr>
                <w:rFonts w:eastAsia="MS Mincho" w:cs="Times New Roman"/>
                <w:i/>
                <w:color w:val="000000"/>
                <w:szCs w:val="26"/>
              </w:rPr>
              <w:t>$32,669</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61F420A"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$32,669</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8355964"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$2,816</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1B33069" w14:textId="77777777">
            <w:pPr>
              <w:autoSpaceDE w:val="0"/>
              <w:autoSpaceDN w:val="0"/>
              <w:adjustRightInd w:val="0"/>
              <w:spacing w:line="240" w:lineRule="auto"/>
              <w:ind w:firstLine="6"/>
              <w:contextualSpacing/>
              <w:jc w:val="center"/>
              <w:rPr>
                <w:rFonts w:eastAsia="MS Mincho" w:cs="Times New Roman"/>
                <w:i/>
                <w:color w:val="000000"/>
                <w:szCs w:val="26"/>
              </w:rPr>
            </w:pPr>
            <w:r w:rsidRPr="000A03AD">
              <w:rPr>
                <w:rFonts w:eastAsia="MS Mincho" w:cs="Times New Roman"/>
                <w:i/>
                <w:color w:val="000000"/>
                <w:szCs w:val="26"/>
              </w:rPr>
              <w:t>$2,816</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255193E" w14:textId="77777777">
            <w:pPr>
              <w:autoSpaceDE w:val="0"/>
              <w:autoSpaceDN w:val="0"/>
              <w:adjustRightInd w:val="0"/>
              <w:spacing w:line="240" w:lineRule="auto"/>
              <w:ind w:firstLine="0"/>
              <w:contextualSpacing/>
              <w:jc w:val="center"/>
              <w:rPr>
                <w:rFonts w:eastAsia="MS Mincho" w:cs="Times New Roman"/>
                <w:b/>
                <w:i/>
                <w:color w:val="000000"/>
                <w:szCs w:val="26"/>
              </w:rPr>
            </w:pPr>
            <w:r w:rsidRPr="000A03AD">
              <w:rPr>
                <w:rFonts w:eastAsia="MS Mincho" w:cs="Times New Roman"/>
                <w:b/>
                <w:i/>
                <w:color w:val="000000"/>
                <w:szCs w:val="26"/>
              </w:rPr>
              <w:t>$0</w:t>
            </w:r>
          </w:p>
        </w:tc>
      </w:tr>
      <w:tr w:rsidRPr="000A03AD" w:rsidR="007253C8" w:rsidTr="00B9618B" w14:paraId="4EB543D7"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7B599A2"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Fuels Management</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CD3BDA2"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$22,442</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21ECB43"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$22,442</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268BA42"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$1,526</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6BE45A1"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$1,526</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C81E82F"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5A7A8539"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AF8772F"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LiDAR Inspections</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9010504"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$4,152</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72A341C"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$4,152</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91DDEDA"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$28</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9FB3261"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$28</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4C87D44"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4A96F6A9"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955CEA6"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Pole Brushing</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BE58235"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$3,139</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EC1052C"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$0</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DF01B43"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$915</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F52AE9C"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$0</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2016546"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$4,055</w:t>
            </w:r>
          </w:p>
        </w:tc>
      </w:tr>
      <w:tr w:rsidRPr="000A03AD" w:rsidR="007253C8" w:rsidTr="00B9618B" w14:paraId="5BFD6923"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1C818F22" w14:textId="77777777">
            <w:pPr>
              <w:autoSpaceDE w:val="0"/>
              <w:autoSpaceDN w:val="0"/>
              <w:adjustRightInd w:val="0"/>
              <w:spacing w:line="240" w:lineRule="auto"/>
              <w:ind w:hanging="26"/>
              <w:contextualSpacing/>
              <w:rPr>
                <w:rFonts w:eastAsia="MS Mincho" w:cs="Times New Roman"/>
                <w:color w:val="000000"/>
                <w:szCs w:val="26"/>
              </w:rPr>
            </w:pPr>
            <w:r w:rsidRPr="000A03AD">
              <w:rPr>
                <w:rFonts w:eastAsia="MS Mincho" w:cs="Times New Roman"/>
                <w:color w:val="000000"/>
                <w:szCs w:val="26"/>
              </w:rPr>
              <w:t>Vegetation Restoration Initiative</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315CC7BF" w14:textId="77777777">
            <w:pPr>
              <w:autoSpaceDE w:val="0"/>
              <w:autoSpaceDN w:val="0"/>
              <w:adjustRightInd w:val="0"/>
              <w:spacing w:line="240" w:lineRule="auto"/>
              <w:ind w:firstLine="2"/>
              <w:contextualSpacing/>
              <w:jc w:val="center"/>
              <w:rPr>
                <w:rFonts w:eastAsia="MS Mincho" w:cs="Times New Roman"/>
                <w:color w:val="000000"/>
                <w:szCs w:val="26"/>
              </w:rPr>
            </w:pPr>
            <w:r w:rsidRPr="000A03AD">
              <w:rPr>
                <w:rFonts w:eastAsia="MS Mincho" w:cs="Times New Roman"/>
                <w:color w:val="000000"/>
                <w:szCs w:val="26"/>
              </w:rPr>
              <w:t>$1,265</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F67AD4C"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$1,265</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7701E51" w14:textId="77777777">
            <w:pPr>
              <w:autoSpaceDE w:val="0"/>
              <w:autoSpaceDN w:val="0"/>
              <w:adjustRightInd w:val="0"/>
              <w:spacing w:line="240" w:lineRule="auto"/>
              <w:ind w:firstLine="0"/>
              <w:contextualSpacing/>
              <w:jc w:val="center"/>
              <w:rPr>
                <w:rFonts w:eastAsia="MS Mincho" w:cs="Times New Roman"/>
                <w:color w:val="000000"/>
                <w:szCs w:val="26"/>
              </w:rPr>
            </w:pPr>
            <w:r w:rsidRPr="000A03AD">
              <w:rPr>
                <w:rFonts w:eastAsia="MS Mincho" w:cs="Times New Roman"/>
                <w:color w:val="000000"/>
                <w:szCs w:val="26"/>
              </w:rPr>
              <w:t>$53</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347DDE0" w14:textId="77777777">
            <w:pPr>
              <w:autoSpaceDE w:val="0"/>
              <w:autoSpaceDN w:val="0"/>
              <w:adjustRightInd w:val="0"/>
              <w:spacing w:line="240" w:lineRule="auto"/>
              <w:ind w:firstLine="6"/>
              <w:contextualSpacing/>
              <w:jc w:val="center"/>
              <w:rPr>
                <w:rFonts w:eastAsia="MS Mincho" w:cs="Times New Roman"/>
                <w:color w:val="000000"/>
                <w:szCs w:val="26"/>
              </w:rPr>
            </w:pPr>
            <w:r w:rsidRPr="000A03AD">
              <w:rPr>
                <w:rFonts w:eastAsia="MS Mincho" w:cs="Times New Roman"/>
                <w:color w:val="000000"/>
                <w:szCs w:val="26"/>
              </w:rPr>
              <w:t>$53</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71782AF" w14:textId="77777777">
            <w:pPr>
              <w:autoSpaceDE w:val="0"/>
              <w:autoSpaceDN w:val="0"/>
              <w:adjustRightInd w:val="0"/>
              <w:spacing w:line="240" w:lineRule="auto"/>
              <w:ind w:firstLine="0"/>
              <w:contextualSpacing/>
              <w:jc w:val="center"/>
              <w:rPr>
                <w:rFonts w:eastAsia="MS Mincho" w:cs="Times New Roman"/>
                <w:b/>
                <w:color w:val="000000"/>
                <w:szCs w:val="26"/>
              </w:rPr>
            </w:pPr>
            <w:r w:rsidRPr="000A03AD">
              <w:rPr>
                <w:rFonts w:eastAsia="MS Mincho" w:cs="Times New Roman"/>
                <w:b/>
                <w:color w:val="000000"/>
                <w:szCs w:val="26"/>
              </w:rPr>
              <w:t>$0</w:t>
            </w:r>
          </w:p>
        </w:tc>
      </w:tr>
      <w:tr w:rsidRPr="000A03AD" w:rsidR="007253C8" w:rsidTr="00B9618B" w14:paraId="562879F0"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3B75456" w14:textId="77777777">
            <w:pPr>
              <w:autoSpaceDE w:val="0"/>
              <w:autoSpaceDN w:val="0"/>
              <w:adjustRightInd w:val="0"/>
              <w:spacing w:line="240" w:lineRule="auto"/>
              <w:ind w:hanging="26"/>
              <w:contextualSpacing/>
              <w:jc w:val="center"/>
              <w:rPr>
                <w:rFonts w:eastAsia="MS Mincho" w:cs="Times New Roman"/>
                <w:i/>
                <w:color w:val="000000"/>
                <w:szCs w:val="26"/>
              </w:rPr>
            </w:pPr>
            <w:r w:rsidRPr="000A03AD">
              <w:rPr>
                <w:rFonts w:eastAsia="MS Mincho" w:cs="Times New Roman"/>
                <w:i/>
                <w:color w:val="000000"/>
                <w:szCs w:val="26"/>
              </w:rPr>
              <w:t>VM&amp;I Total</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B2B1AF1" w14:textId="77777777">
            <w:pPr>
              <w:autoSpaceDE w:val="0"/>
              <w:autoSpaceDN w:val="0"/>
              <w:adjustRightInd w:val="0"/>
              <w:spacing w:line="240" w:lineRule="auto"/>
              <w:ind w:firstLine="2"/>
              <w:contextualSpacing/>
              <w:jc w:val="center"/>
              <w:rPr>
                <w:rFonts w:eastAsia="MS Mincho" w:cs="Times New Roman"/>
                <w:i/>
                <w:color w:val="000000"/>
                <w:szCs w:val="26"/>
              </w:rPr>
            </w:pPr>
            <w:r w:rsidRPr="000A03AD">
              <w:rPr>
                <w:rFonts w:eastAsia="MS Mincho" w:cs="Times New Roman"/>
                <w:i/>
                <w:color w:val="000000"/>
                <w:szCs w:val="26"/>
              </w:rPr>
              <w:t>$30,998</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4FB57621"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$27,859</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7F819D03" w14:textId="77777777">
            <w:pPr>
              <w:autoSpaceDE w:val="0"/>
              <w:autoSpaceDN w:val="0"/>
              <w:adjustRightInd w:val="0"/>
              <w:spacing w:line="240" w:lineRule="auto"/>
              <w:ind w:firstLine="0"/>
              <w:contextualSpacing/>
              <w:jc w:val="center"/>
              <w:rPr>
                <w:rFonts w:eastAsia="MS Mincho" w:cs="Times New Roman"/>
                <w:i/>
                <w:color w:val="000000"/>
                <w:szCs w:val="26"/>
              </w:rPr>
            </w:pPr>
            <w:r w:rsidRPr="000A03AD">
              <w:rPr>
                <w:rFonts w:eastAsia="MS Mincho" w:cs="Times New Roman"/>
                <w:i/>
                <w:color w:val="000000"/>
                <w:szCs w:val="26"/>
              </w:rPr>
              <w:t>$2,523</w:t>
            </w:r>
          </w:p>
        </w:tc>
        <w:tc>
          <w:tcPr>
            <w:tcW w:w="67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2A7171CE" w14:textId="77777777">
            <w:pPr>
              <w:autoSpaceDE w:val="0"/>
              <w:autoSpaceDN w:val="0"/>
              <w:adjustRightInd w:val="0"/>
              <w:spacing w:line="240" w:lineRule="auto"/>
              <w:ind w:firstLine="6"/>
              <w:contextualSpacing/>
              <w:jc w:val="center"/>
              <w:rPr>
                <w:rFonts w:eastAsia="MS Mincho" w:cs="Times New Roman"/>
                <w:i/>
                <w:color w:val="000000"/>
                <w:szCs w:val="26"/>
              </w:rPr>
            </w:pPr>
            <w:r w:rsidRPr="000A03AD">
              <w:rPr>
                <w:rFonts w:eastAsia="MS Mincho" w:cs="Times New Roman"/>
                <w:i/>
                <w:color w:val="000000"/>
                <w:szCs w:val="26"/>
              </w:rPr>
              <w:t>$1,608</w:t>
            </w:r>
          </w:p>
        </w:tc>
        <w:tc>
          <w:tcPr>
            <w:tcW w:w="861"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D27AD19" w14:textId="77777777">
            <w:pPr>
              <w:autoSpaceDE w:val="0"/>
              <w:autoSpaceDN w:val="0"/>
              <w:adjustRightInd w:val="0"/>
              <w:spacing w:line="240" w:lineRule="auto"/>
              <w:ind w:firstLine="0"/>
              <w:contextualSpacing/>
              <w:jc w:val="center"/>
              <w:rPr>
                <w:rFonts w:eastAsia="MS Mincho" w:cs="Times New Roman"/>
                <w:b/>
                <w:i/>
                <w:color w:val="000000"/>
                <w:szCs w:val="26"/>
              </w:rPr>
            </w:pPr>
            <w:r w:rsidRPr="000A03AD">
              <w:rPr>
                <w:rFonts w:eastAsia="MS Mincho" w:cs="Times New Roman"/>
                <w:b/>
                <w:i/>
                <w:color w:val="000000"/>
                <w:szCs w:val="26"/>
              </w:rPr>
              <w:t>$4,055</w:t>
            </w:r>
          </w:p>
        </w:tc>
      </w:tr>
      <w:tr w:rsidRPr="000A03AD" w:rsidR="007253C8" w:rsidTr="00B9618B" w14:paraId="64837477" w14:textId="77777777">
        <w:trPr>
          <w:trHeight w:val="300"/>
        </w:trPr>
        <w:tc>
          <w:tcPr>
            <w:tcW w:w="1548"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69DACE91" w14:textId="77777777">
            <w:pPr>
              <w:autoSpaceDE w:val="0"/>
              <w:autoSpaceDN w:val="0"/>
              <w:adjustRightInd w:val="0"/>
              <w:spacing w:line="240" w:lineRule="auto"/>
              <w:ind w:hanging="26"/>
              <w:contextualSpacing/>
              <w:jc w:val="center"/>
              <w:rPr>
                <w:rFonts w:eastAsia="MS Mincho" w:cs="Times New Roman"/>
                <w:b/>
                <w:i/>
                <w:color w:val="000000"/>
                <w:szCs w:val="26"/>
              </w:rPr>
            </w:pPr>
            <w:r w:rsidRPr="000A03AD">
              <w:rPr>
                <w:rFonts w:eastAsia="MS Mincho" w:cs="Times New Roman"/>
                <w:b/>
                <w:i/>
                <w:color w:val="000000"/>
                <w:szCs w:val="26"/>
              </w:rPr>
              <w:t>WMPMA Total</w:t>
            </w:r>
          </w:p>
        </w:tc>
        <w:tc>
          <w:tcPr>
            <w:tcW w:w="689"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0A337D7A" w14:textId="77777777">
            <w:pPr>
              <w:autoSpaceDE w:val="0"/>
              <w:autoSpaceDN w:val="0"/>
              <w:adjustRightInd w:val="0"/>
              <w:spacing w:line="240" w:lineRule="auto"/>
              <w:ind w:firstLine="2"/>
              <w:contextualSpacing/>
              <w:jc w:val="center"/>
              <w:rPr>
                <w:rFonts w:eastAsia="MS Mincho" w:cs="Times New Roman"/>
                <w:b/>
                <w:i/>
                <w:color w:val="000000"/>
                <w:szCs w:val="26"/>
              </w:rPr>
            </w:pPr>
            <w:r w:rsidRPr="000A03AD">
              <w:rPr>
                <w:rFonts w:eastAsia="MS Mincho" w:cs="Times New Roman"/>
                <w:b/>
                <w:i/>
                <w:color w:val="000000"/>
                <w:szCs w:val="26"/>
              </w:rPr>
              <w:t>$255,366</w:t>
            </w:r>
          </w:p>
        </w:tc>
        <w:tc>
          <w:tcPr>
            <w:tcW w:w="679"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284F937B" w14:textId="1B687B69">
            <w:pPr>
              <w:autoSpaceDE w:val="0"/>
              <w:autoSpaceDN w:val="0"/>
              <w:adjustRightInd w:val="0"/>
              <w:spacing w:line="240" w:lineRule="auto"/>
              <w:ind w:firstLine="0"/>
              <w:contextualSpacing/>
              <w:jc w:val="center"/>
              <w:rPr>
                <w:rFonts w:eastAsia="MS Mincho" w:cs="Times New Roman"/>
                <w:b/>
                <w:i/>
                <w:color w:val="000000"/>
                <w:szCs w:val="26"/>
              </w:rPr>
            </w:pPr>
          </w:p>
          <w:p w:rsidRPr="000A03AD" w:rsidR="00375D41" w:rsidP="00301BD8" w:rsidRDefault="00375D41" w14:paraId="74615AE7" w14:textId="1494F433">
            <w:pPr>
              <w:autoSpaceDE w:val="0"/>
              <w:autoSpaceDN w:val="0"/>
              <w:adjustRightInd w:val="0"/>
              <w:spacing w:line="240" w:lineRule="auto"/>
              <w:ind w:firstLine="0"/>
              <w:contextualSpacing/>
              <w:jc w:val="center"/>
              <w:rPr>
                <w:rFonts w:eastAsia="MS Mincho" w:cs="Times New Roman"/>
                <w:b/>
                <w:i/>
                <w:color w:val="000000"/>
                <w:szCs w:val="26"/>
              </w:rPr>
            </w:pPr>
            <w:r>
              <w:rPr>
                <w:rFonts w:eastAsia="MS Mincho" w:cs="Times New Roman"/>
                <w:b/>
                <w:i/>
                <w:color w:val="000000"/>
                <w:szCs w:val="26"/>
              </w:rPr>
              <w:t>$195,763</w:t>
            </w:r>
          </w:p>
        </w:tc>
        <w:tc>
          <w:tcPr>
            <w:tcW w:w="544" w:type="pct"/>
            <w:tcBorders>
              <w:top w:val="single" w:color="auto" w:sz="6" w:space="0"/>
              <w:left w:val="single" w:color="auto" w:sz="6" w:space="0"/>
              <w:bottom w:val="single" w:color="auto" w:sz="6" w:space="0"/>
              <w:right w:val="single" w:color="auto" w:sz="6" w:space="0"/>
            </w:tcBorders>
            <w:vAlign w:val="center"/>
          </w:tcPr>
          <w:p w:rsidRPr="000A03AD" w:rsidR="007253C8" w:rsidP="00301BD8" w:rsidRDefault="007253C8" w14:paraId="55E948DA" w14:textId="77777777">
            <w:pPr>
              <w:autoSpaceDE w:val="0"/>
              <w:autoSpaceDN w:val="0"/>
              <w:adjustRightInd w:val="0"/>
              <w:spacing w:line="240" w:lineRule="auto"/>
              <w:ind w:firstLine="0"/>
              <w:contextualSpacing/>
              <w:jc w:val="center"/>
              <w:rPr>
                <w:rFonts w:eastAsia="MS Mincho" w:cs="Times New Roman"/>
                <w:b/>
                <w:i/>
                <w:color w:val="000000"/>
                <w:szCs w:val="26"/>
              </w:rPr>
            </w:pPr>
            <w:r w:rsidRPr="000A03AD">
              <w:rPr>
                <w:rFonts w:eastAsia="MS Mincho" w:cs="Times New Roman"/>
                <w:b/>
                <w:i/>
                <w:color w:val="000000"/>
                <w:szCs w:val="26"/>
              </w:rPr>
              <w:t>$30,519</w:t>
            </w:r>
          </w:p>
        </w:tc>
        <w:tc>
          <w:tcPr>
            <w:tcW w:w="679"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6021A35E" w14:textId="12532105">
            <w:pPr>
              <w:autoSpaceDE w:val="0"/>
              <w:autoSpaceDN w:val="0"/>
              <w:adjustRightInd w:val="0"/>
              <w:spacing w:line="240" w:lineRule="auto"/>
              <w:ind w:firstLine="6"/>
              <w:contextualSpacing/>
              <w:jc w:val="center"/>
              <w:rPr>
                <w:rFonts w:eastAsia="MS Mincho" w:cs="Times New Roman"/>
                <w:b/>
                <w:i/>
                <w:color w:val="000000"/>
                <w:szCs w:val="26"/>
              </w:rPr>
            </w:pPr>
          </w:p>
          <w:p w:rsidRPr="000A03AD" w:rsidR="009361AE" w:rsidP="00301BD8" w:rsidRDefault="009361AE" w14:paraId="719CB3A0" w14:textId="1DEF62E2">
            <w:pPr>
              <w:autoSpaceDE w:val="0"/>
              <w:autoSpaceDN w:val="0"/>
              <w:adjustRightInd w:val="0"/>
              <w:spacing w:line="240" w:lineRule="auto"/>
              <w:ind w:firstLine="6"/>
              <w:contextualSpacing/>
              <w:jc w:val="center"/>
              <w:rPr>
                <w:rFonts w:eastAsia="MS Mincho" w:cs="Times New Roman"/>
                <w:b/>
                <w:i/>
                <w:color w:val="000000"/>
                <w:szCs w:val="26"/>
              </w:rPr>
            </w:pPr>
            <w:r>
              <w:rPr>
                <w:rFonts w:eastAsia="MS Mincho" w:cs="Times New Roman"/>
                <w:b/>
                <w:i/>
                <w:color w:val="000000"/>
                <w:szCs w:val="26"/>
              </w:rPr>
              <w:t>$11,671</w:t>
            </w:r>
          </w:p>
        </w:tc>
        <w:tc>
          <w:tcPr>
            <w:tcW w:w="861" w:type="pct"/>
            <w:tcBorders>
              <w:top w:val="single" w:color="auto" w:sz="6" w:space="0"/>
              <w:left w:val="single" w:color="auto" w:sz="6" w:space="0"/>
              <w:bottom w:val="single" w:color="auto" w:sz="6" w:space="0"/>
              <w:right w:val="single" w:color="auto" w:sz="6" w:space="0"/>
            </w:tcBorders>
            <w:vAlign w:val="center"/>
          </w:tcPr>
          <w:p w:rsidR="007253C8" w:rsidP="00301BD8" w:rsidRDefault="007253C8" w14:paraId="4EA211A0" w14:textId="1A26874C">
            <w:pPr>
              <w:autoSpaceDE w:val="0"/>
              <w:autoSpaceDN w:val="0"/>
              <w:adjustRightInd w:val="0"/>
              <w:spacing w:line="240" w:lineRule="auto"/>
              <w:ind w:firstLine="0"/>
              <w:contextualSpacing/>
              <w:jc w:val="center"/>
              <w:rPr>
                <w:rFonts w:eastAsia="MS Mincho" w:cs="Times New Roman"/>
                <w:b/>
                <w:i/>
                <w:color w:val="000000"/>
                <w:szCs w:val="26"/>
              </w:rPr>
            </w:pPr>
          </w:p>
          <w:p w:rsidRPr="000A03AD" w:rsidR="009361AE" w:rsidP="00301BD8" w:rsidRDefault="009361AE" w14:paraId="23A3F890" w14:textId="24B6BFFC">
            <w:pPr>
              <w:autoSpaceDE w:val="0"/>
              <w:autoSpaceDN w:val="0"/>
              <w:adjustRightInd w:val="0"/>
              <w:spacing w:line="240" w:lineRule="auto"/>
              <w:ind w:firstLine="0"/>
              <w:contextualSpacing/>
              <w:jc w:val="center"/>
              <w:rPr>
                <w:rFonts w:eastAsia="MS Mincho" w:cs="Times New Roman"/>
                <w:b/>
                <w:i/>
                <w:color w:val="000000"/>
                <w:szCs w:val="26"/>
              </w:rPr>
            </w:pPr>
            <w:r>
              <w:rPr>
                <w:rFonts w:eastAsia="MS Mincho" w:cs="Times New Roman"/>
                <w:b/>
                <w:i/>
                <w:color w:val="000000"/>
                <w:szCs w:val="26"/>
              </w:rPr>
              <w:t>$78,451</w:t>
            </w:r>
          </w:p>
        </w:tc>
      </w:tr>
      <w:bookmarkEnd w:id="5"/>
    </w:tbl>
    <w:p w:rsidR="00D166DC" w:rsidP="007253C8" w:rsidRDefault="00D166DC" w14:paraId="6E547CAB" w14:textId="77777777">
      <w:pPr>
        <w:pStyle w:val="Standard"/>
      </w:pPr>
    </w:p>
    <w:p w:rsidR="007253C8" w:rsidP="007253C8" w:rsidRDefault="007253C8" w14:paraId="616B0672" w14:textId="0A80128E">
      <w:pPr>
        <w:pStyle w:val="Standard"/>
      </w:pPr>
      <w:r>
        <w:t>The Commission also disallows $16.9 million in gas wildfire mitigation costs.</w:t>
      </w:r>
    </w:p>
    <w:p w:rsidRPr="00273325" w:rsidR="007253C8" w:rsidP="007253C8" w:rsidRDefault="007253C8" w14:paraId="61E31DED" w14:textId="1A1BFCC0">
      <w:pPr>
        <w:pStyle w:val="Standard"/>
        <w:rPr>
          <w:rFonts w:eastAsia="Book Antiqua" w:cs="Book Antiqua"/>
        </w:rPr>
      </w:pPr>
      <w:r>
        <w:t xml:space="preserve">On October 27, 2023, SDG&amp;E was granted interim relief to recover $289.9 million in rates during 2024 and 2025 for the </w:t>
      </w:r>
      <w:proofErr w:type="spellStart"/>
      <w:r>
        <w:t>undercollected</w:t>
      </w:r>
      <w:proofErr w:type="spellEnd"/>
      <w:r>
        <w:t xml:space="preserve"> </w:t>
      </w:r>
      <w:r w:rsidR="00BF25BA">
        <w:t>WMPMA</w:t>
      </w:r>
      <w:r>
        <w:t>, subject to refund.</w:t>
      </w:r>
      <w:r w:rsidRPr="73E4AAD3">
        <w:rPr>
          <w:rStyle w:val="FootnoteReference"/>
          <w:bCs/>
        </w:rPr>
        <w:footnoteReference w:id="12"/>
      </w:r>
      <w:r>
        <w:t xml:space="preserve"> This decision authorizes a total revenue requirement </w:t>
      </w:r>
      <w:r w:rsidR="00612A11">
        <w:t xml:space="preserve">for 2019–2027 </w:t>
      </w:r>
      <w:r>
        <w:t>of $7</w:t>
      </w:r>
      <w:r w:rsidR="0063400B">
        <w:t>06.475</w:t>
      </w:r>
      <w:r>
        <w:t xml:space="preserve"> million </w:t>
      </w:r>
      <w:r w:rsidDel="5CCFB03C">
        <w:t>less</w:t>
      </w:r>
      <w:r>
        <w:t xml:space="preserve"> the amount that SDG&amp;E collected for interim rate relief of </w:t>
      </w:r>
      <w:r>
        <w:lastRenderedPageBreak/>
        <w:t>$289.9 million in 2024</w:t>
      </w:r>
      <w:r w:rsidR="00612A11">
        <w:t>–</w:t>
      </w:r>
      <w:r>
        <w:t>2025,</w:t>
      </w:r>
      <w:r w:rsidDel="3E227B52">
        <w:t xml:space="preserve"> </w:t>
      </w:r>
      <w:r>
        <w:t>resulting in a total revenue requirement of $4</w:t>
      </w:r>
      <w:r w:rsidR="00B3728E">
        <w:t>16.575</w:t>
      </w:r>
      <w:r>
        <w:t xml:space="preserve"> million.</w:t>
      </w:r>
      <w:r w:rsidRPr="614CE853">
        <w:rPr>
          <w:rStyle w:val="FootnoteReference"/>
        </w:rPr>
        <w:footnoteReference w:id="13"/>
      </w:r>
      <w:r>
        <w:t xml:space="preserve"> To reduce the rate impact</w:t>
      </w:r>
      <w:r w:rsidR="005C59CA">
        <w:t xml:space="preserve"> and</w:t>
      </w:r>
      <w:r w:rsidR="00B9618B">
        <w:t xml:space="preserve"> </w:t>
      </w:r>
      <w:r>
        <w:t xml:space="preserve">to support rate stability for California Alternate Rates for Energy and Family Electric Rate Assistance program customers, the Commission authorizes </w:t>
      </w:r>
      <w:r w:rsidRPr="69D97568">
        <w:t xml:space="preserve">SDG&amp;E </w:t>
      </w:r>
      <w:r>
        <w:t xml:space="preserve">to amortize the </w:t>
      </w:r>
      <w:r w:rsidRPr="69D97568">
        <w:t xml:space="preserve">balance of the </w:t>
      </w:r>
      <w:proofErr w:type="spellStart"/>
      <w:r w:rsidRPr="69D97568">
        <w:t>undercollected</w:t>
      </w:r>
      <w:proofErr w:type="spellEnd"/>
      <w:r>
        <w:t xml:space="preserve"> revenue requirement </w:t>
      </w:r>
      <w:r w:rsidR="00C620CC">
        <w:t xml:space="preserve">owed through </w:t>
      </w:r>
      <w:r w:rsidR="00BC616B">
        <w:t xml:space="preserve">2025 </w:t>
      </w:r>
      <w:r>
        <w:t xml:space="preserve">over a period of </w:t>
      </w:r>
      <w:r w:rsidRPr="69D97568">
        <w:t>th</w:t>
      </w:r>
      <w:r>
        <w:t xml:space="preserve">ree </w:t>
      </w:r>
      <w:r w:rsidRPr="69D97568">
        <w:t>years.</w:t>
      </w:r>
      <w:r w:rsidRPr="363FA53B">
        <w:rPr>
          <w:rFonts w:eastAsia="Book Antiqua" w:cs="Book Antiqua"/>
        </w:rPr>
        <w:t xml:space="preserve"> </w:t>
      </w:r>
      <w:r w:rsidRPr="005C59CA" w:rsidR="005C59CA">
        <w:rPr>
          <w:rFonts w:eastAsia="Book Antiqua" w:cs="Book Antiqua"/>
        </w:rPr>
        <w:t>As a result</w:t>
      </w:r>
      <w:r w:rsidR="005C59CA">
        <w:rPr>
          <w:rFonts w:eastAsia="Book Antiqua" w:cs="Book Antiqua"/>
        </w:rPr>
        <w:t xml:space="preserve">, </w:t>
      </w:r>
      <w:r w:rsidRPr="7D4B3CAA">
        <w:rPr>
          <w:rFonts w:eastAsia="Book Antiqua" w:cs="Book Antiqua"/>
        </w:rPr>
        <w:t xml:space="preserve">the </w:t>
      </w:r>
      <w:r w:rsidRPr="69FFA445">
        <w:rPr>
          <w:rFonts w:eastAsia="Book Antiqua" w:cs="Book Antiqua"/>
        </w:rPr>
        <w:t xml:space="preserve">average non-CARE customer </w:t>
      </w:r>
      <w:r>
        <w:rPr>
          <w:rFonts w:eastAsia="Book Antiqua" w:cs="Book Antiqua"/>
        </w:rPr>
        <w:t>bill</w:t>
      </w:r>
      <w:r w:rsidRPr="69FFA445">
        <w:rPr>
          <w:rFonts w:eastAsia="Book Antiqua" w:cs="Book Antiqua"/>
        </w:rPr>
        <w:t xml:space="preserve"> </w:t>
      </w:r>
      <w:r w:rsidR="005C59CA">
        <w:rPr>
          <w:rFonts w:eastAsia="Book Antiqua" w:cs="Book Antiqua"/>
        </w:rPr>
        <w:t xml:space="preserve">will increase </w:t>
      </w:r>
      <w:r w:rsidRPr="69FFA445">
        <w:rPr>
          <w:rFonts w:eastAsia="Book Antiqua" w:cs="Book Antiqua"/>
        </w:rPr>
        <w:t>by $5.09 or 2.94%.</w:t>
      </w:r>
      <w:r w:rsidRPr="69FFA445">
        <w:rPr>
          <w:rStyle w:val="FootnoteReference"/>
          <w:rFonts w:eastAsia="Book Antiqua" w:cs="Book Antiqua"/>
        </w:rPr>
        <w:footnoteReference w:id="14"/>
      </w:r>
      <w:r w:rsidR="001678C2">
        <w:rPr>
          <w:rFonts w:eastAsia="Book Antiqua" w:cs="Book Antiqua"/>
        </w:rPr>
        <w:t xml:space="preserve"> </w:t>
      </w:r>
    </w:p>
    <w:p w:rsidRPr="00273325" w:rsidR="007253C8" w:rsidP="007253C8" w:rsidRDefault="007253C8" w14:paraId="60FFF71F" w14:textId="77777777">
      <w:pPr>
        <w:pStyle w:val="Standard"/>
        <w:rPr>
          <w:b/>
        </w:rPr>
      </w:pPr>
      <w:r w:rsidRPr="00CE4BC8">
        <w:t>This proceeding remains open.</w:t>
      </w:r>
    </w:p>
    <w:p w:rsidR="007253C8" w:rsidP="00D166DC" w:rsidRDefault="007253C8" w14:paraId="56B83AED" w14:textId="77777777">
      <w:pPr>
        <w:pStyle w:val="Heading1"/>
      </w:pPr>
      <w:bookmarkStart w:name="_Toc213312239" w:id="6"/>
      <w:r w:rsidRPr="00271C98">
        <w:t>Background</w:t>
      </w:r>
      <w:bookmarkEnd w:id="6"/>
    </w:p>
    <w:p w:rsidR="008A3AE1" w:rsidP="007253C8" w:rsidRDefault="007253C8" w14:paraId="103AF1F1" w14:textId="77777777">
      <w:pPr>
        <w:pStyle w:val="Standard"/>
        <w:rPr>
          <w:rFonts w:eastAsia="Cambria" w:cs="Cambria"/>
        </w:rPr>
      </w:pPr>
      <w:r w:rsidRPr="7B393814">
        <w:rPr>
          <w:rFonts w:eastAsia="Cambria" w:cs="Cambria"/>
        </w:rPr>
        <w:t xml:space="preserve"> </w:t>
      </w:r>
      <w:r w:rsidR="00E529D2">
        <w:rPr>
          <w:rFonts w:eastAsia="Cambria" w:cs="Cambria"/>
        </w:rPr>
        <w:t xml:space="preserve">The </w:t>
      </w:r>
      <w:r w:rsidRPr="7B393814">
        <w:rPr>
          <w:rFonts w:eastAsia="Cambria" w:cs="Cambria"/>
        </w:rPr>
        <w:t xml:space="preserve">service territory </w:t>
      </w:r>
      <w:r w:rsidR="00E529D2">
        <w:rPr>
          <w:rFonts w:eastAsia="Cambria" w:cs="Cambria"/>
        </w:rPr>
        <w:t>of San Diego Gas</w:t>
      </w:r>
      <w:r w:rsidR="002C4DB6">
        <w:rPr>
          <w:rFonts w:eastAsia="Cambria" w:cs="Cambria"/>
        </w:rPr>
        <w:t xml:space="preserve"> &amp; Electric Company (SDG&amp;E)</w:t>
      </w:r>
      <w:r w:rsidR="00A22BC4">
        <w:rPr>
          <w:rFonts w:eastAsia="Cambria" w:cs="Cambria"/>
        </w:rPr>
        <w:t xml:space="preserve"> </w:t>
      </w:r>
      <w:r w:rsidRPr="7B393814">
        <w:rPr>
          <w:rFonts w:eastAsia="Cambria" w:cs="Cambria"/>
        </w:rPr>
        <w:t>is exposed to a range of wildfire risks, including those from Santa Ana winds, dry fuels, and extreme heat (each of which has been directly linked to large and destructive wildfires). These wildfires may in some cases be sparked by powerlines or other electrical infrastructure</w:t>
      </w:r>
      <w:r w:rsidRPr="7B393814" w:rsidDel="00137343">
        <w:rPr>
          <w:rFonts w:eastAsia="Cambria" w:cs="Cambria"/>
        </w:rPr>
        <w:t xml:space="preserve">. </w:t>
      </w:r>
      <w:r w:rsidRPr="7B393814">
        <w:rPr>
          <w:rFonts w:eastAsia="Cambria" w:cs="Cambria"/>
        </w:rPr>
        <w:t>The heat map in Figure 1 below illustrates the wildfire risk across SDG&amp;E’s territory that is increasing with climate change.</w:t>
      </w:r>
      <w:r w:rsidRPr="00137343">
        <w:rPr>
          <w:rStyle w:val="FootnoteReference"/>
          <w:rFonts w:eastAsia="Cambria" w:cs="Cambria"/>
          <w:szCs w:val="26"/>
        </w:rPr>
        <w:footnoteReference w:id="15"/>
      </w:r>
      <w:r w:rsidR="00E87524">
        <w:rPr>
          <w:rFonts w:eastAsia="Cambria" w:cs="Cambria"/>
        </w:rPr>
        <w:br/>
      </w:r>
    </w:p>
    <w:p w:rsidR="008A3AE1" w:rsidRDefault="008A3AE1" w14:paraId="4E0F2CAD" w14:textId="77777777">
      <w:pPr>
        <w:spacing w:after="160" w:line="259" w:lineRule="auto"/>
        <w:ind w:firstLine="0"/>
        <w:rPr>
          <w:rFonts w:eastAsia="Cambria" w:cs="Cambria"/>
        </w:rPr>
      </w:pPr>
      <w:r>
        <w:rPr>
          <w:rFonts w:eastAsia="Cambria" w:cs="Cambria"/>
        </w:rPr>
        <w:br w:type="page"/>
      </w:r>
    </w:p>
    <w:p w:rsidRPr="00073C22" w:rsidR="007253C8" w:rsidP="0037110F" w:rsidRDefault="007253C8" w14:paraId="07CBEA17" w14:textId="77777777">
      <w:pPr>
        <w:pStyle w:val="Standard"/>
        <w:jc w:val="center"/>
        <w:rPr>
          <w:rFonts w:eastAsia="Cambria" w:cs="Cambria"/>
          <w:b/>
          <w:bCs/>
        </w:rPr>
      </w:pPr>
      <w:r w:rsidRPr="00073C22">
        <w:rPr>
          <w:rFonts w:eastAsia="Cambria" w:cs="Cambria"/>
          <w:b/>
        </w:rPr>
        <w:lastRenderedPageBreak/>
        <w:t>FIGURE 1</w:t>
      </w:r>
    </w:p>
    <w:p w:rsidRPr="00137343" w:rsidR="007253C8" w:rsidP="0014060F" w:rsidRDefault="007253C8" w14:paraId="34E02057" w14:textId="77777777">
      <w:pPr>
        <w:pStyle w:val="Standard"/>
        <w:ind w:firstLine="0"/>
        <w:jc w:val="center"/>
        <w:rPr>
          <w:rFonts w:eastAsia="Cambria" w:cs="Cambria"/>
        </w:rPr>
      </w:pPr>
      <w:r w:rsidRPr="00073C22">
        <w:rPr>
          <w:rFonts w:eastAsia="Cambria" w:cs="Cambria"/>
          <w:b/>
        </w:rPr>
        <w:t>Illustrative Wildfire Risk Heat Map</w:t>
      </w:r>
    </w:p>
    <w:p w:rsidRPr="00137343" w:rsidR="007253C8" w:rsidP="007253C8" w:rsidRDefault="007253C8" w14:paraId="154574FC" w14:textId="77777777">
      <w:pPr>
        <w:pStyle w:val="standard0"/>
        <w:ind w:firstLine="0"/>
        <w:rPr>
          <w:rFonts w:eastAsia="Cambria" w:cs="Cambria"/>
          <w:szCs w:val="26"/>
        </w:rPr>
      </w:pPr>
      <w:r w:rsidRPr="00137343">
        <w:rPr>
          <w:noProof/>
          <w:szCs w:val="26"/>
        </w:rPr>
        <w:drawing>
          <wp:inline distT="0" distB="0" distL="0" distR="0" wp14:anchorId="27C816DC" wp14:editId="4221B875">
            <wp:extent cx="5943600" cy="4440555"/>
            <wp:effectExtent l="0" t="0" r="0" b="0"/>
            <wp:docPr id="60162663"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2663" name="Picture 1" descr="Map&#10;&#10;AI-generated content may be incorrect."/>
                    <pic:cNvPicPr/>
                  </pic:nvPicPr>
                  <pic:blipFill>
                    <a:blip r:embed="rId19"/>
                    <a:stretch>
                      <a:fillRect/>
                    </a:stretch>
                  </pic:blipFill>
                  <pic:spPr>
                    <a:xfrm>
                      <a:off x="0" y="0"/>
                      <a:ext cx="5943600" cy="4440555"/>
                    </a:xfrm>
                    <a:prstGeom prst="rect">
                      <a:avLst/>
                    </a:prstGeom>
                  </pic:spPr>
                </pic:pic>
              </a:graphicData>
            </a:graphic>
          </wp:inline>
        </w:drawing>
      </w:r>
    </w:p>
    <w:p w:rsidRPr="00137343" w:rsidR="007253C8" w:rsidP="007253C8" w:rsidRDefault="007253C8" w14:paraId="24A5B70C" w14:textId="77777777">
      <w:pPr>
        <w:pStyle w:val="Standard"/>
      </w:pPr>
    </w:p>
    <w:p w:rsidRPr="00137343" w:rsidR="007253C8" w:rsidP="007253C8" w:rsidRDefault="007253C8" w14:paraId="046C167D" w14:textId="0F24BE25">
      <w:pPr>
        <w:pStyle w:val="Standard"/>
      </w:pPr>
      <w:r w:rsidRPr="2D6E0703">
        <w:t>In 2007, the risk in this territory produced the ninth most destructive fire in California history.</w:t>
      </w:r>
      <w:r w:rsidRPr="614CE853">
        <w:rPr>
          <w:rStyle w:val="FootnoteReference"/>
          <w:rFonts w:eastAsia="Cambria" w:cs="Cambria"/>
        </w:rPr>
        <w:footnoteReference w:id="16"/>
      </w:r>
      <w:r w:rsidRPr="2D6E0703">
        <w:t xml:space="preserve"> In addition to the history of wildfires in SDG&amp;E’s service territory, the wildfire mitigation costs SDG&amp;E seeks to recover here arise from </w:t>
      </w:r>
      <w:r w:rsidRPr="2D6E0703">
        <w:lastRenderedPageBreak/>
        <w:t>recent legislation and Commission decisions requiring the evaluation of wildfire risks, and mitigation plans. Given the magnitude of these developments, their impact on SDG&amp;E’s request, and how the parties considered them, these developments are described in this background section to give necessary context for this decision.</w:t>
      </w:r>
      <w:r w:rsidRPr="2D6E0703" w:rsidDel="00137343">
        <w:t xml:space="preserve"> </w:t>
      </w:r>
      <w:r w:rsidRPr="2D6E0703">
        <w:t>These developments and other matters are presented in the following sections: (1) Wildfire Mitigation Requirements, (2) Wildfire Risk Analysis, (3) Wildfire Mitigation Plans, (4) Denial of recommendation that SDG&amp;E be required to refile this application to improve its cost-effectiveness showing, (5) SDG&amp;E’s 2019 Test Year General Rate Case, W</w:t>
      </w:r>
      <w:r w:rsidR="00586F79">
        <w:t xml:space="preserve">ildfire </w:t>
      </w:r>
      <w:r w:rsidRPr="2D6E0703">
        <w:t>M</w:t>
      </w:r>
      <w:r w:rsidR="00586F79">
        <w:t xml:space="preserve">itigation </w:t>
      </w:r>
      <w:r w:rsidRPr="2D6E0703">
        <w:t>P</w:t>
      </w:r>
      <w:r w:rsidR="00586F79">
        <w:t>lan</w:t>
      </w:r>
      <w:r w:rsidRPr="2D6E0703">
        <w:t>s</w:t>
      </w:r>
      <w:r w:rsidR="00586F79">
        <w:t xml:space="preserve"> (WMPs)</w:t>
      </w:r>
      <w:r w:rsidRPr="2D6E0703">
        <w:t xml:space="preserve"> and W</w:t>
      </w:r>
      <w:r w:rsidR="00C20ABE">
        <w:t xml:space="preserve">ildfire </w:t>
      </w:r>
      <w:r w:rsidRPr="2D6E0703">
        <w:t>M</w:t>
      </w:r>
      <w:r w:rsidR="00C20ABE">
        <w:t xml:space="preserve">itigation </w:t>
      </w:r>
      <w:r w:rsidRPr="2D6E0703">
        <w:t>P</w:t>
      </w:r>
      <w:r w:rsidR="00C20ABE">
        <w:t xml:space="preserve">lan </w:t>
      </w:r>
      <w:r w:rsidRPr="2D6E0703">
        <w:t>M</w:t>
      </w:r>
      <w:r w:rsidR="00C20ABE">
        <w:t xml:space="preserve">emorandum </w:t>
      </w:r>
      <w:r w:rsidRPr="2D6E0703">
        <w:t>A</w:t>
      </w:r>
      <w:r w:rsidR="00C20ABE">
        <w:t>ccount (WMPMA)</w:t>
      </w:r>
      <w:r w:rsidRPr="2D6E0703">
        <w:t>, and the SDG&amp;E Track 2 Request, (6) Summary of Intervenor Positions, (7) Procedural Background, and (8) Submission Date.</w:t>
      </w:r>
    </w:p>
    <w:p w:rsidR="007253C8" w:rsidP="00D166DC" w:rsidRDefault="007253C8" w14:paraId="41A765B1" w14:textId="77777777">
      <w:pPr>
        <w:pStyle w:val="Heading2"/>
      </w:pPr>
      <w:bookmarkStart w:name="_Toc213312240" w:id="7"/>
      <w:r w:rsidRPr="00B459A8">
        <w:t>Wildfire Mitigation Requirements</w:t>
      </w:r>
      <w:bookmarkEnd w:id="7"/>
    </w:p>
    <w:p w:rsidR="007253C8" w:rsidP="007253C8" w:rsidRDefault="007253C8" w14:paraId="4DF51E8D" w14:textId="7587865A">
      <w:pPr>
        <w:pStyle w:val="Standard"/>
      </w:pPr>
      <w:r w:rsidRPr="00676BD4">
        <w:t>Beginning in late 2018, and in response to the growing risk of catastrophic wildfires throughout California, the California Legislature significantly expanded its wildfire mitigation statutory framework, enacting Senate Bill (SB) 901</w:t>
      </w:r>
      <w:r>
        <w:rPr>
          <w:rStyle w:val="FootnoteReference"/>
        </w:rPr>
        <w:footnoteReference w:id="17"/>
      </w:r>
      <w:r w:rsidRPr="00676BD4">
        <w:t xml:space="preserve"> and Assembly Bill (AB) 1054</w:t>
      </w:r>
      <w:r>
        <w:rPr>
          <w:rStyle w:val="FootnoteReference"/>
        </w:rPr>
        <w:footnoteReference w:id="18"/>
      </w:r>
      <w:r>
        <w:t xml:space="preserve"> </w:t>
      </w:r>
      <w:r w:rsidRPr="00676BD4">
        <w:t>(collectively, the “</w:t>
      </w:r>
      <w:r>
        <w:t xml:space="preserve">2019 </w:t>
      </w:r>
      <w:r w:rsidRPr="00676BD4">
        <w:t>Wildfire Legislation”)</w:t>
      </w:r>
      <w:r>
        <w:t xml:space="preserve">. </w:t>
      </w:r>
      <w:r w:rsidRPr="00676BD4">
        <w:t xml:space="preserve">Together, these statutes: (i) created a wildfire insurance fund for utility-caused wildfires, (ii) declared </w:t>
      </w:r>
      <w:r>
        <w:t xml:space="preserve">that </w:t>
      </w:r>
      <w:r w:rsidRPr="00676BD4">
        <w:t xml:space="preserve">the state’s utilities needed to invest in both hardening the state’s electrical infrastructure and improving vegetation management to reduce the risk of catastrophic wildfires, (iii) required </w:t>
      </w:r>
      <w:r>
        <w:t>shareholders</w:t>
      </w:r>
      <w:r w:rsidRPr="00676BD4">
        <w:t xml:space="preserve"> </w:t>
      </w:r>
      <w:r>
        <w:t xml:space="preserve">of </w:t>
      </w:r>
      <w:r w:rsidRPr="00676BD4">
        <w:t>large electrical corporations</w:t>
      </w:r>
      <w:r>
        <w:t xml:space="preserve"> </w:t>
      </w:r>
      <w:r w:rsidRPr="00676BD4">
        <w:t xml:space="preserve">to </w:t>
      </w:r>
      <w:r>
        <w:t xml:space="preserve">collectively </w:t>
      </w:r>
      <w:r w:rsidRPr="00676BD4">
        <w:t>fund</w:t>
      </w:r>
      <w:r>
        <w:t xml:space="preserve"> </w:t>
      </w:r>
      <w:r w:rsidRPr="00676BD4">
        <w:t xml:space="preserve">$5 billion in safety investments </w:t>
      </w:r>
      <w:r>
        <w:t>(</w:t>
      </w:r>
      <w:r w:rsidRPr="00676BD4">
        <w:t xml:space="preserve">without return on equity that would have otherwise been </w:t>
      </w:r>
      <w:r w:rsidRPr="00676BD4">
        <w:lastRenderedPageBreak/>
        <w:t>borne by ratepayers), and (iv) created a special process to focus on developing and implementing WMPs.</w:t>
      </w:r>
    </w:p>
    <w:p w:rsidRPr="00BA30B9" w:rsidR="007253C8" w:rsidP="007253C8" w:rsidRDefault="007253C8" w14:paraId="4FA1EC9A" w14:textId="27B47EEA">
      <w:pPr>
        <w:pStyle w:val="Standard"/>
      </w:pPr>
      <w:r w:rsidRPr="00676BD4">
        <w:t xml:space="preserve">The </w:t>
      </w:r>
      <w:r>
        <w:t>2019</w:t>
      </w:r>
      <w:r w:rsidRPr="00676BD4">
        <w:t xml:space="preserve"> </w:t>
      </w:r>
      <w:r>
        <w:t xml:space="preserve">Wildfire Legislation </w:t>
      </w:r>
      <w:r w:rsidRPr="00676BD4">
        <w:t xml:space="preserve">established the WMP as </w:t>
      </w:r>
      <w:r w:rsidR="000902E6">
        <w:t>the</w:t>
      </w:r>
      <w:r>
        <w:t xml:space="preserve"> primary mechanism </w:t>
      </w:r>
      <w:r w:rsidRPr="00676BD4">
        <w:t>for evaluati</w:t>
      </w:r>
      <w:r>
        <w:t>ng</w:t>
      </w:r>
      <w:r w:rsidRPr="00676BD4">
        <w:t xml:space="preserve"> each electrical corporation’s portfolio of wildfire risk reduction programs. Each utility is required to prepare </w:t>
      </w:r>
      <w:r>
        <w:t xml:space="preserve">a WMP </w:t>
      </w:r>
      <w:r w:rsidRPr="00676BD4">
        <w:t>to assess its level of wildfire risk and provid</w:t>
      </w:r>
      <w:r>
        <w:t>e</w:t>
      </w:r>
      <w:r w:rsidRPr="00676BD4">
        <w:t xml:space="preserve"> plans for </w:t>
      </w:r>
      <w:r>
        <w:t xml:space="preserve">reducing that </w:t>
      </w:r>
      <w:r w:rsidRPr="00676BD4">
        <w:t>risk.</w:t>
      </w:r>
      <w:r>
        <w:t xml:space="preserve"> The 2019 Wildfire Legislation </w:t>
      </w:r>
      <w:r w:rsidRPr="004266F8">
        <w:t>require</w:t>
      </w:r>
      <w:r>
        <w:t>s</w:t>
      </w:r>
      <w:r w:rsidRPr="004266F8">
        <w:t xml:space="preserve"> electric utilit</w:t>
      </w:r>
      <w:r w:rsidR="00506361">
        <w:t>ies</w:t>
      </w:r>
      <w:r w:rsidRPr="004266F8">
        <w:t xml:space="preserve"> to reexamine their wildfire mitigation initiatives and to “construct, maintain, and operate their electrical lines and equipment in a manner that will minimize the risk of catastrophic wildfire posed by those electrical lines and equipment” in accordance with required WMPs</w:t>
      </w:r>
      <w:r>
        <w:t>,</w:t>
      </w:r>
      <w:r>
        <w:rPr>
          <w:rStyle w:val="FootnoteReference"/>
        </w:rPr>
        <w:footnoteReference w:id="19"/>
      </w:r>
      <w:r>
        <w:t xml:space="preserve"> including </w:t>
      </w:r>
      <w:r w:rsidRPr="007E0629">
        <w:t>“hardening of the state’s electrical infrastructure</w:t>
      </w:r>
      <w:r>
        <w:t>,</w:t>
      </w:r>
      <w:r w:rsidRPr="007E0629">
        <w:t xml:space="preserve"> vegetation</w:t>
      </w:r>
      <w:r w:rsidRPr="004266F8">
        <w:t xml:space="preserve"> </w:t>
      </w:r>
      <w:r w:rsidRPr="00E9743F">
        <w:t>management</w:t>
      </w:r>
      <w:r>
        <w:t>, and r</w:t>
      </w:r>
      <w:r w:rsidRPr="00E9743F">
        <w:t>educ</w:t>
      </w:r>
      <w:r>
        <w:t>ing</w:t>
      </w:r>
      <w:r w:rsidRPr="00E9743F">
        <w:t xml:space="preserve"> the scale and scope of PSPS events</w:t>
      </w:r>
      <w:r>
        <w:t>.”</w:t>
      </w:r>
      <w:r>
        <w:rPr>
          <w:rStyle w:val="FootnoteReference"/>
        </w:rPr>
        <w:footnoteReference w:id="20"/>
      </w:r>
      <w:r>
        <w:t xml:space="preserve"> Each utility submits its WMP to the Office of Energy Infrastructure Safety (OEIS) for review and approval</w:t>
      </w:r>
      <w:r w:rsidR="00C32EA2">
        <w:t xml:space="preserve"> and subsequent ratification by the Commission</w:t>
      </w:r>
      <w:r w:rsidDel="00137343">
        <w:t xml:space="preserve">. </w:t>
      </w:r>
      <w:r>
        <w:t xml:space="preserve">Public Utilities Code Section 8386.4 states that upon </w:t>
      </w:r>
      <w:r w:rsidRPr="00BA30B9">
        <w:t xml:space="preserve">approval of an electrical corporation’s </w:t>
      </w:r>
      <w:r>
        <w:t>WMP</w:t>
      </w:r>
      <w:r w:rsidRPr="00BA30B9">
        <w:t xml:space="preserve">, the </w:t>
      </w:r>
      <w:r>
        <w:t>C</w:t>
      </w:r>
      <w:r w:rsidRPr="00BA30B9">
        <w:t>ommission shall authorize the electrical corporation to establish a memorandum account to track costs incurred to implement the plan.</w:t>
      </w:r>
      <w:r>
        <w:rPr>
          <w:rStyle w:val="FootnoteReference"/>
        </w:rPr>
        <w:footnoteReference w:id="21"/>
      </w:r>
      <w:r>
        <w:t xml:space="preserve"> The</w:t>
      </w:r>
      <w:r w:rsidDel="00BA30B9">
        <w:t xml:space="preserve"> </w:t>
      </w:r>
      <w:r>
        <w:t>C</w:t>
      </w:r>
      <w:r w:rsidRPr="00BA30B9">
        <w:t>ommissio</w:t>
      </w:r>
      <w:r>
        <w:t xml:space="preserve">n is later required to </w:t>
      </w:r>
      <w:r w:rsidRPr="00BA30B9">
        <w:t>review the costs in the memorandum accounts and disallow recovery of costs the Commission deems unreasonable.</w:t>
      </w:r>
      <w:r>
        <w:rPr>
          <w:rStyle w:val="FootnoteReference"/>
        </w:rPr>
        <w:footnoteReference w:id="22"/>
      </w:r>
    </w:p>
    <w:p w:rsidRPr="00B741B3" w:rsidR="007253C8" w:rsidP="007253C8" w:rsidRDefault="007253C8" w14:paraId="11FEA092" w14:textId="77777777">
      <w:pPr>
        <w:pStyle w:val="Standard"/>
      </w:pPr>
      <w:r>
        <w:t>State law, OEIS, and the Commission require an electrical corporation’s WMP to:</w:t>
      </w:r>
    </w:p>
    <w:p w:rsidR="007253C8" w:rsidP="00D166DC" w:rsidRDefault="1BFE1C55" w14:paraId="7062C599" w14:textId="78775E73">
      <w:pPr>
        <w:pStyle w:val="ListBullet"/>
        <w:ind w:right="1440"/>
      </w:pPr>
      <w:r w:rsidRPr="00B459A8">
        <w:lastRenderedPageBreak/>
        <w:t xml:space="preserve">Describe the measures taken, or planned to be taken, to reduce the need for and impact of Public Safety Power Shutoff (PSPS) events, including replacing, hardening, or </w:t>
      </w:r>
      <w:r w:rsidR="150755E4">
        <w:t xml:space="preserve">Strategic Undergrounding </w:t>
      </w:r>
      <w:r w:rsidR="009A3B28">
        <w:t xml:space="preserve">of </w:t>
      </w:r>
      <w:r w:rsidRPr="00B459A8">
        <w:t>any portion of the circuit or of upstream transmission or distribution lines.</w:t>
      </w:r>
      <w:r w:rsidR="007253C8">
        <w:rPr>
          <w:rStyle w:val="FootnoteReference"/>
        </w:rPr>
        <w:footnoteReference w:id="23"/>
      </w:r>
    </w:p>
    <w:p w:rsidR="007253C8" w:rsidP="00D166DC" w:rsidRDefault="007253C8" w14:paraId="18436024" w14:textId="62814B02">
      <w:pPr>
        <w:pStyle w:val="ListBullet"/>
        <w:ind w:right="1440"/>
      </w:pPr>
      <w:r w:rsidRPr="00D166DC">
        <w:t>Describe</w:t>
      </w:r>
      <w:r w:rsidRPr="00B459A8">
        <w:t xml:space="preserve"> the actions taken to ensure the electrical system will achieve the highest level of safety, reliability, and resiliency, and to ensure that its system is prepared for a major event, including hardening and modernizing its infrastructure with improved engineering, system design, standards, equipment, and facilities, such as </w:t>
      </w:r>
      <w:r w:rsidR="00632A83">
        <w:t>u</w:t>
      </w:r>
      <w:r w:rsidR="00462A29">
        <w:t>ndergrounding</w:t>
      </w:r>
      <w:r w:rsidRPr="00B459A8">
        <w:t>, insulating of distribution wires, and replacing poles.”</w:t>
      </w:r>
      <w:r>
        <w:rPr>
          <w:rStyle w:val="FootnoteReference"/>
        </w:rPr>
        <w:footnoteReference w:id="24"/>
      </w:r>
    </w:p>
    <w:p w:rsidR="007253C8" w:rsidP="00D166DC" w:rsidRDefault="007253C8" w14:paraId="6BCC0BBC" w14:textId="210E8BCE">
      <w:pPr>
        <w:pStyle w:val="ListBullet"/>
        <w:ind w:right="1440"/>
      </w:pPr>
      <w:r w:rsidRPr="00B459A8">
        <w:t xml:space="preserve">Describe where and how the electrical corporation considered </w:t>
      </w:r>
      <w:r w:rsidR="00632A83">
        <w:t>u</w:t>
      </w:r>
      <w:r w:rsidR="00462A29">
        <w:t xml:space="preserve">ndergrounding </w:t>
      </w:r>
      <w:r w:rsidRPr="00B459A8">
        <w:t>electrical distribution lines within those areas of its service territory identified to have the highest wildfire risk.</w:t>
      </w:r>
      <w:r>
        <w:rPr>
          <w:rStyle w:val="FootnoteReference"/>
        </w:rPr>
        <w:footnoteReference w:id="25"/>
      </w:r>
    </w:p>
    <w:p w:rsidRPr="00257CF1" w:rsidR="007253C8" w:rsidP="00D166DC" w:rsidRDefault="007253C8" w14:paraId="0DEB1027" w14:textId="77777777">
      <w:pPr>
        <w:pStyle w:val="ListBullet"/>
        <w:ind w:right="1440"/>
      </w:pPr>
      <w:r w:rsidRPr="00B459A8">
        <w:t xml:space="preserve">Quantify </w:t>
      </w:r>
      <w:r>
        <w:t xml:space="preserve">the </w:t>
      </w:r>
      <w:r w:rsidRPr="00B459A8">
        <w:t>overall utility risk of PSPS events and the reduction of that risk on an annual basis, along with providing three- and ten-year plans to reduce the “scale, scope, and frequency of PSPS events.”</w:t>
      </w:r>
      <w:r>
        <w:rPr>
          <w:rStyle w:val="FootnoteReference"/>
        </w:rPr>
        <w:footnoteReference w:id="26"/>
      </w:r>
    </w:p>
    <w:p w:rsidRPr="00257CF1" w:rsidR="007253C8" w:rsidP="00D166DC" w:rsidRDefault="007253C8" w14:paraId="0DD76E87" w14:textId="77777777">
      <w:pPr>
        <w:pStyle w:val="ListBullet"/>
        <w:ind w:right="1440"/>
      </w:pPr>
      <w:r w:rsidRPr="00B459A8">
        <w:t xml:space="preserve">Engage in additional efforts, including but not limited to system hardening, to </w:t>
      </w:r>
      <w:r w:rsidRPr="00D166DC">
        <w:t>reduce</w:t>
      </w:r>
      <w:r w:rsidRPr="00B459A8">
        <w:t xml:space="preserve"> the need for and scope of de</w:t>
      </w:r>
      <w:r>
        <w:t>-</w:t>
      </w:r>
      <w:r w:rsidRPr="00B459A8">
        <w:t>energizations, and report on those efforts to the public.</w:t>
      </w:r>
      <w:r>
        <w:rPr>
          <w:rStyle w:val="FootnoteReference"/>
        </w:rPr>
        <w:footnoteReference w:id="27"/>
      </w:r>
    </w:p>
    <w:p w:rsidR="007253C8" w:rsidP="007253C8" w:rsidRDefault="007253C8" w14:paraId="1CB7FA07" w14:textId="77777777">
      <w:pPr>
        <w:pStyle w:val="Standard"/>
        <w:rPr>
          <w:rStyle w:val="FootnoteReference"/>
        </w:rPr>
      </w:pPr>
      <w:r w:rsidRPr="00257CF1">
        <w:t xml:space="preserve">Recognizing the </w:t>
      </w:r>
      <w:r>
        <w:t xml:space="preserve">danger of severe wind conditions </w:t>
      </w:r>
      <w:r w:rsidRPr="00257CF1">
        <w:t>contribut</w:t>
      </w:r>
      <w:r>
        <w:t>ing</w:t>
      </w:r>
      <w:r w:rsidRPr="00257CF1">
        <w:t xml:space="preserve"> to the ignition of fires related to utility infrastructure,</w:t>
      </w:r>
      <w:r>
        <w:rPr>
          <w:rStyle w:val="FootnoteReference"/>
        </w:rPr>
        <w:footnoteReference w:id="28"/>
      </w:r>
      <w:r w:rsidRPr="00257CF1">
        <w:t xml:space="preserve"> the Commission ordered utilities to adopt enhanced procedures </w:t>
      </w:r>
      <w:r>
        <w:t xml:space="preserve">in “Extreme and Very High Fire Threat </w:t>
      </w:r>
      <w:r>
        <w:lastRenderedPageBreak/>
        <w:t xml:space="preserve">Zones” and </w:t>
      </w:r>
      <w:r w:rsidRPr="00257CF1">
        <w:t>adopted on an interim basis the then</w:t>
      </w:r>
      <w:r>
        <w:t>-</w:t>
      </w:r>
      <w:r w:rsidRPr="00257CF1">
        <w:t>current “Fire Threat Map” published by the California Department of Forestry and Fire Protection’s Fire Resources Assessment Program</w:t>
      </w:r>
      <w:r>
        <w:t>.</w:t>
      </w:r>
      <w:r>
        <w:rPr>
          <w:rStyle w:val="FootnoteReference"/>
        </w:rPr>
        <w:footnoteReference w:id="29"/>
      </w:r>
      <w:r w:rsidRPr="00257CF1">
        <w:t xml:space="preserve"> </w:t>
      </w:r>
      <w:r>
        <w:t>In 2017, t</w:t>
      </w:r>
      <w:r w:rsidRPr="00257CF1">
        <w:t xml:space="preserve">he Commission </w:t>
      </w:r>
      <w:r>
        <w:t xml:space="preserve">refined the fire safety map by </w:t>
      </w:r>
      <w:r w:rsidRPr="00257CF1">
        <w:t>a</w:t>
      </w:r>
      <w:r>
        <w:t>dopting a</w:t>
      </w:r>
      <w:r w:rsidRPr="00257CF1">
        <w:t xml:space="preserve"> </w:t>
      </w:r>
      <w:r w:rsidRPr="00C0556B">
        <w:t>High Fire Threat District (HFTD</w:t>
      </w:r>
      <w:r>
        <w:t>)</w:t>
      </w:r>
      <w:r w:rsidRPr="00257CF1">
        <w:t>, consisting of three areas: Tier 1, Tier 2, and Tier 3.</w:t>
      </w:r>
      <w:r>
        <w:rPr>
          <w:rStyle w:val="FootnoteReference"/>
        </w:rPr>
        <w:footnoteReference w:id="30"/>
      </w:r>
    </w:p>
    <w:p w:rsidR="007253C8" w:rsidP="007253C8" w:rsidRDefault="007253C8" w14:paraId="58FF8EDF" w14:textId="77777777">
      <w:pPr>
        <w:pStyle w:val="Standard"/>
      </w:pPr>
      <w:r>
        <w:t>Tier 1 areas “</w:t>
      </w:r>
      <w:r w:rsidRPr="1D14A227">
        <w:rPr>
          <w:rFonts w:eastAsiaTheme="minorEastAsia"/>
          <w:color w:val="000000" w:themeColor="text1"/>
        </w:rPr>
        <w:t>are in direct proximity to communities, roads, and utility lines, and represent a direct threat to public safety.”</w:t>
      </w:r>
      <w:r w:rsidRPr="1D14A227">
        <w:rPr>
          <w:rStyle w:val="FootnoteReference"/>
          <w:rFonts w:eastAsiaTheme="minorEastAsia"/>
        </w:rPr>
        <w:footnoteReference w:id="31"/>
      </w:r>
      <w:r w:rsidRPr="1D14A227">
        <w:rPr>
          <w:rFonts w:asciiTheme="minorHAnsi" w:hAnsiTheme="minorHAnsi" w:eastAsiaTheme="minorEastAsia"/>
        </w:rPr>
        <w:t xml:space="preserve"> </w:t>
      </w:r>
      <w:r>
        <w:t xml:space="preserve">Approximately </w:t>
      </w:r>
      <w:r w:rsidRPr="00334E16">
        <w:t xml:space="preserve">64% of SDG&amp;E’s service territory is within the Tier 2 and Tier 3 </w:t>
      </w:r>
      <w:r>
        <w:t xml:space="preserve">areas </w:t>
      </w:r>
      <w:r w:rsidRPr="00334E16">
        <w:t>where there is an increased potential for wildfires</w:t>
      </w:r>
      <w:r>
        <w:t>:</w:t>
      </w:r>
      <w:r>
        <w:rPr>
          <w:rStyle w:val="FootnoteReference"/>
        </w:rPr>
        <w:footnoteReference w:id="32"/>
      </w:r>
    </w:p>
    <w:p w:rsidR="007253C8" w:rsidP="00D166DC" w:rsidRDefault="007253C8" w14:paraId="5F18E0EB" w14:textId="77777777">
      <w:pPr>
        <w:pStyle w:val="ListBullet"/>
        <w:ind w:right="1440"/>
      </w:pPr>
      <w:r w:rsidRPr="00334E16">
        <w:t>Tier 2, “elevated risk for destructive utility-associated wildfires;” and</w:t>
      </w:r>
    </w:p>
    <w:p w:rsidR="007253C8" w:rsidP="00D166DC" w:rsidRDefault="007253C8" w14:paraId="58798464" w14:textId="77777777">
      <w:pPr>
        <w:pStyle w:val="ListBullet"/>
        <w:ind w:right="1440"/>
      </w:pPr>
      <w:r w:rsidRPr="00334E16">
        <w:t>Tier 3, “extreme risk for destructive utility-associated wildfires.</w:t>
      </w:r>
      <w:r>
        <w:t>”</w:t>
      </w:r>
    </w:p>
    <w:p w:rsidRPr="000F2458" w:rsidR="007253C8" w:rsidP="007253C8" w:rsidRDefault="007253C8" w14:paraId="48D8D52E" w14:textId="77777777">
      <w:pPr>
        <w:pStyle w:val="Standard"/>
      </w:pPr>
      <w:r>
        <w:t xml:space="preserve">In </w:t>
      </w:r>
      <w:r w:rsidRPr="00334E16">
        <w:t>D.17-12-024</w:t>
      </w:r>
      <w:r>
        <w:t>, the Commission</w:t>
      </w:r>
      <w:r w:rsidRPr="00334E16">
        <w:t xml:space="preserve"> prioritize</w:t>
      </w:r>
      <w:r>
        <w:t>d</w:t>
      </w:r>
      <w:r w:rsidRPr="00334E16">
        <w:t xml:space="preserve"> corrective work timeframes in the HFTD, increased wire and vegetation clearance requirements, established inspection cycles for distribution facilities in the HFTD, and required </w:t>
      </w:r>
      <w:r>
        <w:t>e</w:t>
      </w:r>
      <w:r w:rsidRPr="00334E16">
        <w:t>lectric Investor-Owned Utilities (IOUs) with power lines in the HFTD to prepare Fire Prevention Plans.</w:t>
      </w:r>
      <w:r>
        <w:rPr>
          <w:rStyle w:val="FootnoteReference"/>
        </w:rPr>
        <w:footnoteReference w:id="33"/>
      </w:r>
    </w:p>
    <w:p w:rsidRPr="00872E9C" w:rsidR="007253C8" w:rsidP="00D166DC" w:rsidRDefault="007253C8" w14:paraId="41773248" w14:textId="52E64A54">
      <w:pPr>
        <w:pStyle w:val="Heading2"/>
        <w:rPr>
          <w:b w:val="0"/>
          <w:bCs/>
        </w:rPr>
      </w:pPr>
      <w:bookmarkStart w:name="_Toc213312241" w:id="9"/>
      <w:r w:rsidRPr="00872E9C">
        <w:t>Wildfire Risk Analysis</w:t>
      </w:r>
      <w:bookmarkEnd w:id="9"/>
    </w:p>
    <w:p w:rsidR="007253C8" w:rsidP="007253C8" w:rsidRDefault="007253C8" w14:paraId="14D0D591" w14:textId="156BB7A9">
      <w:pPr>
        <w:pStyle w:val="Standard"/>
      </w:pPr>
      <w:r w:rsidRPr="00DF0F60">
        <w:t xml:space="preserve">To </w:t>
      </w:r>
      <w:r>
        <w:t xml:space="preserve">understand and </w:t>
      </w:r>
      <w:r w:rsidRPr="00DF0F60">
        <w:t>quantify</w:t>
      </w:r>
      <w:r>
        <w:t xml:space="preserve"> risk prior to the 2019 legislative requirements, </w:t>
      </w:r>
      <w:r w:rsidRPr="00DF0F60">
        <w:t>SDG&amp;E develop</w:t>
      </w:r>
      <w:r>
        <w:t>ed</w:t>
      </w:r>
      <w:r w:rsidRPr="00DF0F60">
        <w:t xml:space="preserve"> the Wildfire Risk Reduction Model (WRRM) in 2013.</w:t>
      </w:r>
      <w:r>
        <w:t xml:space="preserve"> </w:t>
      </w:r>
      <w:r w:rsidRPr="00DF0F60">
        <w:t xml:space="preserve">The WRRM provided the methodology to prioritize spans of high-risk wires for replacement and informed SDG&amp;E’s early </w:t>
      </w:r>
      <w:r w:rsidR="00462A29">
        <w:t>Covered Conductor</w:t>
      </w:r>
      <w:r w:rsidRPr="00DF0F60">
        <w:t xml:space="preserve"> and </w:t>
      </w:r>
      <w:r w:rsidR="00462A29">
        <w:t xml:space="preserve">Strategic </w:t>
      </w:r>
      <w:r w:rsidR="00462A29">
        <w:lastRenderedPageBreak/>
        <w:t xml:space="preserve">Undergrounding </w:t>
      </w:r>
      <w:r w:rsidRPr="00DF0F60">
        <w:t>work. In addition, the company performed a wind study based on weather information available at the time to increase grid design standards from withstanding 56 mph winds to winds of 65 mph, 85 mph, and 111 mph. Combined with situational awareness, the WRRM prioritization, and the wind study, SDG&amp;E’s initial grid hardening efforts reduced wildfire risk in the HFTD.</w:t>
      </w:r>
      <w:r>
        <w:rPr>
          <w:rStyle w:val="FootnoteReference"/>
        </w:rPr>
        <w:footnoteReference w:id="34"/>
      </w:r>
    </w:p>
    <w:p w:rsidR="007253C8" w:rsidP="007253C8" w:rsidRDefault="007253C8" w14:paraId="2A9DD440" w14:textId="77777777">
      <w:pPr>
        <w:pStyle w:val="Standard"/>
      </w:pPr>
      <w:r>
        <w:t xml:space="preserve">Initially, SDG&amp;E reduced risk by hardening and replacing </w:t>
      </w:r>
      <w:r w:rsidRPr="00DF0F60">
        <w:t>bare wire</w:t>
      </w:r>
      <w:r>
        <w:t xml:space="preserve">. However, since </w:t>
      </w:r>
      <w:r w:rsidRPr="00DF0F60">
        <w:t>th</w:t>
      </w:r>
      <w:r>
        <w:t xml:space="preserve">is work </w:t>
      </w:r>
      <w:r w:rsidRPr="00DF0F60">
        <w:t>d</w:t>
      </w:r>
      <w:r>
        <w:t xml:space="preserve">id not sufficiently reduce the risk </w:t>
      </w:r>
      <w:r w:rsidRPr="00DF0F60">
        <w:t xml:space="preserve">of ignition </w:t>
      </w:r>
      <w:r>
        <w:t xml:space="preserve">by overhead wire in </w:t>
      </w:r>
      <w:r w:rsidRPr="00DF0F60">
        <w:t>high</w:t>
      </w:r>
      <w:r>
        <w:t>-</w:t>
      </w:r>
      <w:r w:rsidRPr="00DF0F60">
        <w:t>risk conditions</w:t>
      </w:r>
      <w:r>
        <w:t xml:space="preserve">, </w:t>
      </w:r>
      <w:r w:rsidRPr="00DF0F60">
        <w:t xml:space="preserve">SDG&amp;E’s primary early wildfire mitigation efforts </w:t>
      </w:r>
      <w:r>
        <w:t xml:space="preserve">also </w:t>
      </w:r>
      <w:r w:rsidRPr="00DF0F60">
        <w:t>relied heavily on de-energization of power lines.</w:t>
      </w:r>
      <w:r>
        <w:rPr>
          <w:rStyle w:val="FootnoteReference"/>
        </w:rPr>
        <w:footnoteReference w:id="35"/>
      </w:r>
    </w:p>
    <w:p w:rsidRPr="00DF0F60" w:rsidR="007253C8" w:rsidP="007253C8" w:rsidRDefault="007253C8" w14:paraId="03E4540D" w14:textId="2BE00137">
      <w:pPr>
        <w:pStyle w:val="Standard"/>
      </w:pPr>
      <w:r w:rsidRPr="00DF0F60">
        <w:t>As expanded use of PSPS throughout the state demonstrated, however, PSPS itself poses risks to customers</w:t>
      </w:r>
      <w:r w:rsidRPr="00DF0F60" w:rsidDel="00137343">
        <w:t xml:space="preserve">. </w:t>
      </w:r>
      <w:r w:rsidRPr="00DF0F60">
        <w:t>Those risks include human error in the</w:t>
      </w:r>
      <w:r>
        <w:t xml:space="preserve"> </w:t>
      </w:r>
      <w:r w:rsidRPr="00FB2E7F">
        <w:t>selection of lines for de-energization and the re-energization process—which could start an ignition—in addition to</w:t>
      </w:r>
      <w:r>
        <w:t xml:space="preserve"> </w:t>
      </w:r>
      <w:r w:rsidRPr="00FB2E7F">
        <w:t xml:space="preserve">the customer and financial risks associated with sustained loss of power. Because of these threats, </w:t>
      </w:r>
      <w:r>
        <w:t xml:space="preserve">SDG&amp;E says that </w:t>
      </w:r>
      <w:r w:rsidRPr="00FB2E7F">
        <w:t xml:space="preserve">extensive use of PSPS is not a sustainable approach consistent with the mandates of </w:t>
      </w:r>
      <w:r w:rsidRPr="00C522B5">
        <w:t>Pub. Util. Code §8386(c)(8) to examine PSPS impacts and alternatives to mitigate negative effects</w:t>
      </w:r>
      <w:r>
        <w:t xml:space="preserve">. As a result of </w:t>
      </w:r>
      <w:r w:rsidRPr="00FB2E7F">
        <w:t>the need to reduce the scale, scope, and frequency of PSPS, SDG&amp;E shift</w:t>
      </w:r>
      <w:r>
        <w:t>ed</w:t>
      </w:r>
      <w:r w:rsidRPr="00FB2E7F">
        <w:t xml:space="preserve"> to more permanent risk reduction efforts, including covering conductor</w:t>
      </w:r>
      <w:r>
        <w:t xml:space="preserve">s, </w:t>
      </w:r>
      <w:r w:rsidR="00462A29">
        <w:t xml:space="preserve">Strategic Undergrounding </w:t>
      </w:r>
      <w:r w:rsidRPr="00FB2E7F">
        <w:t>of lines</w:t>
      </w:r>
      <w:r>
        <w:t>, and other hardening of h</w:t>
      </w:r>
      <w:r w:rsidRPr="00FB2E7F">
        <w:t>igh</w:t>
      </w:r>
      <w:r>
        <w:t>-</w:t>
      </w:r>
      <w:r w:rsidRPr="00FB2E7F">
        <w:t>risk</w:t>
      </w:r>
      <w:r>
        <w:t xml:space="preserve"> segments</w:t>
      </w:r>
      <w:r w:rsidRPr="00FB2E7F">
        <w:t>.</w:t>
      </w:r>
      <w:r>
        <w:rPr>
          <w:rStyle w:val="FootnoteReference"/>
        </w:rPr>
        <w:footnoteReference w:id="36"/>
      </w:r>
    </w:p>
    <w:p w:rsidR="007253C8" w:rsidP="007253C8" w:rsidRDefault="007253C8" w14:paraId="69791E0F" w14:textId="1ED0674C">
      <w:pPr>
        <w:pStyle w:val="Standard"/>
      </w:pPr>
      <w:r w:rsidRPr="00A866A6">
        <w:t xml:space="preserve">To evaluate the </w:t>
      </w:r>
      <w:r>
        <w:t xml:space="preserve">reduction of risk from grid hardening work, SDG&amp;E developed </w:t>
      </w:r>
      <w:r w:rsidRPr="00A866A6">
        <w:t>its Wildfire Next Generation System Model (</w:t>
      </w:r>
      <w:proofErr w:type="spellStart"/>
      <w:r w:rsidRPr="00A866A6">
        <w:t>WiNGS</w:t>
      </w:r>
      <w:proofErr w:type="spellEnd"/>
      <w:r w:rsidRPr="00A866A6">
        <w:t xml:space="preserve">). </w:t>
      </w:r>
      <w:proofErr w:type="spellStart"/>
      <w:r w:rsidRPr="00A866A6">
        <w:t>WiNGS</w:t>
      </w:r>
      <w:proofErr w:type="spellEnd"/>
      <w:r w:rsidRPr="00A866A6">
        <w:t xml:space="preserve"> enables </w:t>
      </w:r>
      <w:r w:rsidRPr="00A866A6">
        <w:lastRenderedPageBreak/>
        <w:t>risk assessment and further prioritization of distribution grid hardening based on both an assessment of SDG&amp;E’s overall system risk</w:t>
      </w:r>
      <w:r>
        <w:t xml:space="preserve"> at the portfolio level,</w:t>
      </w:r>
      <w:r w:rsidRPr="00A866A6">
        <w:t xml:space="preserve"> and the risk of the specific circuit segment under analysis.</w:t>
      </w:r>
      <w:r>
        <w:rPr>
          <w:rStyle w:val="FootnoteReference"/>
        </w:rPr>
        <w:footnoteReference w:id="37"/>
      </w:r>
      <w:r>
        <w:t xml:space="preserve"> SDG&amp;E states that </w:t>
      </w:r>
      <w:proofErr w:type="spellStart"/>
      <w:r>
        <w:t>WiNGs</w:t>
      </w:r>
      <w:proofErr w:type="spellEnd"/>
      <w:r>
        <w:t xml:space="preserve"> is based on </w:t>
      </w:r>
      <w:r w:rsidRPr="007923A3">
        <w:t xml:space="preserve">the risk spend efficiency (RSE) methodology adopted in SDG&amp;E’s Risk Assessment </w:t>
      </w:r>
      <w:r w:rsidR="00811657">
        <w:t xml:space="preserve">and </w:t>
      </w:r>
      <w:r w:rsidRPr="007923A3">
        <w:t xml:space="preserve">Mitigation Phase (RAMP) </w:t>
      </w:r>
      <w:r w:rsidR="00811657">
        <w:t xml:space="preserve">proceeding </w:t>
      </w:r>
      <w:r w:rsidRPr="007923A3">
        <w:t>to analyze wildfire risk and PSPS risk.</w:t>
      </w:r>
    </w:p>
    <w:p w:rsidRPr="00197432" w:rsidR="007253C8" w:rsidP="007253C8" w:rsidRDefault="007253C8" w14:paraId="66830D26" w14:textId="77777777">
      <w:pPr>
        <w:pStyle w:val="Standard"/>
        <w:rPr>
          <w:b/>
          <w:bCs/>
        </w:rPr>
      </w:pPr>
      <w:r>
        <w:t>I</w:t>
      </w:r>
      <w:r w:rsidRPr="00166EF4">
        <w:t xml:space="preserve">n 2021, </w:t>
      </w:r>
      <w:r>
        <w:t xml:space="preserve">SDG&amp;E developed a </w:t>
      </w:r>
      <w:r w:rsidRPr="00166EF4">
        <w:t xml:space="preserve">more granular </w:t>
      </w:r>
      <w:r>
        <w:t xml:space="preserve">Probability of </w:t>
      </w:r>
      <w:r w:rsidRPr="00166EF4">
        <w:t>I</w:t>
      </w:r>
      <w:r>
        <w:t>gnition</w:t>
      </w:r>
      <w:r w:rsidRPr="00166EF4">
        <w:t xml:space="preserve"> (</w:t>
      </w:r>
      <w:proofErr w:type="spellStart"/>
      <w:r w:rsidRPr="00166EF4">
        <w:t>PoI</w:t>
      </w:r>
      <w:proofErr w:type="spellEnd"/>
      <w:r w:rsidRPr="00166EF4">
        <w:t>) model at the asset and ignition source level</w:t>
      </w:r>
      <w:r>
        <w:t xml:space="preserve"> and </w:t>
      </w:r>
      <w:r w:rsidRPr="00166EF4">
        <w:t>gather</w:t>
      </w:r>
      <w:r>
        <w:t>ed</w:t>
      </w:r>
      <w:r w:rsidRPr="00166EF4">
        <w:t xml:space="preserve"> data on significant ignitions, ignition sources, and weather. Th</w:t>
      </w:r>
      <w:r>
        <w:t>is</w:t>
      </w:r>
      <w:r w:rsidRPr="00166EF4">
        <w:t xml:space="preserve"> model capture</w:t>
      </w:r>
      <w:r>
        <w:t>s</w:t>
      </w:r>
      <w:r w:rsidRPr="00166EF4">
        <w:t xml:space="preserve"> the ignition risk associated with specific ignition drivers</w:t>
      </w:r>
      <w:r>
        <w:t>.</w:t>
      </w:r>
      <w:r>
        <w:rPr>
          <w:rStyle w:val="FootnoteReference"/>
        </w:rPr>
        <w:footnoteReference w:id="38"/>
      </w:r>
    </w:p>
    <w:p w:rsidR="007253C8" w:rsidP="007253C8" w:rsidRDefault="007253C8" w14:paraId="4C9C53A1" w14:textId="77777777">
      <w:pPr>
        <w:pStyle w:val="Standard"/>
      </w:pPr>
      <w:r w:rsidRPr="004E6B6E">
        <w:t>In D.19-05-039</w:t>
      </w:r>
      <w:r>
        <w:t xml:space="preserve">, the Commission also required </w:t>
      </w:r>
      <w:r w:rsidRPr="004E6B6E">
        <w:t>SDG&amp;E</w:t>
      </w:r>
      <w:r>
        <w:t xml:space="preserve"> to </w:t>
      </w:r>
      <w:r w:rsidRPr="003F59F7">
        <w:t>measur</w:t>
      </w:r>
      <w:r>
        <w:t>e</w:t>
      </w:r>
      <w:r w:rsidRPr="003F59F7">
        <w:t xml:space="preserve"> the effectiveness </w:t>
      </w:r>
      <w:r>
        <w:t xml:space="preserve">of wildfire </w:t>
      </w:r>
      <w:r w:rsidRPr="003F59F7">
        <w:t>mitigation</w:t>
      </w:r>
      <w:r>
        <w:t>s</w:t>
      </w:r>
      <w:r w:rsidRPr="003F59F7">
        <w:t xml:space="preserve"> </w:t>
      </w:r>
      <w:r>
        <w:t xml:space="preserve">in </w:t>
      </w:r>
      <w:r w:rsidRPr="003F59F7">
        <w:t>reduc</w:t>
      </w:r>
      <w:r>
        <w:t>ing</w:t>
      </w:r>
      <w:r w:rsidRPr="003F59F7">
        <w:t xml:space="preserve"> the risk of its electrical lines and equipment causing catastrophic wildfire</w:t>
      </w:r>
      <w:r>
        <w:t>s and include them in its 2020 and future WMPs.</w:t>
      </w:r>
      <w:r>
        <w:rPr>
          <w:rStyle w:val="FootnoteReference"/>
        </w:rPr>
        <w:footnoteReference w:id="39"/>
      </w:r>
    </w:p>
    <w:p w:rsidRPr="0082754F" w:rsidR="007253C8" w:rsidP="00D166DC" w:rsidRDefault="007253C8" w14:paraId="244125C0" w14:textId="0EC949C2">
      <w:pPr>
        <w:pStyle w:val="Heading2"/>
        <w:rPr>
          <w:b w:val="0"/>
        </w:rPr>
      </w:pPr>
      <w:bookmarkStart w:name="_Toc213312242" w:id="10"/>
      <w:r w:rsidRPr="0082754F">
        <w:t>Wildfire Mitigation Plans</w:t>
      </w:r>
      <w:bookmarkEnd w:id="10"/>
    </w:p>
    <w:p w:rsidR="007253C8" w:rsidP="007253C8" w:rsidRDefault="007253C8" w14:paraId="7251FD8E" w14:textId="5A12BFAB">
      <w:pPr>
        <w:pStyle w:val="Standard"/>
      </w:pPr>
      <w:r>
        <w:t xml:space="preserve">Following the 2007 wildfires in SDG&amp;E’s service territory and </w:t>
      </w:r>
      <w:r w:rsidR="009349F5">
        <w:t xml:space="preserve">the </w:t>
      </w:r>
      <w:r>
        <w:t xml:space="preserve">2019 </w:t>
      </w:r>
      <w:r w:rsidR="009349F5">
        <w:t>Wildfire L</w:t>
      </w:r>
      <w:r>
        <w:t xml:space="preserve">egislation, </w:t>
      </w:r>
      <w:r w:rsidRPr="00541DA5">
        <w:t xml:space="preserve">SDG&amp;E has </w:t>
      </w:r>
      <w:r>
        <w:t xml:space="preserve">been </w:t>
      </w:r>
      <w:r w:rsidRPr="00541DA5">
        <w:t>enhanc</w:t>
      </w:r>
      <w:r>
        <w:t>ing</w:t>
      </w:r>
      <w:r w:rsidRPr="00541DA5">
        <w:t xml:space="preserve"> its wildfire prevention and mitigation measures across a wide spectrum of disciplines and activities</w:t>
      </w:r>
      <w:r>
        <w:t xml:space="preserve">. The scope of these activities includes </w:t>
      </w:r>
      <w:r w:rsidR="00462A29">
        <w:t>Strategic Undergrounding</w:t>
      </w:r>
      <w:r w:rsidR="00811657">
        <w:t>,</w:t>
      </w:r>
      <w:r>
        <w:t xml:space="preserve"> o</w:t>
      </w:r>
      <w:r w:rsidRPr="00F90B68">
        <w:t>verhead system hardening</w:t>
      </w:r>
      <w:r>
        <w:t xml:space="preserve"> (e</w:t>
      </w:r>
      <w:r w:rsidRPr="00F90B68">
        <w:t xml:space="preserve">xpanded use of </w:t>
      </w:r>
      <w:r w:rsidR="00462A29">
        <w:t>Covered Conductor</w:t>
      </w:r>
      <w:r w:rsidRPr="00F90B68">
        <w:t>s</w:t>
      </w:r>
      <w:r>
        <w:t>, b</w:t>
      </w:r>
      <w:r w:rsidRPr="00F90B68">
        <w:t>are conductor overhead hardening</w:t>
      </w:r>
      <w:r>
        <w:t>, a</w:t>
      </w:r>
      <w:r w:rsidRPr="00F90B68">
        <w:t>dditional sectionalizing or circuit reconfigurations</w:t>
      </w:r>
      <w:r>
        <w:t>, and f</w:t>
      </w:r>
      <w:r w:rsidRPr="00F90B68">
        <w:t>alling conductor protection</w:t>
      </w:r>
      <w:r>
        <w:t>), e</w:t>
      </w:r>
      <w:r w:rsidRPr="00F90B68">
        <w:t>nhanced vegetation management</w:t>
      </w:r>
      <w:r>
        <w:t>, f</w:t>
      </w:r>
      <w:r w:rsidRPr="00F90B68">
        <w:t>uels management</w:t>
      </w:r>
      <w:r>
        <w:t xml:space="preserve">, </w:t>
      </w:r>
      <w:r>
        <w:lastRenderedPageBreak/>
        <w:t>and p</w:t>
      </w:r>
      <w:r w:rsidRPr="00F90B68">
        <w:t>roviding backup generation either in the form of individual customer generators or microgrid solutions</w:t>
      </w:r>
      <w:r>
        <w:t>.</w:t>
      </w:r>
      <w:r>
        <w:rPr>
          <w:rStyle w:val="FootnoteReference"/>
        </w:rPr>
        <w:footnoteReference w:id="40"/>
      </w:r>
    </w:p>
    <w:p w:rsidR="007253C8" w:rsidP="007253C8" w:rsidRDefault="007253C8" w14:paraId="4E792360" w14:textId="42C20E2A">
      <w:pPr>
        <w:pStyle w:val="Standard"/>
      </w:pPr>
      <w:r>
        <w:t xml:space="preserve">OEIS and the Commission have approved </w:t>
      </w:r>
      <w:r w:rsidR="00811657">
        <w:t xml:space="preserve">and ratified </w:t>
      </w:r>
      <w:r>
        <w:t xml:space="preserve">SDG&amp;E’s WMPs covering the period from 2019–2022 with conditions. OEIS’s conditioned approval of SDG&amp;E’s WMPs </w:t>
      </w:r>
      <w:r w:rsidR="00E77066">
        <w:t>and</w:t>
      </w:r>
      <w:r>
        <w:t xml:space="preserve"> recommendations for continuing improvement are located on OEIS’s website. As SDG&amp;E’s WMPs have progressed, the Commission has reviewed and approved or ratified SDG&amp;E’s WMPs</w:t>
      </w:r>
      <w:r>
        <w:rPr>
          <w:rStyle w:val="FootnoteReference"/>
        </w:rPr>
        <w:footnoteReference w:id="41"/>
      </w:r>
      <w:r>
        <w:t xml:space="preserve"> and issued decisions providing additional guidance.</w:t>
      </w:r>
      <w:r>
        <w:rPr>
          <w:rStyle w:val="FootnoteReference"/>
        </w:rPr>
        <w:footnoteReference w:id="42"/>
      </w:r>
      <w:r>
        <w:t xml:space="preserve"> </w:t>
      </w:r>
      <w:r w:rsidRPr="00110DB9">
        <w:t>In addition</w:t>
      </w:r>
      <w:r>
        <w:t>, SDG&amp;E’s compliance with its WMP is subject to various OEIS actions to monitor compliance with its WMPs,</w:t>
      </w:r>
      <w:r>
        <w:rPr>
          <w:rStyle w:val="FootnoteReference"/>
        </w:rPr>
        <w:footnoteReference w:id="43"/>
      </w:r>
      <w:r>
        <w:t xml:space="preserve"> subject to modification based on costs presented in </w:t>
      </w:r>
      <w:r w:rsidR="00E02585">
        <w:t>General Rate Cases (</w:t>
      </w:r>
      <w:r>
        <w:t>GRCs</w:t>
      </w:r>
      <w:r w:rsidR="00E02585">
        <w:t>)</w:t>
      </w:r>
      <w:r>
        <w:t xml:space="preserve"> such as this.</w:t>
      </w:r>
      <w:r>
        <w:rPr>
          <w:rStyle w:val="FootnoteReference"/>
        </w:rPr>
        <w:footnoteReference w:id="44"/>
      </w:r>
    </w:p>
    <w:p w:rsidR="007253C8" w:rsidP="007253C8" w:rsidRDefault="007253C8" w14:paraId="184EFE35" w14:textId="678F72C3">
      <w:pPr>
        <w:pStyle w:val="Standard"/>
      </w:pPr>
      <w:r>
        <w:t>OEIS’s and the Commission’s review and approval of Wildfire Mitigation Plans does not evaluate the reasonableness of WMP costs</w:t>
      </w:r>
      <w:r w:rsidRPr="3CB917D8">
        <w:rPr>
          <w:rStyle w:val="FootnoteReference"/>
        </w:rPr>
        <w:footnoteReference w:id="45"/>
      </w:r>
      <w:r>
        <w:t xml:space="preserve"> or their cost-effectiveness</w:t>
      </w:r>
      <w:r w:rsidDel="00137343">
        <w:t xml:space="preserve">. </w:t>
      </w:r>
      <w:r>
        <w:t xml:space="preserve">Rather, each utility must implement its approved WMP </w:t>
      </w:r>
      <w:r w:rsidR="00896092">
        <w:t>according to the prudent manager standard</w:t>
      </w:r>
      <w:r w:rsidR="00371E61">
        <w:t xml:space="preserve">. This standard requires </w:t>
      </w:r>
      <w:r w:rsidRPr="00371E61" w:rsidR="00371E61">
        <w:t>act</w:t>
      </w:r>
      <w:r w:rsidR="00371E61">
        <w:t>s</w:t>
      </w:r>
      <w:r w:rsidRPr="00371E61" w:rsidR="00371E61">
        <w:t xml:space="preserve"> or decision</w:t>
      </w:r>
      <w:r w:rsidR="00371E61">
        <w:t>s</w:t>
      </w:r>
      <w:r w:rsidRPr="00371E61" w:rsidR="00371E61">
        <w:t xml:space="preserve"> </w:t>
      </w:r>
      <w:r w:rsidR="00371E61">
        <w:t xml:space="preserve">to result in the </w:t>
      </w:r>
      <w:r w:rsidRPr="00371E61" w:rsidR="00371E61">
        <w:t>lowest reasonable cost consistent with good utility practices.</w:t>
      </w:r>
      <w:r w:rsidR="00896092">
        <w:t xml:space="preserve"> which requires cost</w:t>
      </w:r>
      <w:r w:rsidR="00B75CDD">
        <w:t>s</w:t>
      </w:r>
      <w:r w:rsidR="00896092">
        <w:t xml:space="preserve"> to be reasonable based on cost-effectiveness, reliability, safety, and expedition</w:t>
      </w:r>
      <w:r>
        <w:t>.</w:t>
      </w:r>
      <w:r w:rsidR="00441E77">
        <w:rPr>
          <w:rStyle w:val="FootnoteReference"/>
        </w:rPr>
        <w:footnoteReference w:id="46"/>
      </w:r>
      <w:r>
        <w:t xml:space="preserve"> Utilities subsequently seek cost recovery for WMP implementation. </w:t>
      </w:r>
      <w:r>
        <w:lastRenderedPageBreak/>
        <w:t xml:space="preserve">It is then the Commission’s responsibility to approve only cost recovery from ratepayers of reasonably incurred costs and </w:t>
      </w:r>
      <w:bookmarkStart w:name="_Hlk216963118" w:id="11"/>
      <w:r>
        <w:t>“disallow recovery of those costs the commission deems unreasonable” (Pub. Util. Code Section 8386.4(b)(1)).</w:t>
      </w:r>
      <w:bookmarkEnd w:id="11"/>
    </w:p>
    <w:p w:rsidR="007253C8" w:rsidP="007253C8" w:rsidRDefault="007253C8" w14:paraId="297AF30C" w14:textId="30F07B4D">
      <w:pPr>
        <w:pStyle w:val="Standard"/>
      </w:pPr>
      <w:r>
        <w:t>SDG&amp;E provided information to Commission staff and parties in response to deficiencies noted in WMPs</w:t>
      </w:r>
      <w:r w:rsidDel="00137343">
        <w:t xml:space="preserve">. </w:t>
      </w:r>
      <w:r>
        <w:t xml:space="preserve">To provide a more complete record in this proceeding, the </w:t>
      </w:r>
      <w:r w:rsidR="007B4E85">
        <w:t>Administrative Law Judges (</w:t>
      </w:r>
      <w:r>
        <w:t>ALJs</w:t>
      </w:r>
      <w:r w:rsidR="007B4E85">
        <w:t>)</w:t>
      </w:r>
      <w:r>
        <w:t xml:space="preserve"> issued a ruling ordering that this information be submitted as evidence. Other parties were also provided an opportunity to provide supplementary evidence.</w:t>
      </w:r>
      <w:r>
        <w:rPr>
          <w:rStyle w:val="FootnoteReference"/>
        </w:rPr>
        <w:footnoteReference w:id="47"/>
      </w:r>
      <w:r>
        <w:t xml:space="preserve"> SDG&amp;E submitted this additional evidence, documenting </w:t>
      </w:r>
      <w:r w:rsidRPr="00392B39">
        <w:t>how SDG&amp;E responded to all deficiencies noted in resolutions approving its WMPs for the years 2019</w:t>
      </w:r>
      <w:r>
        <w:t>–20</w:t>
      </w:r>
      <w:r w:rsidRPr="00392B39">
        <w:t>22.</w:t>
      </w:r>
      <w:r>
        <w:rPr>
          <w:rStyle w:val="FootnoteReference"/>
        </w:rPr>
        <w:footnoteReference w:id="48"/>
      </w:r>
    </w:p>
    <w:p w:rsidR="007253C8" w:rsidP="00D166DC" w:rsidRDefault="007253C8" w14:paraId="6CCAEB3F" w14:textId="6DDF0458">
      <w:pPr>
        <w:pStyle w:val="Heading2"/>
        <w:rPr>
          <w:b w:val="0"/>
        </w:rPr>
      </w:pPr>
      <w:bookmarkStart w:name="_Toc213312243" w:id="12"/>
      <w:r w:rsidRPr="59165C81">
        <w:t>Cost-Effectiveness and Denial of Recommendation to Require</w:t>
      </w:r>
      <w:r>
        <w:t xml:space="preserve"> </w:t>
      </w:r>
      <w:r w:rsidRPr="59165C81">
        <w:t>Refiling of This Application</w:t>
      </w:r>
      <w:bookmarkEnd w:id="12"/>
      <w:r w:rsidRPr="59165C81">
        <w:t xml:space="preserve"> </w:t>
      </w:r>
    </w:p>
    <w:p w:rsidR="007253C8" w:rsidP="007253C8" w:rsidRDefault="007253C8" w14:paraId="3FAFD290" w14:textId="64171BE3">
      <w:pPr>
        <w:pStyle w:val="Standard"/>
      </w:pPr>
      <w:r>
        <w:t>TURN recommends that the Commission require SDG&amp;E to refile this application given what TURN asserts is an inadequate showing by SDG&amp;E of the cost-effectiveness supporting its requested cost recoveries</w:t>
      </w:r>
      <w:r w:rsidDel="00137343">
        <w:t>.</w:t>
      </w:r>
      <w:r w:rsidR="00DD17C1">
        <w:rPr>
          <w:rStyle w:val="FootnoteReference"/>
        </w:rPr>
        <w:footnoteReference w:id="49"/>
      </w:r>
      <w:r w:rsidDel="00137343">
        <w:t xml:space="preserve"> </w:t>
      </w:r>
      <w:r>
        <w:t>We address this threshold issue in this background section</w:t>
      </w:r>
      <w:r w:rsidDel="00137343">
        <w:t xml:space="preserve">. </w:t>
      </w:r>
      <w:r>
        <w:t>For the reasons stated below, the Commission denies TURN’s recommendation.</w:t>
      </w:r>
    </w:p>
    <w:p w:rsidR="007253C8" w:rsidP="007253C8" w:rsidRDefault="1BFE1C55" w14:paraId="572DAFC2" w14:textId="60718577">
      <w:pPr>
        <w:pStyle w:val="Standard"/>
      </w:pPr>
      <w:r>
        <w:t>SDG&amp;E states</w:t>
      </w:r>
      <w:r w:rsidRPr="00AF2AB8">
        <w:t xml:space="preserve"> that it considered cost-effectiveness as one of many factors in determining the reasonableness of its wildfire mitigations, and that </w:t>
      </w:r>
      <w:r>
        <w:t xml:space="preserve">SDG&amp;E’s approach to its WMP initiatives </w:t>
      </w:r>
      <w:r w:rsidRPr="00AF2AB8">
        <w:t>has been</w:t>
      </w:r>
      <w:r>
        <w:t xml:space="preserve"> founded on continual efforts to maximize cost-effective mitigation strategies.</w:t>
      </w:r>
      <w:r w:rsidR="007253C8">
        <w:rPr>
          <w:rStyle w:val="FootnoteReference"/>
        </w:rPr>
        <w:footnoteReference w:id="50"/>
      </w:r>
      <w:r w:rsidDel="637ABDE3">
        <w:t xml:space="preserve"> </w:t>
      </w:r>
      <w:r>
        <w:t xml:space="preserve">In addition to SDG&amp;E’s wildfire risk models, SDG&amp;E’s WMPs </w:t>
      </w:r>
      <w:r w:rsidRPr="00AF2AB8">
        <w:t xml:space="preserve">since 2020 </w:t>
      </w:r>
      <w:r>
        <w:t xml:space="preserve">have included the “quantitative risk </w:t>
      </w:r>
      <w:r>
        <w:lastRenderedPageBreak/>
        <w:t>assessment framework adopted in D.18-12-014 in the Safety Model Assessment Proceeding to evaluate and compare the cost</w:t>
      </w:r>
      <w:r w:rsidRPr="00AF2AB8">
        <w:t>-</w:t>
      </w:r>
      <w:r>
        <w:t xml:space="preserve">effectiveness of each of the mitigations </w:t>
      </w:r>
      <w:r w:rsidRPr="00AF2AB8">
        <w:t>that were under consideration in developing the WMP.</w:t>
      </w:r>
      <w:r>
        <w:t>”</w:t>
      </w:r>
      <w:r w:rsidR="007253C8">
        <w:rPr>
          <w:rStyle w:val="FootnoteReference"/>
        </w:rPr>
        <w:footnoteReference w:id="51"/>
      </w:r>
      <w:r>
        <w:t xml:space="preserve"> In the decision approving SDG&amp;E’s 2019 WMP,</w:t>
      </w:r>
      <w:r w:rsidR="007253C8">
        <w:rPr>
          <w:rStyle w:val="FootnoteReference"/>
        </w:rPr>
        <w:footnoteReference w:id="52"/>
      </w:r>
      <w:r w:rsidRPr="00F422CC">
        <w:t xml:space="preserve"> the Commission required </w:t>
      </w:r>
      <w:r>
        <w:t>SDG&amp;E</w:t>
      </w:r>
      <w:r w:rsidRPr="00F422CC">
        <w:t xml:space="preserve"> to </w:t>
      </w:r>
      <w:r>
        <w:t>use the quantitative risk assessment framework adopted in D</w:t>
      </w:r>
      <w:r w:rsidRPr="00F422CC">
        <w:t>.</w:t>
      </w:r>
      <w:r>
        <w:t>18-12-014 (in the Safety Model Assessment Proceeding) to evaluate and compare the cost</w:t>
      </w:r>
      <w:r w:rsidRPr="00F422CC">
        <w:t>-</w:t>
      </w:r>
      <w:r>
        <w:t xml:space="preserve">effectiveness of each of the mitigations that were under consideration in developing the Wildfire Mitigation Plan. In SDG&amp;E’s </w:t>
      </w:r>
      <w:r w:rsidRPr="0085130B">
        <w:t>2022 WMP Update</w:t>
      </w:r>
      <w:r>
        <w:t xml:space="preserve">, it </w:t>
      </w:r>
      <w:r w:rsidRPr="0085130B">
        <w:t>presented each initiative or category of work, the risk th</w:t>
      </w:r>
      <w:r>
        <w:t>e</w:t>
      </w:r>
      <w:r w:rsidRPr="0085130B">
        <w:t xml:space="preserve"> work mitigates</w:t>
      </w:r>
      <w:r>
        <w:t xml:space="preserve">, </w:t>
      </w:r>
      <w:r w:rsidRPr="0085130B">
        <w:t>and in applicable cases</w:t>
      </w:r>
      <w:r>
        <w:t xml:space="preserve">, </w:t>
      </w:r>
      <w:r w:rsidRPr="0085130B">
        <w:t xml:space="preserve">the estimated risk reduction, the initiative selected, the region prioritized, progress on the initiative, and planned updates. </w:t>
      </w:r>
      <w:r>
        <w:t xml:space="preserve">SDG&amp;E states further that </w:t>
      </w:r>
      <w:r w:rsidRPr="0085130B">
        <w:t xml:space="preserve">SDG&amp;E’s 2022 WMP Update contains a detailed assessment of the cost-effectiveness of </w:t>
      </w:r>
      <w:r w:rsidR="150755E4">
        <w:t>Covered Conductor</w:t>
      </w:r>
      <w:r w:rsidRPr="0085130B">
        <w:t xml:space="preserve">. This included a comparison of capital costs per circuit mile, and a detailed discussion of SDG&amp;E’s costs associated with </w:t>
      </w:r>
      <w:r w:rsidR="150755E4">
        <w:t>Covered Conductor</w:t>
      </w:r>
      <w:r w:rsidRPr="0085130B">
        <w:t xml:space="preserve"> installation. SDG&amp;E’s 2020, 2021, and 2022 WMP submissions also included tables listing the RSE fo</w:t>
      </w:r>
      <w:r>
        <w:t>r each</w:t>
      </w:r>
      <w:r w:rsidDel="007659B4">
        <w:t xml:space="preserve"> </w:t>
      </w:r>
      <w:r w:rsidRPr="00B81342">
        <w:t>WMP initiative for which an RSE could be calculated, further broken down by location, including territory-wide, non-HFTD, Tier 2, and Tier 3.</w:t>
      </w:r>
      <w:r w:rsidRPr="610A5E50" w:rsidR="007253C8">
        <w:rPr>
          <w:rStyle w:val="FootnoteReference"/>
        </w:rPr>
        <w:footnoteReference w:id="53"/>
      </w:r>
      <w:r w:rsidRPr="00B81342">
        <w:t xml:space="preserve"> </w:t>
      </w:r>
      <w:r>
        <w:t>SDG&amp;E states that the</w:t>
      </w:r>
      <w:r w:rsidRPr="0085130B">
        <w:t xml:space="preserve"> RSE analysis required for the 2022 WMPs was consistent with Resolution WSD-011, which defined an RSE as “[a]n estimate of the cost-effectiveness of initiatives, calculated by dividing the mitigation risk reduction benefit by the mitigation cost </w:t>
      </w:r>
      <w:r w:rsidRPr="0085130B">
        <w:lastRenderedPageBreak/>
        <w:t>estimate based on the full set of risk reduction benefits estimated from the incurred costs.”</w:t>
      </w:r>
      <w:r w:rsidR="007253C8">
        <w:rPr>
          <w:rStyle w:val="FootnoteReference"/>
        </w:rPr>
        <w:footnoteReference w:id="54"/>
      </w:r>
    </w:p>
    <w:p w:rsidR="007253C8" w:rsidP="007253C8" w:rsidRDefault="007253C8" w14:paraId="0EBC9054" w14:textId="6A325629">
      <w:pPr>
        <w:pStyle w:val="Standard"/>
      </w:pPr>
      <w:r>
        <w:t xml:space="preserve">TURN argues that </w:t>
      </w:r>
      <w:r w:rsidRPr="00C7445F">
        <w:t>SDG&amp;E’s direct testimony does not contain sufficient analysis of the costs of the specific initiatives underlying the utility’s request here, particularly</w:t>
      </w:r>
      <w:r>
        <w:t xml:space="preserve"> </w:t>
      </w:r>
      <w:r w:rsidRPr="00C7445F">
        <w:t>regard</w:t>
      </w:r>
      <w:r>
        <w:t xml:space="preserve">ing </w:t>
      </w:r>
      <w:r w:rsidRPr="00C7445F">
        <w:t xml:space="preserve">the amount spent </w:t>
      </w:r>
      <w:r>
        <w:t xml:space="preserve">and its </w:t>
      </w:r>
      <w:r w:rsidRPr="00C7445F">
        <w:t>cost-effective</w:t>
      </w:r>
      <w:r>
        <w:t>ness</w:t>
      </w:r>
      <w:r w:rsidRPr="00C7445F">
        <w:t xml:space="preserve"> during the period in question</w:t>
      </w:r>
      <w:r>
        <w:t>.</w:t>
      </w:r>
      <w:r w:rsidRPr="00C7445F">
        <w:t xml:space="preserve"> </w:t>
      </w:r>
      <w:r>
        <w:t>In support, TURN</w:t>
      </w:r>
      <w:r w:rsidDel="50002055">
        <w:t xml:space="preserve"> </w:t>
      </w:r>
      <w:r>
        <w:t>states that f</w:t>
      </w:r>
      <w:r w:rsidRPr="00C7445F">
        <w:t xml:space="preserve">or each of SDG&amp;E’s WMP initiatives, the utility’s cost showing was limited to reporting the recorded costs, broken out between capital and </w:t>
      </w:r>
      <w:r w:rsidR="001A7ACF">
        <w:t>operations and maintenance (</w:t>
      </w:r>
      <w:r w:rsidRPr="00C7445F">
        <w:t>O&amp;M</w:t>
      </w:r>
      <w:r w:rsidR="001A7ACF">
        <w:t>) costs</w:t>
      </w:r>
      <w:r>
        <w:t xml:space="preserve">, and a differential for categories with GRC-authorized costs. </w:t>
      </w:r>
      <w:r w:rsidRPr="007D5CBE">
        <w:t xml:space="preserve">In further support, TURN states that SDG&amp;E did not provide an explanation of the choices the utility made to </w:t>
      </w:r>
      <w:r>
        <w:t xml:space="preserve">verify </w:t>
      </w:r>
      <w:r w:rsidRPr="007D5CBE">
        <w:t>the reasonableness of its wildfire mitigation expenditures, including whether they were cost-effective.</w:t>
      </w:r>
      <w:r>
        <w:rPr>
          <w:rStyle w:val="FootnoteReference"/>
        </w:rPr>
        <w:footnoteReference w:id="55"/>
      </w:r>
    </w:p>
    <w:p w:rsidRPr="00DF12D9" w:rsidR="007253C8" w:rsidP="007253C8" w:rsidRDefault="007253C8" w14:paraId="72F99ABD" w14:textId="7F3673A3">
      <w:pPr>
        <w:pStyle w:val="Standard"/>
      </w:pPr>
      <w:bookmarkStart w:name="_Hlk189816462" w:id="13"/>
      <w:r w:rsidRPr="00C015F5">
        <w:t xml:space="preserve">PCF </w:t>
      </w:r>
      <w:r>
        <w:t xml:space="preserve">largely agrees with TURN, arguing </w:t>
      </w:r>
      <w:r w:rsidRPr="00C015F5">
        <w:t xml:space="preserve">that </w:t>
      </w:r>
      <w:r>
        <w:t xml:space="preserve">SDG&amp;E’s Track 2 application for cost recovery does not include information the Commission has previously found to be deficient in WMPs and other risk-related filings. For example, PCF points out that in </w:t>
      </w:r>
      <w:r w:rsidRPr="00AF4A0D">
        <w:t>Resoluti</w:t>
      </w:r>
      <w:r>
        <w:t xml:space="preserve">on </w:t>
      </w:r>
      <w:bookmarkStart w:name="_Hlk189815120" w:id="14"/>
      <w:r w:rsidRPr="00AF4A0D">
        <w:t>WSD-005</w:t>
      </w:r>
      <w:bookmarkEnd w:id="14"/>
      <w:r>
        <w:t xml:space="preserve"> the Commission found SDG&amp;E’s 2020 WMP did not adequately address: 1) how SDG&amp;E factors its modeling into decision-making, and whether and how it updates its models based on lessons learned;</w:t>
      </w:r>
      <w:r>
        <w:rPr>
          <w:rStyle w:val="FootnoteReference"/>
        </w:rPr>
        <w:footnoteReference w:id="56"/>
      </w:r>
      <w:r>
        <w:t xml:space="preserve"> 2) SDG&amp;E‘s identification and description of</w:t>
      </w:r>
      <w:r w:rsidDel="008026BE">
        <w:t xml:space="preserve"> </w:t>
      </w:r>
      <w:r>
        <w:t xml:space="preserve">the details of its more costly planned investments, or of its decision-making process with respect to its various planned initiatives; and 3) </w:t>
      </w:r>
      <w:r w:rsidRPr="009179A5">
        <w:t xml:space="preserve">sufficient detail on </w:t>
      </w:r>
      <w:r w:rsidR="00462A29">
        <w:t xml:space="preserve">Strategic Undergrounding </w:t>
      </w:r>
      <w:r w:rsidRPr="009179A5">
        <w:t xml:space="preserve"> pilots</w:t>
      </w:r>
      <w:r>
        <w:t xml:space="preserve">. With regard to the latter, the Commission conditioned </w:t>
      </w:r>
      <w:r w:rsidR="00E02585">
        <w:t>ratification</w:t>
      </w:r>
      <w:r>
        <w:t xml:space="preserve"> of SDG&amp;E’s 2020 WMP on 11 pages of deficiencies and conditions in Appendix A of </w:t>
      </w:r>
      <w:r>
        <w:lastRenderedPageBreak/>
        <w:t>Resolution WSD-005.</w:t>
      </w:r>
      <w:r w:rsidRPr="198B2F7B">
        <w:rPr>
          <w:rStyle w:val="FootnoteReference"/>
        </w:rPr>
        <w:footnoteReference w:id="57"/>
      </w:r>
      <w:r>
        <w:t xml:space="preserve"> Lastly,</w:t>
      </w:r>
      <w:r w:rsidRPr="00DF12D9">
        <w:t xml:space="preserve"> </w:t>
      </w:r>
      <w:r>
        <w:t xml:space="preserve">in </w:t>
      </w:r>
      <w:r w:rsidRPr="00DF12D9">
        <w:t xml:space="preserve">SDG&amp;E’s 2021 WMP Update, the Commission concluded that SDG&amp;E continued </w:t>
      </w:r>
      <w:r>
        <w:t xml:space="preserve">to fail </w:t>
      </w:r>
      <w:r w:rsidRPr="00DF12D9">
        <w:t>to provide information necessary to assess SDG&amp;E’s decision-making processes, cost-effectiveness, and prioritization of wildfire risk-reducing measures that the Commission had repeatedly demanded.</w:t>
      </w:r>
      <w:r w:rsidRPr="00DF12D9">
        <w:rPr>
          <w:vertAlign w:val="superscript"/>
        </w:rPr>
        <w:footnoteReference w:id="58"/>
      </w:r>
    </w:p>
    <w:p w:rsidR="007253C8" w:rsidP="007253C8" w:rsidRDefault="007253C8" w14:paraId="6CB235A6" w14:textId="77777777">
      <w:pPr>
        <w:pStyle w:val="Standard"/>
      </w:pPr>
      <w:r>
        <w:t>The</w:t>
      </w:r>
      <w:r w:rsidDel="07494F7A">
        <w:t xml:space="preserve"> </w:t>
      </w:r>
      <w:r>
        <w:t>Commission recognizes SDG&amp;E’s efforts to mitigate the risk of wildfires and to maximize the cost-effectiveness of those efforts</w:t>
      </w:r>
      <w:r w:rsidDel="00137343">
        <w:t xml:space="preserve">. </w:t>
      </w:r>
      <w:r>
        <w:t>The Commission agrees with intervenors, however, who show that SDG&amp;E continues to lag in specifically evaluating wildfire mitigation strategies for cost-effectiveness.</w:t>
      </w:r>
    </w:p>
    <w:p w:rsidR="007253C8" w:rsidP="007253C8" w:rsidRDefault="007253C8" w14:paraId="0BC11E37" w14:textId="77777777">
      <w:pPr>
        <w:pStyle w:val="Standard"/>
      </w:pPr>
      <w:r>
        <w:t>The Commission acknowledges that the evaluation of cost-effectiveness has evolved</w:t>
      </w:r>
      <w:r w:rsidDel="00137343">
        <w:t xml:space="preserve">. </w:t>
      </w:r>
      <w:r>
        <w:t>Earlier in the 2019–2022 period, for example, SDG&amp;E used the metric of ignitions avoided. Later, the Commission</w:t>
      </w:r>
      <w:r w:rsidDel="5CC67DCF">
        <w:t xml:space="preserve"> </w:t>
      </w:r>
      <w:r>
        <w:t>required the use of risk-based metrics, including RSEs, to propose wildfire mitigations. However, as with the use of risk-based metrics in Track 1 of this proceeding, the reasonableness of any cost may be influenced by other factors.</w:t>
      </w:r>
      <w:r>
        <w:rPr>
          <w:rStyle w:val="FootnoteReference"/>
        </w:rPr>
        <w:footnoteReference w:id="59"/>
      </w:r>
      <w:r>
        <w:t xml:space="preserve"> Consequently, the analysis cannot necessarily stop if one factor is not provided, particularly if other factors are more significant. For example, as discussed below, some initiatives, such as patrol inspections, are mandated by regulation. Other initiatives are required based on functional or operational considerations, such as weather monitoring.</w:t>
      </w:r>
    </w:p>
    <w:p w:rsidR="007253C8" w:rsidP="007253C8" w:rsidRDefault="00F410DF" w14:paraId="0AB0CFAB" w14:textId="66FF37A3">
      <w:pPr>
        <w:pStyle w:val="Standard"/>
      </w:pPr>
      <w:r>
        <w:lastRenderedPageBreak/>
        <w:t>I</w:t>
      </w:r>
      <w:r w:rsidR="007253C8">
        <w:t>n considering the cost-effectiveness of an expenditure, the Commission must consider the general definition of cost-effectiveness in producing optimum results along with the nature of the cost, its context, and the availability of alternatives. The Commission considers all of the above factors in determining the reasonableness of SDG&amp;E’s requests</w:t>
      </w:r>
      <w:bookmarkEnd w:id="13"/>
      <w:r w:rsidR="007253C8">
        <w:t xml:space="preserve"> in this proceeding.</w:t>
      </w:r>
    </w:p>
    <w:p w:rsidRPr="00020B94" w:rsidR="007253C8" w:rsidP="007253C8" w:rsidRDefault="007253C8" w14:paraId="3C1B82A0" w14:textId="05329A94">
      <w:pPr>
        <w:pStyle w:val="Standard"/>
      </w:pPr>
      <w:r>
        <w:t>For these reasons, the Commission denies TURN’s request to require SDG&amp;E to refile its application.</w:t>
      </w:r>
      <w:r w:rsidRPr="589DB049">
        <w:rPr>
          <w:rStyle w:val="FootnoteReference"/>
        </w:rPr>
        <w:footnoteReference w:id="60"/>
      </w:r>
      <w:r w:rsidRPr="3CB917D8">
        <w:rPr>
          <w:rStyle w:val="FootnoteReference"/>
        </w:rPr>
        <w:t xml:space="preserve">  </w:t>
      </w:r>
      <w:r>
        <w:t>Instead, the Commission proceeds with evaluating this application as filed by SDG&amp;E in the context described above. In future applications for cost recovery, the Commission requires that SDG&amp;E provide and apply the required Cost Benefit Ratios.</w:t>
      </w:r>
      <w:r w:rsidRPr="3B89121B">
        <w:rPr>
          <w:rStyle w:val="FootnoteReference"/>
        </w:rPr>
        <w:footnoteReference w:id="61"/>
      </w:r>
      <w:r>
        <w:t xml:space="preserve"> This metric will facilitate a more thorough and effective analysis of costs and benefits of wildfire mitigation costs in future application</w:t>
      </w:r>
      <w:r w:rsidR="00F74B2F">
        <w:t>s</w:t>
      </w:r>
      <w:r>
        <w:t xml:space="preserve"> requesting cost recovery.</w:t>
      </w:r>
    </w:p>
    <w:p w:rsidRPr="009C0535" w:rsidR="007253C8" w:rsidP="00D166DC" w:rsidRDefault="007253C8" w14:paraId="066F141D" w14:textId="3417EB06">
      <w:pPr>
        <w:pStyle w:val="Heading2"/>
      </w:pPr>
      <w:bookmarkStart w:name="_Toc213312244" w:id="15"/>
      <w:r w:rsidRPr="009E6133">
        <w:t>SDG&amp;E’s Test Year 2019 General Rate Case</w:t>
      </w:r>
      <w:r w:rsidRPr="009C0535">
        <w:t>, WMPs and WMPMA, and SDG&amp;E’s Track 2 Request</w:t>
      </w:r>
      <w:bookmarkEnd w:id="15"/>
    </w:p>
    <w:p w:rsidR="007253C8" w:rsidP="007253C8" w:rsidRDefault="007253C8" w14:paraId="6E6343CC" w14:textId="0160DD49">
      <w:pPr>
        <w:pStyle w:val="Standard"/>
        <w:rPr>
          <w:rStyle w:val="FootnoteReference"/>
        </w:rPr>
      </w:pPr>
      <w:r w:rsidRPr="00F0400D">
        <w:t xml:space="preserve">The decision for SDG&amp;E’s last GRC for Test Year 2019 (D.19-09-051) authorized </w:t>
      </w:r>
      <w:r>
        <w:t xml:space="preserve">$751.062 </w:t>
      </w:r>
      <w:r w:rsidRPr="00F0400D">
        <w:t xml:space="preserve">million </w:t>
      </w:r>
      <w:r>
        <w:t>for wildfire mitigation activities for 2019–2022</w:t>
      </w:r>
      <w:r w:rsidRPr="00F0400D" w:rsidDel="00137343">
        <w:t xml:space="preserve">. </w:t>
      </w:r>
      <w:r w:rsidR="00F74B2F">
        <w:t>D.19-09-051</w:t>
      </w:r>
      <w:r w:rsidRPr="00F0400D">
        <w:t xml:space="preserve"> was </w:t>
      </w:r>
      <w:r w:rsidR="00B32872">
        <w:t>written</w:t>
      </w:r>
      <w:r w:rsidRPr="00F0400D" w:rsidR="00B32872">
        <w:t xml:space="preserve"> </w:t>
      </w:r>
      <w:r>
        <w:t>prior to the passage of the 2019 Wildfire Legislation.</w:t>
      </w:r>
      <w:r>
        <w:rPr>
          <w:rStyle w:val="FootnoteReference"/>
        </w:rPr>
        <w:footnoteReference w:id="62"/>
      </w:r>
      <w:r w:rsidRPr="59C4EAE1">
        <w:rPr>
          <w:color w:val="FFFFFF" w:themeColor="background1"/>
        </w:rPr>
        <w:t xml:space="preserve"> </w:t>
      </w:r>
      <w:r w:rsidRPr="00515137">
        <w:t>Thus, SDG&amp;E’s 2019 GRC</w:t>
      </w:r>
      <w:r>
        <w:t xml:space="preserve"> </w:t>
      </w:r>
      <w:r w:rsidRPr="00515137">
        <w:t>decision</w:t>
      </w:r>
      <w:r>
        <w:t xml:space="preserve"> </w:t>
      </w:r>
      <w:r w:rsidRPr="00515137">
        <w:t>did not account for and fund the expedited wildfire risk reduction activities included in SDG&amp;E’s 2019</w:t>
      </w:r>
      <w:r>
        <w:t>–20</w:t>
      </w:r>
      <w:r w:rsidRPr="00515137">
        <w:t>22 WMPs that were the result of the 2019 Wildfire Legislation.</w:t>
      </w:r>
      <w:r>
        <w:t xml:space="preserve"> The Test Year 2019 GRC was </w:t>
      </w:r>
      <w:r w:rsidRPr="00515137">
        <w:t>submitted in 2017</w:t>
      </w:r>
      <w:r>
        <w:t xml:space="preserve"> and litigated</w:t>
      </w:r>
      <w:r w:rsidRPr="00515137">
        <w:t xml:space="preserve"> before the HFTD boundaries were established and without the new requirements that would result from the then</w:t>
      </w:r>
      <w:r>
        <w:t>-pending legislation.</w:t>
      </w:r>
      <w:r>
        <w:rPr>
          <w:rStyle w:val="FootnoteReference"/>
        </w:rPr>
        <w:footnoteReference w:id="63"/>
      </w:r>
      <w:r>
        <w:t xml:space="preserve"> As a </w:t>
      </w:r>
      <w:r>
        <w:lastRenderedPageBreak/>
        <w:t xml:space="preserve">result, </w:t>
      </w:r>
      <w:r w:rsidRPr="00C53B5B">
        <w:t xml:space="preserve">the 2019 GRC </w:t>
      </w:r>
      <w:r>
        <w:t>d</w:t>
      </w:r>
      <w:r w:rsidRPr="00C53B5B">
        <w:t xml:space="preserve">ecision </w:t>
      </w:r>
      <w:r>
        <w:t xml:space="preserve">did not </w:t>
      </w:r>
      <w:r w:rsidRPr="00C53B5B">
        <w:t xml:space="preserve">specify the authorized costs in categories used by SDG&amp;E for cost recovery here. SDG&amp;E sought to provide reasonable alignment by imputing authorized amounts, units of work, and work locations, </w:t>
      </w:r>
      <w:r>
        <w:t>and explained its calculations in its response to the ALJs’ August 6, 2024 ruling.</w:t>
      </w:r>
      <w:r>
        <w:rPr>
          <w:rStyle w:val="FootnoteReference"/>
        </w:rPr>
        <w:footnoteReference w:id="64"/>
      </w:r>
    </w:p>
    <w:p w:rsidRPr="00932270" w:rsidR="007253C8" w:rsidP="007253C8" w:rsidRDefault="007253C8" w14:paraId="712CC9D7" w14:textId="7C750808">
      <w:pPr>
        <w:pStyle w:val="Standard"/>
        <w:rPr>
          <w:b/>
          <w:bCs/>
        </w:rPr>
      </w:pPr>
      <w:r>
        <w:t>A</w:t>
      </w:r>
      <w:r w:rsidRPr="000558A5">
        <w:t>nticipat</w:t>
      </w:r>
      <w:r>
        <w:t>ing</w:t>
      </w:r>
      <w:r w:rsidRPr="000558A5">
        <w:t xml:space="preserve"> that </w:t>
      </w:r>
      <w:r>
        <w:t xml:space="preserve">wildfire mitigation </w:t>
      </w:r>
      <w:r w:rsidRPr="000558A5">
        <w:t xml:space="preserve">activities </w:t>
      </w:r>
      <w:r>
        <w:t xml:space="preserve">may need to </w:t>
      </w:r>
      <w:r w:rsidRPr="000558A5">
        <w:t>include initiatives and costs not forecast through the GRC process</w:t>
      </w:r>
      <w:r>
        <w:t xml:space="preserve">, the 2019 Wildfire Legislation </w:t>
      </w:r>
      <w:r w:rsidRPr="000558A5">
        <w:t xml:space="preserve">required the Commission to authorize </w:t>
      </w:r>
      <w:r>
        <w:t xml:space="preserve">wildfire mitigation plan  </w:t>
      </w:r>
      <w:r w:rsidRPr="000558A5">
        <w:t xml:space="preserve">memorandum accounts </w:t>
      </w:r>
      <w:r>
        <w:t xml:space="preserve">(WMPMAs) to </w:t>
      </w:r>
      <w:r w:rsidRPr="000558A5">
        <w:t>track costs incurred to implement WMPs.</w:t>
      </w:r>
      <w:r>
        <w:rPr>
          <w:rStyle w:val="FootnoteReference"/>
        </w:rPr>
        <w:footnoteReference w:id="65"/>
      </w:r>
      <w:r>
        <w:t xml:space="preserve"> </w:t>
      </w:r>
      <w:r w:rsidRPr="00932270">
        <w:t>The Commission authorized SDG&amp;E’s WMPMAs effective May 30, 2019</w:t>
      </w:r>
      <w:r w:rsidRPr="008A3060">
        <w:rPr>
          <w:vertAlign w:val="superscript"/>
        </w:rPr>
        <w:footnoteReference w:id="66"/>
      </w:r>
      <w:r w:rsidRPr="00932270">
        <w:t xml:space="preserve"> to record costs incurred to implement SDG&amp;E’s Commission-approved WMPs </w:t>
      </w:r>
      <w:r w:rsidR="00114227">
        <w:t>not otherwise recovered through</w:t>
      </w:r>
      <w:r w:rsidRPr="00932270">
        <w:t xml:space="preserve"> revenues previously authorized in the prior GRC.</w:t>
      </w:r>
      <w:r w:rsidRPr="00932270">
        <w:rPr>
          <w:vertAlign w:val="superscript"/>
        </w:rPr>
        <w:footnoteReference w:id="67"/>
      </w:r>
    </w:p>
    <w:p w:rsidRPr="00E8774F" w:rsidR="007253C8" w:rsidP="007253C8" w:rsidRDefault="007253C8" w14:paraId="5E482A20" w14:textId="0EEF5074">
      <w:pPr>
        <w:pStyle w:val="Standard"/>
      </w:pPr>
      <w:r w:rsidRPr="00E8774F">
        <w:t>SDG&amp;E began recording costs for wildfire mitigation work on January 16, 2019 by establishing a Fire Risk Mitigation Memo</w:t>
      </w:r>
      <w:r w:rsidR="004915D9">
        <w:t>randum</w:t>
      </w:r>
      <w:r w:rsidRPr="00E8774F">
        <w:t xml:space="preserve"> Account (FRMMA) via Advice Letter (AL) 3333-E. After the approval of its WMP, SDG&amp;E transferred applicable costs recorded in the FRMMA to the WMPMA consistent with its approved advice letters.</w:t>
      </w:r>
      <w:r w:rsidRPr="00E8774F">
        <w:rPr>
          <w:vertAlign w:val="superscript"/>
        </w:rPr>
        <w:footnoteReference w:id="68"/>
      </w:r>
    </w:p>
    <w:p w:rsidRPr="00F0400D" w:rsidR="007253C8" w:rsidP="007253C8" w:rsidRDefault="007253C8" w14:paraId="1184F28E" w14:textId="6E6E263D">
      <w:pPr>
        <w:pStyle w:val="Standard"/>
      </w:pPr>
      <w:r w:rsidRPr="00F0400D">
        <w:t xml:space="preserve">SDG&amp;E </w:t>
      </w:r>
      <w:r>
        <w:t xml:space="preserve">requests recovery of </w:t>
      </w:r>
      <w:r w:rsidRPr="00F0400D">
        <w:t>a total of $</w:t>
      </w:r>
      <w:r>
        <w:t>284</w:t>
      </w:r>
      <w:r w:rsidRPr="00F0400D">
        <w:t xml:space="preserve"> million in O&amp;M</w:t>
      </w:r>
      <w:r>
        <w:rPr>
          <w:rStyle w:val="FootnoteReference"/>
        </w:rPr>
        <w:footnoteReference w:id="69"/>
      </w:r>
      <w:r w:rsidRPr="00F0400D">
        <w:t xml:space="preserve"> and $</w:t>
      </w:r>
      <w:r>
        <w:t>1,188</w:t>
      </w:r>
      <w:r w:rsidRPr="00F0400D">
        <w:t xml:space="preserve"> million in</w:t>
      </w:r>
      <w:r w:rsidRPr="00F0400D" w:rsidDel="00B70535">
        <w:t xml:space="preserve"> </w:t>
      </w:r>
      <w:r>
        <w:t>capital</w:t>
      </w:r>
      <w:r w:rsidRPr="00F0400D">
        <w:t xml:space="preserve"> to its electric and gas WMPMAs,</w:t>
      </w:r>
      <w:r>
        <w:rPr>
          <w:rStyle w:val="FootnoteReference"/>
        </w:rPr>
        <w:footnoteReference w:id="70"/>
      </w:r>
      <w:r w:rsidRPr="00F0400D">
        <w:t xml:space="preserve"> resulting in a total </w:t>
      </w:r>
      <w:proofErr w:type="spellStart"/>
      <w:r w:rsidRPr="00F0400D">
        <w:lastRenderedPageBreak/>
        <w:t>undercollection</w:t>
      </w:r>
      <w:proofErr w:type="spellEnd"/>
      <w:r w:rsidRPr="00F0400D">
        <w:t xml:space="preserve"> of </w:t>
      </w:r>
      <w:r>
        <w:t>$1,147 million</w:t>
      </w:r>
      <w:r w:rsidRPr="00F0400D">
        <w:t>.</w:t>
      </w:r>
      <w:r w:rsidRPr="00F0400D">
        <w:rPr>
          <w:vertAlign w:val="superscript"/>
        </w:rPr>
        <w:footnoteReference w:id="71"/>
      </w:r>
      <w:r>
        <w:t xml:space="preserve"> The capital expenditures are recovered on an annual basis as depreciated capital over the life of each asset and included in the total revenue requirement. SDG&amp;E’s request for recovery of electric direct costs </w:t>
      </w:r>
      <w:r w:rsidR="00684328">
        <w:t>is</w:t>
      </w:r>
      <w:r>
        <w:t xml:space="preserve"> summarized in the table below.</w:t>
      </w:r>
    </w:p>
    <w:p w:rsidRPr="00073C22" w:rsidR="007253C8" w:rsidP="007253C8" w:rsidRDefault="007253C8" w14:paraId="3459FEC3" w14:textId="77777777">
      <w:pPr>
        <w:pStyle w:val="Standard"/>
        <w:ind w:firstLine="0"/>
        <w:jc w:val="center"/>
        <w:rPr>
          <w:b/>
          <w:bCs/>
        </w:rPr>
      </w:pPr>
      <w:r w:rsidRPr="00073C22">
        <w:rPr>
          <w:b/>
        </w:rPr>
        <w:t>Table 1.5</w:t>
      </w:r>
    </w:p>
    <w:p w:rsidRPr="00073C22" w:rsidR="007253C8" w:rsidP="007253C8" w:rsidRDefault="007253C8" w14:paraId="7B8F5C1F" w14:textId="77777777">
      <w:pPr>
        <w:pStyle w:val="Standard"/>
        <w:ind w:firstLine="0"/>
        <w:jc w:val="center"/>
        <w:rPr>
          <w:b/>
          <w:bCs/>
        </w:rPr>
      </w:pPr>
      <w:r w:rsidRPr="73E4AAD3">
        <w:rPr>
          <w:b/>
          <w:bCs/>
        </w:rPr>
        <w:t>SDG&amp;E’s Track 2 Request for 2019–2022 Direct Costs ($000)</w:t>
      </w:r>
      <w:r w:rsidRPr="73E4AAD3">
        <w:rPr>
          <w:rStyle w:val="FootnoteReference"/>
          <w:bCs/>
        </w:rPr>
        <w:footnoteReference w:id="72"/>
      </w:r>
    </w:p>
    <w:tbl>
      <w:tblPr>
        <w:tblW w:w="9355" w:type="dxa"/>
        <w:jc w:val="center"/>
        <w:tblLook w:val="04A0" w:firstRow="1" w:lastRow="0" w:firstColumn="1" w:lastColumn="0" w:noHBand="0" w:noVBand="1"/>
      </w:tblPr>
      <w:tblGrid>
        <w:gridCol w:w="2018"/>
        <w:gridCol w:w="1021"/>
        <w:gridCol w:w="820"/>
        <w:gridCol w:w="1177"/>
        <w:gridCol w:w="1203"/>
        <w:gridCol w:w="1364"/>
        <w:gridCol w:w="1752"/>
      </w:tblGrid>
      <w:tr w:rsidRPr="002F327A" w:rsidR="007253C8" w:rsidTr="00301BD8" w14:paraId="0F83198D" w14:textId="77777777">
        <w:trPr>
          <w:trHeight w:val="282"/>
          <w:tblHeader/>
          <w:jc w:val="center"/>
        </w:trPr>
        <w:tc>
          <w:tcPr>
            <w:tcW w:w="2018" w:type="dxa"/>
            <w:tcBorders>
              <w:top w:val="single" w:color="auto" w:sz="4" w:space="0"/>
              <w:left w:val="single" w:color="auto" w:sz="4" w:space="0"/>
              <w:bottom w:val="single" w:color="auto" w:sz="4" w:space="0"/>
              <w:right w:val="single" w:color="auto" w:sz="4" w:space="0"/>
            </w:tcBorders>
            <w:noWrap/>
            <w:hideMark/>
          </w:tcPr>
          <w:p w:rsidRPr="002F327A" w:rsidR="007253C8" w:rsidP="00301BD8" w:rsidRDefault="007253C8" w14:paraId="45CE16EF" w14:textId="77777777">
            <w:pPr>
              <w:pStyle w:val="TableText"/>
              <w:rPr>
                <w:sz w:val="18"/>
                <w:szCs w:val="18"/>
              </w:rPr>
            </w:pPr>
            <w:r w:rsidRPr="002F327A">
              <w:rPr>
                <w:sz w:val="18"/>
                <w:szCs w:val="18"/>
              </w:rPr>
              <w:t>Category</w:t>
            </w:r>
          </w:p>
        </w:tc>
        <w:tc>
          <w:tcPr>
            <w:tcW w:w="1021" w:type="dxa"/>
            <w:tcBorders>
              <w:top w:val="single" w:color="auto" w:sz="4" w:space="0"/>
              <w:left w:val="nil"/>
              <w:bottom w:val="single" w:color="auto" w:sz="4" w:space="0"/>
              <w:right w:val="single" w:color="auto" w:sz="4" w:space="0"/>
            </w:tcBorders>
            <w:noWrap/>
            <w:hideMark/>
          </w:tcPr>
          <w:p w:rsidRPr="002F327A" w:rsidR="007253C8" w:rsidP="00301BD8" w:rsidRDefault="007253C8" w14:paraId="0E52AA77" w14:textId="77777777">
            <w:pPr>
              <w:pStyle w:val="TableText"/>
              <w:rPr>
                <w:sz w:val="18"/>
                <w:szCs w:val="18"/>
              </w:rPr>
            </w:pPr>
            <w:r w:rsidRPr="002F327A">
              <w:rPr>
                <w:sz w:val="18"/>
                <w:szCs w:val="18"/>
              </w:rPr>
              <w:t>Actual Capital</w:t>
            </w:r>
          </w:p>
        </w:tc>
        <w:tc>
          <w:tcPr>
            <w:tcW w:w="820" w:type="dxa"/>
            <w:tcBorders>
              <w:top w:val="single" w:color="auto" w:sz="4" w:space="0"/>
              <w:left w:val="nil"/>
              <w:bottom w:val="single" w:color="auto" w:sz="4" w:space="0"/>
              <w:right w:val="single" w:color="auto" w:sz="4" w:space="0"/>
            </w:tcBorders>
            <w:noWrap/>
            <w:hideMark/>
          </w:tcPr>
          <w:p w:rsidRPr="002F327A" w:rsidR="007253C8" w:rsidP="00301BD8" w:rsidRDefault="007253C8" w14:paraId="14625054" w14:textId="77777777">
            <w:pPr>
              <w:pStyle w:val="TableText"/>
              <w:rPr>
                <w:sz w:val="18"/>
                <w:szCs w:val="18"/>
              </w:rPr>
            </w:pPr>
            <w:r w:rsidRPr="002F327A">
              <w:rPr>
                <w:sz w:val="18"/>
                <w:szCs w:val="18"/>
              </w:rPr>
              <w:t>Actual O&amp;M</w:t>
            </w:r>
          </w:p>
        </w:tc>
        <w:tc>
          <w:tcPr>
            <w:tcW w:w="1177" w:type="dxa"/>
            <w:tcBorders>
              <w:top w:val="single" w:color="auto" w:sz="4" w:space="0"/>
              <w:left w:val="nil"/>
              <w:bottom w:val="single" w:color="auto" w:sz="4" w:space="0"/>
              <w:right w:val="single" w:color="auto" w:sz="4" w:space="0"/>
            </w:tcBorders>
            <w:noWrap/>
            <w:hideMark/>
          </w:tcPr>
          <w:p w:rsidRPr="002F327A" w:rsidR="007253C8" w:rsidP="00301BD8" w:rsidRDefault="007253C8" w14:paraId="1AB069BB" w14:textId="77777777">
            <w:pPr>
              <w:pStyle w:val="TableText"/>
              <w:rPr>
                <w:sz w:val="18"/>
                <w:szCs w:val="18"/>
              </w:rPr>
            </w:pPr>
            <w:r w:rsidRPr="002F327A">
              <w:rPr>
                <w:sz w:val="18"/>
                <w:szCs w:val="18"/>
              </w:rPr>
              <w:t>Authorized Capital</w:t>
            </w:r>
          </w:p>
        </w:tc>
        <w:tc>
          <w:tcPr>
            <w:tcW w:w="1203" w:type="dxa"/>
            <w:tcBorders>
              <w:top w:val="single" w:color="auto" w:sz="4" w:space="0"/>
              <w:left w:val="nil"/>
              <w:bottom w:val="single" w:color="auto" w:sz="4" w:space="0"/>
              <w:right w:val="single" w:color="auto" w:sz="4" w:space="0"/>
            </w:tcBorders>
            <w:noWrap/>
            <w:hideMark/>
          </w:tcPr>
          <w:p w:rsidRPr="002F327A" w:rsidR="007253C8" w:rsidP="00301BD8" w:rsidRDefault="007253C8" w14:paraId="7CD4DBC9" w14:textId="77777777">
            <w:pPr>
              <w:pStyle w:val="TableText"/>
              <w:rPr>
                <w:sz w:val="18"/>
                <w:szCs w:val="18"/>
              </w:rPr>
            </w:pPr>
            <w:r w:rsidRPr="002F327A">
              <w:rPr>
                <w:sz w:val="18"/>
                <w:szCs w:val="18"/>
              </w:rPr>
              <w:t>Authorized O&amp;M</w:t>
            </w:r>
          </w:p>
        </w:tc>
        <w:tc>
          <w:tcPr>
            <w:tcW w:w="1364" w:type="dxa"/>
            <w:tcBorders>
              <w:top w:val="single" w:color="auto" w:sz="4" w:space="0"/>
              <w:left w:val="nil"/>
              <w:bottom w:val="single" w:color="auto" w:sz="4" w:space="0"/>
              <w:right w:val="single" w:color="auto" w:sz="4" w:space="0"/>
            </w:tcBorders>
            <w:noWrap/>
            <w:hideMark/>
          </w:tcPr>
          <w:p w:rsidRPr="002F327A" w:rsidR="007253C8" w:rsidP="00301BD8" w:rsidRDefault="007253C8" w14:paraId="0D009859" w14:textId="77777777">
            <w:pPr>
              <w:pStyle w:val="TableText"/>
              <w:rPr>
                <w:sz w:val="18"/>
                <w:szCs w:val="18"/>
              </w:rPr>
            </w:pPr>
            <w:r w:rsidRPr="002F327A">
              <w:rPr>
                <w:sz w:val="18"/>
                <w:szCs w:val="18"/>
              </w:rPr>
              <w:t>Differential Requested Capital</w:t>
            </w:r>
          </w:p>
        </w:tc>
        <w:tc>
          <w:tcPr>
            <w:tcW w:w="1752" w:type="dxa"/>
            <w:tcBorders>
              <w:top w:val="single" w:color="auto" w:sz="4" w:space="0"/>
              <w:left w:val="nil"/>
              <w:bottom w:val="single" w:color="auto" w:sz="4" w:space="0"/>
              <w:right w:val="single" w:color="auto" w:sz="4" w:space="0"/>
            </w:tcBorders>
            <w:noWrap/>
            <w:hideMark/>
          </w:tcPr>
          <w:p w:rsidR="007253C8" w:rsidP="00301BD8" w:rsidRDefault="007253C8" w14:paraId="6AE13837" w14:textId="77777777">
            <w:pPr>
              <w:pStyle w:val="TableText"/>
              <w:jc w:val="center"/>
              <w:rPr>
                <w:sz w:val="18"/>
                <w:szCs w:val="18"/>
              </w:rPr>
            </w:pPr>
            <w:r w:rsidRPr="7F3084E0">
              <w:rPr>
                <w:sz w:val="18"/>
                <w:szCs w:val="18"/>
              </w:rPr>
              <w:t>Differential</w:t>
            </w:r>
          </w:p>
          <w:p w:rsidRPr="002F327A" w:rsidR="007253C8" w:rsidP="00301BD8" w:rsidRDefault="007253C8" w14:paraId="5D36846C" w14:textId="77777777">
            <w:pPr>
              <w:pStyle w:val="TableText"/>
              <w:jc w:val="center"/>
              <w:rPr>
                <w:sz w:val="18"/>
                <w:szCs w:val="18"/>
              </w:rPr>
            </w:pPr>
            <w:r w:rsidRPr="7F3084E0">
              <w:rPr>
                <w:sz w:val="18"/>
                <w:szCs w:val="18"/>
              </w:rPr>
              <w:t xml:space="preserve"> </w:t>
            </w:r>
            <w:r w:rsidRPr="1E0A7927">
              <w:rPr>
                <w:sz w:val="18"/>
                <w:szCs w:val="18"/>
              </w:rPr>
              <w:t>Requested O</w:t>
            </w:r>
            <w:r w:rsidRPr="7F3084E0">
              <w:rPr>
                <w:sz w:val="18"/>
                <w:szCs w:val="18"/>
              </w:rPr>
              <w:t>&amp;M</w:t>
            </w:r>
          </w:p>
        </w:tc>
      </w:tr>
      <w:tr w:rsidRPr="002F327A" w:rsidR="007253C8" w:rsidTr="00301BD8" w14:paraId="2774108D" w14:textId="77777777">
        <w:trPr>
          <w:trHeight w:val="296"/>
          <w:jc w:val="center"/>
        </w:trPr>
        <w:tc>
          <w:tcPr>
            <w:tcW w:w="2018" w:type="dxa"/>
            <w:tcBorders>
              <w:top w:val="nil"/>
              <w:left w:val="single" w:color="auto" w:sz="4" w:space="0"/>
              <w:bottom w:val="single" w:color="auto" w:sz="4" w:space="0"/>
              <w:right w:val="single" w:color="auto" w:sz="4" w:space="0"/>
            </w:tcBorders>
            <w:noWrap/>
            <w:vAlign w:val="bottom"/>
            <w:hideMark/>
          </w:tcPr>
          <w:p w:rsidRPr="002F327A" w:rsidR="007253C8" w:rsidP="00301BD8" w:rsidRDefault="007253C8" w14:paraId="3377E26E" w14:textId="77777777">
            <w:pPr>
              <w:pStyle w:val="TableText"/>
              <w:rPr>
                <w:color w:val="000000"/>
                <w:sz w:val="18"/>
                <w:szCs w:val="18"/>
              </w:rPr>
            </w:pPr>
            <w:r w:rsidRPr="002F327A">
              <w:rPr>
                <w:color w:val="000000"/>
                <w:sz w:val="18"/>
                <w:szCs w:val="18"/>
              </w:rPr>
              <w:t>Risk Assessment and Mapping</w:t>
            </w:r>
          </w:p>
        </w:tc>
        <w:tc>
          <w:tcPr>
            <w:tcW w:w="1021" w:type="dxa"/>
            <w:tcBorders>
              <w:top w:val="nil"/>
              <w:left w:val="nil"/>
              <w:bottom w:val="single" w:color="auto" w:sz="4" w:space="0"/>
              <w:right w:val="single" w:color="auto" w:sz="4" w:space="0"/>
            </w:tcBorders>
            <w:noWrap/>
            <w:vAlign w:val="center"/>
            <w:hideMark/>
          </w:tcPr>
          <w:p w:rsidRPr="002F327A" w:rsidR="007253C8" w:rsidP="00301BD8" w:rsidRDefault="007253C8" w14:paraId="1936763F" w14:textId="77777777">
            <w:pPr>
              <w:pStyle w:val="TableText"/>
              <w:jc w:val="right"/>
              <w:rPr>
                <w:color w:val="000000"/>
                <w:sz w:val="18"/>
                <w:szCs w:val="18"/>
              </w:rPr>
            </w:pPr>
            <w:r w:rsidRPr="002F327A">
              <w:rPr>
                <w:color w:val="000000"/>
                <w:sz w:val="18"/>
                <w:szCs w:val="18"/>
              </w:rPr>
              <w:t xml:space="preserve">                   1,869 </w:t>
            </w:r>
          </w:p>
        </w:tc>
        <w:tc>
          <w:tcPr>
            <w:tcW w:w="820" w:type="dxa"/>
            <w:tcBorders>
              <w:top w:val="nil"/>
              <w:left w:val="nil"/>
              <w:bottom w:val="single" w:color="auto" w:sz="4" w:space="0"/>
              <w:right w:val="single" w:color="auto" w:sz="4" w:space="0"/>
            </w:tcBorders>
            <w:noWrap/>
            <w:vAlign w:val="center"/>
            <w:hideMark/>
          </w:tcPr>
          <w:p w:rsidRPr="002F327A" w:rsidR="007253C8" w:rsidP="00301BD8" w:rsidRDefault="007253C8" w14:paraId="59631205" w14:textId="77777777">
            <w:pPr>
              <w:pStyle w:val="TableText"/>
              <w:jc w:val="right"/>
              <w:rPr>
                <w:color w:val="000000"/>
                <w:sz w:val="18"/>
                <w:szCs w:val="18"/>
              </w:rPr>
            </w:pPr>
            <w:r w:rsidRPr="002F327A">
              <w:rPr>
                <w:color w:val="000000"/>
                <w:sz w:val="18"/>
                <w:szCs w:val="18"/>
              </w:rPr>
              <w:t xml:space="preserve">               1,824 </w:t>
            </w:r>
          </w:p>
        </w:tc>
        <w:tc>
          <w:tcPr>
            <w:tcW w:w="1177" w:type="dxa"/>
            <w:tcBorders>
              <w:top w:val="nil"/>
              <w:left w:val="nil"/>
              <w:bottom w:val="single" w:color="auto" w:sz="4" w:space="0"/>
              <w:right w:val="single" w:color="auto" w:sz="4" w:space="0"/>
            </w:tcBorders>
            <w:noWrap/>
            <w:vAlign w:val="center"/>
            <w:hideMark/>
          </w:tcPr>
          <w:p w:rsidRPr="002F327A" w:rsidR="007253C8" w:rsidP="00301BD8" w:rsidRDefault="007253C8" w14:paraId="48B7406D" w14:textId="77777777">
            <w:pPr>
              <w:pStyle w:val="TableText"/>
              <w:jc w:val="right"/>
              <w:rPr>
                <w:color w:val="000000"/>
                <w:sz w:val="18"/>
                <w:szCs w:val="18"/>
              </w:rPr>
            </w:pPr>
            <w:r w:rsidRPr="002F327A">
              <w:rPr>
                <w:color w:val="000000"/>
                <w:sz w:val="18"/>
                <w:szCs w:val="18"/>
              </w:rPr>
              <w:t xml:space="preserve">                                  -   </w:t>
            </w:r>
          </w:p>
        </w:tc>
        <w:tc>
          <w:tcPr>
            <w:tcW w:w="1203" w:type="dxa"/>
            <w:tcBorders>
              <w:top w:val="nil"/>
              <w:left w:val="nil"/>
              <w:bottom w:val="single" w:color="auto" w:sz="4" w:space="0"/>
              <w:right w:val="single" w:color="auto" w:sz="4" w:space="0"/>
            </w:tcBorders>
            <w:noWrap/>
            <w:vAlign w:val="center"/>
            <w:hideMark/>
          </w:tcPr>
          <w:p w:rsidRPr="002F327A" w:rsidR="007253C8" w:rsidP="00301BD8" w:rsidRDefault="007253C8" w14:paraId="392F840B" w14:textId="77777777">
            <w:pPr>
              <w:pStyle w:val="TableText"/>
              <w:jc w:val="right"/>
              <w:rPr>
                <w:color w:val="000000"/>
                <w:sz w:val="18"/>
                <w:szCs w:val="18"/>
              </w:rPr>
            </w:pPr>
            <w:r w:rsidRPr="002F327A">
              <w:rPr>
                <w:color w:val="000000"/>
                <w:sz w:val="18"/>
                <w:szCs w:val="18"/>
              </w:rPr>
              <w:t xml:space="preserve">                              -   </w:t>
            </w:r>
          </w:p>
        </w:tc>
        <w:tc>
          <w:tcPr>
            <w:tcW w:w="1364" w:type="dxa"/>
            <w:tcBorders>
              <w:top w:val="nil"/>
              <w:left w:val="nil"/>
              <w:bottom w:val="single" w:color="auto" w:sz="4" w:space="0"/>
              <w:right w:val="single" w:color="auto" w:sz="4" w:space="0"/>
            </w:tcBorders>
            <w:noWrap/>
            <w:vAlign w:val="center"/>
            <w:hideMark/>
          </w:tcPr>
          <w:p w:rsidRPr="002F327A" w:rsidR="007253C8" w:rsidP="00301BD8" w:rsidRDefault="007253C8" w14:paraId="6EE969CB" w14:textId="77777777">
            <w:pPr>
              <w:pStyle w:val="TableText"/>
              <w:jc w:val="right"/>
              <w:rPr>
                <w:color w:val="000000"/>
                <w:sz w:val="18"/>
                <w:szCs w:val="18"/>
              </w:rPr>
            </w:pPr>
            <w:r w:rsidRPr="002F327A">
              <w:rPr>
                <w:color w:val="000000"/>
                <w:sz w:val="18"/>
                <w:szCs w:val="18"/>
              </w:rPr>
              <w:t xml:space="preserve">                        1,869 </w:t>
            </w:r>
          </w:p>
        </w:tc>
        <w:tc>
          <w:tcPr>
            <w:tcW w:w="1752" w:type="dxa"/>
            <w:tcBorders>
              <w:top w:val="nil"/>
              <w:left w:val="nil"/>
              <w:bottom w:val="single" w:color="auto" w:sz="4" w:space="0"/>
              <w:right w:val="single" w:color="auto" w:sz="4" w:space="0"/>
            </w:tcBorders>
            <w:noWrap/>
            <w:vAlign w:val="center"/>
            <w:hideMark/>
          </w:tcPr>
          <w:p w:rsidRPr="002F327A" w:rsidR="007253C8" w:rsidP="00301BD8" w:rsidRDefault="007253C8" w14:paraId="0B8C7BBF" w14:textId="77777777">
            <w:pPr>
              <w:pStyle w:val="TableText"/>
              <w:jc w:val="right"/>
              <w:rPr>
                <w:color w:val="000000"/>
                <w:sz w:val="18"/>
                <w:szCs w:val="18"/>
              </w:rPr>
            </w:pPr>
            <w:r w:rsidRPr="002F327A">
              <w:rPr>
                <w:color w:val="000000"/>
                <w:sz w:val="18"/>
                <w:szCs w:val="18"/>
              </w:rPr>
              <w:t xml:space="preserve">                    1,824 </w:t>
            </w:r>
          </w:p>
        </w:tc>
      </w:tr>
      <w:tr w:rsidRPr="002F327A" w:rsidR="007253C8" w:rsidTr="00301BD8" w14:paraId="0C142C92" w14:textId="77777777">
        <w:trPr>
          <w:trHeight w:val="282"/>
          <w:jc w:val="center"/>
        </w:trPr>
        <w:tc>
          <w:tcPr>
            <w:tcW w:w="2018" w:type="dxa"/>
            <w:tcBorders>
              <w:top w:val="nil"/>
              <w:left w:val="single" w:color="auto" w:sz="4" w:space="0"/>
              <w:bottom w:val="single" w:color="auto" w:sz="4" w:space="0"/>
              <w:right w:val="single" w:color="auto" w:sz="4" w:space="0"/>
            </w:tcBorders>
            <w:noWrap/>
            <w:vAlign w:val="bottom"/>
            <w:hideMark/>
          </w:tcPr>
          <w:p w:rsidRPr="002F327A" w:rsidR="007253C8" w:rsidP="00301BD8" w:rsidRDefault="007253C8" w14:paraId="2AABB39C" w14:textId="77777777">
            <w:pPr>
              <w:pStyle w:val="TableText"/>
              <w:rPr>
                <w:color w:val="000000"/>
                <w:sz w:val="18"/>
                <w:szCs w:val="18"/>
              </w:rPr>
            </w:pPr>
            <w:r w:rsidRPr="002F327A">
              <w:rPr>
                <w:color w:val="000000"/>
                <w:sz w:val="18"/>
                <w:szCs w:val="18"/>
              </w:rPr>
              <w:t>Situational Awareness and Forecasting</w:t>
            </w:r>
          </w:p>
        </w:tc>
        <w:tc>
          <w:tcPr>
            <w:tcW w:w="1021" w:type="dxa"/>
            <w:tcBorders>
              <w:top w:val="nil"/>
              <w:left w:val="nil"/>
              <w:bottom w:val="single" w:color="auto" w:sz="4" w:space="0"/>
              <w:right w:val="single" w:color="auto" w:sz="4" w:space="0"/>
            </w:tcBorders>
            <w:noWrap/>
            <w:vAlign w:val="center"/>
            <w:hideMark/>
          </w:tcPr>
          <w:p w:rsidRPr="002F327A" w:rsidR="007253C8" w:rsidP="00301BD8" w:rsidRDefault="007253C8" w14:paraId="18163EF7" w14:textId="77777777">
            <w:pPr>
              <w:pStyle w:val="TableText"/>
              <w:jc w:val="right"/>
              <w:rPr>
                <w:color w:val="000000"/>
                <w:sz w:val="18"/>
                <w:szCs w:val="18"/>
              </w:rPr>
            </w:pPr>
            <w:r w:rsidRPr="002F327A">
              <w:rPr>
                <w:color w:val="000000"/>
                <w:sz w:val="18"/>
                <w:szCs w:val="18"/>
              </w:rPr>
              <w:t xml:space="preserve">                    15,997 </w:t>
            </w:r>
          </w:p>
        </w:tc>
        <w:tc>
          <w:tcPr>
            <w:tcW w:w="820" w:type="dxa"/>
            <w:tcBorders>
              <w:top w:val="nil"/>
              <w:left w:val="nil"/>
              <w:bottom w:val="single" w:color="auto" w:sz="4" w:space="0"/>
              <w:right w:val="single" w:color="auto" w:sz="4" w:space="0"/>
            </w:tcBorders>
            <w:noWrap/>
            <w:vAlign w:val="center"/>
            <w:hideMark/>
          </w:tcPr>
          <w:p w:rsidRPr="002F327A" w:rsidR="007253C8" w:rsidP="00301BD8" w:rsidRDefault="007253C8" w14:paraId="287A54A9" w14:textId="77777777">
            <w:pPr>
              <w:pStyle w:val="TableText"/>
              <w:jc w:val="right"/>
              <w:rPr>
                <w:color w:val="000000"/>
                <w:sz w:val="18"/>
                <w:szCs w:val="18"/>
              </w:rPr>
            </w:pPr>
            <w:r w:rsidRPr="002F327A">
              <w:rPr>
                <w:color w:val="000000"/>
                <w:sz w:val="18"/>
                <w:szCs w:val="18"/>
              </w:rPr>
              <w:t xml:space="preserve">             11,442 </w:t>
            </w:r>
          </w:p>
        </w:tc>
        <w:tc>
          <w:tcPr>
            <w:tcW w:w="1177" w:type="dxa"/>
            <w:tcBorders>
              <w:top w:val="nil"/>
              <w:left w:val="nil"/>
              <w:bottom w:val="single" w:color="auto" w:sz="4" w:space="0"/>
              <w:right w:val="single" w:color="auto" w:sz="4" w:space="0"/>
            </w:tcBorders>
            <w:noWrap/>
            <w:vAlign w:val="center"/>
            <w:hideMark/>
          </w:tcPr>
          <w:p w:rsidRPr="002F327A" w:rsidR="007253C8" w:rsidP="00301BD8" w:rsidRDefault="007253C8" w14:paraId="780EA372" w14:textId="77777777">
            <w:pPr>
              <w:pStyle w:val="TableText"/>
              <w:jc w:val="right"/>
              <w:rPr>
                <w:color w:val="000000"/>
                <w:sz w:val="18"/>
                <w:szCs w:val="18"/>
              </w:rPr>
            </w:pPr>
            <w:r w:rsidRPr="002F327A">
              <w:rPr>
                <w:color w:val="000000"/>
                <w:sz w:val="18"/>
                <w:szCs w:val="18"/>
              </w:rPr>
              <w:t xml:space="preserve">                         12,987 </w:t>
            </w:r>
          </w:p>
        </w:tc>
        <w:tc>
          <w:tcPr>
            <w:tcW w:w="1203" w:type="dxa"/>
            <w:tcBorders>
              <w:top w:val="nil"/>
              <w:left w:val="nil"/>
              <w:bottom w:val="single" w:color="auto" w:sz="4" w:space="0"/>
              <w:right w:val="single" w:color="auto" w:sz="4" w:space="0"/>
            </w:tcBorders>
            <w:noWrap/>
            <w:vAlign w:val="center"/>
            <w:hideMark/>
          </w:tcPr>
          <w:p w:rsidRPr="002F327A" w:rsidR="007253C8" w:rsidP="00301BD8" w:rsidRDefault="007253C8" w14:paraId="64A13443" w14:textId="77777777">
            <w:pPr>
              <w:pStyle w:val="TableText"/>
              <w:jc w:val="right"/>
              <w:rPr>
                <w:color w:val="000000"/>
                <w:sz w:val="18"/>
                <w:szCs w:val="18"/>
              </w:rPr>
            </w:pPr>
            <w:r w:rsidRPr="002F327A">
              <w:rPr>
                <w:color w:val="000000"/>
                <w:sz w:val="18"/>
                <w:szCs w:val="18"/>
              </w:rPr>
              <w:t xml:space="preserve">                       9,588 </w:t>
            </w:r>
          </w:p>
        </w:tc>
        <w:tc>
          <w:tcPr>
            <w:tcW w:w="1364" w:type="dxa"/>
            <w:tcBorders>
              <w:top w:val="nil"/>
              <w:left w:val="nil"/>
              <w:bottom w:val="single" w:color="auto" w:sz="4" w:space="0"/>
              <w:right w:val="single" w:color="auto" w:sz="4" w:space="0"/>
            </w:tcBorders>
            <w:noWrap/>
            <w:vAlign w:val="center"/>
            <w:hideMark/>
          </w:tcPr>
          <w:p w:rsidRPr="002F327A" w:rsidR="007253C8" w:rsidP="00301BD8" w:rsidRDefault="007253C8" w14:paraId="175EE541" w14:textId="77777777">
            <w:pPr>
              <w:pStyle w:val="TableText"/>
              <w:jc w:val="right"/>
              <w:rPr>
                <w:color w:val="000000"/>
                <w:sz w:val="18"/>
                <w:szCs w:val="18"/>
              </w:rPr>
            </w:pPr>
            <w:r w:rsidRPr="002F327A">
              <w:rPr>
                <w:color w:val="000000"/>
                <w:sz w:val="18"/>
                <w:szCs w:val="18"/>
              </w:rPr>
              <w:t xml:space="preserve">                            3,010 </w:t>
            </w:r>
          </w:p>
        </w:tc>
        <w:tc>
          <w:tcPr>
            <w:tcW w:w="1752" w:type="dxa"/>
            <w:tcBorders>
              <w:top w:val="nil"/>
              <w:left w:val="nil"/>
              <w:bottom w:val="single" w:color="auto" w:sz="4" w:space="0"/>
              <w:right w:val="single" w:color="auto" w:sz="4" w:space="0"/>
            </w:tcBorders>
            <w:noWrap/>
            <w:vAlign w:val="center"/>
            <w:hideMark/>
          </w:tcPr>
          <w:p w:rsidRPr="002F327A" w:rsidR="007253C8" w:rsidP="00301BD8" w:rsidRDefault="007253C8" w14:paraId="2E8DAC35" w14:textId="77777777">
            <w:pPr>
              <w:pStyle w:val="TableText"/>
              <w:jc w:val="right"/>
              <w:rPr>
                <w:color w:val="000000"/>
                <w:sz w:val="18"/>
                <w:szCs w:val="18"/>
              </w:rPr>
            </w:pPr>
            <w:r w:rsidRPr="002F327A">
              <w:rPr>
                <w:color w:val="000000"/>
                <w:sz w:val="18"/>
                <w:szCs w:val="18"/>
              </w:rPr>
              <w:t xml:space="preserve">1,854 </w:t>
            </w:r>
          </w:p>
        </w:tc>
      </w:tr>
      <w:tr w:rsidRPr="002F327A" w:rsidR="007253C8" w:rsidTr="00301BD8" w14:paraId="5A1038FE" w14:textId="77777777">
        <w:trPr>
          <w:trHeight w:val="282"/>
          <w:jc w:val="center"/>
        </w:trPr>
        <w:tc>
          <w:tcPr>
            <w:tcW w:w="2018" w:type="dxa"/>
            <w:tcBorders>
              <w:top w:val="nil"/>
              <w:left w:val="single" w:color="auto" w:sz="4" w:space="0"/>
              <w:bottom w:val="single" w:color="auto" w:sz="4" w:space="0"/>
              <w:right w:val="single" w:color="auto" w:sz="4" w:space="0"/>
            </w:tcBorders>
            <w:noWrap/>
            <w:vAlign w:val="bottom"/>
            <w:hideMark/>
          </w:tcPr>
          <w:p w:rsidRPr="002F327A" w:rsidR="007253C8" w:rsidP="00301BD8" w:rsidRDefault="007253C8" w14:paraId="7CFEA32B" w14:textId="77777777">
            <w:pPr>
              <w:pStyle w:val="TableText"/>
              <w:rPr>
                <w:color w:val="000000"/>
                <w:sz w:val="18"/>
                <w:szCs w:val="18"/>
              </w:rPr>
            </w:pPr>
            <w:r w:rsidRPr="002F327A">
              <w:rPr>
                <w:color w:val="000000"/>
                <w:sz w:val="18"/>
                <w:szCs w:val="18"/>
              </w:rPr>
              <w:t>Grid Design and System Hardening</w:t>
            </w:r>
          </w:p>
        </w:tc>
        <w:tc>
          <w:tcPr>
            <w:tcW w:w="1021" w:type="dxa"/>
            <w:tcBorders>
              <w:top w:val="nil"/>
              <w:left w:val="nil"/>
              <w:bottom w:val="single" w:color="auto" w:sz="4" w:space="0"/>
              <w:right w:val="single" w:color="auto" w:sz="4" w:space="0"/>
            </w:tcBorders>
            <w:noWrap/>
            <w:vAlign w:val="center"/>
            <w:hideMark/>
          </w:tcPr>
          <w:p w:rsidRPr="002F327A" w:rsidR="007253C8" w:rsidP="00301BD8" w:rsidRDefault="007253C8" w14:paraId="4FC6A96C" w14:textId="77777777">
            <w:pPr>
              <w:pStyle w:val="TableText"/>
              <w:jc w:val="right"/>
              <w:rPr>
                <w:color w:val="000000"/>
                <w:sz w:val="18"/>
                <w:szCs w:val="18"/>
              </w:rPr>
            </w:pPr>
            <w:r w:rsidRPr="002F327A">
              <w:rPr>
                <w:color w:val="000000"/>
                <w:sz w:val="18"/>
                <w:szCs w:val="18"/>
              </w:rPr>
              <w:t xml:space="preserve">              1,177,380 </w:t>
            </w:r>
          </w:p>
        </w:tc>
        <w:tc>
          <w:tcPr>
            <w:tcW w:w="820" w:type="dxa"/>
            <w:tcBorders>
              <w:top w:val="nil"/>
              <w:left w:val="nil"/>
              <w:bottom w:val="single" w:color="auto" w:sz="4" w:space="0"/>
              <w:right w:val="single" w:color="auto" w:sz="4" w:space="0"/>
            </w:tcBorders>
            <w:noWrap/>
            <w:vAlign w:val="center"/>
            <w:hideMark/>
          </w:tcPr>
          <w:p w:rsidRPr="002F327A" w:rsidR="007253C8" w:rsidP="00301BD8" w:rsidRDefault="007253C8" w14:paraId="135E775E" w14:textId="77777777">
            <w:pPr>
              <w:pStyle w:val="TableText"/>
              <w:jc w:val="right"/>
              <w:rPr>
                <w:color w:val="000000"/>
                <w:sz w:val="18"/>
                <w:szCs w:val="18"/>
              </w:rPr>
            </w:pPr>
            <w:r w:rsidRPr="002F327A">
              <w:rPr>
                <w:color w:val="000000"/>
                <w:sz w:val="18"/>
                <w:szCs w:val="18"/>
              </w:rPr>
              <w:t xml:space="preserve">             73,363 </w:t>
            </w:r>
          </w:p>
        </w:tc>
        <w:tc>
          <w:tcPr>
            <w:tcW w:w="1177" w:type="dxa"/>
            <w:tcBorders>
              <w:top w:val="nil"/>
              <w:left w:val="nil"/>
              <w:bottom w:val="single" w:color="auto" w:sz="4" w:space="0"/>
              <w:right w:val="single" w:color="auto" w:sz="4" w:space="0"/>
            </w:tcBorders>
            <w:noWrap/>
            <w:vAlign w:val="center"/>
            <w:hideMark/>
          </w:tcPr>
          <w:p w:rsidRPr="002F327A" w:rsidR="007253C8" w:rsidP="00301BD8" w:rsidRDefault="007253C8" w14:paraId="2A16108A" w14:textId="77777777">
            <w:pPr>
              <w:pStyle w:val="TableText"/>
              <w:jc w:val="right"/>
              <w:rPr>
                <w:color w:val="000000"/>
                <w:sz w:val="18"/>
                <w:szCs w:val="18"/>
              </w:rPr>
            </w:pPr>
            <w:r w:rsidRPr="002F327A">
              <w:rPr>
                <w:color w:val="000000"/>
                <w:sz w:val="18"/>
                <w:szCs w:val="18"/>
              </w:rPr>
              <w:t xml:space="preserve">                       537,412 </w:t>
            </w:r>
          </w:p>
        </w:tc>
        <w:tc>
          <w:tcPr>
            <w:tcW w:w="1203" w:type="dxa"/>
            <w:tcBorders>
              <w:top w:val="nil"/>
              <w:left w:val="nil"/>
              <w:bottom w:val="single" w:color="auto" w:sz="4" w:space="0"/>
              <w:right w:val="single" w:color="auto" w:sz="4" w:space="0"/>
            </w:tcBorders>
            <w:noWrap/>
            <w:vAlign w:val="center"/>
            <w:hideMark/>
          </w:tcPr>
          <w:p w:rsidRPr="002F327A" w:rsidR="007253C8" w:rsidP="00301BD8" w:rsidRDefault="007253C8" w14:paraId="2B854B3C" w14:textId="77777777">
            <w:pPr>
              <w:pStyle w:val="TableText"/>
              <w:jc w:val="right"/>
              <w:rPr>
                <w:color w:val="000000"/>
                <w:sz w:val="18"/>
                <w:szCs w:val="18"/>
              </w:rPr>
            </w:pPr>
            <w:r w:rsidRPr="002F327A">
              <w:rPr>
                <w:color w:val="000000"/>
                <w:sz w:val="18"/>
                <w:szCs w:val="18"/>
              </w:rPr>
              <w:t xml:space="preserve">                    21,302 </w:t>
            </w:r>
          </w:p>
        </w:tc>
        <w:tc>
          <w:tcPr>
            <w:tcW w:w="1364" w:type="dxa"/>
            <w:tcBorders>
              <w:top w:val="nil"/>
              <w:left w:val="nil"/>
              <w:bottom w:val="single" w:color="auto" w:sz="4" w:space="0"/>
              <w:right w:val="single" w:color="auto" w:sz="4" w:space="0"/>
            </w:tcBorders>
            <w:noWrap/>
            <w:vAlign w:val="center"/>
            <w:hideMark/>
          </w:tcPr>
          <w:p w:rsidRPr="002F327A" w:rsidR="007253C8" w:rsidP="00301BD8" w:rsidRDefault="007253C8" w14:paraId="33A4131E" w14:textId="77777777">
            <w:pPr>
              <w:pStyle w:val="TableText"/>
              <w:jc w:val="right"/>
              <w:rPr>
                <w:color w:val="000000"/>
                <w:sz w:val="18"/>
                <w:szCs w:val="18"/>
              </w:rPr>
            </w:pPr>
            <w:r w:rsidRPr="002F327A">
              <w:rPr>
                <w:color w:val="000000"/>
                <w:sz w:val="18"/>
                <w:szCs w:val="18"/>
              </w:rPr>
              <w:t xml:space="preserve">                        639,968 </w:t>
            </w:r>
          </w:p>
        </w:tc>
        <w:tc>
          <w:tcPr>
            <w:tcW w:w="1752" w:type="dxa"/>
            <w:tcBorders>
              <w:top w:val="nil"/>
              <w:left w:val="nil"/>
              <w:bottom w:val="single" w:color="auto" w:sz="4" w:space="0"/>
              <w:right w:val="single" w:color="auto" w:sz="4" w:space="0"/>
            </w:tcBorders>
            <w:noWrap/>
            <w:vAlign w:val="center"/>
            <w:hideMark/>
          </w:tcPr>
          <w:p w:rsidRPr="002F327A" w:rsidR="007253C8" w:rsidP="00301BD8" w:rsidRDefault="007253C8" w14:paraId="387E22F7" w14:textId="77777777">
            <w:pPr>
              <w:pStyle w:val="TableText"/>
              <w:jc w:val="right"/>
              <w:rPr>
                <w:color w:val="000000"/>
                <w:sz w:val="18"/>
                <w:szCs w:val="18"/>
              </w:rPr>
            </w:pPr>
            <w:r w:rsidRPr="002F327A">
              <w:rPr>
                <w:color w:val="000000"/>
                <w:sz w:val="18"/>
                <w:szCs w:val="18"/>
              </w:rPr>
              <w:t xml:space="preserve">52,061 </w:t>
            </w:r>
          </w:p>
        </w:tc>
      </w:tr>
      <w:tr w:rsidRPr="002F327A" w:rsidR="007253C8" w:rsidTr="00301BD8" w14:paraId="0FC7F57B" w14:textId="77777777">
        <w:trPr>
          <w:trHeight w:val="282"/>
          <w:jc w:val="center"/>
        </w:trPr>
        <w:tc>
          <w:tcPr>
            <w:tcW w:w="2018" w:type="dxa"/>
            <w:tcBorders>
              <w:top w:val="nil"/>
              <w:left w:val="single" w:color="auto" w:sz="4" w:space="0"/>
              <w:bottom w:val="single" w:color="auto" w:sz="4" w:space="0"/>
              <w:right w:val="single" w:color="auto" w:sz="4" w:space="0"/>
            </w:tcBorders>
            <w:noWrap/>
            <w:vAlign w:val="bottom"/>
            <w:hideMark/>
          </w:tcPr>
          <w:p w:rsidRPr="002F327A" w:rsidR="007253C8" w:rsidP="00301BD8" w:rsidRDefault="007253C8" w14:paraId="3B674B41" w14:textId="77777777">
            <w:pPr>
              <w:pStyle w:val="TableText"/>
              <w:rPr>
                <w:color w:val="000000"/>
                <w:sz w:val="18"/>
                <w:szCs w:val="18"/>
              </w:rPr>
            </w:pPr>
            <w:r w:rsidRPr="002F327A">
              <w:rPr>
                <w:color w:val="000000"/>
                <w:sz w:val="18"/>
                <w:szCs w:val="18"/>
              </w:rPr>
              <w:t>Asset Management and Inspections</w:t>
            </w:r>
          </w:p>
        </w:tc>
        <w:tc>
          <w:tcPr>
            <w:tcW w:w="1021" w:type="dxa"/>
            <w:tcBorders>
              <w:top w:val="nil"/>
              <w:left w:val="nil"/>
              <w:bottom w:val="single" w:color="auto" w:sz="4" w:space="0"/>
              <w:right w:val="single" w:color="auto" w:sz="4" w:space="0"/>
            </w:tcBorders>
            <w:noWrap/>
            <w:vAlign w:val="center"/>
            <w:hideMark/>
          </w:tcPr>
          <w:p w:rsidRPr="002F327A" w:rsidR="007253C8" w:rsidP="00301BD8" w:rsidRDefault="007253C8" w14:paraId="04BED46F" w14:textId="77777777">
            <w:pPr>
              <w:pStyle w:val="TableText"/>
              <w:jc w:val="right"/>
              <w:rPr>
                <w:color w:val="000000"/>
                <w:sz w:val="18"/>
                <w:szCs w:val="18"/>
              </w:rPr>
            </w:pPr>
            <w:r w:rsidRPr="002F327A">
              <w:rPr>
                <w:color w:val="000000"/>
                <w:sz w:val="18"/>
                <w:szCs w:val="18"/>
              </w:rPr>
              <w:t xml:space="preserve">                 139,338 </w:t>
            </w:r>
          </w:p>
        </w:tc>
        <w:tc>
          <w:tcPr>
            <w:tcW w:w="820" w:type="dxa"/>
            <w:tcBorders>
              <w:top w:val="nil"/>
              <w:left w:val="nil"/>
              <w:bottom w:val="single" w:color="auto" w:sz="4" w:space="0"/>
              <w:right w:val="single" w:color="auto" w:sz="4" w:space="0"/>
            </w:tcBorders>
            <w:noWrap/>
            <w:vAlign w:val="center"/>
            <w:hideMark/>
          </w:tcPr>
          <w:p w:rsidRPr="002F327A" w:rsidR="007253C8" w:rsidP="00301BD8" w:rsidRDefault="007253C8" w14:paraId="27E8554E" w14:textId="77777777">
            <w:pPr>
              <w:pStyle w:val="TableText"/>
              <w:jc w:val="right"/>
              <w:rPr>
                <w:color w:val="000000"/>
                <w:sz w:val="18"/>
                <w:szCs w:val="18"/>
              </w:rPr>
            </w:pPr>
            <w:r w:rsidRPr="002F327A">
              <w:rPr>
                <w:color w:val="000000"/>
                <w:sz w:val="18"/>
                <w:szCs w:val="18"/>
              </w:rPr>
              <w:t xml:space="preserve">           145,641 </w:t>
            </w:r>
          </w:p>
        </w:tc>
        <w:tc>
          <w:tcPr>
            <w:tcW w:w="1177" w:type="dxa"/>
            <w:tcBorders>
              <w:top w:val="nil"/>
              <w:left w:val="nil"/>
              <w:bottom w:val="single" w:color="auto" w:sz="4" w:space="0"/>
              <w:right w:val="single" w:color="auto" w:sz="4" w:space="0"/>
            </w:tcBorders>
            <w:noWrap/>
            <w:vAlign w:val="center"/>
            <w:hideMark/>
          </w:tcPr>
          <w:p w:rsidRPr="002F327A" w:rsidR="007253C8" w:rsidP="00301BD8" w:rsidRDefault="007253C8" w14:paraId="171D66E8" w14:textId="77777777">
            <w:pPr>
              <w:pStyle w:val="TableText"/>
              <w:jc w:val="right"/>
              <w:rPr>
                <w:color w:val="000000"/>
                <w:sz w:val="18"/>
                <w:szCs w:val="18"/>
              </w:rPr>
            </w:pPr>
            <w:r w:rsidRPr="002F327A">
              <w:rPr>
                <w:color w:val="000000"/>
                <w:sz w:val="18"/>
                <w:szCs w:val="18"/>
              </w:rPr>
              <w:t xml:space="preserve">                         45,105 </w:t>
            </w:r>
          </w:p>
        </w:tc>
        <w:tc>
          <w:tcPr>
            <w:tcW w:w="1203" w:type="dxa"/>
            <w:tcBorders>
              <w:top w:val="nil"/>
              <w:left w:val="nil"/>
              <w:bottom w:val="single" w:color="auto" w:sz="4" w:space="0"/>
              <w:right w:val="single" w:color="auto" w:sz="4" w:space="0"/>
            </w:tcBorders>
            <w:noWrap/>
            <w:vAlign w:val="center"/>
            <w:hideMark/>
          </w:tcPr>
          <w:p w:rsidRPr="002F327A" w:rsidR="007253C8" w:rsidP="00301BD8" w:rsidRDefault="007253C8" w14:paraId="5E019664" w14:textId="77777777">
            <w:pPr>
              <w:pStyle w:val="TableText"/>
              <w:jc w:val="right"/>
              <w:rPr>
                <w:color w:val="000000"/>
                <w:sz w:val="18"/>
                <w:szCs w:val="18"/>
              </w:rPr>
            </w:pPr>
            <w:r w:rsidRPr="002F327A">
              <w:rPr>
                <w:color w:val="000000"/>
                <w:sz w:val="18"/>
                <w:szCs w:val="18"/>
              </w:rPr>
              <w:t xml:space="preserve">                    50,628 </w:t>
            </w:r>
          </w:p>
        </w:tc>
        <w:tc>
          <w:tcPr>
            <w:tcW w:w="1364" w:type="dxa"/>
            <w:tcBorders>
              <w:top w:val="nil"/>
              <w:left w:val="nil"/>
              <w:bottom w:val="single" w:color="auto" w:sz="4" w:space="0"/>
              <w:right w:val="single" w:color="auto" w:sz="4" w:space="0"/>
            </w:tcBorders>
            <w:noWrap/>
            <w:vAlign w:val="center"/>
            <w:hideMark/>
          </w:tcPr>
          <w:p w:rsidRPr="002F327A" w:rsidR="007253C8" w:rsidP="00301BD8" w:rsidRDefault="007253C8" w14:paraId="7DF3586F" w14:textId="77777777">
            <w:pPr>
              <w:pStyle w:val="TableText"/>
              <w:jc w:val="right"/>
              <w:rPr>
                <w:color w:val="000000"/>
                <w:sz w:val="18"/>
                <w:szCs w:val="18"/>
              </w:rPr>
            </w:pPr>
            <w:r w:rsidRPr="002F327A">
              <w:rPr>
                <w:color w:val="000000"/>
                <w:sz w:val="18"/>
                <w:szCs w:val="18"/>
              </w:rPr>
              <w:t xml:space="preserve">                          94,233 </w:t>
            </w:r>
          </w:p>
        </w:tc>
        <w:tc>
          <w:tcPr>
            <w:tcW w:w="1752" w:type="dxa"/>
            <w:tcBorders>
              <w:top w:val="nil"/>
              <w:left w:val="nil"/>
              <w:bottom w:val="single" w:color="auto" w:sz="4" w:space="0"/>
              <w:right w:val="single" w:color="auto" w:sz="4" w:space="0"/>
            </w:tcBorders>
            <w:noWrap/>
            <w:vAlign w:val="center"/>
            <w:hideMark/>
          </w:tcPr>
          <w:p w:rsidRPr="002F327A" w:rsidR="007253C8" w:rsidP="00301BD8" w:rsidRDefault="007253C8" w14:paraId="7B949FEB" w14:textId="77777777">
            <w:pPr>
              <w:pStyle w:val="TableText"/>
              <w:jc w:val="right"/>
              <w:rPr>
                <w:color w:val="000000"/>
                <w:sz w:val="18"/>
                <w:szCs w:val="18"/>
              </w:rPr>
            </w:pPr>
            <w:r w:rsidRPr="002F327A">
              <w:rPr>
                <w:color w:val="000000"/>
                <w:sz w:val="18"/>
                <w:szCs w:val="18"/>
              </w:rPr>
              <w:t xml:space="preserve">95,013 </w:t>
            </w:r>
          </w:p>
        </w:tc>
      </w:tr>
      <w:tr w:rsidRPr="002F327A" w:rsidR="007253C8" w:rsidTr="00301BD8" w14:paraId="52B9058B" w14:textId="77777777">
        <w:trPr>
          <w:trHeight w:val="282"/>
          <w:jc w:val="center"/>
        </w:trPr>
        <w:tc>
          <w:tcPr>
            <w:tcW w:w="2018" w:type="dxa"/>
            <w:tcBorders>
              <w:top w:val="nil"/>
              <w:left w:val="single" w:color="auto" w:sz="4" w:space="0"/>
              <w:bottom w:val="single" w:color="auto" w:sz="4" w:space="0"/>
              <w:right w:val="single" w:color="auto" w:sz="4" w:space="0"/>
            </w:tcBorders>
            <w:noWrap/>
            <w:vAlign w:val="bottom"/>
            <w:hideMark/>
          </w:tcPr>
          <w:p w:rsidRPr="002F327A" w:rsidR="007253C8" w:rsidP="00301BD8" w:rsidRDefault="007253C8" w14:paraId="052133F2" w14:textId="77777777">
            <w:pPr>
              <w:pStyle w:val="TableText"/>
              <w:rPr>
                <w:color w:val="000000"/>
                <w:sz w:val="18"/>
                <w:szCs w:val="18"/>
              </w:rPr>
            </w:pPr>
            <w:r w:rsidRPr="002F327A">
              <w:rPr>
                <w:color w:val="000000"/>
                <w:sz w:val="18"/>
                <w:szCs w:val="18"/>
              </w:rPr>
              <w:t>Vegetation Management and Inspections</w:t>
            </w:r>
          </w:p>
        </w:tc>
        <w:tc>
          <w:tcPr>
            <w:tcW w:w="1021" w:type="dxa"/>
            <w:tcBorders>
              <w:top w:val="nil"/>
              <w:left w:val="nil"/>
              <w:bottom w:val="single" w:color="auto" w:sz="4" w:space="0"/>
              <w:right w:val="single" w:color="auto" w:sz="4" w:space="0"/>
            </w:tcBorders>
            <w:noWrap/>
            <w:vAlign w:val="center"/>
            <w:hideMark/>
          </w:tcPr>
          <w:p w:rsidRPr="002F327A" w:rsidR="007253C8" w:rsidP="00301BD8" w:rsidRDefault="007253C8" w14:paraId="65D29098" w14:textId="77777777">
            <w:pPr>
              <w:pStyle w:val="TableText"/>
              <w:jc w:val="right"/>
              <w:rPr>
                <w:color w:val="000000"/>
                <w:sz w:val="18"/>
                <w:szCs w:val="18"/>
              </w:rPr>
            </w:pPr>
            <w:r w:rsidRPr="002F327A">
              <w:rPr>
                <w:color w:val="000000"/>
                <w:sz w:val="18"/>
                <w:szCs w:val="18"/>
              </w:rPr>
              <w:t xml:space="preserve">                             -   </w:t>
            </w:r>
          </w:p>
        </w:tc>
        <w:tc>
          <w:tcPr>
            <w:tcW w:w="820" w:type="dxa"/>
            <w:tcBorders>
              <w:top w:val="nil"/>
              <w:left w:val="nil"/>
              <w:bottom w:val="single" w:color="auto" w:sz="4" w:space="0"/>
              <w:right w:val="single" w:color="auto" w:sz="4" w:space="0"/>
            </w:tcBorders>
            <w:noWrap/>
            <w:vAlign w:val="center"/>
            <w:hideMark/>
          </w:tcPr>
          <w:p w:rsidRPr="002F327A" w:rsidR="007253C8" w:rsidP="00301BD8" w:rsidRDefault="007253C8" w14:paraId="5A021493" w14:textId="77777777">
            <w:pPr>
              <w:pStyle w:val="TableText"/>
              <w:jc w:val="right"/>
              <w:rPr>
                <w:color w:val="000000"/>
                <w:sz w:val="18"/>
                <w:szCs w:val="18"/>
              </w:rPr>
            </w:pPr>
            <w:r w:rsidRPr="002F327A">
              <w:rPr>
                <w:color w:val="000000"/>
                <w:sz w:val="18"/>
                <w:szCs w:val="18"/>
              </w:rPr>
              <w:t xml:space="preserve">             47,550 </w:t>
            </w:r>
          </w:p>
        </w:tc>
        <w:tc>
          <w:tcPr>
            <w:tcW w:w="1177" w:type="dxa"/>
            <w:tcBorders>
              <w:top w:val="nil"/>
              <w:left w:val="nil"/>
              <w:bottom w:val="single" w:color="auto" w:sz="4" w:space="0"/>
              <w:right w:val="single" w:color="auto" w:sz="4" w:space="0"/>
            </w:tcBorders>
            <w:noWrap/>
            <w:vAlign w:val="center"/>
            <w:hideMark/>
          </w:tcPr>
          <w:p w:rsidRPr="002F327A" w:rsidR="007253C8" w:rsidP="00301BD8" w:rsidRDefault="007253C8" w14:paraId="1CDC20D3" w14:textId="77777777">
            <w:pPr>
              <w:pStyle w:val="TableText"/>
              <w:jc w:val="right"/>
              <w:rPr>
                <w:color w:val="000000"/>
                <w:sz w:val="18"/>
                <w:szCs w:val="18"/>
              </w:rPr>
            </w:pPr>
            <w:r w:rsidRPr="002F327A">
              <w:rPr>
                <w:color w:val="000000"/>
                <w:sz w:val="18"/>
                <w:szCs w:val="18"/>
              </w:rPr>
              <w:t xml:space="preserve">                                   -   </w:t>
            </w:r>
          </w:p>
        </w:tc>
        <w:tc>
          <w:tcPr>
            <w:tcW w:w="1203" w:type="dxa"/>
            <w:tcBorders>
              <w:top w:val="nil"/>
              <w:left w:val="nil"/>
              <w:bottom w:val="single" w:color="auto" w:sz="4" w:space="0"/>
              <w:right w:val="single" w:color="auto" w:sz="4" w:space="0"/>
            </w:tcBorders>
            <w:noWrap/>
            <w:vAlign w:val="center"/>
            <w:hideMark/>
          </w:tcPr>
          <w:p w:rsidRPr="002F327A" w:rsidR="007253C8" w:rsidP="00301BD8" w:rsidRDefault="007253C8" w14:paraId="43E3F4D3" w14:textId="77777777">
            <w:pPr>
              <w:pStyle w:val="TableText"/>
              <w:jc w:val="right"/>
              <w:rPr>
                <w:color w:val="000000"/>
                <w:sz w:val="18"/>
                <w:szCs w:val="18"/>
              </w:rPr>
            </w:pPr>
            <w:r w:rsidRPr="002F327A">
              <w:rPr>
                <w:color w:val="000000"/>
                <w:sz w:val="18"/>
                <w:szCs w:val="18"/>
              </w:rPr>
              <w:t xml:space="preserve">                    16,552 </w:t>
            </w:r>
          </w:p>
        </w:tc>
        <w:tc>
          <w:tcPr>
            <w:tcW w:w="1364" w:type="dxa"/>
            <w:tcBorders>
              <w:top w:val="nil"/>
              <w:left w:val="nil"/>
              <w:bottom w:val="single" w:color="auto" w:sz="4" w:space="0"/>
              <w:right w:val="single" w:color="auto" w:sz="4" w:space="0"/>
            </w:tcBorders>
            <w:noWrap/>
            <w:vAlign w:val="center"/>
            <w:hideMark/>
          </w:tcPr>
          <w:p w:rsidRPr="002F327A" w:rsidR="007253C8" w:rsidP="00301BD8" w:rsidRDefault="007253C8" w14:paraId="1B342902" w14:textId="77777777">
            <w:pPr>
              <w:pStyle w:val="TableText"/>
              <w:jc w:val="right"/>
              <w:rPr>
                <w:color w:val="000000"/>
                <w:sz w:val="18"/>
                <w:szCs w:val="18"/>
              </w:rPr>
            </w:pPr>
            <w:r w:rsidRPr="002F327A">
              <w:rPr>
                <w:color w:val="000000"/>
                <w:sz w:val="18"/>
                <w:szCs w:val="18"/>
              </w:rPr>
              <w:t xml:space="preserve">                                   -   </w:t>
            </w:r>
          </w:p>
        </w:tc>
        <w:tc>
          <w:tcPr>
            <w:tcW w:w="1752" w:type="dxa"/>
            <w:tcBorders>
              <w:top w:val="nil"/>
              <w:left w:val="nil"/>
              <w:bottom w:val="single" w:color="auto" w:sz="4" w:space="0"/>
              <w:right w:val="single" w:color="auto" w:sz="4" w:space="0"/>
            </w:tcBorders>
            <w:noWrap/>
            <w:vAlign w:val="center"/>
            <w:hideMark/>
          </w:tcPr>
          <w:p w:rsidRPr="002F327A" w:rsidR="007253C8" w:rsidP="00301BD8" w:rsidRDefault="007253C8" w14:paraId="3B15E9D9" w14:textId="77777777">
            <w:pPr>
              <w:pStyle w:val="TableText"/>
              <w:jc w:val="right"/>
              <w:rPr>
                <w:color w:val="000000"/>
                <w:sz w:val="18"/>
                <w:szCs w:val="18"/>
              </w:rPr>
            </w:pPr>
            <w:r w:rsidRPr="002F327A">
              <w:rPr>
                <w:color w:val="000000"/>
                <w:sz w:val="18"/>
                <w:szCs w:val="18"/>
              </w:rPr>
              <w:t xml:space="preserve">30,998 </w:t>
            </w:r>
          </w:p>
        </w:tc>
      </w:tr>
      <w:tr w:rsidRPr="002F327A" w:rsidR="007253C8" w:rsidTr="00301BD8" w14:paraId="0B5DA48C" w14:textId="77777777">
        <w:trPr>
          <w:trHeight w:val="282"/>
          <w:jc w:val="center"/>
        </w:trPr>
        <w:tc>
          <w:tcPr>
            <w:tcW w:w="2018" w:type="dxa"/>
            <w:tcBorders>
              <w:top w:val="nil"/>
              <w:left w:val="single" w:color="auto" w:sz="4" w:space="0"/>
              <w:bottom w:val="single" w:color="auto" w:sz="4" w:space="0"/>
              <w:right w:val="single" w:color="auto" w:sz="4" w:space="0"/>
            </w:tcBorders>
            <w:noWrap/>
            <w:vAlign w:val="bottom"/>
            <w:hideMark/>
          </w:tcPr>
          <w:p w:rsidRPr="002F327A" w:rsidR="007253C8" w:rsidP="00301BD8" w:rsidRDefault="007253C8" w14:paraId="1F168BED" w14:textId="77777777">
            <w:pPr>
              <w:pStyle w:val="TableText"/>
              <w:rPr>
                <w:color w:val="000000"/>
                <w:sz w:val="18"/>
                <w:szCs w:val="18"/>
              </w:rPr>
            </w:pPr>
            <w:r w:rsidRPr="002F327A">
              <w:rPr>
                <w:color w:val="000000"/>
                <w:sz w:val="18"/>
                <w:szCs w:val="18"/>
              </w:rPr>
              <w:t>Grid Operations and Protocols</w:t>
            </w:r>
          </w:p>
        </w:tc>
        <w:tc>
          <w:tcPr>
            <w:tcW w:w="1021" w:type="dxa"/>
            <w:tcBorders>
              <w:top w:val="nil"/>
              <w:left w:val="nil"/>
              <w:bottom w:val="single" w:color="auto" w:sz="4" w:space="0"/>
              <w:right w:val="single" w:color="auto" w:sz="4" w:space="0"/>
            </w:tcBorders>
            <w:noWrap/>
            <w:vAlign w:val="center"/>
            <w:hideMark/>
          </w:tcPr>
          <w:p w:rsidRPr="002F327A" w:rsidR="007253C8" w:rsidP="00301BD8" w:rsidRDefault="007253C8" w14:paraId="3F02C230" w14:textId="77777777">
            <w:pPr>
              <w:pStyle w:val="TableText"/>
              <w:jc w:val="right"/>
              <w:rPr>
                <w:color w:val="000000"/>
                <w:sz w:val="18"/>
                <w:szCs w:val="18"/>
              </w:rPr>
            </w:pPr>
            <w:r w:rsidRPr="002F327A">
              <w:rPr>
                <w:color w:val="000000"/>
                <w:sz w:val="18"/>
                <w:szCs w:val="18"/>
              </w:rPr>
              <w:t xml:space="preserve">                    33,452 </w:t>
            </w:r>
          </w:p>
        </w:tc>
        <w:tc>
          <w:tcPr>
            <w:tcW w:w="820" w:type="dxa"/>
            <w:tcBorders>
              <w:top w:val="nil"/>
              <w:left w:val="nil"/>
              <w:bottom w:val="single" w:color="auto" w:sz="4" w:space="0"/>
              <w:right w:val="single" w:color="auto" w:sz="4" w:space="0"/>
            </w:tcBorders>
            <w:noWrap/>
            <w:vAlign w:val="center"/>
            <w:hideMark/>
          </w:tcPr>
          <w:p w:rsidRPr="002F327A" w:rsidR="007253C8" w:rsidP="00301BD8" w:rsidRDefault="007253C8" w14:paraId="67E08307" w14:textId="77777777">
            <w:pPr>
              <w:pStyle w:val="TableText"/>
              <w:jc w:val="right"/>
              <w:rPr>
                <w:color w:val="000000"/>
                <w:sz w:val="18"/>
                <w:szCs w:val="18"/>
              </w:rPr>
            </w:pPr>
            <w:r w:rsidRPr="002F327A">
              <w:rPr>
                <w:color w:val="000000"/>
                <w:sz w:val="18"/>
                <w:szCs w:val="18"/>
              </w:rPr>
              <w:t xml:space="preserve">             35,380 </w:t>
            </w:r>
          </w:p>
        </w:tc>
        <w:tc>
          <w:tcPr>
            <w:tcW w:w="1177" w:type="dxa"/>
            <w:tcBorders>
              <w:top w:val="nil"/>
              <w:left w:val="nil"/>
              <w:bottom w:val="single" w:color="auto" w:sz="4" w:space="0"/>
              <w:right w:val="single" w:color="auto" w:sz="4" w:space="0"/>
            </w:tcBorders>
            <w:noWrap/>
            <w:vAlign w:val="center"/>
            <w:hideMark/>
          </w:tcPr>
          <w:p w:rsidRPr="002F327A" w:rsidR="007253C8" w:rsidP="00301BD8" w:rsidRDefault="007253C8" w14:paraId="2B0F8A59" w14:textId="77777777">
            <w:pPr>
              <w:pStyle w:val="TableText"/>
              <w:jc w:val="right"/>
              <w:rPr>
                <w:color w:val="000000"/>
                <w:sz w:val="18"/>
                <w:szCs w:val="18"/>
              </w:rPr>
            </w:pPr>
            <w:r w:rsidRPr="002F327A">
              <w:rPr>
                <w:color w:val="000000"/>
                <w:sz w:val="18"/>
                <w:szCs w:val="18"/>
              </w:rPr>
              <w:t xml:space="preserve">                                   -   </w:t>
            </w:r>
          </w:p>
        </w:tc>
        <w:tc>
          <w:tcPr>
            <w:tcW w:w="1203" w:type="dxa"/>
            <w:tcBorders>
              <w:top w:val="nil"/>
              <w:left w:val="nil"/>
              <w:bottom w:val="single" w:color="auto" w:sz="4" w:space="0"/>
              <w:right w:val="single" w:color="auto" w:sz="4" w:space="0"/>
            </w:tcBorders>
            <w:noWrap/>
            <w:vAlign w:val="center"/>
            <w:hideMark/>
          </w:tcPr>
          <w:p w:rsidRPr="002F327A" w:rsidR="007253C8" w:rsidP="00301BD8" w:rsidRDefault="007253C8" w14:paraId="0E3B33E7" w14:textId="77777777">
            <w:pPr>
              <w:pStyle w:val="TableText"/>
              <w:jc w:val="right"/>
              <w:rPr>
                <w:color w:val="000000"/>
                <w:sz w:val="18"/>
                <w:szCs w:val="18"/>
              </w:rPr>
            </w:pPr>
            <w:r w:rsidRPr="002F327A">
              <w:rPr>
                <w:color w:val="000000"/>
                <w:sz w:val="18"/>
                <w:szCs w:val="18"/>
              </w:rPr>
              <w:t xml:space="preserve">                    36,177 </w:t>
            </w:r>
          </w:p>
        </w:tc>
        <w:tc>
          <w:tcPr>
            <w:tcW w:w="1364" w:type="dxa"/>
            <w:tcBorders>
              <w:top w:val="nil"/>
              <w:left w:val="nil"/>
              <w:bottom w:val="single" w:color="auto" w:sz="4" w:space="0"/>
              <w:right w:val="single" w:color="auto" w:sz="4" w:space="0"/>
            </w:tcBorders>
            <w:noWrap/>
            <w:vAlign w:val="center"/>
            <w:hideMark/>
          </w:tcPr>
          <w:p w:rsidRPr="002F327A" w:rsidR="007253C8" w:rsidP="00301BD8" w:rsidRDefault="007253C8" w14:paraId="1042E7E8" w14:textId="77777777">
            <w:pPr>
              <w:pStyle w:val="TableText"/>
              <w:jc w:val="right"/>
              <w:rPr>
                <w:color w:val="000000"/>
                <w:sz w:val="18"/>
                <w:szCs w:val="18"/>
              </w:rPr>
            </w:pPr>
            <w:r w:rsidRPr="002F327A">
              <w:rPr>
                <w:color w:val="000000"/>
                <w:sz w:val="18"/>
                <w:szCs w:val="18"/>
              </w:rPr>
              <w:t xml:space="preserve">                          33,452 </w:t>
            </w:r>
          </w:p>
        </w:tc>
        <w:tc>
          <w:tcPr>
            <w:tcW w:w="1752" w:type="dxa"/>
            <w:tcBorders>
              <w:top w:val="nil"/>
              <w:left w:val="nil"/>
              <w:bottom w:val="single" w:color="auto" w:sz="4" w:space="0"/>
              <w:right w:val="single" w:color="auto" w:sz="4" w:space="0"/>
            </w:tcBorders>
            <w:noWrap/>
            <w:vAlign w:val="center"/>
            <w:hideMark/>
          </w:tcPr>
          <w:p w:rsidRPr="002F327A" w:rsidR="007253C8" w:rsidP="00301BD8" w:rsidRDefault="007253C8" w14:paraId="71C77197" w14:textId="77777777">
            <w:pPr>
              <w:pStyle w:val="TableText"/>
              <w:jc w:val="right"/>
              <w:rPr>
                <w:color w:val="000000"/>
                <w:sz w:val="18"/>
                <w:szCs w:val="18"/>
              </w:rPr>
            </w:pPr>
            <w:r w:rsidRPr="002F327A">
              <w:rPr>
                <w:color w:val="000000"/>
                <w:sz w:val="18"/>
                <w:szCs w:val="18"/>
              </w:rPr>
              <w:t>(797)</w:t>
            </w:r>
          </w:p>
        </w:tc>
      </w:tr>
      <w:tr w:rsidRPr="002F327A" w:rsidR="007253C8" w:rsidTr="00301BD8" w14:paraId="5EAAAFBF" w14:textId="77777777">
        <w:trPr>
          <w:trHeight w:val="278"/>
          <w:jc w:val="center"/>
        </w:trPr>
        <w:tc>
          <w:tcPr>
            <w:tcW w:w="2018" w:type="dxa"/>
            <w:tcBorders>
              <w:top w:val="nil"/>
              <w:left w:val="single" w:color="auto" w:sz="4" w:space="0"/>
              <w:bottom w:val="single" w:color="auto" w:sz="4" w:space="0"/>
              <w:right w:val="single" w:color="auto" w:sz="4" w:space="0"/>
            </w:tcBorders>
            <w:noWrap/>
            <w:vAlign w:val="bottom"/>
            <w:hideMark/>
          </w:tcPr>
          <w:p w:rsidRPr="002F327A" w:rsidR="007253C8" w:rsidP="00301BD8" w:rsidRDefault="007253C8" w14:paraId="227E378C" w14:textId="77777777">
            <w:pPr>
              <w:pStyle w:val="TableText"/>
              <w:rPr>
                <w:color w:val="000000"/>
                <w:sz w:val="18"/>
                <w:szCs w:val="18"/>
              </w:rPr>
            </w:pPr>
            <w:r w:rsidRPr="002F327A">
              <w:rPr>
                <w:color w:val="000000"/>
                <w:sz w:val="18"/>
                <w:szCs w:val="18"/>
              </w:rPr>
              <w:t>Data Governance</w:t>
            </w:r>
          </w:p>
        </w:tc>
        <w:tc>
          <w:tcPr>
            <w:tcW w:w="1021" w:type="dxa"/>
            <w:tcBorders>
              <w:top w:val="nil"/>
              <w:left w:val="nil"/>
              <w:bottom w:val="single" w:color="auto" w:sz="4" w:space="0"/>
              <w:right w:val="single" w:color="auto" w:sz="4" w:space="0"/>
            </w:tcBorders>
            <w:noWrap/>
            <w:vAlign w:val="center"/>
            <w:hideMark/>
          </w:tcPr>
          <w:p w:rsidRPr="002F327A" w:rsidR="007253C8" w:rsidP="00301BD8" w:rsidRDefault="007253C8" w14:paraId="5F25C189" w14:textId="77777777">
            <w:pPr>
              <w:pStyle w:val="TableText"/>
              <w:jc w:val="right"/>
              <w:rPr>
                <w:color w:val="000000"/>
                <w:sz w:val="18"/>
                <w:szCs w:val="18"/>
              </w:rPr>
            </w:pPr>
            <w:r w:rsidRPr="002F327A">
              <w:rPr>
                <w:color w:val="000000"/>
                <w:sz w:val="18"/>
                <w:szCs w:val="18"/>
              </w:rPr>
              <w:t xml:space="preserve">                    44,456 </w:t>
            </w:r>
          </w:p>
        </w:tc>
        <w:tc>
          <w:tcPr>
            <w:tcW w:w="820" w:type="dxa"/>
            <w:tcBorders>
              <w:top w:val="nil"/>
              <w:left w:val="nil"/>
              <w:bottom w:val="single" w:color="auto" w:sz="4" w:space="0"/>
              <w:right w:val="single" w:color="auto" w:sz="4" w:space="0"/>
            </w:tcBorders>
            <w:noWrap/>
            <w:vAlign w:val="center"/>
            <w:hideMark/>
          </w:tcPr>
          <w:p w:rsidRPr="002F327A" w:rsidR="007253C8" w:rsidP="00301BD8" w:rsidRDefault="007253C8" w14:paraId="467E9024" w14:textId="77777777">
            <w:pPr>
              <w:pStyle w:val="TableText"/>
              <w:jc w:val="right"/>
              <w:rPr>
                <w:color w:val="000000"/>
                <w:sz w:val="18"/>
                <w:szCs w:val="18"/>
              </w:rPr>
            </w:pPr>
            <w:r w:rsidRPr="002F327A">
              <w:rPr>
                <w:color w:val="000000"/>
                <w:sz w:val="18"/>
                <w:szCs w:val="18"/>
              </w:rPr>
              <w:t xml:space="preserve">                1,321 </w:t>
            </w:r>
          </w:p>
        </w:tc>
        <w:tc>
          <w:tcPr>
            <w:tcW w:w="1177" w:type="dxa"/>
            <w:tcBorders>
              <w:top w:val="nil"/>
              <w:left w:val="nil"/>
              <w:bottom w:val="single" w:color="auto" w:sz="4" w:space="0"/>
              <w:right w:val="single" w:color="auto" w:sz="4" w:space="0"/>
            </w:tcBorders>
            <w:noWrap/>
            <w:vAlign w:val="center"/>
            <w:hideMark/>
          </w:tcPr>
          <w:p w:rsidRPr="002F327A" w:rsidR="007253C8" w:rsidP="00301BD8" w:rsidRDefault="007253C8" w14:paraId="006C9A16" w14:textId="77777777">
            <w:pPr>
              <w:pStyle w:val="TableText"/>
              <w:jc w:val="right"/>
              <w:rPr>
                <w:color w:val="000000"/>
                <w:sz w:val="18"/>
                <w:szCs w:val="18"/>
              </w:rPr>
            </w:pPr>
            <w:r w:rsidRPr="002F327A">
              <w:rPr>
                <w:color w:val="000000"/>
                <w:sz w:val="18"/>
                <w:szCs w:val="18"/>
              </w:rPr>
              <w:t xml:space="preserve">                                   -   </w:t>
            </w:r>
          </w:p>
        </w:tc>
        <w:tc>
          <w:tcPr>
            <w:tcW w:w="1203" w:type="dxa"/>
            <w:tcBorders>
              <w:top w:val="nil"/>
              <w:left w:val="nil"/>
              <w:bottom w:val="single" w:color="auto" w:sz="4" w:space="0"/>
              <w:right w:val="single" w:color="auto" w:sz="4" w:space="0"/>
            </w:tcBorders>
            <w:noWrap/>
            <w:vAlign w:val="center"/>
            <w:hideMark/>
          </w:tcPr>
          <w:p w:rsidRPr="002F327A" w:rsidR="007253C8" w:rsidP="00301BD8" w:rsidRDefault="007253C8" w14:paraId="615FEBC6" w14:textId="77777777">
            <w:pPr>
              <w:pStyle w:val="TableText"/>
              <w:jc w:val="right"/>
              <w:rPr>
                <w:color w:val="000000"/>
                <w:sz w:val="18"/>
                <w:szCs w:val="18"/>
              </w:rPr>
            </w:pPr>
            <w:r w:rsidRPr="002F327A">
              <w:rPr>
                <w:color w:val="000000"/>
                <w:sz w:val="18"/>
                <w:szCs w:val="18"/>
              </w:rPr>
              <w:t xml:space="preserve">                       2,013 </w:t>
            </w:r>
          </w:p>
        </w:tc>
        <w:tc>
          <w:tcPr>
            <w:tcW w:w="1364" w:type="dxa"/>
            <w:tcBorders>
              <w:top w:val="nil"/>
              <w:left w:val="nil"/>
              <w:bottom w:val="single" w:color="auto" w:sz="4" w:space="0"/>
              <w:right w:val="single" w:color="auto" w:sz="4" w:space="0"/>
            </w:tcBorders>
            <w:noWrap/>
            <w:vAlign w:val="center"/>
            <w:hideMark/>
          </w:tcPr>
          <w:p w:rsidRPr="002F327A" w:rsidR="007253C8" w:rsidP="00301BD8" w:rsidRDefault="007253C8" w14:paraId="37E4E419" w14:textId="77777777">
            <w:pPr>
              <w:pStyle w:val="TableText"/>
              <w:jc w:val="right"/>
              <w:rPr>
                <w:color w:val="000000"/>
                <w:sz w:val="18"/>
                <w:szCs w:val="18"/>
              </w:rPr>
            </w:pPr>
            <w:r w:rsidRPr="002F327A">
              <w:rPr>
                <w:color w:val="000000"/>
                <w:sz w:val="18"/>
                <w:szCs w:val="18"/>
              </w:rPr>
              <w:t xml:space="preserve">                          44,456 </w:t>
            </w:r>
          </w:p>
        </w:tc>
        <w:tc>
          <w:tcPr>
            <w:tcW w:w="1752" w:type="dxa"/>
            <w:tcBorders>
              <w:top w:val="nil"/>
              <w:left w:val="nil"/>
              <w:bottom w:val="single" w:color="auto" w:sz="4" w:space="0"/>
              <w:right w:val="single" w:color="auto" w:sz="4" w:space="0"/>
            </w:tcBorders>
            <w:noWrap/>
            <w:vAlign w:val="center"/>
            <w:hideMark/>
          </w:tcPr>
          <w:p w:rsidRPr="002F327A" w:rsidR="007253C8" w:rsidP="00301BD8" w:rsidRDefault="007253C8" w14:paraId="630F57DD" w14:textId="77777777">
            <w:pPr>
              <w:pStyle w:val="TableText"/>
              <w:jc w:val="right"/>
              <w:rPr>
                <w:color w:val="000000"/>
                <w:sz w:val="18"/>
                <w:szCs w:val="18"/>
              </w:rPr>
            </w:pPr>
            <w:r w:rsidRPr="002F327A">
              <w:rPr>
                <w:color w:val="000000"/>
                <w:sz w:val="18"/>
                <w:szCs w:val="18"/>
              </w:rPr>
              <w:t>(692)</w:t>
            </w:r>
          </w:p>
        </w:tc>
      </w:tr>
      <w:tr w:rsidRPr="002F327A" w:rsidR="007253C8" w:rsidTr="00301BD8" w14:paraId="44361231" w14:textId="77777777">
        <w:trPr>
          <w:trHeight w:val="282"/>
          <w:jc w:val="center"/>
        </w:trPr>
        <w:tc>
          <w:tcPr>
            <w:tcW w:w="2018" w:type="dxa"/>
            <w:tcBorders>
              <w:top w:val="nil"/>
              <w:left w:val="single" w:color="auto" w:sz="4" w:space="0"/>
              <w:bottom w:val="single" w:color="auto" w:sz="4" w:space="0"/>
              <w:right w:val="single" w:color="auto" w:sz="4" w:space="0"/>
            </w:tcBorders>
            <w:noWrap/>
            <w:vAlign w:val="bottom"/>
            <w:hideMark/>
          </w:tcPr>
          <w:p w:rsidRPr="002F327A" w:rsidR="007253C8" w:rsidP="00301BD8" w:rsidRDefault="007253C8" w14:paraId="552512E5" w14:textId="77777777">
            <w:pPr>
              <w:pStyle w:val="TableText"/>
              <w:rPr>
                <w:color w:val="000000"/>
                <w:sz w:val="18"/>
                <w:szCs w:val="18"/>
              </w:rPr>
            </w:pPr>
            <w:r w:rsidRPr="002F327A">
              <w:rPr>
                <w:color w:val="000000"/>
                <w:sz w:val="18"/>
                <w:szCs w:val="18"/>
              </w:rPr>
              <w:t>Resource Allocation Methodology</w:t>
            </w:r>
          </w:p>
        </w:tc>
        <w:tc>
          <w:tcPr>
            <w:tcW w:w="1021" w:type="dxa"/>
            <w:tcBorders>
              <w:top w:val="nil"/>
              <w:left w:val="nil"/>
              <w:bottom w:val="single" w:color="auto" w:sz="4" w:space="0"/>
              <w:right w:val="single" w:color="auto" w:sz="4" w:space="0"/>
            </w:tcBorders>
            <w:noWrap/>
            <w:vAlign w:val="center"/>
            <w:hideMark/>
          </w:tcPr>
          <w:p w:rsidRPr="002F327A" w:rsidR="007253C8" w:rsidP="00301BD8" w:rsidRDefault="007253C8" w14:paraId="0A52B33C" w14:textId="77777777">
            <w:pPr>
              <w:pStyle w:val="TableText"/>
              <w:jc w:val="right"/>
              <w:rPr>
                <w:color w:val="000000"/>
                <w:sz w:val="18"/>
                <w:szCs w:val="18"/>
              </w:rPr>
            </w:pPr>
            <w:r w:rsidRPr="002F327A">
              <w:rPr>
                <w:color w:val="000000"/>
                <w:sz w:val="18"/>
                <w:szCs w:val="18"/>
              </w:rPr>
              <w:t xml:space="preserve">                             -   </w:t>
            </w:r>
          </w:p>
        </w:tc>
        <w:tc>
          <w:tcPr>
            <w:tcW w:w="820" w:type="dxa"/>
            <w:tcBorders>
              <w:top w:val="nil"/>
              <w:left w:val="nil"/>
              <w:bottom w:val="single" w:color="auto" w:sz="4" w:space="0"/>
              <w:right w:val="single" w:color="auto" w:sz="4" w:space="0"/>
            </w:tcBorders>
            <w:noWrap/>
            <w:vAlign w:val="center"/>
            <w:hideMark/>
          </w:tcPr>
          <w:p w:rsidRPr="002F327A" w:rsidR="007253C8" w:rsidP="00301BD8" w:rsidRDefault="007253C8" w14:paraId="21B2C8AF" w14:textId="77777777">
            <w:pPr>
              <w:pStyle w:val="TableText"/>
              <w:jc w:val="right"/>
              <w:rPr>
                <w:color w:val="000000"/>
                <w:sz w:val="18"/>
                <w:szCs w:val="18"/>
              </w:rPr>
            </w:pPr>
            <w:r w:rsidRPr="002F327A">
              <w:rPr>
                <w:color w:val="000000"/>
                <w:sz w:val="18"/>
                <w:szCs w:val="18"/>
              </w:rPr>
              <w:t xml:space="preserve">             13,198 </w:t>
            </w:r>
          </w:p>
        </w:tc>
        <w:tc>
          <w:tcPr>
            <w:tcW w:w="1177" w:type="dxa"/>
            <w:tcBorders>
              <w:top w:val="nil"/>
              <w:left w:val="nil"/>
              <w:bottom w:val="single" w:color="auto" w:sz="4" w:space="0"/>
              <w:right w:val="single" w:color="auto" w:sz="4" w:space="0"/>
            </w:tcBorders>
            <w:noWrap/>
            <w:vAlign w:val="center"/>
            <w:hideMark/>
          </w:tcPr>
          <w:p w:rsidRPr="002F327A" w:rsidR="007253C8" w:rsidP="00301BD8" w:rsidRDefault="007253C8" w14:paraId="62C9AAC7" w14:textId="77777777">
            <w:pPr>
              <w:pStyle w:val="TableText"/>
              <w:jc w:val="right"/>
              <w:rPr>
                <w:color w:val="000000"/>
                <w:sz w:val="18"/>
                <w:szCs w:val="18"/>
              </w:rPr>
            </w:pPr>
            <w:r w:rsidRPr="002F327A">
              <w:rPr>
                <w:color w:val="000000"/>
                <w:sz w:val="18"/>
                <w:szCs w:val="18"/>
              </w:rPr>
              <w:t xml:space="preserve">                                   -   </w:t>
            </w:r>
          </w:p>
        </w:tc>
        <w:tc>
          <w:tcPr>
            <w:tcW w:w="1203" w:type="dxa"/>
            <w:tcBorders>
              <w:top w:val="nil"/>
              <w:left w:val="nil"/>
              <w:bottom w:val="single" w:color="auto" w:sz="4" w:space="0"/>
              <w:right w:val="single" w:color="auto" w:sz="4" w:space="0"/>
            </w:tcBorders>
            <w:noWrap/>
            <w:vAlign w:val="center"/>
            <w:hideMark/>
          </w:tcPr>
          <w:p w:rsidRPr="002F327A" w:rsidR="007253C8" w:rsidP="00301BD8" w:rsidRDefault="007253C8" w14:paraId="6DA97FE3" w14:textId="77777777">
            <w:pPr>
              <w:pStyle w:val="TableText"/>
              <w:jc w:val="right"/>
              <w:rPr>
                <w:color w:val="000000"/>
                <w:sz w:val="18"/>
                <w:szCs w:val="18"/>
              </w:rPr>
            </w:pPr>
            <w:r w:rsidRPr="002F327A">
              <w:rPr>
                <w:color w:val="000000"/>
                <w:sz w:val="18"/>
                <w:szCs w:val="18"/>
              </w:rPr>
              <w:t xml:space="preserve">                       5,234 </w:t>
            </w:r>
          </w:p>
        </w:tc>
        <w:tc>
          <w:tcPr>
            <w:tcW w:w="1364" w:type="dxa"/>
            <w:tcBorders>
              <w:top w:val="nil"/>
              <w:left w:val="nil"/>
              <w:bottom w:val="single" w:color="auto" w:sz="4" w:space="0"/>
              <w:right w:val="single" w:color="auto" w:sz="4" w:space="0"/>
            </w:tcBorders>
            <w:noWrap/>
            <w:vAlign w:val="center"/>
            <w:hideMark/>
          </w:tcPr>
          <w:p w:rsidRPr="002F327A" w:rsidR="007253C8" w:rsidP="00301BD8" w:rsidRDefault="007253C8" w14:paraId="1A9C2160" w14:textId="77777777">
            <w:pPr>
              <w:pStyle w:val="TableText"/>
              <w:jc w:val="right"/>
              <w:rPr>
                <w:color w:val="000000"/>
                <w:sz w:val="18"/>
                <w:szCs w:val="18"/>
              </w:rPr>
            </w:pPr>
            <w:r w:rsidRPr="002F327A">
              <w:rPr>
                <w:color w:val="000000"/>
                <w:sz w:val="18"/>
                <w:szCs w:val="18"/>
              </w:rPr>
              <w:t xml:space="preserve">                                   -   </w:t>
            </w:r>
          </w:p>
        </w:tc>
        <w:tc>
          <w:tcPr>
            <w:tcW w:w="1752" w:type="dxa"/>
            <w:tcBorders>
              <w:top w:val="nil"/>
              <w:left w:val="nil"/>
              <w:bottom w:val="single" w:color="auto" w:sz="4" w:space="0"/>
              <w:right w:val="single" w:color="auto" w:sz="4" w:space="0"/>
            </w:tcBorders>
            <w:noWrap/>
            <w:vAlign w:val="center"/>
            <w:hideMark/>
          </w:tcPr>
          <w:p w:rsidRPr="002F327A" w:rsidR="007253C8" w:rsidP="00301BD8" w:rsidRDefault="007253C8" w14:paraId="72B927BA" w14:textId="77777777">
            <w:pPr>
              <w:pStyle w:val="TableText"/>
              <w:jc w:val="right"/>
              <w:rPr>
                <w:color w:val="000000"/>
                <w:sz w:val="18"/>
                <w:szCs w:val="18"/>
              </w:rPr>
            </w:pPr>
            <w:r w:rsidRPr="002F327A">
              <w:rPr>
                <w:color w:val="000000"/>
                <w:sz w:val="18"/>
                <w:szCs w:val="18"/>
              </w:rPr>
              <w:t xml:space="preserve">7,964 </w:t>
            </w:r>
          </w:p>
        </w:tc>
      </w:tr>
      <w:tr w:rsidRPr="002F327A" w:rsidR="007253C8" w:rsidTr="00301BD8" w14:paraId="16473CAC" w14:textId="77777777">
        <w:trPr>
          <w:trHeight w:val="282"/>
          <w:jc w:val="center"/>
        </w:trPr>
        <w:tc>
          <w:tcPr>
            <w:tcW w:w="2018" w:type="dxa"/>
            <w:tcBorders>
              <w:top w:val="nil"/>
              <w:left w:val="single" w:color="auto" w:sz="4" w:space="0"/>
              <w:bottom w:val="single" w:color="auto" w:sz="4" w:space="0"/>
              <w:right w:val="single" w:color="auto" w:sz="4" w:space="0"/>
            </w:tcBorders>
            <w:noWrap/>
            <w:vAlign w:val="bottom"/>
            <w:hideMark/>
          </w:tcPr>
          <w:p w:rsidRPr="002F327A" w:rsidR="007253C8" w:rsidP="00301BD8" w:rsidRDefault="007253C8" w14:paraId="6964B2F2" w14:textId="77777777">
            <w:pPr>
              <w:pStyle w:val="TableText"/>
              <w:rPr>
                <w:color w:val="000000"/>
                <w:sz w:val="18"/>
                <w:szCs w:val="18"/>
              </w:rPr>
            </w:pPr>
            <w:r w:rsidRPr="002F327A">
              <w:rPr>
                <w:color w:val="000000"/>
                <w:sz w:val="18"/>
                <w:szCs w:val="18"/>
              </w:rPr>
              <w:t>Emergency Planning and Preparedness</w:t>
            </w:r>
          </w:p>
        </w:tc>
        <w:tc>
          <w:tcPr>
            <w:tcW w:w="1021" w:type="dxa"/>
            <w:tcBorders>
              <w:top w:val="nil"/>
              <w:left w:val="nil"/>
              <w:bottom w:val="single" w:color="auto" w:sz="4" w:space="0"/>
              <w:right w:val="single" w:color="auto" w:sz="4" w:space="0"/>
            </w:tcBorders>
            <w:noWrap/>
            <w:vAlign w:val="center"/>
            <w:hideMark/>
          </w:tcPr>
          <w:p w:rsidRPr="002F327A" w:rsidR="007253C8" w:rsidP="00301BD8" w:rsidRDefault="007253C8" w14:paraId="5731E340" w14:textId="77777777">
            <w:pPr>
              <w:pStyle w:val="TableText"/>
              <w:jc w:val="right"/>
              <w:rPr>
                <w:color w:val="000000"/>
                <w:sz w:val="18"/>
                <w:szCs w:val="18"/>
              </w:rPr>
            </w:pPr>
            <w:r w:rsidRPr="002F327A">
              <w:rPr>
                <w:color w:val="000000"/>
                <w:sz w:val="18"/>
                <w:szCs w:val="18"/>
              </w:rPr>
              <w:t xml:space="preserve">                      7,686 </w:t>
            </w:r>
          </w:p>
        </w:tc>
        <w:tc>
          <w:tcPr>
            <w:tcW w:w="820" w:type="dxa"/>
            <w:tcBorders>
              <w:top w:val="nil"/>
              <w:left w:val="nil"/>
              <w:bottom w:val="single" w:color="auto" w:sz="4" w:space="0"/>
              <w:right w:val="single" w:color="auto" w:sz="4" w:space="0"/>
            </w:tcBorders>
            <w:noWrap/>
            <w:vAlign w:val="center"/>
            <w:hideMark/>
          </w:tcPr>
          <w:p w:rsidRPr="002F327A" w:rsidR="007253C8" w:rsidP="00301BD8" w:rsidRDefault="007253C8" w14:paraId="2FE7F953" w14:textId="77777777">
            <w:pPr>
              <w:pStyle w:val="TableText"/>
              <w:jc w:val="right"/>
              <w:rPr>
                <w:color w:val="000000"/>
                <w:sz w:val="18"/>
                <w:szCs w:val="18"/>
              </w:rPr>
            </w:pPr>
            <w:r w:rsidRPr="002F327A">
              <w:rPr>
                <w:color w:val="000000"/>
                <w:sz w:val="18"/>
                <w:szCs w:val="18"/>
              </w:rPr>
              <w:t xml:space="preserve">             42,203 </w:t>
            </w:r>
          </w:p>
        </w:tc>
        <w:tc>
          <w:tcPr>
            <w:tcW w:w="1177" w:type="dxa"/>
            <w:tcBorders>
              <w:top w:val="nil"/>
              <w:left w:val="nil"/>
              <w:bottom w:val="single" w:color="auto" w:sz="4" w:space="0"/>
              <w:right w:val="single" w:color="auto" w:sz="4" w:space="0"/>
            </w:tcBorders>
            <w:noWrap/>
            <w:vAlign w:val="center"/>
            <w:hideMark/>
          </w:tcPr>
          <w:p w:rsidRPr="002F327A" w:rsidR="007253C8" w:rsidP="00301BD8" w:rsidRDefault="007253C8" w14:paraId="7154AE48" w14:textId="77777777">
            <w:pPr>
              <w:pStyle w:val="TableText"/>
              <w:jc w:val="right"/>
              <w:rPr>
                <w:color w:val="000000"/>
                <w:sz w:val="18"/>
                <w:szCs w:val="18"/>
              </w:rPr>
            </w:pPr>
            <w:r w:rsidRPr="002F327A">
              <w:rPr>
                <w:color w:val="000000"/>
                <w:sz w:val="18"/>
                <w:szCs w:val="18"/>
              </w:rPr>
              <w:t xml:space="preserve">                            5,237 </w:t>
            </w:r>
          </w:p>
        </w:tc>
        <w:tc>
          <w:tcPr>
            <w:tcW w:w="1203" w:type="dxa"/>
            <w:tcBorders>
              <w:top w:val="nil"/>
              <w:left w:val="nil"/>
              <w:bottom w:val="single" w:color="auto" w:sz="4" w:space="0"/>
              <w:right w:val="single" w:color="auto" w:sz="4" w:space="0"/>
            </w:tcBorders>
            <w:noWrap/>
            <w:vAlign w:val="center"/>
            <w:hideMark/>
          </w:tcPr>
          <w:p w:rsidRPr="002F327A" w:rsidR="007253C8" w:rsidP="00301BD8" w:rsidRDefault="007253C8" w14:paraId="58AEE4C9" w14:textId="77777777">
            <w:pPr>
              <w:pStyle w:val="TableText"/>
              <w:jc w:val="right"/>
              <w:rPr>
                <w:color w:val="000000"/>
                <w:sz w:val="18"/>
                <w:szCs w:val="18"/>
              </w:rPr>
            </w:pPr>
            <w:r w:rsidRPr="002F327A">
              <w:rPr>
                <w:color w:val="000000"/>
                <w:sz w:val="18"/>
                <w:szCs w:val="18"/>
              </w:rPr>
              <w:t xml:space="preserve">                       7,732 </w:t>
            </w:r>
          </w:p>
        </w:tc>
        <w:tc>
          <w:tcPr>
            <w:tcW w:w="1364" w:type="dxa"/>
            <w:tcBorders>
              <w:top w:val="nil"/>
              <w:left w:val="nil"/>
              <w:bottom w:val="single" w:color="auto" w:sz="4" w:space="0"/>
              <w:right w:val="single" w:color="auto" w:sz="4" w:space="0"/>
            </w:tcBorders>
            <w:noWrap/>
            <w:vAlign w:val="center"/>
            <w:hideMark/>
          </w:tcPr>
          <w:p w:rsidRPr="002F327A" w:rsidR="007253C8" w:rsidP="00301BD8" w:rsidRDefault="007253C8" w14:paraId="488BCAC3" w14:textId="77777777">
            <w:pPr>
              <w:pStyle w:val="TableText"/>
              <w:jc w:val="right"/>
              <w:rPr>
                <w:color w:val="000000"/>
                <w:sz w:val="18"/>
                <w:szCs w:val="18"/>
              </w:rPr>
            </w:pPr>
            <w:r w:rsidRPr="002F327A">
              <w:rPr>
                <w:color w:val="000000"/>
                <w:sz w:val="18"/>
                <w:szCs w:val="18"/>
              </w:rPr>
              <w:t xml:space="preserve">                            2,449 </w:t>
            </w:r>
          </w:p>
        </w:tc>
        <w:tc>
          <w:tcPr>
            <w:tcW w:w="1752" w:type="dxa"/>
            <w:tcBorders>
              <w:top w:val="nil"/>
              <w:left w:val="nil"/>
              <w:bottom w:val="single" w:color="auto" w:sz="4" w:space="0"/>
              <w:right w:val="single" w:color="auto" w:sz="4" w:space="0"/>
            </w:tcBorders>
            <w:noWrap/>
            <w:vAlign w:val="center"/>
            <w:hideMark/>
          </w:tcPr>
          <w:p w:rsidRPr="002F327A" w:rsidR="007253C8" w:rsidP="00301BD8" w:rsidRDefault="007253C8" w14:paraId="35EE6937" w14:textId="77777777">
            <w:pPr>
              <w:pStyle w:val="TableText"/>
              <w:jc w:val="right"/>
              <w:rPr>
                <w:color w:val="000000"/>
                <w:sz w:val="18"/>
                <w:szCs w:val="18"/>
              </w:rPr>
            </w:pPr>
            <w:r w:rsidRPr="002F327A">
              <w:rPr>
                <w:color w:val="000000"/>
                <w:sz w:val="18"/>
                <w:szCs w:val="18"/>
              </w:rPr>
              <w:t xml:space="preserve">34,471 </w:t>
            </w:r>
          </w:p>
        </w:tc>
      </w:tr>
      <w:tr w:rsidRPr="002F327A" w:rsidR="007253C8" w:rsidTr="00301BD8" w14:paraId="6E7168E5" w14:textId="77777777">
        <w:trPr>
          <w:trHeight w:val="282"/>
          <w:jc w:val="center"/>
        </w:trPr>
        <w:tc>
          <w:tcPr>
            <w:tcW w:w="2018" w:type="dxa"/>
            <w:tcBorders>
              <w:top w:val="nil"/>
              <w:left w:val="single" w:color="auto" w:sz="4" w:space="0"/>
              <w:bottom w:val="single" w:color="auto" w:sz="4" w:space="0"/>
              <w:right w:val="single" w:color="auto" w:sz="4" w:space="0"/>
            </w:tcBorders>
            <w:noWrap/>
            <w:vAlign w:val="bottom"/>
            <w:hideMark/>
          </w:tcPr>
          <w:p w:rsidRPr="002F327A" w:rsidR="007253C8" w:rsidP="00301BD8" w:rsidRDefault="007253C8" w14:paraId="45EF5638" w14:textId="77777777">
            <w:pPr>
              <w:pStyle w:val="TableText"/>
              <w:rPr>
                <w:color w:val="000000"/>
                <w:sz w:val="18"/>
                <w:szCs w:val="18"/>
              </w:rPr>
            </w:pPr>
            <w:r w:rsidRPr="002F327A">
              <w:rPr>
                <w:color w:val="000000"/>
                <w:sz w:val="18"/>
                <w:szCs w:val="18"/>
              </w:rPr>
              <w:t>Stakeholder Cooperation and Community Engagement</w:t>
            </w:r>
          </w:p>
        </w:tc>
        <w:tc>
          <w:tcPr>
            <w:tcW w:w="1021" w:type="dxa"/>
            <w:tcBorders>
              <w:top w:val="nil"/>
              <w:left w:val="nil"/>
              <w:bottom w:val="single" w:color="auto" w:sz="4" w:space="0"/>
              <w:right w:val="single" w:color="auto" w:sz="4" w:space="0"/>
            </w:tcBorders>
            <w:noWrap/>
            <w:vAlign w:val="center"/>
            <w:hideMark/>
          </w:tcPr>
          <w:p w:rsidRPr="002F327A" w:rsidR="007253C8" w:rsidP="00301BD8" w:rsidRDefault="007253C8" w14:paraId="09CB83FB" w14:textId="77777777">
            <w:pPr>
              <w:pStyle w:val="TableText"/>
              <w:jc w:val="right"/>
              <w:rPr>
                <w:color w:val="000000"/>
                <w:sz w:val="18"/>
                <w:szCs w:val="18"/>
              </w:rPr>
            </w:pPr>
            <w:r w:rsidRPr="002F327A">
              <w:rPr>
                <w:color w:val="000000"/>
                <w:sz w:val="18"/>
                <w:szCs w:val="18"/>
              </w:rPr>
              <w:t xml:space="preserve">                    15,809 </w:t>
            </w:r>
          </w:p>
        </w:tc>
        <w:tc>
          <w:tcPr>
            <w:tcW w:w="820" w:type="dxa"/>
            <w:tcBorders>
              <w:top w:val="nil"/>
              <w:left w:val="nil"/>
              <w:bottom w:val="single" w:color="auto" w:sz="4" w:space="0"/>
              <w:right w:val="single" w:color="auto" w:sz="4" w:space="0"/>
            </w:tcBorders>
            <w:noWrap/>
            <w:vAlign w:val="center"/>
            <w:hideMark/>
          </w:tcPr>
          <w:p w:rsidRPr="002F327A" w:rsidR="007253C8" w:rsidP="00301BD8" w:rsidRDefault="007253C8" w14:paraId="5F92DB4B" w14:textId="77777777">
            <w:pPr>
              <w:pStyle w:val="TableText"/>
              <w:jc w:val="right"/>
              <w:rPr>
                <w:color w:val="000000"/>
                <w:sz w:val="18"/>
                <w:szCs w:val="18"/>
              </w:rPr>
            </w:pPr>
            <w:r w:rsidRPr="002F327A">
              <w:rPr>
                <w:color w:val="000000"/>
                <w:sz w:val="18"/>
                <w:szCs w:val="18"/>
              </w:rPr>
              <w:t xml:space="preserve">             33,765 </w:t>
            </w:r>
          </w:p>
        </w:tc>
        <w:tc>
          <w:tcPr>
            <w:tcW w:w="1177" w:type="dxa"/>
            <w:tcBorders>
              <w:top w:val="nil"/>
              <w:left w:val="nil"/>
              <w:bottom w:val="single" w:color="auto" w:sz="4" w:space="0"/>
              <w:right w:val="single" w:color="auto" w:sz="4" w:space="0"/>
            </w:tcBorders>
            <w:noWrap/>
            <w:vAlign w:val="center"/>
            <w:hideMark/>
          </w:tcPr>
          <w:p w:rsidRPr="002F327A" w:rsidR="007253C8" w:rsidP="00301BD8" w:rsidRDefault="007253C8" w14:paraId="1FF3C568" w14:textId="77777777">
            <w:pPr>
              <w:pStyle w:val="TableText"/>
              <w:jc w:val="right"/>
              <w:rPr>
                <w:color w:val="000000"/>
                <w:sz w:val="18"/>
                <w:szCs w:val="18"/>
              </w:rPr>
            </w:pPr>
            <w:r w:rsidRPr="002F327A">
              <w:rPr>
                <w:color w:val="000000"/>
                <w:sz w:val="18"/>
                <w:szCs w:val="18"/>
              </w:rPr>
              <w:t xml:space="preserve">                                   -   </w:t>
            </w:r>
          </w:p>
        </w:tc>
        <w:tc>
          <w:tcPr>
            <w:tcW w:w="1203" w:type="dxa"/>
            <w:tcBorders>
              <w:top w:val="nil"/>
              <w:left w:val="nil"/>
              <w:bottom w:val="single" w:color="auto" w:sz="4" w:space="0"/>
              <w:right w:val="single" w:color="auto" w:sz="4" w:space="0"/>
            </w:tcBorders>
            <w:noWrap/>
            <w:vAlign w:val="center"/>
            <w:hideMark/>
          </w:tcPr>
          <w:p w:rsidRPr="002F327A" w:rsidR="007253C8" w:rsidP="00301BD8" w:rsidRDefault="007253C8" w14:paraId="65E8F59B" w14:textId="77777777">
            <w:pPr>
              <w:pStyle w:val="TableText"/>
              <w:jc w:val="right"/>
              <w:rPr>
                <w:color w:val="000000"/>
                <w:sz w:val="18"/>
                <w:szCs w:val="18"/>
              </w:rPr>
            </w:pPr>
            <w:r w:rsidRPr="002F327A">
              <w:rPr>
                <w:color w:val="000000"/>
                <w:sz w:val="18"/>
                <w:szCs w:val="18"/>
              </w:rPr>
              <w:t xml:space="preserve">                       1,096 </w:t>
            </w:r>
          </w:p>
        </w:tc>
        <w:tc>
          <w:tcPr>
            <w:tcW w:w="1364" w:type="dxa"/>
            <w:tcBorders>
              <w:top w:val="nil"/>
              <w:left w:val="nil"/>
              <w:bottom w:val="single" w:color="auto" w:sz="4" w:space="0"/>
              <w:right w:val="single" w:color="auto" w:sz="4" w:space="0"/>
            </w:tcBorders>
            <w:noWrap/>
            <w:vAlign w:val="center"/>
            <w:hideMark/>
          </w:tcPr>
          <w:p w:rsidRPr="002F327A" w:rsidR="007253C8" w:rsidP="00301BD8" w:rsidRDefault="007253C8" w14:paraId="35231872" w14:textId="77777777">
            <w:pPr>
              <w:pStyle w:val="TableText"/>
              <w:jc w:val="right"/>
              <w:rPr>
                <w:color w:val="000000"/>
                <w:sz w:val="18"/>
                <w:szCs w:val="18"/>
              </w:rPr>
            </w:pPr>
            <w:r w:rsidRPr="002F327A">
              <w:rPr>
                <w:color w:val="000000"/>
                <w:sz w:val="18"/>
                <w:szCs w:val="18"/>
              </w:rPr>
              <w:t xml:space="preserve">                          15,809 </w:t>
            </w:r>
          </w:p>
        </w:tc>
        <w:tc>
          <w:tcPr>
            <w:tcW w:w="1752" w:type="dxa"/>
            <w:tcBorders>
              <w:top w:val="nil"/>
              <w:left w:val="nil"/>
              <w:bottom w:val="single" w:color="auto" w:sz="4" w:space="0"/>
              <w:right w:val="single" w:color="auto" w:sz="4" w:space="0"/>
            </w:tcBorders>
            <w:noWrap/>
            <w:vAlign w:val="center"/>
            <w:hideMark/>
          </w:tcPr>
          <w:p w:rsidRPr="002F327A" w:rsidR="007253C8" w:rsidP="00301BD8" w:rsidRDefault="007253C8" w14:paraId="1E6D9ECA" w14:textId="77777777">
            <w:pPr>
              <w:pStyle w:val="TableText"/>
              <w:jc w:val="right"/>
              <w:rPr>
                <w:color w:val="000000"/>
                <w:sz w:val="18"/>
                <w:szCs w:val="18"/>
              </w:rPr>
            </w:pPr>
            <w:r w:rsidRPr="002F327A">
              <w:rPr>
                <w:color w:val="000000"/>
                <w:sz w:val="18"/>
                <w:szCs w:val="18"/>
              </w:rPr>
              <w:t xml:space="preserve">32,669 </w:t>
            </w:r>
          </w:p>
        </w:tc>
      </w:tr>
      <w:tr w:rsidRPr="002F327A" w:rsidR="007253C8" w:rsidTr="00301BD8" w14:paraId="6A7D55B1" w14:textId="77777777">
        <w:trPr>
          <w:trHeight w:val="296"/>
          <w:jc w:val="center"/>
        </w:trPr>
        <w:tc>
          <w:tcPr>
            <w:tcW w:w="2018" w:type="dxa"/>
            <w:tcBorders>
              <w:top w:val="nil"/>
              <w:left w:val="single" w:color="auto" w:sz="4" w:space="0"/>
              <w:bottom w:val="double" w:color="auto" w:sz="6" w:space="0"/>
              <w:right w:val="single" w:color="auto" w:sz="4" w:space="0"/>
            </w:tcBorders>
            <w:noWrap/>
            <w:hideMark/>
          </w:tcPr>
          <w:p w:rsidRPr="002F327A" w:rsidR="007253C8" w:rsidP="00301BD8" w:rsidRDefault="007253C8" w14:paraId="0FD21E44" w14:textId="77777777">
            <w:pPr>
              <w:pStyle w:val="TableText"/>
              <w:rPr>
                <w:color w:val="000000"/>
                <w:sz w:val="18"/>
                <w:szCs w:val="18"/>
              </w:rPr>
            </w:pPr>
            <w:r w:rsidRPr="002F327A">
              <w:rPr>
                <w:color w:val="000000"/>
                <w:sz w:val="18"/>
                <w:szCs w:val="18"/>
              </w:rPr>
              <w:t>Total</w:t>
            </w:r>
          </w:p>
        </w:tc>
        <w:tc>
          <w:tcPr>
            <w:tcW w:w="1021" w:type="dxa"/>
            <w:tcBorders>
              <w:top w:val="nil"/>
              <w:left w:val="nil"/>
              <w:bottom w:val="double" w:color="auto" w:sz="6" w:space="0"/>
              <w:right w:val="single" w:color="auto" w:sz="4" w:space="0"/>
            </w:tcBorders>
            <w:noWrap/>
            <w:vAlign w:val="center"/>
            <w:hideMark/>
          </w:tcPr>
          <w:p w:rsidRPr="002F327A" w:rsidR="007253C8" w:rsidP="00301BD8" w:rsidRDefault="007253C8" w14:paraId="0ADFE0F6" w14:textId="77777777">
            <w:pPr>
              <w:pStyle w:val="TableText"/>
              <w:jc w:val="right"/>
              <w:rPr>
                <w:color w:val="000000"/>
                <w:sz w:val="18"/>
                <w:szCs w:val="18"/>
              </w:rPr>
            </w:pPr>
            <w:r w:rsidRPr="002F327A">
              <w:rPr>
                <w:color w:val="000000"/>
                <w:sz w:val="18"/>
                <w:szCs w:val="18"/>
              </w:rPr>
              <w:t xml:space="preserve">1,435,987 </w:t>
            </w:r>
          </w:p>
        </w:tc>
        <w:tc>
          <w:tcPr>
            <w:tcW w:w="820" w:type="dxa"/>
            <w:tcBorders>
              <w:top w:val="nil"/>
              <w:left w:val="nil"/>
              <w:bottom w:val="double" w:color="auto" w:sz="6" w:space="0"/>
              <w:right w:val="single" w:color="auto" w:sz="4" w:space="0"/>
            </w:tcBorders>
            <w:noWrap/>
            <w:vAlign w:val="center"/>
            <w:hideMark/>
          </w:tcPr>
          <w:p w:rsidRPr="002F327A" w:rsidR="007253C8" w:rsidP="00301BD8" w:rsidRDefault="007253C8" w14:paraId="49C5F111" w14:textId="77777777">
            <w:pPr>
              <w:pStyle w:val="TableText"/>
              <w:jc w:val="right"/>
              <w:rPr>
                <w:color w:val="000000"/>
                <w:sz w:val="18"/>
                <w:szCs w:val="18"/>
              </w:rPr>
            </w:pPr>
            <w:r w:rsidRPr="002F327A">
              <w:rPr>
                <w:color w:val="000000"/>
                <w:sz w:val="18"/>
                <w:szCs w:val="18"/>
              </w:rPr>
              <w:t xml:space="preserve">405,687 </w:t>
            </w:r>
          </w:p>
        </w:tc>
        <w:tc>
          <w:tcPr>
            <w:tcW w:w="1177" w:type="dxa"/>
            <w:tcBorders>
              <w:top w:val="nil"/>
              <w:left w:val="nil"/>
              <w:bottom w:val="double" w:color="auto" w:sz="6" w:space="0"/>
              <w:right w:val="single" w:color="auto" w:sz="4" w:space="0"/>
            </w:tcBorders>
            <w:noWrap/>
            <w:vAlign w:val="center"/>
            <w:hideMark/>
          </w:tcPr>
          <w:p w:rsidRPr="002F327A" w:rsidR="007253C8" w:rsidP="00301BD8" w:rsidRDefault="007253C8" w14:paraId="49BDFFC1" w14:textId="77777777">
            <w:pPr>
              <w:pStyle w:val="TableText"/>
              <w:jc w:val="right"/>
              <w:rPr>
                <w:color w:val="000000"/>
                <w:sz w:val="18"/>
                <w:szCs w:val="18"/>
              </w:rPr>
            </w:pPr>
            <w:r w:rsidRPr="002F327A">
              <w:rPr>
                <w:color w:val="000000"/>
                <w:sz w:val="18"/>
                <w:szCs w:val="18"/>
              </w:rPr>
              <w:t xml:space="preserve">600,741 </w:t>
            </w:r>
          </w:p>
        </w:tc>
        <w:tc>
          <w:tcPr>
            <w:tcW w:w="1203" w:type="dxa"/>
            <w:tcBorders>
              <w:top w:val="nil"/>
              <w:left w:val="nil"/>
              <w:bottom w:val="double" w:color="auto" w:sz="6" w:space="0"/>
              <w:right w:val="single" w:color="auto" w:sz="4" w:space="0"/>
            </w:tcBorders>
            <w:noWrap/>
            <w:vAlign w:val="center"/>
            <w:hideMark/>
          </w:tcPr>
          <w:p w:rsidRPr="002F327A" w:rsidR="007253C8" w:rsidP="00301BD8" w:rsidRDefault="007253C8" w14:paraId="19095C24" w14:textId="77777777">
            <w:pPr>
              <w:pStyle w:val="TableText"/>
              <w:jc w:val="right"/>
              <w:rPr>
                <w:color w:val="000000"/>
                <w:sz w:val="18"/>
                <w:szCs w:val="18"/>
              </w:rPr>
            </w:pPr>
            <w:r w:rsidRPr="002F327A">
              <w:rPr>
                <w:color w:val="000000"/>
                <w:sz w:val="18"/>
                <w:szCs w:val="18"/>
              </w:rPr>
              <w:t xml:space="preserve">150,322 </w:t>
            </w:r>
          </w:p>
        </w:tc>
        <w:tc>
          <w:tcPr>
            <w:tcW w:w="1364" w:type="dxa"/>
            <w:tcBorders>
              <w:top w:val="nil"/>
              <w:left w:val="nil"/>
              <w:bottom w:val="double" w:color="auto" w:sz="6" w:space="0"/>
              <w:right w:val="single" w:color="auto" w:sz="4" w:space="0"/>
            </w:tcBorders>
            <w:noWrap/>
            <w:vAlign w:val="center"/>
            <w:hideMark/>
          </w:tcPr>
          <w:p w:rsidRPr="002F327A" w:rsidR="007253C8" w:rsidP="00301BD8" w:rsidRDefault="007253C8" w14:paraId="1720A06E" w14:textId="77777777">
            <w:pPr>
              <w:pStyle w:val="TableText"/>
              <w:jc w:val="right"/>
              <w:rPr>
                <w:color w:val="000000"/>
                <w:sz w:val="18"/>
                <w:szCs w:val="18"/>
              </w:rPr>
            </w:pPr>
            <w:r w:rsidRPr="002F327A">
              <w:rPr>
                <w:color w:val="000000"/>
                <w:sz w:val="18"/>
                <w:szCs w:val="18"/>
              </w:rPr>
              <w:t xml:space="preserve">835,247 </w:t>
            </w:r>
          </w:p>
        </w:tc>
        <w:tc>
          <w:tcPr>
            <w:tcW w:w="1752" w:type="dxa"/>
            <w:tcBorders>
              <w:top w:val="nil"/>
              <w:left w:val="nil"/>
              <w:bottom w:val="double" w:color="auto" w:sz="6" w:space="0"/>
              <w:right w:val="single" w:color="auto" w:sz="4" w:space="0"/>
            </w:tcBorders>
            <w:noWrap/>
            <w:vAlign w:val="center"/>
            <w:hideMark/>
          </w:tcPr>
          <w:p w:rsidRPr="002F327A" w:rsidR="007253C8" w:rsidP="00301BD8" w:rsidRDefault="007253C8" w14:paraId="59B75D26" w14:textId="77777777">
            <w:pPr>
              <w:pStyle w:val="TableText"/>
              <w:jc w:val="right"/>
              <w:rPr>
                <w:color w:val="000000"/>
                <w:sz w:val="18"/>
                <w:szCs w:val="18"/>
              </w:rPr>
            </w:pPr>
            <w:r w:rsidRPr="002F327A">
              <w:rPr>
                <w:color w:val="000000"/>
                <w:sz w:val="18"/>
                <w:szCs w:val="18"/>
              </w:rPr>
              <w:t xml:space="preserve">255,366 </w:t>
            </w:r>
          </w:p>
        </w:tc>
      </w:tr>
    </w:tbl>
    <w:p w:rsidR="007253C8" w:rsidP="007253C8" w:rsidRDefault="007253C8" w14:paraId="654D4DCD" w14:textId="77777777">
      <w:pPr>
        <w:pStyle w:val="Standard"/>
      </w:pPr>
    </w:p>
    <w:p w:rsidR="007253C8" w:rsidP="007253C8" w:rsidRDefault="007253C8" w14:paraId="61AE9DE4" w14:textId="18EFE500">
      <w:pPr>
        <w:pStyle w:val="Standard"/>
      </w:pPr>
      <w:r>
        <w:t>In addition to the depreciated capital for assets placed in service from May</w:t>
      </w:r>
      <w:r w:rsidR="00FE2148">
        <w:t> </w:t>
      </w:r>
      <w:r>
        <w:t xml:space="preserve">30, 2019 to December 31, 2022, SDG&amp;E also requests recovery of the </w:t>
      </w:r>
      <w:proofErr w:type="spellStart"/>
      <w:r>
        <w:t>undercollected</w:t>
      </w:r>
      <w:proofErr w:type="spellEnd"/>
      <w:r>
        <w:t xml:space="preserve"> taxes and return on rate base for the 2019–2022 period. SDG&amp;E </w:t>
      </w:r>
      <w:r>
        <w:lastRenderedPageBreak/>
        <w:t>requests these costs as part of the additional total revenue requirement for the 20</w:t>
      </w:r>
      <w:r w:rsidR="00202602">
        <w:t>24</w:t>
      </w:r>
      <w:r>
        <w:t>–202</w:t>
      </w:r>
      <w:r w:rsidR="00202602">
        <w:t>7</w:t>
      </w:r>
      <w:r>
        <w:t xml:space="preserve"> period.</w:t>
      </w:r>
      <w:r w:rsidR="00202602">
        <w:rPr>
          <w:rStyle w:val="FootnoteReference"/>
        </w:rPr>
        <w:footnoteReference w:id="73"/>
      </w:r>
      <w:r>
        <w:t xml:space="preserve"> These costs are reflected in the totals in Section 14 below. Sections 4 through 12 address SDG&amp;E’s requests for recovery of direct costs. Section 13 addresses SDG&amp;E’s requests for recovery of indirect costs. </w:t>
      </w:r>
    </w:p>
    <w:p w:rsidR="007253C8" w:rsidP="00D166DC" w:rsidRDefault="007253C8" w14:paraId="02EC2DAA" w14:textId="7C94D42B">
      <w:pPr>
        <w:pStyle w:val="Heading2"/>
        <w:rPr>
          <w:b w:val="0"/>
          <w:bCs/>
        </w:rPr>
      </w:pPr>
      <w:bookmarkStart w:name="_Toc213312245" w:id="16"/>
      <w:r w:rsidRPr="69D97568">
        <w:t xml:space="preserve">Summary of Intervenor </w:t>
      </w:r>
      <w:r>
        <w:t>Arguments and Recommendations</w:t>
      </w:r>
      <w:bookmarkEnd w:id="16"/>
    </w:p>
    <w:p w:rsidR="007253C8" w:rsidP="007253C8" w:rsidRDefault="007253C8" w14:paraId="39A09392" w14:textId="77777777">
      <w:pPr>
        <w:pStyle w:val="Standard"/>
      </w:pPr>
      <w:r>
        <w:t>Due to the number of intervenor arguments that apply across many of</w:t>
      </w:r>
    </w:p>
    <w:p w:rsidR="007253C8" w:rsidP="007253C8" w:rsidRDefault="007253C8" w14:paraId="604A2673" w14:textId="77777777">
      <w:pPr>
        <w:pStyle w:val="Standard"/>
        <w:ind w:firstLine="0"/>
      </w:pPr>
      <w:r>
        <w:t>SDG&amp;E’s requests, each intervenor’s primary arguments are summarized here.</w:t>
      </w:r>
    </w:p>
    <w:p w:rsidR="007253C8" w:rsidP="00D166DC" w:rsidRDefault="007253C8" w14:paraId="17B1F587" w14:textId="0C213BA7">
      <w:pPr>
        <w:pStyle w:val="Heading3"/>
        <w:rPr>
          <w:b w:val="0"/>
          <w:bCs/>
        </w:rPr>
      </w:pPr>
      <w:bookmarkStart w:name="_Toc213312246" w:id="17"/>
      <w:r w:rsidRPr="69D97568">
        <w:t>TURN</w:t>
      </w:r>
      <w:bookmarkEnd w:id="17"/>
    </w:p>
    <w:p w:rsidR="007253C8" w:rsidP="007253C8" w:rsidRDefault="002771F5" w14:paraId="2124F72A" w14:textId="7C15F1DD">
      <w:pPr>
        <w:pStyle w:val="Standard"/>
      </w:pPr>
      <w:r>
        <w:t>The Utility Reform Network (</w:t>
      </w:r>
      <w:r w:rsidR="007253C8">
        <w:t>TURN</w:t>
      </w:r>
      <w:r>
        <w:t>)</w:t>
      </w:r>
      <w:r w:rsidR="007253C8">
        <w:t xml:space="preserve"> argues that SDG&amp;E fails to demonstrate that the utility meaningfully or sufficiently considered cost-effectiveness and other key indicia of reasonableness in developing and implementing the various initiatives. As a result, TURN recommends that SDG&amp;E be required to re-file its Track 2 application with the accrual of interest suspended on its refiled application. Secondly, TURN recommends that the Commission provide guidance for any securitization application the utility chooses to present.</w:t>
      </w:r>
    </w:p>
    <w:p w:rsidR="007253C8" w:rsidP="007253C8" w:rsidRDefault="007253C8" w14:paraId="222AC5CD" w14:textId="77777777">
      <w:pPr>
        <w:pStyle w:val="Standard"/>
      </w:pPr>
      <w:r>
        <w:t xml:space="preserve">More specifically, TURN argues that SDG&amp;E’s direct testimony does not contain sufficient analysis of the costs of the specific initiatives underlying the utility’s request here, particularly with regard to establishing that the amount spent was cost-effective during the period in question. For each of the initiatives, the utility’s cost showing was limited to reporting the recorded costs, broken out between capital and O&amp;M. For the initiatives that had a GRC-authorized cost figure, SDG&amp;E provided the authorized figures. And SDG&amp;E calculated a “differential” figure that was either equal to the recorded cost figure (for </w:t>
      </w:r>
      <w:r>
        <w:lastRenderedPageBreak/>
        <w:t>initiatives that had not been included in the 2019 GRC) or a net cost reflecting the GRC-authorized amount subtracted from the recorded cost figure. SDG&amp;E provided such information for the 2019–2022 period for each category of initiatives, and broken out by annual amounts for each individual initiative.</w:t>
      </w:r>
      <w:r w:rsidRPr="69D97568">
        <w:rPr>
          <w:rStyle w:val="FootnoteReference"/>
        </w:rPr>
        <w:footnoteReference w:id="74"/>
      </w:r>
    </w:p>
    <w:p w:rsidR="007253C8" w:rsidP="00D166DC" w:rsidRDefault="007253C8" w14:paraId="5DF2FE25" w14:textId="78D3F509">
      <w:pPr>
        <w:pStyle w:val="Heading3"/>
        <w:rPr>
          <w:b w:val="0"/>
          <w:bCs/>
        </w:rPr>
      </w:pPr>
      <w:bookmarkStart w:name="_Toc213312247" w:id="18"/>
      <w:r w:rsidRPr="69D97568">
        <w:t>Cal Advocates</w:t>
      </w:r>
      <w:bookmarkEnd w:id="18"/>
    </w:p>
    <w:p w:rsidR="007253C8" w:rsidP="007253C8" w:rsidRDefault="002771F5" w14:paraId="4E0CC5E1" w14:textId="63077BFD">
      <w:pPr>
        <w:pStyle w:val="Standard"/>
      </w:pPr>
      <w:r>
        <w:t>T</w:t>
      </w:r>
      <w:r w:rsidRPr="002771F5">
        <w:t>he Public Advocates Office of the California Utilities Commission (Cal Advocates)</w:t>
      </w:r>
      <w:r>
        <w:t xml:space="preserve"> </w:t>
      </w:r>
      <w:r w:rsidR="007253C8">
        <w:t xml:space="preserve">recommends reductions to direct costs of $398.822 million in capital expenditures and $124.988 in O&amp;M expenses because Cal Advocates claims they are unsupported or unreasonable, and an imprudent use of ratepayer funds, including $97.092 million in capital expenditures and $2.557 </w:t>
      </w:r>
      <w:r w:rsidR="00833E74">
        <w:t xml:space="preserve">million </w:t>
      </w:r>
      <w:r w:rsidR="007253C8">
        <w:t>in O&amp;M expenses for Grid Design and System Hardening.</w:t>
      </w:r>
      <w:r w:rsidRPr="69D97568" w:rsidR="007253C8">
        <w:rPr>
          <w:rStyle w:val="FootnoteReference"/>
        </w:rPr>
        <w:footnoteReference w:id="75"/>
      </w:r>
    </w:p>
    <w:p w:rsidR="007253C8" w:rsidP="007253C8" w:rsidRDefault="007253C8" w14:paraId="5B102CEB" w14:textId="77777777">
      <w:pPr>
        <w:pStyle w:val="Standard"/>
      </w:pPr>
      <w:r>
        <w:t>For indirect costs, Cal Advocates primarily recommends reductions in the following:</w:t>
      </w:r>
    </w:p>
    <w:p w:rsidR="007253C8" w:rsidP="00D166DC" w:rsidRDefault="007253C8" w14:paraId="16980798" w14:textId="77777777">
      <w:pPr>
        <w:pStyle w:val="ListBullet"/>
        <w:ind w:right="1440"/>
      </w:pPr>
      <w:r>
        <w:t>$</w:t>
      </w:r>
      <w:r w:rsidRPr="00D166DC">
        <w:t>27</w:t>
      </w:r>
      <w:r>
        <w:t>.684 million in expense overhead and $268.589 million in capital overhead.</w:t>
      </w:r>
    </w:p>
    <w:p w:rsidR="007253C8" w:rsidP="00D166DC" w:rsidRDefault="007253C8" w14:paraId="61680BFD" w14:textId="77777777">
      <w:pPr>
        <w:pStyle w:val="ListBullet"/>
        <w:ind w:right="1440"/>
      </w:pPr>
      <w:r>
        <w:t xml:space="preserve">$1.810 million </w:t>
      </w:r>
      <w:r w:rsidRPr="00D166DC">
        <w:t>of</w:t>
      </w:r>
      <w:r>
        <w:t xml:space="preserve"> WMP costs based on an extrapolation from Ernst &amp; Young’s finding that certain costs are outside the scope of the WMPMA.</w:t>
      </w:r>
      <w:r w:rsidRPr="523FD6F4">
        <w:rPr>
          <w:rStyle w:val="FootnoteReference"/>
        </w:rPr>
        <w:footnoteReference w:id="76"/>
      </w:r>
    </w:p>
    <w:p w:rsidR="007253C8" w:rsidP="007253C8" w:rsidRDefault="007253C8" w14:paraId="6FA0C478" w14:textId="77777777">
      <w:pPr>
        <w:pStyle w:val="Standard"/>
      </w:pPr>
      <w:r>
        <w:t>Cal Advocates recommends that SDG&amp;E’s request for $775.00 million in ongoing capital-related costs from 2023 through 2027 be reviewed in a separate proceeding.</w:t>
      </w:r>
      <w:r w:rsidRPr="69D97568">
        <w:rPr>
          <w:rStyle w:val="FootnoteReference"/>
        </w:rPr>
        <w:footnoteReference w:id="77"/>
      </w:r>
    </w:p>
    <w:p w:rsidRPr="00C878F9" w:rsidR="007253C8" w:rsidP="00D166DC" w:rsidRDefault="007253C8" w14:paraId="059E2E74" w14:textId="72E9D640">
      <w:pPr>
        <w:pStyle w:val="Heading3"/>
      </w:pPr>
      <w:bookmarkStart w:name="_Toc213312248" w:id="19"/>
      <w:r w:rsidRPr="69D97568">
        <w:lastRenderedPageBreak/>
        <w:t>PCF</w:t>
      </w:r>
      <w:bookmarkEnd w:id="19"/>
    </w:p>
    <w:p w:rsidR="007253C8" w:rsidP="007253C8" w:rsidRDefault="002771F5" w14:paraId="2068B930" w14:textId="7CA3E388">
      <w:pPr>
        <w:pStyle w:val="Standard"/>
      </w:pPr>
      <w:r>
        <w:t xml:space="preserve">The Protect our Communities </w:t>
      </w:r>
      <w:r w:rsidR="007253C8">
        <w:t>F</w:t>
      </w:r>
      <w:r>
        <w:t>oundation</w:t>
      </w:r>
      <w:r w:rsidR="007253C8">
        <w:t xml:space="preserve"> argues that SDG&amp;E failed to support the reasonableness of its application because: 1) </w:t>
      </w:r>
      <w:r w:rsidRPr="00544A12" w:rsidR="007253C8">
        <w:t xml:space="preserve">SDG&amp;E failed to </w:t>
      </w:r>
      <w:r w:rsidR="007253C8">
        <w:t xml:space="preserve">demonstrate it </w:t>
      </w:r>
      <w:r w:rsidRPr="000802DD" w:rsidR="007253C8">
        <w:t>implement</w:t>
      </w:r>
      <w:r w:rsidR="007253C8">
        <w:t>ed</w:t>
      </w:r>
      <w:r w:rsidRPr="000802DD" w:rsidR="007253C8">
        <w:t xml:space="preserve"> </w:t>
      </w:r>
      <w:r w:rsidR="007253C8">
        <w:t xml:space="preserve">its </w:t>
      </w:r>
      <w:r w:rsidRPr="000802DD" w:rsidR="007253C8">
        <w:t>wildfire mitigation programs</w:t>
      </w:r>
      <w:r w:rsidR="007253C8">
        <w:t xml:space="preserve"> cost-effectively and to demonstrate the cost-effectiveness of its application in many respects; 2) SDG&amp;E’s </w:t>
      </w:r>
      <w:r w:rsidRPr="00544A12" w:rsidR="007253C8">
        <w:t xml:space="preserve">testimony </w:t>
      </w:r>
      <w:r w:rsidR="007253C8">
        <w:t xml:space="preserve">regarding some </w:t>
      </w:r>
      <w:r w:rsidRPr="00544A12" w:rsidR="007253C8">
        <w:t>2019 and 2020 WMP cost figures conflict with SDG&amp;E’s prior attestations to the Commission about the amounts SDG&amp;E spent on specific WMP programs in 2019 and 2020</w:t>
      </w:r>
      <w:r w:rsidR="007253C8">
        <w:t xml:space="preserve">; 3) </w:t>
      </w:r>
      <w:r w:rsidRPr="00544A12" w:rsidR="007253C8">
        <w:t>SDG&amp;E chose not to include its 2019 WMP with its application</w:t>
      </w:r>
      <w:r w:rsidR="007253C8">
        <w:t>;</w:t>
      </w:r>
      <w:r w:rsidR="007253C8">
        <w:rPr>
          <w:rStyle w:val="FootnoteReference"/>
        </w:rPr>
        <w:footnoteReference w:id="78"/>
      </w:r>
      <w:r w:rsidR="007253C8">
        <w:t xml:space="preserve"> 4) recovery of some costs should be denied based on a 2021 audit recommendation of the Commission and OEIS;</w:t>
      </w:r>
      <w:r w:rsidR="007253C8">
        <w:rPr>
          <w:rStyle w:val="FootnoteReference"/>
        </w:rPr>
        <w:footnoteReference w:id="79"/>
      </w:r>
      <w:r w:rsidR="007253C8">
        <w:t xml:space="preserve"> 5) </w:t>
      </w:r>
      <w:r w:rsidRPr="009007EA" w:rsidR="007253C8">
        <w:t>SDG&amp;E should have adopted a local solar-plus-storage (SPS) alternative</w:t>
      </w:r>
      <w:r w:rsidR="007253C8">
        <w:t>;</w:t>
      </w:r>
      <w:r w:rsidR="007253C8">
        <w:rPr>
          <w:rStyle w:val="FootnoteReference"/>
        </w:rPr>
        <w:footnoteReference w:id="80"/>
      </w:r>
      <w:r w:rsidR="007253C8">
        <w:t xml:space="preserve"> 6) </w:t>
      </w:r>
      <w:r w:rsidRPr="009D25C3" w:rsidR="007253C8">
        <w:t xml:space="preserve">SDG&amp;E should be held accountable for the substantial and unreasonable delays in </w:t>
      </w:r>
      <w:r w:rsidR="007253C8">
        <w:t>filing</w:t>
      </w:r>
      <w:r w:rsidRPr="009D25C3" w:rsidR="007253C8">
        <w:t xml:space="preserve"> its </w:t>
      </w:r>
      <w:r w:rsidR="007253C8">
        <w:t>application for cost recovery for the 2019–2022 period;</w:t>
      </w:r>
      <w:r w:rsidR="007253C8">
        <w:rPr>
          <w:rStyle w:val="FootnoteReference"/>
        </w:rPr>
        <w:footnoteReference w:id="81"/>
      </w:r>
      <w:r w:rsidR="007253C8">
        <w:t xml:space="preserve"> 6) </w:t>
      </w:r>
      <w:r w:rsidRPr="009007EA" w:rsidR="007253C8">
        <w:t xml:space="preserve">SDG&amp;E’s securitization proposal would </w:t>
      </w:r>
      <w:r w:rsidR="007253C8">
        <w:t>unreasonably increase rates.</w:t>
      </w:r>
      <w:r w:rsidR="007253C8">
        <w:rPr>
          <w:rStyle w:val="FootnoteReference"/>
        </w:rPr>
        <w:footnoteReference w:id="82"/>
      </w:r>
    </w:p>
    <w:p w:rsidRPr="00AA5AC6" w:rsidR="007253C8" w:rsidP="00142911" w:rsidRDefault="007253C8" w14:paraId="6C951DE2" w14:textId="1A750D1A">
      <w:pPr>
        <w:pStyle w:val="Heading3"/>
        <w:rPr>
          <w:b w:val="0"/>
          <w:bCs/>
        </w:rPr>
      </w:pPr>
      <w:bookmarkStart w:name="_Toc213312249" w:id="20"/>
      <w:r w:rsidRPr="00AA5AC6">
        <w:t>UCAN</w:t>
      </w:r>
      <w:bookmarkEnd w:id="20"/>
    </w:p>
    <w:p w:rsidR="007253C8" w:rsidP="007253C8" w:rsidRDefault="007253C8" w14:paraId="2FA850D4" w14:textId="31295313">
      <w:pPr>
        <w:pStyle w:val="Standard"/>
      </w:pPr>
      <w:r w:rsidRPr="00185688">
        <w:t>U</w:t>
      </w:r>
      <w:r w:rsidR="002771F5">
        <w:t xml:space="preserve">tility </w:t>
      </w:r>
      <w:r w:rsidRPr="00185688">
        <w:t>C</w:t>
      </w:r>
      <w:r w:rsidR="002771F5">
        <w:t xml:space="preserve">onsumers </w:t>
      </w:r>
      <w:r w:rsidRPr="00185688">
        <w:t>A</w:t>
      </w:r>
      <w:r w:rsidR="002771F5">
        <w:t xml:space="preserve">ction </w:t>
      </w:r>
      <w:r w:rsidRPr="00185688">
        <w:t>N</w:t>
      </w:r>
      <w:r w:rsidR="002771F5">
        <w:t>etwork (UCAN)</w:t>
      </w:r>
      <w:r w:rsidRPr="00185688">
        <w:t xml:space="preserve"> </w:t>
      </w:r>
      <w:r>
        <w:t xml:space="preserve">makes three primary </w:t>
      </w:r>
      <w:r w:rsidRPr="00185688">
        <w:t>recommendations</w:t>
      </w:r>
      <w:r>
        <w:t>.</w:t>
      </w:r>
      <w:r>
        <w:rPr>
          <w:rStyle w:val="FootnoteReference"/>
        </w:rPr>
        <w:footnoteReference w:id="83"/>
      </w:r>
      <w:r>
        <w:t xml:space="preserve"> First, the Commission should </w:t>
      </w:r>
      <w:r w:rsidRPr="00185688">
        <w:t>extrapolate from the amount that auditor Ernst &amp; Young found from its sampling to be ineligible for recovery from ratepayers to all of SDG&amp;E’s WMP spending under consideration in this proceeding</w:t>
      </w:r>
      <w:r>
        <w:t xml:space="preserve">, which would </w:t>
      </w:r>
      <w:r w:rsidRPr="00185688">
        <w:t xml:space="preserve">result in an additional adjustment of $1,733,313 </w:t>
      </w:r>
      <w:r w:rsidRPr="00185688">
        <w:lastRenderedPageBreak/>
        <w:t>million</w:t>
      </w:r>
      <w:r>
        <w:t xml:space="preserve">. Second, the </w:t>
      </w:r>
      <w:r w:rsidRPr="00185688">
        <w:t xml:space="preserve">Commission </w:t>
      </w:r>
      <w:r>
        <w:t xml:space="preserve">should </w:t>
      </w:r>
      <w:r w:rsidRPr="00185688">
        <w:t>exercise heightened scrutiny in the form of audits over much of SDG&amp;E’s recorded expenditures for wildfire safety.</w:t>
      </w:r>
      <w:r>
        <w:t xml:space="preserve"> Third, </w:t>
      </w:r>
      <w:r w:rsidRPr="00185688">
        <w:t>UCAN recommend</w:t>
      </w:r>
      <w:r>
        <w:t>s</w:t>
      </w:r>
      <w:r w:rsidRPr="00185688">
        <w:t xml:space="preserve"> </w:t>
      </w:r>
      <w:r>
        <w:t xml:space="preserve">adopting TURN’s </w:t>
      </w:r>
      <w:r w:rsidRPr="00185688">
        <w:t>securitiz</w:t>
      </w:r>
      <w:r>
        <w:t>ation proposal.</w:t>
      </w:r>
    </w:p>
    <w:p w:rsidRPr="009C0535" w:rsidR="007253C8" w:rsidP="00142911" w:rsidRDefault="007253C8" w14:paraId="673193E1" w14:textId="444D8B44">
      <w:pPr>
        <w:pStyle w:val="Heading3"/>
      </w:pPr>
      <w:bookmarkStart w:name="_Toc213312250" w:id="21"/>
      <w:r w:rsidRPr="009C0535">
        <w:t>SBUA</w:t>
      </w:r>
      <w:bookmarkEnd w:id="21"/>
      <w:r w:rsidRPr="009C0535">
        <w:t xml:space="preserve"> </w:t>
      </w:r>
    </w:p>
    <w:p w:rsidR="007253C8" w:rsidP="007253C8" w:rsidRDefault="002771F5" w14:paraId="740307C9" w14:textId="0266077D">
      <w:pPr>
        <w:pStyle w:val="Standard"/>
      </w:pPr>
      <w:r>
        <w:t>Small Business Utility Advocates (</w:t>
      </w:r>
      <w:r w:rsidR="007253C8">
        <w:t>SBUA</w:t>
      </w:r>
      <w:r>
        <w:t>)</w:t>
      </w:r>
      <w:r w:rsidR="007253C8">
        <w:t xml:space="preserve"> recommends denial of </w:t>
      </w:r>
      <w:r w:rsidRPr="00AA5AC6" w:rsidR="007253C8">
        <w:t xml:space="preserve">$31 million </w:t>
      </w:r>
      <w:r w:rsidR="007253C8">
        <w:t xml:space="preserve">for the </w:t>
      </w:r>
      <w:r w:rsidRPr="00AA5AC6" w:rsidR="007253C8">
        <w:t>Aviation Firefighting Program</w:t>
      </w:r>
      <w:r w:rsidR="007253C8">
        <w:t xml:space="preserve"> and SDG&amp;E’s </w:t>
      </w:r>
      <w:r w:rsidRPr="00AA5AC6" w:rsidR="007253C8">
        <w:t xml:space="preserve">request for approval of $775 million for projected costs for </w:t>
      </w:r>
      <w:r w:rsidR="007253C8">
        <w:t xml:space="preserve">the </w:t>
      </w:r>
      <w:r w:rsidRPr="00AA5AC6" w:rsidR="007253C8">
        <w:t>2023</w:t>
      </w:r>
      <w:r w:rsidR="007253C8">
        <w:t>–20</w:t>
      </w:r>
      <w:r w:rsidRPr="00AA5AC6" w:rsidR="007253C8">
        <w:t xml:space="preserve">27 </w:t>
      </w:r>
      <w:r w:rsidR="007253C8">
        <w:t>period.</w:t>
      </w:r>
      <w:r w:rsidR="007253C8">
        <w:rPr>
          <w:rStyle w:val="FootnoteReference"/>
        </w:rPr>
        <w:footnoteReference w:id="84"/>
      </w:r>
    </w:p>
    <w:p w:rsidR="007253C8" w:rsidP="007253C8" w:rsidRDefault="007253C8" w14:paraId="334E9D2F" w14:textId="77777777">
      <w:pPr>
        <w:pStyle w:val="Standard"/>
      </w:pPr>
      <w:r>
        <w:t>In relation to small businesses, SBUA requests that the Commission take the following actions:</w:t>
      </w:r>
      <w:r>
        <w:rPr>
          <w:rStyle w:val="FootnoteReference"/>
        </w:rPr>
        <w:footnoteReference w:id="85"/>
      </w:r>
    </w:p>
    <w:p w:rsidR="007253C8" w:rsidP="00142911" w:rsidRDefault="007253C8" w14:paraId="69F0F4F4" w14:textId="77777777">
      <w:pPr>
        <w:pStyle w:val="ListBullet"/>
        <w:ind w:right="1440"/>
      </w:pPr>
      <w:r>
        <w:t>R</w:t>
      </w:r>
      <w:r w:rsidRPr="00AA5AC6">
        <w:t>equ</w:t>
      </w:r>
      <w:r>
        <w:t>ire SDG&amp;E</w:t>
      </w:r>
      <w:r w:rsidRPr="00AA5AC6">
        <w:t xml:space="preserve"> to survey a representative sample of small commercial customers to obtain gross profit, income before taxes</w:t>
      </w:r>
      <w:r>
        <w:t>,</w:t>
      </w:r>
      <w:r w:rsidRPr="00AA5AC6">
        <w:t xml:space="preserve"> and net income</w:t>
      </w:r>
      <w:r>
        <w:t xml:space="preserve"> </w:t>
      </w:r>
      <w:r w:rsidRPr="00AA5AC6">
        <w:t>information to calculate rate burden estimates</w:t>
      </w:r>
      <w:r>
        <w:t>;</w:t>
      </w:r>
    </w:p>
    <w:p w:rsidR="007253C8" w:rsidP="00142911" w:rsidRDefault="007253C8" w14:paraId="5BF22F86" w14:textId="77777777">
      <w:pPr>
        <w:pStyle w:val="ListBullet"/>
        <w:ind w:right="1440"/>
      </w:pPr>
      <w:r>
        <w:t xml:space="preserve">Require </w:t>
      </w:r>
      <w:r w:rsidRPr="00AA5AC6">
        <w:t xml:space="preserve">SDG&amp;E to convene a small business working group to provide direct input on the design of an affordability </w:t>
      </w:r>
      <w:r w:rsidRPr="00142911">
        <w:t>framework</w:t>
      </w:r>
      <w:r w:rsidRPr="00AA5AC6">
        <w:t xml:space="preserve"> and related metrics for small commercial ratepayers within three months of the adoption of the final decision. </w:t>
      </w:r>
    </w:p>
    <w:p w:rsidR="007253C8" w:rsidP="00142911" w:rsidRDefault="007253C8" w14:paraId="7515FD52" w14:textId="77777777">
      <w:pPr>
        <w:pStyle w:val="ListBullet"/>
        <w:ind w:right="1440"/>
      </w:pPr>
      <w:r w:rsidRPr="00AA5AC6">
        <w:t xml:space="preserve">In future </w:t>
      </w:r>
      <w:r w:rsidRPr="00142911">
        <w:t>applications</w:t>
      </w:r>
      <w:r w:rsidRPr="00AA5AC6">
        <w:t>, require</w:t>
      </w:r>
      <w:r>
        <w:t xml:space="preserve"> SDG&amp;E</w:t>
      </w:r>
      <w:r w:rsidRPr="00AA5AC6">
        <w:t xml:space="preserve"> to</w:t>
      </w:r>
      <w:r>
        <w:t>:</w:t>
      </w:r>
    </w:p>
    <w:p w:rsidR="007253C8" w:rsidP="0037110F" w:rsidRDefault="00142911" w14:paraId="67A4243A" w14:textId="6DE26AAC">
      <w:pPr>
        <w:pStyle w:val="ListBullet"/>
        <w:ind w:left="1440" w:right="1440"/>
      </w:pPr>
      <w:r>
        <w:t>P</w:t>
      </w:r>
      <w:r w:rsidRPr="00AA5AC6" w:rsidR="007253C8">
        <w:t xml:space="preserve">resent rate impact information (i) in the context of average small </w:t>
      </w:r>
      <w:r w:rsidRPr="00142911" w:rsidR="007253C8">
        <w:t>commercial</w:t>
      </w:r>
      <w:r w:rsidRPr="00AA5AC6" w:rsidR="007253C8">
        <w:t xml:space="preserve"> customer monthly bills (as is done for residential customers), (ii) by climate zone</w:t>
      </w:r>
      <w:r w:rsidR="007253C8">
        <w:t>,</w:t>
      </w:r>
      <w:r w:rsidRPr="00AA5AC6" w:rsidR="007253C8">
        <w:t xml:space="preserve"> and (iii) for each of the three prototypical small commercial customer business types listed in the most recent Senate Bill 695 Report, and</w:t>
      </w:r>
    </w:p>
    <w:p w:rsidR="007253C8" w:rsidP="0037110F" w:rsidRDefault="00142911" w14:paraId="1F0EC593" w14:textId="3B4CE047">
      <w:pPr>
        <w:pStyle w:val="ListBullet"/>
        <w:ind w:left="1440" w:right="1440"/>
      </w:pPr>
      <w:r>
        <w:t>P</w:t>
      </w:r>
      <w:r w:rsidRPr="00AA5AC6" w:rsidR="007253C8">
        <w:t xml:space="preserve">resent the amount and percent of rate impact of all other </w:t>
      </w:r>
      <w:r w:rsidRPr="00142911" w:rsidR="007253C8">
        <w:t>proposed</w:t>
      </w:r>
      <w:r w:rsidRPr="00AA5AC6" w:rsidR="007253C8">
        <w:t xml:space="preserve"> and approved rate increases over the same period to understand the context of severity of the specific application.</w:t>
      </w:r>
    </w:p>
    <w:p w:rsidR="007253C8" w:rsidP="00142911" w:rsidRDefault="007253C8" w14:paraId="14BE5F96" w14:textId="77777777">
      <w:pPr>
        <w:pStyle w:val="Heading2"/>
        <w:rPr>
          <w:b w:val="0"/>
        </w:rPr>
      </w:pPr>
      <w:bookmarkStart w:name="_Toc213312251" w:id="22"/>
      <w:r>
        <w:lastRenderedPageBreak/>
        <w:t>Procedural Background</w:t>
      </w:r>
      <w:bookmarkEnd w:id="22"/>
    </w:p>
    <w:p w:rsidR="007253C8" w:rsidP="007253C8" w:rsidRDefault="007253C8" w14:paraId="6665C665" w14:textId="135A7F73">
      <w:pPr>
        <w:pStyle w:val="Standard"/>
      </w:pPr>
      <w:r>
        <w:t>On May 16, 2022</w:t>
      </w:r>
      <w:r w:rsidR="00C20ABE">
        <w:t>,</w:t>
      </w:r>
      <w:r w:rsidR="009008DC">
        <w:t xml:space="preserve"> </w:t>
      </w:r>
      <w:r>
        <w:t>SDG&amp;E filed its general rate case application (GRC) Application (A.) A.22-05-016 for authority to increase its authorized revenues for gas and electric serv</w:t>
      </w:r>
      <w:r w:rsidR="00EC7FFD">
        <w:t>ic</w:t>
      </w:r>
      <w:r>
        <w:t>e in 2024, among other things, and to reflect that increase in rates. SDG&amp;E’s Application also included a request to recover 2019–2022 costs recorded in SDG&amp;E’s WMPMA.</w:t>
      </w:r>
    </w:p>
    <w:p w:rsidR="007253C8" w:rsidP="007253C8" w:rsidRDefault="1BFE1C55" w14:paraId="697906C7" w14:textId="11D8127B">
      <w:pPr>
        <w:pStyle w:val="Standard"/>
      </w:pPr>
      <w:r>
        <w:t>The October 3, 2022 Assigned Commissioner’s Scoping Memo</w:t>
      </w:r>
      <w:r w:rsidR="004915D9">
        <w:t>randum</w:t>
      </w:r>
      <w:r>
        <w:t xml:space="preserve"> </w:t>
      </w:r>
      <w:r w:rsidR="549823A8">
        <w:t xml:space="preserve">defined the issues for </w:t>
      </w:r>
      <w:r>
        <w:t>Track 2</w:t>
      </w:r>
      <w:r w:rsidR="549823A8">
        <w:t xml:space="preserve"> and determined the schedule that was modified on </w:t>
      </w:r>
      <w:r>
        <w:t>July</w:t>
      </w:r>
      <w:r w:rsidR="549823A8">
        <w:t xml:space="preserve"> </w:t>
      </w:r>
      <w:r>
        <w:t>26, 2024.</w:t>
      </w:r>
    </w:p>
    <w:p w:rsidR="007253C8" w:rsidP="007253C8" w:rsidRDefault="007253C8" w14:paraId="6305E452" w14:textId="7BCA7F27">
      <w:pPr>
        <w:pStyle w:val="Standard"/>
      </w:pPr>
      <w:r>
        <w:t>O</w:t>
      </w:r>
      <w:r w:rsidRPr="002E7FA1">
        <w:t xml:space="preserve">n October 27, 2023, SDG&amp;E submitted its Track 2 testimony supporting </w:t>
      </w:r>
      <w:r w:rsidR="00E5684A">
        <w:t>its</w:t>
      </w:r>
      <w:r w:rsidRPr="002E7FA1">
        <w:t xml:space="preserve"> request that the Commission find just and reasonable </w:t>
      </w:r>
      <w:r w:rsidR="00E5684A">
        <w:t>its</w:t>
      </w:r>
      <w:r w:rsidRPr="002E7FA1">
        <w:t xml:space="preserve"> incremental costs and expenses </w:t>
      </w:r>
      <w:r w:rsidR="00E5684A">
        <w:t>for</w:t>
      </w:r>
      <w:r w:rsidRPr="002E7FA1">
        <w:t xml:space="preserve"> its wildfire mitigation initiatives from May 30, 2019 through December 31, 2022, and authorize recovery of the </w:t>
      </w:r>
      <w:proofErr w:type="spellStart"/>
      <w:r w:rsidRPr="002E7FA1">
        <w:t>undercollected</w:t>
      </w:r>
      <w:proofErr w:type="spellEnd"/>
      <w:r w:rsidRPr="002E7FA1">
        <w:t xml:space="preserve"> costs and ongoing revenue requirement in rates. </w:t>
      </w:r>
      <w:r>
        <w:t xml:space="preserve"> </w:t>
      </w:r>
    </w:p>
    <w:p w:rsidR="007253C8" w:rsidP="007253C8" w:rsidRDefault="007253C8" w14:paraId="74150A6F" w14:textId="77777777">
      <w:pPr>
        <w:pStyle w:val="Standard"/>
      </w:pPr>
      <w:r>
        <w:t>Also on</w:t>
      </w:r>
      <w:r w:rsidDel="38C3B24F">
        <w:t xml:space="preserve"> </w:t>
      </w:r>
      <w:r>
        <w:t>October 27, 2023, SDG&amp;E filed a motion for interim rate relief requesting approval of interim rate recovery of 50% of SDG&amp;E’s electric WMPMA recorded balance as of December 31, 2022. D.24-02-010 granted</w:t>
      </w:r>
      <w:r w:rsidDel="38C3B24F">
        <w:t xml:space="preserve"> </w:t>
      </w:r>
      <w:r>
        <w:t xml:space="preserve">in part SDG&amp;E’s requested interim rate relief, authorizing SDG&amp;E to recover (subject to refund) $289.9 million of the potentially </w:t>
      </w:r>
      <w:proofErr w:type="spellStart"/>
      <w:r>
        <w:t>undercollected</w:t>
      </w:r>
      <w:proofErr w:type="spellEnd"/>
      <w:r>
        <w:t xml:space="preserve"> WMPMA balance in rates in 2024 and 2025.</w:t>
      </w:r>
    </w:p>
    <w:p w:rsidR="007253C8" w:rsidP="007253C8" w:rsidRDefault="007253C8" w14:paraId="663E2CB3" w14:textId="2C0D6507">
      <w:pPr>
        <w:pStyle w:val="Standard"/>
      </w:pPr>
      <w:r>
        <w:t>On February 9, 2024, SDG&amp;E served the revised direct testimony of Jonathan Woldemariam and Craig Gentes</w:t>
      </w:r>
      <w:r w:rsidR="009D06E0">
        <w:t>.</w:t>
      </w:r>
      <w:r>
        <w:t xml:space="preserve"> </w:t>
      </w:r>
      <w:r w:rsidR="009D06E0">
        <w:t>This testimony revised</w:t>
      </w:r>
      <w:r>
        <w:t xml:space="preserve"> the categorization of wildfire costs to reflect their designations as </w:t>
      </w:r>
      <w:r w:rsidR="009D06E0">
        <w:t xml:space="preserve">of </w:t>
      </w:r>
      <w:r>
        <w:t xml:space="preserve">year-end 2022 </w:t>
      </w:r>
      <w:r w:rsidR="009D06E0">
        <w:t xml:space="preserve">without </w:t>
      </w:r>
      <w:r>
        <w:t>chang</w:t>
      </w:r>
      <w:r w:rsidR="009D06E0">
        <w:t>ing</w:t>
      </w:r>
      <w:r>
        <w:t xml:space="preserve"> the actual revenues SDG&amp;E requests in Track 2.</w:t>
      </w:r>
    </w:p>
    <w:p w:rsidR="007253C8" w:rsidP="007253C8" w:rsidRDefault="007253C8" w14:paraId="7A45A9EA" w14:textId="2949B8E6">
      <w:pPr>
        <w:pStyle w:val="Standard"/>
      </w:pPr>
      <w:r w:rsidRPr="00526697">
        <w:lastRenderedPageBreak/>
        <w:t>On June 17, 2024, Cal Advocates, UCAN, SBUA, PCF, and TURN served intervenor testimony in Track 2. On July 26, 2024, SDG&amp;E and TURN served rebuttal testimony.</w:t>
      </w:r>
    </w:p>
    <w:p w:rsidR="007253C8" w:rsidP="00EB33A9" w:rsidRDefault="007253C8" w14:paraId="1FADD3A6" w14:textId="0C471C96">
      <w:pPr>
        <w:pStyle w:val="Standard"/>
      </w:pPr>
      <w:r>
        <w:t>On August 6, 2024, the ALJs issued a ruling requiring the service of the following additional evidence: 1) information that maps how any work categories have changed since the 2019</w:t>
      </w:r>
      <w:r w:rsidR="00586F79">
        <w:t xml:space="preserve"> </w:t>
      </w:r>
      <w:r>
        <w:t>GRC and describe</w:t>
      </w:r>
      <w:r w:rsidR="00E5684A">
        <w:t>s</w:t>
      </w:r>
      <w:r>
        <w:t xml:space="preserve"> whether WMP work categories include work categories used in the 2019 GRC; 2) </w:t>
      </w:r>
      <w:r w:rsidR="005E6E74">
        <w:t>u</w:t>
      </w:r>
      <w:r>
        <w:t xml:space="preserve">nits of work and unit costs for work categories authorized in D.19-09-051; 3) </w:t>
      </w:r>
      <w:r w:rsidR="005E6E74">
        <w:t>t</w:t>
      </w:r>
      <w:r>
        <w:t xml:space="preserve">he work authorized in D.19-09-051 and the status of completion for </w:t>
      </w:r>
      <w:r w:rsidR="001B36AD">
        <w:t xml:space="preserve">the </w:t>
      </w:r>
      <w:r>
        <w:t xml:space="preserve">entire SDG&amp;E service territory and for HFTD areas; </w:t>
      </w:r>
      <w:r w:rsidR="005E6E74">
        <w:t xml:space="preserve">and </w:t>
      </w:r>
      <w:r>
        <w:t xml:space="preserve">4) </w:t>
      </w:r>
      <w:r w:rsidR="005E6E74">
        <w:t>c</w:t>
      </w:r>
      <w:r>
        <w:t>onsistent with Track 2 SDG&amp;E Exhibit T2 Ex-06 Appendix 1, the variance between the work authorized in D.19-09-051 and SDG&amp;E’s request for work in A.22-05-016.</w:t>
      </w:r>
    </w:p>
    <w:p w:rsidR="007253C8" w:rsidP="007253C8" w:rsidRDefault="007253C8" w14:paraId="6A9D5AC6" w14:textId="77777777">
      <w:pPr>
        <w:pStyle w:val="Standard"/>
      </w:pPr>
      <w:r>
        <w:t>On August 12–13, 2024, the Commission held evidentiary hearings for the cross-examination of utility and intervenor witnesses and the admission of exhibits.</w:t>
      </w:r>
    </w:p>
    <w:p w:rsidR="007253C8" w:rsidP="007253C8" w:rsidRDefault="1BFE1C55" w14:paraId="31B0451B" w14:textId="02F706C4">
      <w:pPr>
        <w:pStyle w:val="Standard"/>
      </w:pPr>
      <w:r>
        <w:t xml:space="preserve">On September 26, 2024, </w:t>
      </w:r>
      <w:r w:rsidR="6E46830E">
        <w:t>SDG&amp;E</w:t>
      </w:r>
      <w:r w:rsidR="6388AB90">
        <w:t>, Cal Advocates, TURN, UCAN, PCF,</w:t>
      </w:r>
      <w:r w:rsidR="6E46830E">
        <w:t xml:space="preserve"> and</w:t>
      </w:r>
      <w:r w:rsidR="6388AB90">
        <w:t xml:space="preserve"> SBUA</w:t>
      </w:r>
      <w:r w:rsidR="6E46830E">
        <w:t xml:space="preserve"> </w:t>
      </w:r>
      <w:r w:rsidR="6388AB90">
        <w:t>filed opening briefs</w:t>
      </w:r>
      <w:r>
        <w:t xml:space="preserve">; and on October 10, 2024, the same </w:t>
      </w:r>
      <w:r w:rsidR="6388AB90">
        <w:t>parties</w:t>
      </w:r>
      <w:r>
        <w:t xml:space="preserve"> filed reply briefs.</w:t>
      </w:r>
    </w:p>
    <w:p w:rsidR="007253C8" w:rsidP="007253C8" w:rsidRDefault="007253C8" w14:paraId="5257FB38" w14:textId="3595E2DF">
      <w:pPr>
        <w:pStyle w:val="Standard"/>
      </w:pPr>
      <w:r>
        <w:t xml:space="preserve">On February 18, 2025, the ALJs issued a ruling requiring the service of additional evidence to document how SDG&amp;E responded to all deficiencies noted in resolutions approving its WMPs for the years 2019–2022. SDG&amp;E timely submitted such information as a </w:t>
      </w:r>
      <w:r w:rsidR="00793E94">
        <w:t>S</w:t>
      </w:r>
      <w:r>
        <w:t xml:space="preserve">upplemental </w:t>
      </w:r>
      <w:r w:rsidR="00793E94">
        <w:t>E</w:t>
      </w:r>
      <w:r>
        <w:t>xhibit.</w:t>
      </w:r>
    </w:p>
    <w:p w:rsidR="007253C8" w:rsidP="007253C8" w:rsidRDefault="007253C8" w14:paraId="144D6817" w14:textId="31C4E10F">
      <w:pPr>
        <w:pStyle w:val="Standard"/>
      </w:pPr>
      <w:r>
        <w:t xml:space="preserve">On July 21, 2025, the ALJs issued a ruling admitting additional evidence over PCF’s objection, including documents of the Commission </w:t>
      </w:r>
      <w:r w:rsidR="005E6E74">
        <w:t>and</w:t>
      </w:r>
      <w:r>
        <w:t xml:space="preserve"> OEIS describing deficiencies in SDG&amp;E’s WMPs and SDG&amp;E’s responses to them.</w:t>
      </w:r>
    </w:p>
    <w:p w:rsidR="00FE52F5" w:rsidP="007253C8" w:rsidRDefault="00FE52F5" w14:paraId="3D4850DC" w14:textId="1B64355E">
      <w:pPr>
        <w:pStyle w:val="Standard"/>
      </w:pPr>
      <w:r>
        <w:lastRenderedPageBreak/>
        <w:t xml:space="preserve">As requested by PCF in accordance with </w:t>
      </w:r>
      <w:r w:rsidRPr="00FE52F5">
        <w:t xml:space="preserve">Commission Rules of Practice and Procedure (Rules) Rule 13.13, </w:t>
      </w:r>
      <w:r>
        <w:t>o</w:t>
      </w:r>
      <w:r w:rsidRPr="00FE52F5">
        <w:t xml:space="preserve">ral arguments were held on </w:t>
      </w:r>
      <w:r>
        <w:t>Dec</w:t>
      </w:r>
      <w:r w:rsidRPr="00FE52F5">
        <w:t xml:space="preserve">ember </w:t>
      </w:r>
      <w:r>
        <w:t>15</w:t>
      </w:r>
      <w:r w:rsidRPr="00FE52F5">
        <w:t>, 202</w:t>
      </w:r>
      <w:r>
        <w:t>5</w:t>
      </w:r>
      <w:r w:rsidRPr="00FE52F5">
        <w:t>.</w:t>
      </w:r>
    </w:p>
    <w:p w:rsidR="007253C8" w:rsidP="00142911" w:rsidRDefault="007253C8" w14:paraId="789EFE89" w14:textId="4C8EE233">
      <w:pPr>
        <w:pStyle w:val="Heading3"/>
        <w:rPr>
          <w:b w:val="0"/>
        </w:rPr>
      </w:pPr>
      <w:bookmarkStart w:name="_Toc213312252" w:id="23"/>
      <w:r>
        <w:t>Submission Date</w:t>
      </w:r>
      <w:bookmarkEnd w:id="23"/>
    </w:p>
    <w:p w:rsidRPr="00AF6130" w:rsidR="007253C8" w:rsidP="007253C8" w:rsidRDefault="007253C8" w14:paraId="0697D937" w14:textId="68FAC281">
      <w:pPr>
        <w:pStyle w:val="Standard"/>
      </w:pPr>
      <w:r w:rsidRPr="00AF6130">
        <w:t xml:space="preserve">This matter was submitted on </w:t>
      </w:r>
      <w:r w:rsidR="009D06E0">
        <w:t xml:space="preserve">July </w:t>
      </w:r>
      <w:r w:rsidR="00CA0554">
        <w:t>29</w:t>
      </w:r>
      <w:r w:rsidR="009D06E0">
        <w:t>, 2025</w:t>
      </w:r>
      <w:r w:rsidRPr="00AF6130">
        <w:t xml:space="preserve"> with the filing of </w:t>
      </w:r>
      <w:r w:rsidR="009D06E0">
        <w:t>the ALJ</w:t>
      </w:r>
      <w:r w:rsidR="00F41BF5">
        <w:t>’</w:t>
      </w:r>
      <w:r w:rsidR="009D06E0">
        <w:t>s last ruling</w:t>
      </w:r>
      <w:r w:rsidR="00B34977">
        <w:t xml:space="preserve"> admitting exhibits</w:t>
      </w:r>
      <w:r w:rsidRPr="00AF6130">
        <w:t>.</w:t>
      </w:r>
    </w:p>
    <w:p w:rsidR="007253C8" w:rsidP="00484D20" w:rsidRDefault="007253C8" w14:paraId="0A74C7CF" w14:textId="631DE7C9">
      <w:pPr>
        <w:pStyle w:val="Heading1"/>
      </w:pPr>
      <w:bookmarkStart w:name="_Toc213312253" w:id="24"/>
      <w:r>
        <w:t>Issues to Be Decided and Standards of Review</w:t>
      </w:r>
      <w:bookmarkEnd w:id="24"/>
    </w:p>
    <w:p w:rsidRPr="00AF6130" w:rsidR="007253C8" w:rsidP="00645333" w:rsidRDefault="007253C8" w14:paraId="3D2205D9" w14:textId="3720414C">
      <w:pPr>
        <w:pStyle w:val="Heading2"/>
      </w:pPr>
      <w:bookmarkStart w:name="_Toc213312254" w:id="25"/>
      <w:r w:rsidRPr="00301BD8">
        <w:t>Issues</w:t>
      </w:r>
      <w:r w:rsidRPr="00AF6130">
        <w:t xml:space="preserve"> </w:t>
      </w:r>
      <w:r w:rsidRPr="18124A6B">
        <w:t>Before the Commission</w:t>
      </w:r>
      <w:bookmarkEnd w:id="25"/>
    </w:p>
    <w:p w:rsidR="007253C8" w:rsidP="007253C8" w:rsidRDefault="007253C8" w14:paraId="5D4731C5" w14:textId="77777777">
      <w:pPr>
        <w:pStyle w:val="Standard"/>
      </w:pPr>
      <w:r w:rsidRPr="00E54D17">
        <w:t>The issues to be determined or otherwise considered are:</w:t>
      </w:r>
    </w:p>
    <w:p w:rsidR="007253C8" w:rsidP="00EB33A9" w:rsidRDefault="007253C8" w14:paraId="0F4D278A" w14:textId="77777777">
      <w:pPr>
        <w:pStyle w:val="ListNum"/>
        <w:numPr>
          <w:ilvl w:val="0"/>
          <w:numId w:val="12"/>
        </w:numPr>
        <w:ind w:right="1440"/>
      </w:pPr>
      <w:r w:rsidRPr="00E54D17">
        <w:t xml:space="preserve">Whether </w:t>
      </w:r>
      <w:r>
        <w:t xml:space="preserve">the expenditures </w:t>
      </w:r>
      <w:r w:rsidRPr="00E54D17">
        <w:t>SDG&amp;E recorded in its Wildfire Mitigation Plan Memorandum Account from its inception in May 2019 through December 31, 202</w:t>
      </w:r>
      <w:r>
        <w:t>2</w:t>
      </w:r>
      <w:r w:rsidRPr="00E54D17">
        <w:t xml:space="preserve"> are reasonable and prudent for cost recovery;</w:t>
      </w:r>
    </w:p>
    <w:p w:rsidR="007253C8" w:rsidP="00EB33A9" w:rsidRDefault="007253C8" w14:paraId="1DF28BDD" w14:textId="57B15B91">
      <w:pPr>
        <w:pStyle w:val="ListNum"/>
        <w:numPr>
          <w:ilvl w:val="0"/>
          <w:numId w:val="12"/>
        </w:numPr>
        <w:ind w:right="1440"/>
      </w:pPr>
      <w:r w:rsidRPr="007235B7">
        <w:t>Whether programs align with California’s climate objectives, decarbonization goals, and whether the expenditures result in just and reasonable rates</w:t>
      </w:r>
      <w:r w:rsidR="00A74149">
        <w:t>; and</w:t>
      </w:r>
    </w:p>
    <w:p w:rsidR="007253C8" w:rsidP="00EB33A9" w:rsidRDefault="007253C8" w14:paraId="7CEC4FA2" w14:textId="77777777">
      <w:pPr>
        <w:pStyle w:val="ListNum"/>
        <w:numPr>
          <w:ilvl w:val="0"/>
          <w:numId w:val="12"/>
        </w:numPr>
        <w:ind w:right="1440"/>
      </w:pPr>
      <w:r w:rsidRPr="00E54D17">
        <w:t xml:space="preserve">Whether </w:t>
      </w:r>
      <w:r>
        <w:t>SDG&amp;E</w:t>
      </w:r>
      <w:r w:rsidRPr="00E54D17">
        <w:t>’</w:t>
      </w:r>
      <w:r>
        <w:t>s</w:t>
      </w:r>
      <w:r w:rsidRPr="00E54D17">
        <w:t xml:space="preserve"> Application align</w:t>
      </w:r>
      <w:r>
        <w:t>s</w:t>
      </w:r>
      <w:r w:rsidRPr="00E54D17">
        <w:t xml:space="preserve"> with the Commission’s Environmental and Social Justice Action Plan</w:t>
      </w:r>
      <w:r>
        <w:t>.</w:t>
      </w:r>
      <w:r>
        <w:rPr>
          <w:rStyle w:val="FootnoteReference"/>
        </w:rPr>
        <w:footnoteReference w:id="86"/>
      </w:r>
    </w:p>
    <w:p w:rsidRPr="00AF6130" w:rsidR="007253C8" w:rsidP="00645333" w:rsidRDefault="007253C8" w14:paraId="10B7FC74" w14:textId="722DC872">
      <w:pPr>
        <w:pStyle w:val="Heading2"/>
        <w:rPr>
          <w:i/>
        </w:rPr>
      </w:pPr>
      <w:bookmarkStart w:name="_Toc213312255" w:id="26"/>
      <w:r w:rsidRPr="00AF6130">
        <w:t>Burden of Proof and Standard of Proof</w:t>
      </w:r>
      <w:bookmarkEnd w:id="26"/>
    </w:p>
    <w:p w:rsidR="007253C8" w:rsidP="007253C8" w:rsidRDefault="007253C8" w14:paraId="7D5CB8B1" w14:textId="4A12A05E">
      <w:pPr>
        <w:pStyle w:val="Standard"/>
      </w:pPr>
      <w:r w:rsidRPr="000F51D1">
        <w:t>Pub</w:t>
      </w:r>
      <w:r w:rsidR="00A74149">
        <w:t>. Util.</w:t>
      </w:r>
      <w:r w:rsidRPr="000F51D1">
        <w:t xml:space="preserve"> Code Section 451 requires that “all charges</w:t>
      </w:r>
      <w:r>
        <w:t xml:space="preserve"> d</w:t>
      </w:r>
      <w:r w:rsidRPr="000F51D1">
        <w:t>emanded or received by any public utility … shall be just and reasonable.”</w:t>
      </w:r>
      <w:r>
        <w:rPr>
          <w:rStyle w:val="FootnoteReference"/>
        </w:rPr>
        <w:footnoteReference w:id="87"/>
      </w:r>
      <w:r w:rsidRPr="000F51D1">
        <w:t xml:space="preserve"> As the applicant, S</w:t>
      </w:r>
      <w:r>
        <w:t>DG&amp;</w:t>
      </w:r>
      <w:r w:rsidRPr="000F51D1">
        <w:t xml:space="preserve">E bears the burden of proving that its cost recovery request is reasonable. </w:t>
      </w:r>
      <w:r>
        <w:t>SDG&amp;E</w:t>
      </w:r>
      <w:r w:rsidRPr="000F51D1">
        <w:t xml:space="preserve"> has the burden of affirmatively establishing the reasonableness of all </w:t>
      </w:r>
      <w:r w:rsidRPr="000F51D1">
        <w:lastRenderedPageBreak/>
        <w:t>aspects of its application.</w:t>
      </w:r>
      <w:r>
        <w:rPr>
          <w:rStyle w:val="FootnoteReference"/>
        </w:rPr>
        <w:footnoteReference w:id="88"/>
      </w:r>
      <w:r w:rsidRPr="000F51D1">
        <w:t xml:space="preserve"> The Commission has held that the standard of proof the applicant must meet in rate cases is that of a preponderance of the evidence.</w:t>
      </w:r>
      <w:r>
        <w:rPr>
          <w:rStyle w:val="FootnoteReference"/>
        </w:rPr>
        <w:footnoteReference w:id="89"/>
      </w:r>
      <w:r>
        <w:t xml:space="preserve"> </w:t>
      </w:r>
      <w:r w:rsidRPr="000F51D1">
        <w:t>Preponderance of the evidence usually is defined “in terms of probability of truth, e.g., ‘such evidence as, when weighed with that opposed to it, has more convincing force and the greater probability of truth.’”</w:t>
      </w:r>
      <w:r>
        <w:rPr>
          <w:rStyle w:val="FootnoteReference"/>
        </w:rPr>
        <w:footnoteReference w:id="90"/>
      </w:r>
    </w:p>
    <w:p w:rsidR="007253C8" w:rsidP="007253C8" w:rsidRDefault="007253C8" w14:paraId="6926543C" w14:textId="798A8292">
      <w:pPr>
        <w:pStyle w:val="Standard"/>
      </w:pPr>
      <w:r>
        <w:t>The Commission uses the established prudent manager standard to evaluate whether SDG&amp;E’s requested costs are just and reasonable. The Commission has described this standard as follows:</w:t>
      </w:r>
      <w:r w:rsidR="00A8321F">
        <w:rPr>
          <w:rStyle w:val="FootnoteReference"/>
        </w:rPr>
        <w:footnoteReference w:id="91"/>
      </w:r>
    </w:p>
    <w:p w:rsidRPr="003323C8" w:rsidR="007253C8" w:rsidP="00142911" w:rsidRDefault="007253C8" w14:paraId="7E7A7E66" w14:textId="77777777">
      <w:pPr>
        <w:pStyle w:val="BlockQuote"/>
      </w:pPr>
      <w:bookmarkStart w:name="_Hlk217657300" w:id="27"/>
      <w:r w:rsidRPr="003323C8">
        <w:t>The term “reasonable and prudent” means that at a particular time any of the practices, methods, and acts engaged in by a utility follows the exercise of reasonable judgment in light of facts known or which should have been known at the time the decision was made. The act or decision is expected by the utility to accomplish the desired result at the lowest reasonable cost consistent with good utility practices. Good utility practices are based upon cost-effectiveness, reliability, safety, and expedition.</w:t>
      </w:r>
      <w:r w:rsidRPr="003323C8">
        <w:rPr>
          <w:rStyle w:val="FootnoteReference"/>
          <w:szCs w:val="26"/>
        </w:rPr>
        <w:footnoteReference w:id="92"/>
      </w:r>
    </w:p>
    <w:p w:rsidR="007253C8" w:rsidP="007253C8" w:rsidRDefault="007253C8" w14:paraId="3C5011E1" w14:textId="77777777">
      <w:pPr>
        <w:pStyle w:val="Standard"/>
      </w:pPr>
      <w:r w:rsidRPr="00CE6C8C">
        <w:lastRenderedPageBreak/>
        <w:t>The prudent manager standard is not a standard of perfection.</w:t>
      </w:r>
      <w:r>
        <w:rPr>
          <w:rStyle w:val="FootnoteReference"/>
        </w:rPr>
        <w:footnoteReference w:id="93"/>
      </w:r>
      <w:r w:rsidRPr="00CE6C8C">
        <w:t xml:space="preserve"> The Commission has explained that a</w:t>
      </w:r>
      <w:r>
        <w:t xml:space="preserve"> reasonable and prudent act is not limited to the optimum practice, method, or act to the exclusion of all others, but rather encompasses a spectrum of possible practices, methods, or acts consistent with the utility system needs, the interest of the ratepayers and the requirements of governmental agencies </w:t>
      </w:r>
      <w:r w:rsidRPr="00022726">
        <w:t>of competent jurisdiction.</w:t>
      </w:r>
      <w:r>
        <w:rPr>
          <w:rStyle w:val="FootnoteReference"/>
        </w:rPr>
        <w:footnoteReference w:id="94"/>
      </w:r>
    </w:p>
    <w:bookmarkEnd w:id="27"/>
    <w:p w:rsidR="007253C8" w:rsidP="007253C8" w:rsidRDefault="007253C8" w14:paraId="66CAC445" w14:textId="439064AA">
      <w:pPr>
        <w:pStyle w:val="Standard"/>
      </w:pPr>
      <w:r>
        <w:t xml:space="preserve">Although the utility bears the ultimate burden to prove the reasonableness of the relief </w:t>
      </w:r>
      <w:r w:rsidR="00A74149">
        <w:t>it</w:t>
      </w:r>
      <w:r>
        <w:t xml:space="preserve"> seek</w:t>
      </w:r>
      <w:r w:rsidR="00A74149">
        <w:t>s</w:t>
      </w:r>
      <w:r>
        <w:t xml:space="preserve"> and the costs </w:t>
      </w:r>
      <w:r w:rsidR="00A74149">
        <w:t>it</w:t>
      </w:r>
      <w:r>
        <w:t xml:space="preserve"> seek</w:t>
      </w:r>
      <w:r w:rsidR="00A74149">
        <w:t>s</w:t>
      </w:r>
      <w:r>
        <w:t xml:space="preserve"> to recover, the Commission has held that when other parties propose a different result, they too have a “burden of going forward.” That is, the other part</w:t>
      </w:r>
      <w:r w:rsidR="00A74149">
        <w:t>ies</w:t>
      </w:r>
      <w:r>
        <w:t xml:space="preserve"> must produce evidence to support their position and raise a reasonable doubt as to the utility’s request.</w:t>
      </w:r>
      <w:r w:rsidRPr="3CB917D8">
        <w:rPr>
          <w:rStyle w:val="FootnoteReference"/>
        </w:rPr>
        <w:footnoteReference w:id="95"/>
      </w:r>
    </w:p>
    <w:p w:rsidRPr="00301BD8" w:rsidR="007253C8" w:rsidP="00645333" w:rsidRDefault="007253C8" w14:paraId="0BD87B9D" w14:textId="6706818E">
      <w:pPr>
        <w:pStyle w:val="Heading2"/>
      </w:pPr>
      <w:bookmarkStart w:name="_Toc213312256" w:id="29"/>
      <w:r w:rsidRPr="00301BD8">
        <w:t>Evidentiary Standards and Factors Considered in Assessing What is Just and Reasonable</w:t>
      </w:r>
      <w:bookmarkEnd w:id="29"/>
    </w:p>
    <w:p w:rsidR="007253C8" w:rsidP="007253C8" w:rsidRDefault="007253C8" w14:paraId="0B0AE2C5" w14:textId="77777777">
      <w:pPr>
        <w:pStyle w:val="Standard"/>
      </w:pPr>
      <w:r>
        <w:t>E</w:t>
      </w:r>
      <w:r w:rsidRPr="00D338A2">
        <w:t xml:space="preserve">videntiary standards require </w:t>
      </w:r>
      <w:r>
        <w:t>consideration of a variety of factors in determining</w:t>
      </w:r>
      <w:r w:rsidRPr="00D338A2">
        <w:t xml:space="preserve"> whether an incurred cost is just and </w:t>
      </w:r>
      <w:r>
        <w:t>reasonable.</w:t>
      </w:r>
      <w:r>
        <w:rPr>
          <w:rStyle w:val="FootnoteReference"/>
        </w:rPr>
        <w:footnoteReference w:id="96"/>
      </w:r>
      <w:r>
        <w:t xml:space="preserve"> Besides safety and reliability, the Commission must also </w:t>
      </w:r>
      <w:r w:rsidRPr="00D338A2">
        <w:t xml:space="preserve">generally </w:t>
      </w:r>
      <w:r>
        <w:t>consider affordability</w:t>
      </w:r>
      <w:r w:rsidRPr="00D338A2">
        <w:t xml:space="preserve">, </w:t>
      </w:r>
      <w:r>
        <w:t>cost-effectiveness, ratepayer benefits,</w:t>
      </w:r>
      <w:r w:rsidDel="0EC20C4F">
        <w:t xml:space="preserve"> </w:t>
      </w:r>
      <w:r>
        <w:t>and assumptions and rationales required by the Rate Case Plan.</w:t>
      </w:r>
      <w:r>
        <w:rPr>
          <w:rStyle w:val="FootnoteReference"/>
        </w:rPr>
        <w:footnoteReference w:id="97"/>
      </w:r>
      <w:r w:rsidRPr="00583EFE">
        <w:t xml:space="preserve"> The Commission has also recognized numerous other more specific factors to be considered in determining whether a utility’s wildfire related costs are just and reasonable, such as a utility‘s use of competitive bidding, use of mutual assistance crews, the involvement of senior management </w:t>
      </w:r>
      <w:r w:rsidRPr="00583EFE">
        <w:lastRenderedPageBreak/>
        <w:t>in oversight and quick reestablishment of service, and wise selection of vendors.</w:t>
      </w:r>
      <w:r w:rsidRPr="4E666287">
        <w:rPr>
          <w:rStyle w:val="FootnoteReference"/>
        </w:rPr>
        <w:footnoteReference w:id="98"/>
      </w:r>
    </w:p>
    <w:p w:rsidRPr="00301BD8" w:rsidR="007253C8" w:rsidP="00645333" w:rsidRDefault="007253C8" w14:paraId="3BAA63E7" w14:textId="3F1B7FC8">
      <w:pPr>
        <w:pStyle w:val="Heading2"/>
      </w:pPr>
      <w:bookmarkStart w:name="_Toc213312257" w:id="30"/>
      <w:r w:rsidRPr="00301BD8">
        <w:t>Incrementality Standard</w:t>
      </w:r>
      <w:bookmarkEnd w:id="30"/>
    </w:p>
    <w:p w:rsidR="007253C8" w:rsidP="007253C8" w:rsidRDefault="007253C8" w14:paraId="12C76193" w14:textId="7360BF79">
      <w:pPr>
        <w:pStyle w:val="Standard"/>
      </w:pPr>
      <w:r w:rsidRPr="00835152">
        <w:t>A critical standard for reviewing WM</w:t>
      </w:r>
      <w:r>
        <w:t>P</w:t>
      </w:r>
      <w:r w:rsidRPr="00835152">
        <w:t xml:space="preserve">MA cost recovery is whether the cost </w:t>
      </w:r>
      <w:r>
        <w:t>is incremental</w:t>
      </w:r>
      <w:r w:rsidDel="00137343">
        <w:t xml:space="preserve">. </w:t>
      </w:r>
      <w:r w:rsidRPr="00835152">
        <w:t>That is, S</w:t>
      </w:r>
      <w:r>
        <w:t>DG&amp;</w:t>
      </w:r>
      <w:r w:rsidRPr="00835152">
        <w:t xml:space="preserve">E is required to demonstrate that its Track </w:t>
      </w:r>
      <w:r>
        <w:t>2</w:t>
      </w:r>
      <w:r w:rsidRPr="00835152">
        <w:t xml:space="preserve"> costs are incremental to costs already approved in other Commission proceedings</w:t>
      </w:r>
      <w:r>
        <w:t>, including the $751 million authorized and included in rates pursuant to its 2019 GRC.</w:t>
      </w:r>
      <w:r>
        <w:rPr>
          <w:rStyle w:val="FootnoteReference"/>
        </w:rPr>
        <w:footnoteReference w:id="99"/>
      </w:r>
      <w:r>
        <w:t xml:space="preserve"> C</w:t>
      </w:r>
      <w:r w:rsidRPr="00E50B74">
        <w:t>osts are incremental if</w:t>
      </w:r>
      <w:r>
        <w:t xml:space="preserve"> incurred</w:t>
      </w:r>
      <w:r w:rsidRPr="00E50B74">
        <w:t xml:space="preserve"> “in addition to amounts previously authorized to be recovered in rates</w:t>
      </w:r>
      <w:r>
        <w:t>,</w:t>
      </w:r>
      <w:r w:rsidRPr="00E50B74">
        <w:t>”</w:t>
      </w:r>
      <w:r w:rsidRPr="00E50B74">
        <w:rPr>
          <w:vertAlign w:val="superscript"/>
        </w:rPr>
        <w:footnoteReference w:id="100"/>
      </w:r>
      <w:r>
        <w:t xml:space="preserve"> </w:t>
      </w:r>
      <w:r w:rsidRPr="001D43EC">
        <w:t>with that previous authorization usually in a</w:t>
      </w:r>
      <w:r w:rsidR="00586F79">
        <w:t xml:space="preserve"> </w:t>
      </w:r>
      <w:r w:rsidRPr="001D43EC">
        <w:t>GRC.</w:t>
      </w:r>
      <w:r w:rsidR="00DA04BA">
        <w:rPr>
          <w:rStyle w:val="FootnoteReference"/>
        </w:rPr>
        <w:footnoteReference w:id="101"/>
      </w:r>
      <w:r w:rsidRPr="00E50B74">
        <w:t xml:space="preserve"> </w:t>
      </w:r>
      <w:r w:rsidR="00AB6866">
        <w:t>Incremental c</w:t>
      </w:r>
      <w:r>
        <w:t xml:space="preserve">osts may be categorized as </w:t>
      </w:r>
      <w:r w:rsidRPr="002E7E47">
        <w:t xml:space="preserve">labor, equipment, material, contract, and other support costs associated with work that is not included in </w:t>
      </w:r>
      <w:r>
        <w:t>the utility’s</w:t>
      </w:r>
      <w:r w:rsidRPr="002E7E47">
        <w:t xml:space="preserve"> GRC </w:t>
      </w:r>
      <w:r w:rsidRPr="00432C84">
        <w:t>authorized revenue requirements or other recovery mechanisms</w:t>
      </w:r>
      <w:r>
        <w:t xml:space="preserve"> for which </w:t>
      </w:r>
      <w:r w:rsidRPr="00432C84">
        <w:t>double collection is strictly prohibited.</w:t>
      </w:r>
      <w:r w:rsidRPr="00432C84">
        <w:rPr>
          <w:vertAlign w:val="superscript"/>
        </w:rPr>
        <w:footnoteReference w:id="102"/>
      </w:r>
      <w:r>
        <w:t xml:space="preserve"> Finally, i</w:t>
      </w:r>
      <w:r w:rsidRPr="69D97568">
        <w:t>ncrementality is determined on an activity-by</w:t>
      </w:r>
      <w:r w:rsidR="00EF0316">
        <w:t>-</w:t>
      </w:r>
      <w:r w:rsidRPr="69D97568">
        <w:t>activity basis</w:t>
      </w:r>
      <w:r>
        <w:t>, not utility-wide expenses,</w:t>
      </w:r>
      <w:r w:rsidRPr="69D97568">
        <w:t xml:space="preserve"> consistent with established prospective ratemaking principles and Commission-approved guidelines for determining incrementality.</w:t>
      </w:r>
      <w:r w:rsidRPr="69D97568">
        <w:rPr>
          <w:vertAlign w:val="superscript"/>
        </w:rPr>
        <w:footnoteReference w:id="103"/>
      </w:r>
    </w:p>
    <w:p w:rsidR="00EF0316" w:rsidP="00FC1AB9" w:rsidRDefault="00EF0316" w14:paraId="4011412F" w14:textId="748B15DD">
      <w:pPr>
        <w:pStyle w:val="Standard"/>
      </w:pPr>
      <w:r>
        <w:lastRenderedPageBreak/>
        <w:t>All the costs reviewed for reasonableness below were evaluated for their incrementality.</w:t>
      </w:r>
    </w:p>
    <w:p w:rsidR="007253C8" w:rsidP="00484D20" w:rsidRDefault="007253C8" w14:paraId="05F6F0EA" w14:textId="4CE5205C">
      <w:pPr>
        <w:pStyle w:val="Heading1"/>
      </w:pPr>
      <w:bookmarkStart w:name="_Toc213312258" w:id="31"/>
      <w:r w:rsidRPr="18124A6B">
        <w:t xml:space="preserve">Risk </w:t>
      </w:r>
      <w:r w:rsidRPr="009F3AAA">
        <w:t>Assessment</w:t>
      </w:r>
      <w:r w:rsidRPr="18124A6B">
        <w:t xml:space="preserve"> and Mapping</w:t>
      </w:r>
      <w:bookmarkEnd w:id="31"/>
    </w:p>
    <w:p w:rsidR="007253C8" w:rsidP="007253C8" w:rsidRDefault="007253C8" w14:paraId="6D84F06F" w14:textId="77777777">
      <w:pPr>
        <w:pStyle w:val="Standard"/>
      </w:pPr>
      <w:r>
        <w:t>SDG&amp;E’s Risk Assessment and Mapping Program (RA&amp;M) aims to quantify wildfire risks and the impacts of PSPS events. The goal is to identify optimal risk reduction solutions that target both wildfire and PSPS across the system. This work includes the development and use of the following three models: the Wildfire Risk Reduction Model (WRRM), the Wildfire Next Generation System (</w:t>
      </w:r>
      <w:proofErr w:type="spellStart"/>
      <w:r>
        <w:t>WiNGS</w:t>
      </w:r>
      <w:proofErr w:type="spellEnd"/>
      <w:r>
        <w:t>) planning and operational model, and the Probability of Ignition (</w:t>
      </w:r>
      <w:proofErr w:type="spellStart"/>
      <w:r>
        <w:t>PoI</w:t>
      </w:r>
      <w:proofErr w:type="spellEnd"/>
      <w:r>
        <w:t>) model.</w:t>
      </w:r>
    </w:p>
    <w:p w:rsidRPr="000175A5" w:rsidR="007253C8" w:rsidP="007253C8" w:rsidRDefault="007253C8" w14:paraId="2008D1B4" w14:textId="67A34C23">
      <w:pPr>
        <w:pStyle w:val="Standard"/>
      </w:pPr>
      <w:r w:rsidRPr="000175A5">
        <w:t>SDG&amp;E represents that the</w:t>
      </w:r>
      <w:r>
        <w:t xml:space="preserve"> Commission did not </w:t>
      </w:r>
      <w:r w:rsidRPr="000175A5">
        <w:t>authorize</w:t>
      </w:r>
      <w:r>
        <w:t xml:space="preserve"> funding for </w:t>
      </w:r>
      <w:r w:rsidR="00AC3090">
        <w:t>RA&amp;M</w:t>
      </w:r>
      <w:r>
        <w:t xml:space="preserve"> during the 2019–2022 period because it was unforeseen during SDG&amp;E’s last GRC. </w:t>
      </w:r>
      <w:r w:rsidRPr="000175A5">
        <w:t xml:space="preserve">SDG&amp;E now requests </w:t>
      </w:r>
      <w:r>
        <w:t xml:space="preserve">direct cost </w:t>
      </w:r>
      <w:r w:rsidRPr="000175A5">
        <w:t>recovery of $</w:t>
      </w:r>
      <w:r>
        <w:t>1.869</w:t>
      </w:r>
      <w:r w:rsidRPr="000175A5">
        <w:t xml:space="preserve"> million </w:t>
      </w:r>
      <w:r>
        <w:t xml:space="preserve">in </w:t>
      </w:r>
      <w:r w:rsidRPr="000175A5">
        <w:t>capital</w:t>
      </w:r>
      <w:r>
        <w:t xml:space="preserve"> expenditures</w:t>
      </w:r>
      <w:r w:rsidRPr="000175A5">
        <w:t xml:space="preserve"> and $</w:t>
      </w:r>
      <w:r>
        <w:t xml:space="preserve">1.824 million in </w:t>
      </w:r>
      <w:r w:rsidRPr="000175A5">
        <w:t>O&amp;M</w:t>
      </w:r>
      <w:r>
        <w:t xml:space="preserve"> expenses based on SDG&amp;E’s actual recorded costs </w:t>
      </w:r>
      <w:r w:rsidR="00AC3090">
        <w:t xml:space="preserve">for RA&amp;M </w:t>
      </w:r>
      <w:r>
        <w:t>in the WMPMA</w:t>
      </w:r>
      <w:r w:rsidRPr="000175A5">
        <w:t>.</w:t>
      </w:r>
      <w:r w:rsidRPr="000175A5">
        <w:rPr>
          <w:vertAlign w:val="superscript"/>
        </w:rPr>
        <w:footnoteReference w:id="104"/>
      </w:r>
      <w:r>
        <w:t xml:space="preserve"> </w:t>
      </w:r>
      <w:r w:rsidRPr="000175A5">
        <w:t xml:space="preserve">The Commission finds </w:t>
      </w:r>
      <w:r>
        <w:t xml:space="preserve">direct </w:t>
      </w:r>
      <w:r w:rsidRPr="000175A5">
        <w:t>cost recovery in the</w:t>
      </w:r>
      <w:r>
        <w:t xml:space="preserve">se </w:t>
      </w:r>
      <w:r w:rsidRPr="000175A5">
        <w:t>amount</w:t>
      </w:r>
      <w:r>
        <w:t>s</w:t>
      </w:r>
      <w:r w:rsidRPr="000175A5">
        <w:t xml:space="preserve"> </w:t>
      </w:r>
      <w:r>
        <w:t xml:space="preserve">to be </w:t>
      </w:r>
      <w:r w:rsidRPr="000175A5">
        <w:t>reasonable and approves t</w:t>
      </w:r>
      <w:r>
        <w:t>hem based on SDG&amp;E’s imputed authorizations, methodology, and identified costs drivers as an initial authorization subject to direct cost reductions in Section 13.</w:t>
      </w:r>
    </w:p>
    <w:p w:rsidR="007253C8" w:rsidP="00484D20" w:rsidRDefault="007253C8" w14:paraId="0D61B824" w14:textId="77777777">
      <w:pPr>
        <w:pStyle w:val="Heading1"/>
      </w:pPr>
      <w:bookmarkStart w:name="_Toc213312259" w:id="32"/>
      <w:r w:rsidRPr="18124A6B">
        <w:t>Grid Design and System Hardening</w:t>
      </w:r>
      <w:bookmarkEnd w:id="32"/>
    </w:p>
    <w:p w:rsidR="007253C8" w:rsidP="007253C8" w:rsidRDefault="007253C8" w14:paraId="78E1F712" w14:textId="435AF477">
      <w:pPr>
        <w:pStyle w:val="Standard"/>
      </w:pPr>
      <w:r>
        <w:t>SDG&amp;E’s Grid Design &amp; System Hardening (GD&amp;SH) budget category is aimed at both reducing the risk of wildfires caused by utility equipment and minimizing customer impacts from</w:t>
      </w:r>
      <w:r w:rsidR="009B53E2">
        <w:t xml:space="preserve"> </w:t>
      </w:r>
      <w:r>
        <w:t>PSPS. A range of programs address</w:t>
      </w:r>
      <w:r w:rsidR="00AC3090">
        <w:t>es</w:t>
      </w:r>
      <w:r>
        <w:t xml:space="preserve"> these two items.</w:t>
      </w:r>
    </w:p>
    <w:p w:rsidR="007253C8" w:rsidP="007253C8" w:rsidRDefault="007253C8" w14:paraId="0FD05E02" w14:textId="503859B6">
      <w:pPr>
        <w:pStyle w:val="Standard"/>
      </w:pPr>
      <w:r>
        <w:lastRenderedPageBreak/>
        <w:t xml:space="preserve">Utility equipment issues are addressed by </w:t>
      </w:r>
      <w:r w:rsidR="00462A29">
        <w:t xml:space="preserve">Strategic Undergrounding </w:t>
      </w:r>
      <w:r w:rsidRPr="00CC26F7">
        <w:t xml:space="preserve">and </w:t>
      </w:r>
      <w:r w:rsidR="00462A29">
        <w:t>Covered Conductor</w:t>
      </w:r>
      <w:r w:rsidRPr="00CC26F7">
        <w:t xml:space="preserve"> programs. These programs prevent risk events from occurring across several drivers, such as </w:t>
      </w:r>
      <w:r>
        <w:t xml:space="preserve">fallen </w:t>
      </w:r>
      <w:r w:rsidRPr="00CC26F7">
        <w:t>energized wire</w:t>
      </w:r>
      <w:r>
        <w:t xml:space="preserve">s </w:t>
      </w:r>
      <w:r w:rsidRPr="00CC26F7">
        <w:t xml:space="preserve">and </w:t>
      </w:r>
      <w:r>
        <w:t xml:space="preserve">contact with foreign </w:t>
      </w:r>
      <w:r w:rsidRPr="00CC26F7">
        <w:t>object</w:t>
      </w:r>
      <w:r>
        <w:t>s</w:t>
      </w:r>
      <w:r w:rsidRPr="00CC26F7">
        <w:t xml:space="preserve">. </w:t>
      </w:r>
      <w:r w:rsidR="00462A29">
        <w:t xml:space="preserve">Strategic Undergrounding </w:t>
      </w:r>
      <w:r>
        <w:t>reduces the need for mitigations such as PSPS while also reducing the risk of utility-caused wildfires.</w:t>
      </w:r>
      <w:r w:rsidRPr="3CB917D8">
        <w:rPr>
          <w:rStyle w:val="FootnoteReference"/>
        </w:rPr>
        <w:footnoteReference w:id="105"/>
      </w:r>
      <w:r w:rsidRPr="00CC26F7">
        <w:t xml:space="preserve"> Other protection and equipment programs include Advanced Protection, the Expulsion Fuse Replacement Program, and the Lightning Arrest</w:t>
      </w:r>
      <w:r>
        <w:t>o</w:t>
      </w:r>
      <w:r w:rsidRPr="00CC26F7">
        <w:t>r Program. While these</w:t>
      </w:r>
      <w:r>
        <w:t xml:space="preserve"> later programs</w:t>
      </w:r>
      <w:r w:rsidRPr="00CC26F7">
        <w:t xml:space="preserve"> do not prevent risk events from occurring, they do reduce the chance that a risk event will result in an ignition. They do so by utilizing protection settings and/or equipment that address a specific failure mode known to lead to the ignition.</w:t>
      </w:r>
    </w:p>
    <w:p w:rsidR="007253C8" w:rsidP="007253C8" w:rsidRDefault="007253C8" w14:paraId="47B33EEE" w14:textId="77777777">
      <w:pPr>
        <w:pStyle w:val="Standard"/>
      </w:pPr>
      <w:r>
        <w:t>PSPS mitigates the risk of debris contacting energized electric infrastructure.</w:t>
      </w:r>
      <w:r w:rsidRPr="3CB917D8">
        <w:rPr>
          <w:rStyle w:val="FootnoteReference"/>
        </w:rPr>
        <w:footnoteReference w:id="106"/>
      </w:r>
      <w:r w:rsidRPr="7328FA08">
        <w:rPr>
          <w:rStyle w:val="FootnoteReference"/>
        </w:rPr>
        <w:t xml:space="preserve"> </w:t>
      </w:r>
      <w:r w:rsidRPr="00CC26F7">
        <w:t>Programs that reduce PSPS impacts to customers</w:t>
      </w:r>
      <w:r>
        <w:t xml:space="preserve"> include </w:t>
      </w:r>
      <w:r w:rsidRPr="00CC26F7">
        <w:t>the PSPS Sectionalizing Program, installation of microgrids, and generator programs.</w:t>
      </w:r>
    </w:p>
    <w:p w:rsidR="007253C8" w:rsidP="00645333" w:rsidRDefault="007253C8" w14:paraId="4281FFE3" w14:textId="32963D0E">
      <w:pPr>
        <w:pStyle w:val="Heading2"/>
      </w:pPr>
      <w:bookmarkStart w:name="_Toc213312260" w:id="33"/>
      <w:r w:rsidRPr="59165C81">
        <w:t>SDG&amp;E’s Track 2 Request</w:t>
      </w:r>
      <w:bookmarkEnd w:id="33"/>
    </w:p>
    <w:p w:rsidR="007253C8" w:rsidP="007253C8" w:rsidRDefault="007253C8" w14:paraId="10426FA0" w14:textId="7CE9A762">
      <w:pPr>
        <w:pStyle w:val="Standard"/>
      </w:pPr>
      <w:r w:rsidRPr="00BC3F3C">
        <w:t xml:space="preserve">SDG&amp;E’s </w:t>
      </w:r>
      <w:r>
        <w:t>GD&amp;SH</w:t>
      </w:r>
      <w:r w:rsidRPr="00BC3F3C">
        <w:t xml:space="preserve"> </w:t>
      </w:r>
      <w:r>
        <w:t>cost</w:t>
      </w:r>
      <w:r w:rsidRPr="00BC3F3C">
        <w:t xml:space="preserve"> category </w:t>
      </w:r>
      <w:r>
        <w:t xml:space="preserve">includes </w:t>
      </w:r>
      <w:r w:rsidR="00AC3090">
        <w:t>17</w:t>
      </w:r>
      <w:r>
        <w:t xml:space="preserve"> subcategories of work and their associated costs.</w:t>
      </w:r>
      <w:r w:rsidRPr="00DF5EF1">
        <w:rPr>
          <w:color w:val="000000"/>
          <w:shd w:val="clear" w:color="auto" w:fill="FFFFFF"/>
        </w:rPr>
        <w:t xml:space="preserve"> </w:t>
      </w:r>
      <w:r>
        <w:rPr>
          <w:color w:val="000000"/>
          <w:shd w:val="clear" w:color="auto" w:fill="FFFFFF"/>
        </w:rPr>
        <w:t>The</w:t>
      </w:r>
      <w:r w:rsidDel="007A6388">
        <w:rPr>
          <w:color w:val="000000"/>
          <w:shd w:val="clear" w:color="auto" w:fill="FFFFFF"/>
        </w:rPr>
        <w:t xml:space="preserve"> </w:t>
      </w:r>
      <w:r>
        <w:rPr>
          <w:color w:val="000000"/>
          <w:shd w:val="clear" w:color="auto" w:fill="FFFFFF"/>
        </w:rPr>
        <w:t xml:space="preserve">amount </w:t>
      </w:r>
      <w:r w:rsidRPr="00DF5EF1">
        <w:t>SDG&amp;E</w:t>
      </w:r>
      <w:r>
        <w:t xml:space="preserve"> requests for this work in </w:t>
      </w:r>
      <w:r w:rsidRPr="00DF5EF1">
        <w:t xml:space="preserve">cost recovery </w:t>
      </w:r>
      <w:r>
        <w:t xml:space="preserve">for the 2019–2022 period </w:t>
      </w:r>
      <w:r w:rsidRPr="00DF5EF1">
        <w:t xml:space="preserve">is $639.968 million in capital </w:t>
      </w:r>
      <w:r>
        <w:t xml:space="preserve">expenditures </w:t>
      </w:r>
      <w:r w:rsidRPr="00DF5EF1">
        <w:t>and $52.060 million in O&amp;M</w:t>
      </w:r>
      <w:r>
        <w:t xml:space="preserve"> (direct costs only).</w:t>
      </w:r>
      <w:r>
        <w:rPr>
          <w:rStyle w:val="FootnoteReference"/>
        </w:rPr>
        <w:footnoteReference w:id="107"/>
      </w:r>
      <w:r>
        <w:t xml:space="preserve"> The Commission initially authorizes $614.376 million (direct costs only) in capital and $51.813 million (direct costs only) in O&amp;M subject to direct cost reductions in Section 13.</w:t>
      </w:r>
    </w:p>
    <w:p w:rsidR="007253C8" w:rsidP="007253C8" w:rsidRDefault="007253C8" w14:paraId="5FC0FD87" w14:textId="77777777">
      <w:pPr>
        <w:pStyle w:val="Standard"/>
      </w:pPr>
      <w:r>
        <w:lastRenderedPageBreak/>
        <w:t>The amounts authorized for capital expenditures and O&amp;M expenses in the last GRC and spent by SDG&amp;E during the 2019–2022 period by each subcategory are shown in the table below.</w:t>
      </w:r>
    </w:p>
    <w:p w:rsidR="007253C8" w:rsidP="007253C8" w:rsidRDefault="007253C8" w14:paraId="09CB0AEC" w14:textId="77777777">
      <w:pPr>
        <w:pStyle w:val="Standard"/>
        <w:ind w:firstLine="0"/>
        <w:jc w:val="center"/>
        <w:rPr>
          <w:b/>
          <w:bCs/>
        </w:rPr>
      </w:pPr>
      <w:r w:rsidRPr="18124A6B">
        <w:rPr>
          <w:b/>
          <w:bCs/>
        </w:rPr>
        <w:t>Table 4.1</w:t>
      </w:r>
    </w:p>
    <w:p w:rsidRPr="00BC3F3C" w:rsidR="007253C8" w:rsidP="007253C8" w:rsidRDefault="007253C8" w14:paraId="4D6EC245" w14:textId="77777777">
      <w:pPr>
        <w:pStyle w:val="Standard"/>
        <w:ind w:firstLine="0"/>
        <w:jc w:val="center"/>
        <w:rPr>
          <w:b/>
        </w:rPr>
      </w:pPr>
      <w:r w:rsidRPr="18124A6B">
        <w:rPr>
          <w:b/>
        </w:rPr>
        <w:t>Grid Design &amp; System Hardening</w:t>
      </w:r>
    </w:p>
    <w:p w:rsidRPr="00BC3F3C" w:rsidR="007253C8" w:rsidP="007253C8" w:rsidRDefault="007253C8" w14:paraId="2D1FB64C" w14:textId="77777777">
      <w:pPr>
        <w:pStyle w:val="Standard"/>
        <w:ind w:firstLine="0"/>
        <w:jc w:val="center"/>
        <w:sectPr w:rsidRPr="00BC3F3C" w:rsidR="007253C8" w:rsidSect="007253C8">
          <w:footerReference w:type="default" r:id="rId20"/>
          <w:footerReference w:type="first" r:id="rId21"/>
          <w:pgSz w:w="12240" w:h="15840" w:code="1"/>
          <w:pgMar w:top="1728" w:right="1440" w:bottom="1440" w:left="1440" w:header="720" w:footer="720" w:gutter="0"/>
          <w:cols w:space="720"/>
          <w:titlePg/>
        </w:sectPr>
      </w:pPr>
      <w:r w:rsidRPr="73E4AAD3">
        <w:rPr>
          <w:b/>
          <w:bCs/>
        </w:rPr>
        <w:t>Authorizations and SDG&amp;E’s Requested 2019–2022 Costs ($000)</w:t>
      </w:r>
      <w:r w:rsidRPr="00073C22">
        <w:rPr>
          <w:rStyle w:val="FootnoteReference"/>
          <w:bCs/>
        </w:rPr>
        <w:footnoteReference w:id="108"/>
      </w:r>
    </w:p>
    <w:p w:rsidR="007253C8" w:rsidP="007253C8" w:rsidRDefault="007253C8" w14:paraId="34A1444C" w14:textId="77777777">
      <w:pPr>
        <w:pStyle w:val="Standard"/>
      </w:pPr>
    </w:p>
    <w:tbl>
      <w:tblPr>
        <w:tblW w:w="8635" w:type="dxa"/>
        <w:jc w:val="center"/>
        <w:tblLook w:val="04A0" w:firstRow="1" w:lastRow="0" w:firstColumn="1" w:lastColumn="0" w:noHBand="0" w:noVBand="1"/>
      </w:tblPr>
      <w:tblGrid>
        <w:gridCol w:w="1881"/>
        <w:gridCol w:w="1341"/>
        <w:gridCol w:w="1206"/>
        <w:gridCol w:w="1333"/>
        <w:gridCol w:w="931"/>
        <w:gridCol w:w="931"/>
        <w:gridCol w:w="1078"/>
      </w:tblGrid>
      <w:tr w:rsidRPr="005B6734" w:rsidR="007253C8" w:rsidTr="00301BD8" w14:paraId="6ACE5A1C" w14:textId="77777777">
        <w:trPr>
          <w:trHeight w:val="791"/>
          <w:tblHeader/>
          <w:jc w:val="center"/>
        </w:trPr>
        <w:tc>
          <w:tcPr>
            <w:tcW w:w="2001" w:type="dxa"/>
            <w:tcBorders>
              <w:top w:val="single" w:color="auto" w:sz="4" w:space="0"/>
              <w:left w:val="single" w:color="auto" w:sz="4" w:space="0"/>
              <w:bottom w:val="single" w:color="auto" w:sz="4" w:space="0"/>
              <w:right w:val="single" w:color="auto" w:sz="4" w:space="0"/>
            </w:tcBorders>
            <w:vAlign w:val="center"/>
            <w:hideMark/>
          </w:tcPr>
          <w:p w:rsidRPr="005B6734" w:rsidR="007253C8" w:rsidP="00301BD8" w:rsidRDefault="007253C8" w14:paraId="29C5E46A" w14:textId="77777777">
            <w:pPr>
              <w:pStyle w:val="TableText"/>
              <w:rPr>
                <w:color w:val="000000"/>
              </w:rPr>
            </w:pPr>
            <w:r w:rsidRPr="59165C81">
              <w:t>Initiative</w:t>
            </w:r>
          </w:p>
        </w:tc>
        <w:tc>
          <w:tcPr>
            <w:tcW w:w="1341" w:type="dxa"/>
            <w:tcBorders>
              <w:top w:val="single" w:color="auto" w:sz="4" w:space="0"/>
              <w:left w:val="nil"/>
              <w:bottom w:val="single" w:color="auto" w:sz="4" w:space="0"/>
              <w:right w:val="single" w:color="auto" w:sz="4" w:space="0"/>
            </w:tcBorders>
            <w:vAlign w:val="center"/>
            <w:hideMark/>
          </w:tcPr>
          <w:p w:rsidRPr="005B6734" w:rsidR="007253C8" w:rsidP="00301BD8" w:rsidRDefault="007253C8" w14:paraId="27D870F4" w14:textId="3FF16B8C">
            <w:pPr>
              <w:pStyle w:val="TableText"/>
              <w:rPr>
                <w:color w:val="000000"/>
              </w:rPr>
            </w:pPr>
            <w:r w:rsidRPr="59165C81">
              <w:t>Author</w:t>
            </w:r>
            <w:r w:rsidR="00A231FD">
              <w:t>ized (Auth.)</w:t>
            </w:r>
            <w:r w:rsidRPr="59165C81">
              <w:t xml:space="preserve"> Capital</w:t>
            </w:r>
          </w:p>
        </w:tc>
        <w:tc>
          <w:tcPr>
            <w:tcW w:w="1206" w:type="dxa"/>
            <w:tcBorders>
              <w:top w:val="single" w:color="auto" w:sz="4" w:space="0"/>
              <w:left w:val="nil"/>
              <w:bottom w:val="single" w:color="auto" w:sz="4" w:space="0"/>
              <w:right w:val="single" w:color="auto" w:sz="4" w:space="0"/>
            </w:tcBorders>
            <w:vAlign w:val="center"/>
            <w:hideMark/>
          </w:tcPr>
          <w:p w:rsidRPr="005B6734" w:rsidR="007253C8" w:rsidP="00301BD8" w:rsidRDefault="007253C8" w14:paraId="35720E31" w14:textId="77777777">
            <w:pPr>
              <w:pStyle w:val="TableText"/>
              <w:rPr>
                <w:color w:val="000000"/>
              </w:rPr>
            </w:pPr>
            <w:r w:rsidRPr="59165C81">
              <w:t>Actual Capital</w:t>
            </w:r>
          </w:p>
        </w:tc>
        <w:tc>
          <w:tcPr>
            <w:tcW w:w="1434" w:type="dxa"/>
            <w:tcBorders>
              <w:top w:val="single" w:color="auto" w:sz="4" w:space="0"/>
              <w:left w:val="single" w:color="auto" w:sz="4" w:space="0"/>
              <w:bottom w:val="single" w:color="auto" w:sz="4" w:space="0"/>
              <w:right w:val="nil"/>
            </w:tcBorders>
            <w:vAlign w:val="center"/>
            <w:hideMark/>
          </w:tcPr>
          <w:p w:rsidRPr="005B6734" w:rsidR="007253C8" w:rsidP="00301BD8" w:rsidRDefault="007253C8" w14:paraId="73974790" w14:textId="48862ADA">
            <w:pPr>
              <w:pStyle w:val="TableText"/>
              <w:rPr>
                <w:color w:val="000000"/>
              </w:rPr>
            </w:pPr>
            <w:r w:rsidRPr="59165C81">
              <w:t>Differential</w:t>
            </w:r>
            <w:r w:rsidR="002F7910">
              <w:t xml:space="preserve"> (Diff.)</w:t>
            </w:r>
            <w:r w:rsidRPr="59165C81">
              <w:t xml:space="preserve"> Capital</w:t>
            </w:r>
          </w:p>
        </w:tc>
        <w:tc>
          <w:tcPr>
            <w:tcW w:w="931" w:type="dxa"/>
            <w:tcBorders>
              <w:top w:val="single" w:color="auto" w:sz="4" w:space="0"/>
              <w:left w:val="double" w:color="auto" w:sz="6" w:space="0"/>
              <w:bottom w:val="single" w:color="auto" w:sz="4" w:space="0"/>
              <w:right w:val="single" w:color="auto" w:sz="4" w:space="0"/>
            </w:tcBorders>
            <w:vAlign w:val="center"/>
            <w:hideMark/>
          </w:tcPr>
          <w:p w:rsidRPr="005B6734" w:rsidR="007253C8" w:rsidP="00301BD8" w:rsidRDefault="007253C8" w14:paraId="0DA15062" w14:textId="3B5F3846">
            <w:pPr>
              <w:pStyle w:val="TableText"/>
              <w:rPr>
                <w:color w:val="000000"/>
              </w:rPr>
            </w:pPr>
            <w:r w:rsidRPr="59165C81">
              <w:t>Auth</w:t>
            </w:r>
            <w:r>
              <w:t>.</w:t>
            </w:r>
            <w:r w:rsidRPr="59165C81">
              <w:t xml:space="preserve"> O&amp;M</w:t>
            </w:r>
          </w:p>
        </w:tc>
        <w:tc>
          <w:tcPr>
            <w:tcW w:w="931" w:type="dxa"/>
            <w:tcBorders>
              <w:top w:val="single" w:color="auto" w:sz="4" w:space="0"/>
              <w:left w:val="nil"/>
              <w:bottom w:val="single" w:color="auto" w:sz="4" w:space="0"/>
              <w:right w:val="single" w:color="auto" w:sz="4" w:space="0"/>
            </w:tcBorders>
            <w:vAlign w:val="center"/>
            <w:hideMark/>
          </w:tcPr>
          <w:p w:rsidRPr="005B6734" w:rsidR="007253C8" w:rsidP="00301BD8" w:rsidRDefault="007253C8" w14:paraId="009576D4" w14:textId="77777777">
            <w:pPr>
              <w:pStyle w:val="TableText"/>
              <w:rPr>
                <w:color w:val="000000"/>
              </w:rPr>
            </w:pPr>
            <w:r w:rsidRPr="59165C81">
              <w:t>Actual O&amp;M</w:t>
            </w:r>
          </w:p>
        </w:tc>
        <w:tc>
          <w:tcPr>
            <w:tcW w:w="791" w:type="dxa"/>
            <w:tcBorders>
              <w:top w:val="single" w:color="auto" w:sz="4" w:space="0"/>
              <w:left w:val="nil"/>
              <w:bottom w:val="single" w:color="auto" w:sz="4" w:space="0"/>
              <w:right w:val="single" w:color="auto" w:sz="4" w:space="0"/>
            </w:tcBorders>
            <w:vAlign w:val="center"/>
            <w:hideMark/>
          </w:tcPr>
          <w:p w:rsidRPr="005B6734" w:rsidR="007253C8" w:rsidP="00301BD8" w:rsidRDefault="007253C8" w14:paraId="00FC517A" w14:textId="77777777">
            <w:pPr>
              <w:pStyle w:val="TableText"/>
              <w:rPr>
                <w:color w:val="000000"/>
              </w:rPr>
            </w:pPr>
            <w:r w:rsidRPr="59165C81">
              <w:t>Diff</w:t>
            </w:r>
            <w:r>
              <w:t>.</w:t>
            </w:r>
            <w:r w:rsidRPr="59165C81">
              <w:t xml:space="preserve"> O&amp;M</w:t>
            </w:r>
          </w:p>
        </w:tc>
      </w:tr>
      <w:tr w:rsidRPr="005B6734" w:rsidR="007253C8" w:rsidTr="00301BD8" w14:paraId="1EB5BCDC" w14:textId="77777777">
        <w:trPr>
          <w:trHeight w:val="34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0963D0A2" w14:textId="77777777">
            <w:pPr>
              <w:pStyle w:val="TableText"/>
              <w:rPr>
                <w:color w:val="000000"/>
              </w:rPr>
            </w:pPr>
            <w:r w:rsidRPr="59165C81">
              <w:rPr>
                <w:color w:val="000000" w:themeColor="text1"/>
              </w:rPr>
              <w:t>SCADA Capacitors</w:t>
            </w:r>
          </w:p>
        </w:tc>
        <w:tc>
          <w:tcPr>
            <w:tcW w:w="134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554783BC" w14:textId="77777777">
            <w:pPr>
              <w:pStyle w:val="TableText"/>
              <w:rPr>
                <w:color w:val="000000"/>
              </w:rPr>
            </w:pPr>
            <w:r w:rsidRPr="59165C81">
              <w:rPr>
                <w:color w:val="000000" w:themeColor="text1"/>
              </w:rPr>
              <w:t xml:space="preserve">$8,914 </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33959592" w14:textId="77777777">
            <w:pPr>
              <w:pStyle w:val="TableText"/>
              <w:rPr>
                <w:color w:val="000000"/>
              </w:rPr>
            </w:pPr>
            <w:r w:rsidRPr="59165C81">
              <w:rPr>
                <w:color w:val="000000" w:themeColor="text1"/>
              </w:rPr>
              <w:t xml:space="preserve">$6,967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0C97C674" w14:textId="77777777">
            <w:pPr>
              <w:pStyle w:val="TableText"/>
            </w:pPr>
            <w:r w:rsidRPr="59165C81">
              <w:t>($1,946)</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35A4FD66" w14:textId="77777777">
            <w:pPr>
              <w:pStyle w:val="TableText"/>
              <w:rPr>
                <w:color w:val="000000"/>
              </w:rPr>
            </w:pPr>
            <w:r w:rsidRPr="59165C81">
              <w:rPr>
                <w:color w:val="000000" w:themeColor="text1"/>
              </w:rPr>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159A00CF" w14:textId="77777777">
            <w:pPr>
              <w:pStyle w:val="TableText"/>
              <w:rPr>
                <w:color w:val="000000"/>
              </w:rPr>
            </w:pPr>
            <w:r w:rsidRPr="59165C81">
              <w:rPr>
                <w:color w:val="000000" w:themeColor="text1"/>
              </w:rPr>
              <w:t>-</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501DB501" w14:textId="77777777">
            <w:pPr>
              <w:pStyle w:val="TableText"/>
              <w:rPr>
                <w:color w:val="000000"/>
              </w:rPr>
            </w:pPr>
            <w:r w:rsidRPr="59165C81">
              <w:rPr>
                <w:color w:val="000000" w:themeColor="text1"/>
              </w:rPr>
              <w:t>-</w:t>
            </w:r>
          </w:p>
        </w:tc>
      </w:tr>
      <w:tr w:rsidRPr="005B6734" w:rsidR="007253C8" w:rsidTr="00301BD8" w14:paraId="0B6515DB" w14:textId="77777777">
        <w:trPr>
          <w:trHeight w:val="340"/>
          <w:jc w:val="center"/>
        </w:trPr>
        <w:tc>
          <w:tcPr>
            <w:tcW w:w="2001" w:type="dxa"/>
            <w:tcBorders>
              <w:top w:val="single" w:color="auto" w:sz="4" w:space="0"/>
              <w:left w:val="single" w:color="auto" w:sz="4" w:space="0"/>
              <w:bottom w:val="single" w:color="auto" w:sz="4" w:space="0"/>
              <w:right w:val="single" w:color="auto" w:sz="4" w:space="0"/>
            </w:tcBorders>
            <w:vAlign w:val="center"/>
            <w:hideMark/>
          </w:tcPr>
          <w:p w:rsidRPr="005B6734" w:rsidR="007253C8" w:rsidP="00301BD8" w:rsidRDefault="00462A29" w14:paraId="3D1B0110" w14:textId="2AC763A6">
            <w:pPr>
              <w:pStyle w:val="TableText"/>
              <w:rPr>
                <w:color w:val="000000"/>
              </w:rPr>
            </w:pPr>
            <w:r>
              <w:t>Covered Conductor</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5004A50B" w14:textId="77777777">
            <w:pPr>
              <w:pStyle w:val="TableText"/>
              <w:rPr>
                <w:color w:val="000000"/>
              </w:rPr>
            </w:pPr>
            <w:r w:rsidRPr="59165C81">
              <w:t>-</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5D3C75DB" w14:textId="77777777">
            <w:pPr>
              <w:pStyle w:val="TableText"/>
              <w:rPr>
                <w:color w:val="000000"/>
              </w:rPr>
            </w:pPr>
            <w:r w:rsidRPr="59165C81">
              <w:t xml:space="preserve">$136,496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73822ABF" w14:textId="77777777">
            <w:pPr>
              <w:pStyle w:val="TableText"/>
              <w:rPr>
                <w:color w:val="000000"/>
              </w:rPr>
            </w:pPr>
            <w:r w:rsidRPr="59165C81">
              <w:t xml:space="preserve">$136,496 </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63AED992" w14:textId="77777777">
            <w:pPr>
              <w:pStyle w:val="TableText"/>
              <w:rPr>
                <w:color w:val="000000"/>
              </w:rPr>
            </w:pPr>
            <w:r w:rsidRPr="59165C81">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45DD9D5D" w14:textId="77777777">
            <w:pPr>
              <w:pStyle w:val="TableText"/>
              <w:rPr>
                <w:color w:val="000000"/>
              </w:rPr>
            </w:pPr>
            <w:r w:rsidRPr="59165C81">
              <w:t xml:space="preserve">$3,762 </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61EAE521" w14:textId="77777777">
            <w:pPr>
              <w:pStyle w:val="TableText"/>
              <w:rPr>
                <w:color w:val="000000"/>
              </w:rPr>
            </w:pPr>
            <w:r w:rsidRPr="59165C81">
              <w:t xml:space="preserve">$3,762 </w:t>
            </w:r>
          </w:p>
        </w:tc>
      </w:tr>
      <w:tr w:rsidRPr="005B6734" w:rsidR="007253C8" w:rsidTr="00301BD8" w14:paraId="360A24F7" w14:textId="77777777">
        <w:trPr>
          <w:trHeight w:val="705"/>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4004377E" w14:textId="77777777">
            <w:pPr>
              <w:pStyle w:val="TableText"/>
              <w:rPr>
                <w:color w:val="000000"/>
              </w:rPr>
            </w:pPr>
            <w:r w:rsidRPr="59165C81">
              <w:rPr>
                <w:color w:val="000000" w:themeColor="text1"/>
              </w:rPr>
              <w:t>Expulsion Fuse Replacement</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7CD1BACE" w14:textId="77777777">
            <w:pPr>
              <w:pStyle w:val="TableText"/>
              <w:rPr>
                <w:color w:val="000000"/>
              </w:rPr>
            </w:pPr>
            <w:r w:rsidRPr="59165C81">
              <w:rPr>
                <w:color w:val="000000" w:themeColor="text1"/>
              </w:rPr>
              <w:t>-</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14F86F78" w14:textId="77777777">
            <w:pPr>
              <w:pStyle w:val="TableText"/>
              <w:rPr>
                <w:color w:val="000000"/>
              </w:rPr>
            </w:pPr>
            <w:r w:rsidRPr="59165C81">
              <w:rPr>
                <w:color w:val="000000" w:themeColor="text1"/>
              </w:rPr>
              <w:t xml:space="preserve">$17,922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19D9012C" w14:textId="77777777">
            <w:pPr>
              <w:pStyle w:val="TableText"/>
              <w:rPr>
                <w:color w:val="000000"/>
              </w:rPr>
            </w:pPr>
            <w:r w:rsidRPr="59165C81">
              <w:rPr>
                <w:color w:val="000000" w:themeColor="text1"/>
              </w:rPr>
              <w:t xml:space="preserve">$17,922 </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350EBFC4" w14:textId="77777777">
            <w:pPr>
              <w:pStyle w:val="TableText"/>
              <w:rPr>
                <w:color w:val="000000"/>
              </w:rPr>
            </w:pPr>
            <w:r w:rsidRPr="59165C81">
              <w:rPr>
                <w:color w:val="000000" w:themeColor="text1"/>
              </w:rPr>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11DF8052" w14:textId="77777777">
            <w:pPr>
              <w:pStyle w:val="TableText"/>
              <w:rPr>
                <w:color w:val="000000"/>
              </w:rPr>
            </w:pPr>
            <w:r w:rsidRPr="59165C81">
              <w:rPr>
                <w:color w:val="000000" w:themeColor="text1"/>
              </w:rPr>
              <w:t>-</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464A9385" w14:textId="77777777">
            <w:pPr>
              <w:pStyle w:val="TableText"/>
              <w:rPr>
                <w:color w:val="000000"/>
              </w:rPr>
            </w:pPr>
            <w:r w:rsidRPr="59165C81">
              <w:rPr>
                <w:color w:val="000000" w:themeColor="text1"/>
              </w:rPr>
              <w:t>-</w:t>
            </w:r>
          </w:p>
        </w:tc>
      </w:tr>
      <w:tr w:rsidRPr="005B6734" w:rsidR="007253C8" w:rsidTr="00301BD8" w14:paraId="4DCA1813" w14:textId="77777777">
        <w:trPr>
          <w:trHeight w:val="68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3E38F4CB" w14:textId="77777777">
            <w:pPr>
              <w:pStyle w:val="TableText"/>
              <w:rPr>
                <w:color w:val="000000"/>
              </w:rPr>
            </w:pPr>
            <w:r w:rsidRPr="59165C81">
              <w:t>PSPS Sectionalizing Enhancements</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2A13DA27" w14:textId="77777777">
            <w:pPr>
              <w:pStyle w:val="TableText"/>
              <w:rPr>
                <w:color w:val="000000"/>
              </w:rPr>
            </w:pPr>
            <w:r w:rsidRPr="59165C81">
              <w:t>-</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56A4CBCE" w14:textId="77777777">
            <w:pPr>
              <w:pStyle w:val="TableText"/>
              <w:rPr>
                <w:color w:val="000000"/>
              </w:rPr>
            </w:pPr>
            <w:r w:rsidRPr="59165C81">
              <w:t xml:space="preserve">$11,135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0B2B7C2D" w14:textId="77777777">
            <w:pPr>
              <w:pStyle w:val="TableText"/>
              <w:rPr>
                <w:color w:val="000000"/>
              </w:rPr>
            </w:pPr>
            <w:r w:rsidRPr="59165C81">
              <w:t xml:space="preserve">$11,135 </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1E4771C3" w14:textId="77777777">
            <w:pPr>
              <w:pStyle w:val="TableText"/>
              <w:rPr>
                <w:color w:val="000000"/>
              </w:rPr>
            </w:pPr>
            <w:r w:rsidRPr="59165C81">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35E40E26" w14:textId="77777777">
            <w:pPr>
              <w:pStyle w:val="TableText"/>
              <w:rPr>
                <w:color w:val="000000"/>
              </w:rPr>
            </w:pPr>
            <w:r w:rsidRPr="59165C81">
              <w:t>-</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08FF8626" w14:textId="77777777">
            <w:pPr>
              <w:pStyle w:val="TableText"/>
              <w:rPr>
                <w:color w:val="000000"/>
              </w:rPr>
            </w:pPr>
            <w:r w:rsidRPr="59165C81">
              <w:t>-</w:t>
            </w:r>
          </w:p>
        </w:tc>
      </w:tr>
      <w:tr w:rsidRPr="005B6734" w:rsidR="007253C8" w:rsidTr="00301BD8" w14:paraId="5DA717C4" w14:textId="77777777">
        <w:trPr>
          <w:trHeight w:val="34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5D0A7A8D" w14:textId="77777777">
            <w:pPr>
              <w:pStyle w:val="TableText"/>
              <w:rPr>
                <w:color w:val="000000"/>
              </w:rPr>
            </w:pPr>
            <w:r w:rsidRPr="59165C81">
              <w:rPr>
                <w:color w:val="000000" w:themeColor="text1"/>
              </w:rPr>
              <w:t>Microgrids</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760C5168" w14:textId="77777777">
            <w:pPr>
              <w:pStyle w:val="TableText"/>
              <w:rPr>
                <w:color w:val="000000"/>
              </w:rPr>
            </w:pPr>
            <w:r w:rsidRPr="59165C81">
              <w:rPr>
                <w:color w:val="000000" w:themeColor="text1"/>
              </w:rPr>
              <w:t>-</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519BE8FC" w14:textId="77777777">
            <w:pPr>
              <w:pStyle w:val="TableText"/>
              <w:rPr>
                <w:color w:val="000000"/>
              </w:rPr>
            </w:pPr>
            <w:r w:rsidRPr="59165C81">
              <w:rPr>
                <w:color w:val="000000" w:themeColor="text1"/>
              </w:rPr>
              <w:t xml:space="preserve">$20,170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6545DC18" w14:textId="77777777">
            <w:pPr>
              <w:pStyle w:val="TableText"/>
              <w:rPr>
                <w:color w:val="000000"/>
              </w:rPr>
            </w:pPr>
            <w:r w:rsidRPr="59165C81">
              <w:rPr>
                <w:color w:val="000000" w:themeColor="text1"/>
              </w:rPr>
              <w:t xml:space="preserve">$20,170 </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441968AC" w14:textId="77777777">
            <w:pPr>
              <w:pStyle w:val="TableText"/>
              <w:rPr>
                <w:color w:val="000000"/>
              </w:rPr>
            </w:pPr>
            <w:r w:rsidRPr="59165C81">
              <w:rPr>
                <w:color w:val="000000" w:themeColor="text1"/>
              </w:rPr>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1DD1742A" w14:textId="77777777">
            <w:pPr>
              <w:pStyle w:val="TableText"/>
              <w:rPr>
                <w:color w:val="000000"/>
              </w:rPr>
            </w:pPr>
            <w:r w:rsidRPr="59165C81">
              <w:rPr>
                <w:color w:val="000000" w:themeColor="text1"/>
              </w:rPr>
              <w:t xml:space="preserve">$3,292 </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07623565" w14:textId="77777777">
            <w:pPr>
              <w:pStyle w:val="TableText"/>
              <w:rPr>
                <w:color w:val="000000"/>
              </w:rPr>
            </w:pPr>
            <w:r w:rsidRPr="59165C81">
              <w:rPr>
                <w:color w:val="000000" w:themeColor="text1"/>
              </w:rPr>
              <w:t xml:space="preserve">$3,292 </w:t>
            </w:r>
          </w:p>
        </w:tc>
      </w:tr>
      <w:tr w:rsidRPr="005B6734" w:rsidR="007253C8" w:rsidTr="00301BD8" w14:paraId="1DED0FC2" w14:textId="77777777">
        <w:trPr>
          <w:trHeight w:val="68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6E479D41" w14:textId="77777777">
            <w:pPr>
              <w:pStyle w:val="TableText"/>
              <w:rPr>
                <w:color w:val="000000"/>
              </w:rPr>
            </w:pPr>
            <w:r w:rsidRPr="59165C81">
              <w:t>Advanced Protection</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4C68CBC3" w14:textId="77777777">
            <w:pPr>
              <w:pStyle w:val="TableText"/>
              <w:rPr>
                <w:color w:val="000000"/>
              </w:rPr>
            </w:pPr>
            <w:r w:rsidRPr="59165C81">
              <w:t xml:space="preserve">$56,197 </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6B5DC922" w14:textId="77777777">
            <w:pPr>
              <w:pStyle w:val="TableText"/>
              <w:rPr>
                <w:color w:val="000000"/>
              </w:rPr>
            </w:pPr>
            <w:r w:rsidRPr="59165C81">
              <w:t xml:space="preserve">$48,931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07FA20A1" w14:textId="77777777">
            <w:pPr>
              <w:pStyle w:val="TableText"/>
            </w:pPr>
            <w:r w:rsidRPr="59165C81">
              <w:t>($7,267)</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21C27CF5" w14:textId="77777777">
            <w:pPr>
              <w:pStyle w:val="TableText"/>
              <w:rPr>
                <w:color w:val="000000"/>
              </w:rPr>
            </w:pPr>
            <w:r w:rsidRPr="59165C81">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3D408CE2" w14:textId="77777777">
            <w:pPr>
              <w:pStyle w:val="TableText"/>
              <w:rPr>
                <w:color w:val="000000"/>
              </w:rPr>
            </w:pPr>
            <w:r w:rsidRPr="59165C81">
              <w:t xml:space="preserve">$153 </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706997AF" w14:textId="77777777">
            <w:pPr>
              <w:pStyle w:val="TableText"/>
              <w:rPr>
                <w:color w:val="000000"/>
              </w:rPr>
            </w:pPr>
            <w:r w:rsidRPr="59165C81">
              <w:t xml:space="preserve">$153 </w:t>
            </w:r>
          </w:p>
        </w:tc>
      </w:tr>
      <w:tr w:rsidRPr="005B6734" w:rsidR="007253C8" w:rsidTr="00301BD8" w14:paraId="3B8B991F" w14:textId="77777777">
        <w:trPr>
          <w:trHeight w:val="340"/>
          <w:jc w:val="center"/>
        </w:trPr>
        <w:tc>
          <w:tcPr>
            <w:tcW w:w="2001" w:type="dxa"/>
            <w:tcBorders>
              <w:top w:val="single" w:color="auto" w:sz="4" w:space="0"/>
              <w:left w:val="single" w:color="auto" w:sz="4" w:space="0"/>
              <w:bottom w:val="single" w:color="auto" w:sz="4" w:space="0"/>
              <w:right w:val="single" w:color="auto" w:sz="4" w:space="0"/>
            </w:tcBorders>
            <w:vAlign w:val="center"/>
            <w:hideMark/>
          </w:tcPr>
          <w:p w:rsidRPr="005B6734" w:rsidR="007253C8" w:rsidP="00301BD8" w:rsidRDefault="007253C8" w14:paraId="2A8250A2" w14:textId="77777777">
            <w:pPr>
              <w:pStyle w:val="TableText"/>
              <w:rPr>
                <w:color w:val="000000"/>
              </w:rPr>
            </w:pPr>
            <w:r w:rsidRPr="59165C81">
              <w:rPr>
                <w:color w:val="000000" w:themeColor="text1"/>
              </w:rPr>
              <w:t>Hotline Clamps</w:t>
            </w:r>
          </w:p>
        </w:tc>
        <w:tc>
          <w:tcPr>
            <w:tcW w:w="1341" w:type="dxa"/>
            <w:tcBorders>
              <w:top w:val="single" w:color="auto" w:sz="4" w:space="0"/>
              <w:left w:val="nil"/>
              <w:bottom w:val="single" w:color="auto" w:sz="4" w:space="0"/>
              <w:right w:val="single" w:color="auto" w:sz="4" w:space="0"/>
            </w:tcBorders>
            <w:vAlign w:val="center"/>
            <w:hideMark/>
          </w:tcPr>
          <w:p w:rsidRPr="005B6734" w:rsidR="007253C8" w:rsidP="00301BD8" w:rsidRDefault="007253C8" w14:paraId="645C1172" w14:textId="77777777">
            <w:pPr>
              <w:pStyle w:val="TableText"/>
              <w:rPr>
                <w:color w:val="000000"/>
              </w:rPr>
            </w:pPr>
            <w:r w:rsidRPr="59165C81">
              <w:rPr>
                <w:color w:val="000000" w:themeColor="text1"/>
              </w:rPr>
              <w:t>-</w:t>
            </w:r>
          </w:p>
        </w:tc>
        <w:tc>
          <w:tcPr>
            <w:tcW w:w="1206" w:type="dxa"/>
            <w:tcBorders>
              <w:top w:val="single" w:color="auto" w:sz="4" w:space="0"/>
              <w:left w:val="nil"/>
              <w:bottom w:val="single" w:color="auto" w:sz="4" w:space="0"/>
              <w:right w:val="single" w:color="auto" w:sz="4" w:space="0"/>
            </w:tcBorders>
            <w:vAlign w:val="center"/>
            <w:hideMark/>
          </w:tcPr>
          <w:p w:rsidRPr="005B6734" w:rsidR="007253C8" w:rsidP="00301BD8" w:rsidRDefault="007253C8" w14:paraId="3B161DE7" w14:textId="77777777">
            <w:pPr>
              <w:pStyle w:val="TableText"/>
              <w:rPr>
                <w:color w:val="000000"/>
              </w:rPr>
            </w:pPr>
            <w:r w:rsidRPr="59165C81">
              <w:rPr>
                <w:color w:val="000000" w:themeColor="text1"/>
              </w:rPr>
              <w:t>-</w:t>
            </w:r>
          </w:p>
        </w:tc>
        <w:tc>
          <w:tcPr>
            <w:tcW w:w="1434" w:type="dxa"/>
            <w:tcBorders>
              <w:top w:val="single" w:color="auto" w:sz="4" w:space="0"/>
              <w:left w:val="single" w:color="auto" w:sz="4" w:space="0"/>
              <w:bottom w:val="single" w:color="auto" w:sz="4" w:space="0"/>
              <w:right w:val="nil"/>
            </w:tcBorders>
            <w:vAlign w:val="center"/>
            <w:hideMark/>
          </w:tcPr>
          <w:p w:rsidRPr="005B6734" w:rsidR="007253C8" w:rsidP="00301BD8" w:rsidRDefault="007253C8" w14:paraId="5A85F870" w14:textId="77777777">
            <w:pPr>
              <w:pStyle w:val="TableText"/>
              <w:rPr>
                <w:color w:val="000000"/>
              </w:rPr>
            </w:pPr>
            <w:r w:rsidRPr="59165C81">
              <w:rPr>
                <w:color w:val="000000" w:themeColor="text1"/>
              </w:rPr>
              <w:t>-</w:t>
            </w:r>
          </w:p>
        </w:tc>
        <w:tc>
          <w:tcPr>
            <w:tcW w:w="931" w:type="dxa"/>
            <w:tcBorders>
              <w:top w:val="single" w:color="auto" w:sz="4" w:space="0"/>
              <w:left w:val="double" w:color="auto" w:sz="6" w:space="0"/>
              <w:bottom w:val="single" w:color="auto" w:sz="4" w:space="0"/>
              <w:right w:val="single" w:color="auto" w:sz="4" w:space="0"/>
            </w:tcBorders>
            <w:vAlign w:val="center"/>
            <w:hideMark/>
          </w:tcPr>
          <w:p w:rsidRPr="005B6734" w:rsidR="007253C8" w:rsidP="00301BD8" w:rsidRDefault="007253C8" w14:paraId="6098D280" w14:textId="77777777">
            <w:pPr>
              <w:pStyle w:val="TableText"/>
              <w:rPr>
                <w:color w:val="000000"/>
              </w:rPr>
            </w:pPr>
            <w:r w:rsidRPr="59165C81">
              <w:rPr>
                <w:color w:val="000000" w:themeColor="text1"/>
              </w:rPr>
              <w:t>-</w:t>
            </w:r>
          </w:p>
        </w:tc>
        <w:tc>
          <w:tcPr>
            <w:tcW w:w="931" w:type="dxa"/>
            <w:tcBorders>
              <w:top w:val="single" w:color="auto" w:sz="4" w:space="0"/>
              <w:left w:val="nil"/>
              <w:bottom w:val="single" w:color="auto" w:sz="4" w:space="0"/>
              <w:right w:val="single" w:color="auto" w:sz="4" w:space="0"/>
            </w:tcBorders>
            <w:vAlign w:val="center"/>
            <w:hideMark/>
          </w:tcPr>
          <w:p w:rsidRPr="005B6734" w:rsidR="007253C8" w:rsidP="00301BD8" w:rsidRDefault="007253C8" w14:paraId="61D07554" w14:textId="77777777">
            <w:pPr>
              <w:pStyle w:val="TableText"/>
              <w:rPr>
                <w:color w:val="000000"/>
              </w:rPr>
            </w:pPr>
            <w:r w:rsidRPr="59165C81">
              <w:rPr>
                <w:color w:val="000000" w:themeColor="text1"/>
              </w:rPr>
              <w:t xml:space="preserve">$9,937 </w:t>
            </w:r>
          </w:p>
        </w:tc>
        <w:tc>
          <w:tcPr>
            <w:tcW w:w="791" w:type="dxa"/>
            <w:tcBorders>
              <w:top w:val="single" w:color="auto" w:sz="4" w:space="0"/>
              <w:left w:val="nil"/>
              <w:bottom w:val="single" w:color="auto" w:sz="4" w:space="0"/>
              <w:right w:val="single" w:color="auto" w:sz="4" w:space="0"/>
            </w:tcBorders>
            <w:vAlign w:val="center"/>
            <w:hideMark/>
          </w:tcPr>
          <w:p w:rsidRPr="005B6734" w:rsidR="007253C8" w:rsidP="00301BD8" w:rsidRDefault="007253C8" w14:paraId="153208E3" w14:textId="77777777">
            <w:pPr>
              <w:pStyle w:val="TableText"/>
              <w:rPr>
                <w:color w:val="000000"/>
              </w:rPr>
            </w:pPr>
            <w:r w:rsidRPr="59165C81">
              <w:rPr>
                <w:color w:val="000000" w:themeColor="text1"/>
              </w:rPr>
              <w:t xml:space="preserve">$9,937 </w:t>
            </w:r>
          </w:p>
        </w:tc>
      </w:tr>
      <w:tr w:rsidRPr="005B6734" w:rsidR="007253C8" w:rsidTr="00301BD8" w14:paraId="1340FAB4" w14:textId="77777777">
        <w:trPr>
          <w:trHeight w:val="68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757E1DFD" w14:textId="77777777">
            <w:pPr>
              <w:pStyle w:val="TableText"/>
              <w:rPr>
                <w:color w:val="000000"/>
              </w:rPr>
            </w:pPr>
            <w:r w:rsidRPr="005B6734">
              <w:rPr>
                <w:spacing w:val="-2"/>
              </w:rPr>
              <w:t>Generator Grant Programs</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02516A0D" w14:textId="77777777">
            <w:pPr>
              <w:pStyle w:val="TableText"/>
              <w:rPr>
                <w:color w:val="000000"/>
              </w:rPr>
            </w:pPr>
            <w:r w:rsidRPr="59165C81">
              <w:t>-</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085E2102" w14:textId="77777777">
            <w:pPr>
              <w:pStyle w:val="TableText"/>
              <w:rPr>
                <w:color w:val="000000"/>
              </w:rPr>
            </w:pPr>
            <w:r w:rsidRPr="59165C81">
              <w:t>-</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1E250A9F" w14:textId="77777777">
            <w:pPr>
              <w:pStyle w:val="TableText"/>
              <w:rPr>
                <w:color w:val="000000"/>
              </w:rPr>
            </w:pPr>
            <w:r w:rsidRPr="59165C81">
              <w:t>-</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0E152569" w14:textId="77777777">
            <w:pPr>
              <w:pStyle w:val="TableText"/>
              <w:rPr>
                <w:color w:val="000000"/>
              </w:rPr>
            </w:pPr>
            <w:r w:rsidRPr="59165C81">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5C48E574" w14:textId="77777777">
            <w:pPr>
              <w:pStyle w:val="TableText"/>
              <w:rPr>
                <w:color w:val="000000"/>
              </w:rPr>
            </w:pPr>
            <w:r w:rsidRPr="59165C81">
              <w:t xml:space="preserve">$17,117 </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73976D17" w14:textId="77777777">
            <w:pPr>
              <w:pStyle w:val="TableText"/>
              <w:rPr>
                <w:color w:val="000000"/>
              </w:rPr>
            </w:pPr>
            <w:r w:rsidRPr="59165C81">
              <w:t xml:space="preserve">$17,117 </w:t>
            </w:r>
          </w:p>
        </w:tc>
      </w:tr>
      <w:tr w:rsidRPr="005B6734" w:rsidR="007253C8" w:rsidTr="00301BD8" w14:paraId="7484EA0F" w14:textId="77777777">
        <w:trPr>
          <w:trHeight w:val="602"/>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3EDE7BDF" w14:textId="77777777">
            <w:pPr>
              <w:pStyle w:val="TableText"/>
              <w:rPr>
                <w:color w:val="000000"/>
              </w:rPr>
            </w:pPr>
            <w:r w:rsidRPr="59165C81">
              <w:rPr>
                <w:color w:val="000000" w:themeColor="text1"/>
              </w:rPr>
              <w:t>Generator Assistance Programs</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7842E17D" w14:textId="77777777">
            <w:pPr>
              <w:pStyle w:val="TableText"/>
              <w:rPr>
                <w:color w:val="000000"/>
              </w:rPr>
            </w:pPr>
            <w:r w:rsidRPr="59165C81">
              <w:rPr>
                <w:color w:val="000000" w:themeColor="text1"/>
              </w:rPr>
              <w:t>-</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38D1838E" w14:textId="77777777">
            <w:pPr>
              <w:pStyle w:val="TableText"/>
              <w:rPr>
                <w:color w:val="000000"/>
              </w:rPr>
            </w:pPr>
            <w:r w:rsidRPr="59165C81">
              <w:rPr>
                <w:color w:val="000000" w:themeColor="text1"/>
              </w:rPr>
              <w:t>-</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58B09DE6" w14:textId="77777777">
            <w:pPr>
              <w:pStyle w:val="TableText"/>
              <w:rPr>
                <w:color w:val="000000"/>
              </w:rPr>
            </w:pPr>
            <w:r w:rsidRPr="59165C81">
              <w:rPr>
                <w:color w:val="000000" w:themeColor="text1"/>
              </w:rPr>
              <w:t>-</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0AA66D0E" w14:textId="77777777">
            <w:pPr>
              <w:pStyle w:val="TableText"/>
              <w:rPr>
                <w:color w:val="000000"/>
              </w:rPr>
            </w:pPr>
            <w:r w:rsidRPr="59165C81">
              <w:rPr>
                <w:color w:val="000000" w:themeColor="text1"/>
              </w:rPr>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2DB2662A" w14:textId="77777777">
            <w:pPr>
              <w:pStyle w:val="TableText"/>
              <w:rPr>
                <w:color w:val="000000"/>
              </w:rPr>
            </w:pPr>
            <w:r w:rsidRPr="59165C81">
              <w:rPr>
                <w:color w:val="000000" w:themeColor="text1"/>
              </w:rPr>
              <w:t xml:space="preserve">$2,250 </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300615F3" w14:textId="77777777">
            <w:pPr>
              <w:pStyle w:val="TableText"/>
              <w:rPr>
                <w:color w:val="000000"/>
              </w:rPr>
            </w:pPr>
            <w:r w:rsidRPr="59165C81">
              <w:rPr>
                <w:color w:val="000000" w:themeColor="text1"/>
              </w:rPr>
              <w:t xml:space="preserve">$2,250 </w:t>
            </w:r>
          </w:p>
        </w:tc>
      </w:tr>
      <w:tr w:rsidRPr="005B6734" w:rsidR="007253C8" w:rsidTr="00301BD8" w14:paraId="68516AF2" w14:textId="77777777">
        <w:trPr>
          <w:trHeight w:val="68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2A143909" w14:textId="77777777">
            <w:pPr>
              <w:pStyle w:val="TableText"/>
              <w:rPr>
                <w:color w:val="000000"/>
              </w:rPr>
            </w:pPr>
            <w:r w:rsidRPr="59165C81">
              <w:t>Standby Power Programs</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64DCE436" w14:textId="77777777">
            <w:pPr>
              <w:pStyle w:val="TableText"/>
              <w:rPr>
                <w:color w:val="000000"/>
              </w:rPr>
            </w:pPr>
            <w:r w:rsidRPr="59165C81">
              <w:t>-</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092BD293" w14:textId="77777777">
            <w:pPr>
              <w:pStyle w:val="TableText"/>
              <w:rPr>
                <w:color w:val="000000"/>
              </w:rPr>
            </w:pPr>
            <w:r w:rsidRPr="59165C81">
              <w:t>-</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7139F48B" w14:textId="77777777">
            <w:pPr>
              <w:pStyle w:val="TableText"/>
              <w:rPr>
                <w:color w:val="000000"/>
              </w:rPr>
            </w:pPr>
            <w:r w:rsidRPr="59165C81">
              <w:t>-</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5767599A" w14:textId="77777777">
            <w:pPr>
              <w:pStyle w:val="TableText"/>
              <w:rPr>
                <w:color w:val="000000"/>
              </w:rPr>
            </w:pPr>
            <w:r w:rsidRPr="59165C81">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32E5525F" w14:textId="77777777">
            <w:pPr>
              <w:pStyle w:val="TableText"/>
              <w:rPr>
                <w:color w:val="000000"/>
              </w:rPr>
            </w:pPr>
            <w:r w:rsidRPr="59165C81">
              <w:t xml:space="preserve">$22,744 </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2295CFCB" w14:textId="77777777">
            <w:pPr>
              <w:pStyle w:val="TableText"/>
              <w:rPr>
                <w:color w:val="000000"/>
              </w:rPr>
            </w:pPr>
            <w:r w:rsidRPr="59165C81">
              <w:t xml:space="preserve">$22,744 </w:t>
            </w:r>
          </w:p>
        </w:tc>
      </w:tr>
      <w:tr w:rsidRPr="005B6734" w:rsidR="007253C8" w:rsidTr="00301BD8" w14:paraId="0B20CB8F" w14:textId="77777777">
        <w:trPr>
          <w:trHeight w:val="68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462A29" w14:paraId="1680BBB4" w14:textId="348E9D96">
            <w:pPr>
              <w:pStyle w:val="TableText"/>
              <w:rPr>
                <w:color w:val="000000"/>
              </w:rPr>
            </w:pPr>
            <w:r>
              <w:rPr>
                <w:color w:val="000000" w:themeColor="text1"/>
              </w:rPr>
              <w:t xml:space="preserve">Strategic Undergrounding </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63ADB08B" w14:textId="77777777">
            <w:pPr>
              <w:pStyle w:val="TableText"/>
              <w:rPr>
                <w:color w:val="000000"/>
              </w:rPr>
            </w:pPr>
            <w:r w:rsidRPr="59165C81">
              <w:rPr>
                <w:color w:val="000000" w:themeColor="text1"/>
              </w:rPr>
              <w:t>-</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195AC1A1" w14:textId="77777777">
            <w:pPr>
              <w:pStyle w:val="TableText"/>
              <w:rPr>
                <w:color w:val="000000"/>
              </w:rPr>
            </w:pPr>
            <w:r w:rsidRPr="59165C81">
              <w:rPr>
                <w:color w:val="000000" w:themeColor="text1"/>
              </w:rPr>
              <w:t xml:space="preserve">$241,233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49C2FE00" w14:textId="77777777">
            <w:pPr>
              <w:pStyle w:val="TableText"/>
              <w:rPr>
                <w:color w:val="000000"/>
              </w:rPr>
            </w:pPr>
            <w:r w:rsidRPr="59165C81">
              <w:rPr>
                <w:color w:val="000000" w:themeColor="text1"/>
              </w:rPr>
              <w:t xml:space="preserve">$241,233 </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58972EE6" w14:textId="77777777">
            <w:pPr>
              <w:pStyle w:val="TableText"/>
              <w:rPr>
                <w:color w:val="000000"/>
              </w:rPr>
            </w:pPr>
            <w:r w:rsidRPr="59165C81">
              <w:rPr>
                <w:color w:val="000000" w:themeColor="text1"/>
              </w:rPr>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3AEF12C9" w14:textId="77777777">
            <w:pPr>
              <w:pStyle w:val="TableText"/>
              <w:rPr>
                <w:color w:val="000000"/>
              </w:rPr>
            </w:pPr>
            <w:r w:rsidRPr="59165C81">
              <w:rPr>
                <w:color w:val="000000" w:themeColor="text1"/>
              </w:rPr>
              <w:t xml:space="preserve">$176 </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00B06BB6" w14:textId="77777777">
            <w:pPr>
              <w:pStyle w:val="TableText"/>
              <w:rPr>
                <w:color w:val="000000"/>
              </w:rPr>
            </w:pPr>
            <w:r w:rsidRPr="59165C81">
              <w:rPr>
                <w:color w:val="000000" w:themeColor="text1"/>
              </w:rPr>
              <w:t xml:space="preserve">$176 </w:t>
            </w:r>
          </w:p>
        </w:tc>
      </w:tr>
      <w:tr w:rsidRPr="005B6734" w:rsidR="007253C8" w:rsidTr="00301BD8" w14:paraId="1A68AE98" w14:textId="77777777">
        <w:trPr>
          <w:trHeight w:val="68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042DE766" w14:textId="7704C8B2">
            <w:pPr>
              <w:pStyle w:val="TableText"/>
              <w:rPr>
                <w:color w:val="000000"/>
              </w:rPr>
            </w:pPr>
            <w:r w:rsidRPr="59165C81">
              <w:t>Dist</w:t>
            </w:r>
            <w:r w:rsidR="009B53E2">
              <w:t>ribution</w:t>
            </w:r>
            <w:r w:rsidRPr="59165C81">
              <w:t xml:space="preserve"> O</w:t>
            </w:r>
            <w:r w:rsidR="009B53E2">
              <w:t xml:space="preserve">verhead </w:t>
            </w:r>
            <w:r w:rsidRPr="59165C81">
              <w:t>System Hardening</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7012E6BE" w14:textId="77777777">
            <w:pPr>
              <w:pStyle w:val="TableText"/>
              <w:rPr>
                <w:color w:val="000000"/>
              </w:rPr>
            </w:pPr>
            <w:r w:rsidRPr="59165C81">
              <w:t xml:space="preserve">$283,660 </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202AEF70" w14:textId="77777777">
            <w:pPr>
              <w:pStyle w:val="TableText"/>
              <w:rPr>
                <w:color w:val="000000"/>
              </w:rPr>
            </w:pPr>
            <w:r w:rsidRPr="59165C81">
              <w:t xml:space="preserve">$380,799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2A3066D8" w14:textId="77777777">
            <w:pPr>
              <w:pStyle w:val="TableText"/>
              <w:rPr>
                <w:color w:val="000000"/>
              </w:rPr>
            </w:pPr>
            <w:r w:rsidRPr="59165C81">
              <w:t xml:space="preserve">$97,139 </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1DE62711" w14:textId="77777777">
            <w:pPr>
              <w:pStyle w:val="TableText"/>
              <w:rPr>
                <w:color w:val="000000"/>
              </w:rPr>
            </w:pPr>
            <w:r w:rsidRPr="59165C81">
              <w:t xml:space="preserve">$21,302 </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21756C4D" w14:textId="77777777">
            <w:pPr>
              <w:pStyle w:val="TableText"/>
              <w:rPr>
                <w:color w:val="000000"/>
              </w:rPr>
            </w:pPr>
            <w:r w:rsidRPr="59165C81">
              <w:t xml:space="preserve">$10,716 </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30C8977F" w14:textId="77777777">
            <w:pPr>
              <w:pStyle w:val="TableText"/>
            </w:pPr>
            <w:r w:rsidRPr="59165C81">
              <w:t>($10,586)</w:t>
            </w:r>
          </w:p>
        </w:tc>
      </w:tr>
      <w:tr w:rsidRPr="005B6734" w:rsidR="007253C8" w:rsidTr="00301BD8" w14:paraId="1C9A3478" w14:textId="77777777">
        <w:trPr>
          <w:trHeight w:val="68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3CFEAD53" w14:textId="77777777">
            <w:pPr>
              <w:pStyle w:val="TableText"/>
              <w:rPr>
                <w:color w:val="000000"/>
              </w:rPr>
            </w:pPr>
            <w:r w:rsidRPr="59165C81">
              <w:rPr>
                <w:color w:val="000000" w:themeColor="text1"/>
              </w:rPr>
              <w:t xml:space="preserve">Distribution </w:t>
            </w:r>
            <w:proofErr w:type="spellStart"/>
            <w:r w:rsidRPr="59165C81">
              <w:rPr>
                <w:color w:val="000000" w:themeColor="text1"/>
              </w:rPr>
              <w:t>Underbuild</w:t>
            </w:r>
            <w:proofErr w:type="spellEnd"/>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114C1429" w14:textId="77777777">
            <w:pPr>
              <w:pStyle w:val="TableText"/>
              <w:rPr>
                <w:color w:val="000000"/>
              </w:rPr>
            </w:pPr>
            <w:r w:rsidRPr="59165C81">
              <w:rPr>
                <w:color w:val="000000" w:themeColor="text1"/>
              </w:rPr>
              <w:t xml:space="preserve">$3,530 </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2EAE158E" w14:textId="77777777">
            <w:pPr>
              <w:pStyle w:val="TableText"/>
              <w:rPr>
                <w:color w:val="000000"/>
              </w:rPr>
            </w:pPr>
            <w:r w:rsidRPr="59165C81">
              <w:rPr>
                <w:color w:val="000000" w:themeColor="text1"/>
              </w:rPr>
              <w:t xml:space="preserve">$17,851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677DA5F3" w14:textId="77777777">
            <w:pPr>
              <w:pStyle w:val="TableText"/>
              <w:rPr>
                <w:color w:val="000000"/>
              </w:rPr>
            </w:pPr>
            <w:r w:rsidRPr="59165C81">
              <w:rPr>
                <w:color w:val="000000" w:themeColor="text1"/>
              </w:rPr>
              <w:t xml:space="preserve">$14,321 </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5A545269" w14:textId="77777777">
            <w:pPr>
              <w:pStyle w:val="TableText"/>
              <w:rPr>
                <w:color w:val="000000"/>
              </w:rPr>
            </w:pPr>
            <w:r w:rsidRPr="59165C81">
              <w:rPr>
                <w:color w:val="000000" w:themeColor="text1"/>
              </w:rPr>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6FEA7F00" w14:textId="77777777">
            <w:pPr>
              <w:pStyle w:val="TableText"/>
              <w:rPr>
                <w:color w:val="000000"/>
              </w:rPr>
            </w:pPr>
            <w:r w:rsidRPr="59165C81">
              <w:rPr>
                <w:color w:val="000000" w:themeColor="text1"/>
              </w:rPr>
              <w:t>-</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121722AE" w14:textId="77777777">
            <w:pPr>
              <w:pStyle w:val="TableText"/>
              <w:rPr>
                <w:color w:val="000000"/>
              </w:rPr>
            </w:pPr>
            <w:r w:rsidRPr="59165C81">
              <w:rPr>
                <w:color w:val="000000" w:themeColor="text1"/>
              </w:rPr>
              <w:t>-</w:t>
            </w:r>
          </w:p>
        </w:tc>
      </w:tr>
      <w:tr w:rsidRPr="005B6734" w:rsidR="007253C8" w:rsidTr="00301BD8" w14:paraId="438ACDBD" w14:textId="77777777">
        <w:trPr>
          <w:trHeight w:val="68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62DBAF77" w14:textId="45DAB979">
            <w:pPr>
              <w:pStyle w:val="TableText"/>
              <w:rPr>
                <w:color w:val="000000"/>
              </w:rPr>
            </w:pPr>
            <w:r w:rsidRPr="005B6734">
              <w:rPr>
                <w:spacing w:val="-2"/>
              </w:rPr>
              <w:t>C</w:t>
            </w:r>
            <w:r w:rsidR="00DC628C">
              <w:rPr>
                <w:spacing w:val="-2"/>
              </w:rPr>
              <w:t xml:space="preserve">leveland </w:t>
            </w:r>
            <w:r w:rsidRPr="005B6734">
              <w:rPr>
                <w:spacing w:val="-2"/>
              </w:rPr>
              <w:t>N</w:t>
            </w:r>
            <w:r w:rsidR="00DC628C">
              <w:rPr>
                <w:spacing w:val="-2"/>
              </w:rPr>
              <w:t xml:space="preserve">ational </w:t>
            </w:r>
            <w:r w:rsidRPr="005B6734">
              <w:rPr>
                <w:spacing w:val="-2"/>
              </w:rPr>
              <w:t>F</w:t>
            </w:r>
            <w:r w:rsidR="00DC628C">
              <w:rPr>
                <w:spacing w:val="-2"/>
              </w:rPr>
              <w:t>orest</w:t>
            </w:r>
            <w:r w:rsidRPr="005B6734">
              <w:rPr>
                <w:spacing w:val="-2"/>
              </w:rPr>
              <w:t xml:space="preserve"> Fire Hardening</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20E75A33" w14:textId="77777777">
            <w:pPr>
              <w:pStyle w:val="TableText"/>
              <w:rPr>
                <w:color w:val="000000"/>
              </w:rPr>
            </w:pPr>
            <w:r w:rsidRPr="59165C81">
              <w:t xml:space="preserve">$83,281 </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667C1491" w14:textId="77777777">
            <w:pPr>
              <w:pStyle w:val="TableText"/>
              <w:rPr>
                <w:color w:val="000000"/>
              </w:rPr>
            </w:pPr>
            <w:r w:rsidRPr="59165C81">
              <w:t xml:space="preserve">$147,721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412DE7CD" w14:textId="77777777">
            <w:pPr>
              <w:pStyle w:val="TableText"/>
              <w:rPr>
                <w:color w:val="000000"/>
              </w:rPr>
            </w:pPr>
            <w:r w:rsidRPr="59165C81">
              <w:t xml:space="preserve">$64,440 </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1922773F" w14:textId="77777777">
            <w:pPr>
              <w:pStyle w:val="TableText"/>
              <w:rPr>
                <w:color w:val="000000"/>
              </w:rPr>
            </w:pPr>
            <w:r w:rsidRPr="59165C81">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5A456235" w14:textId="77777777">
            <w:pPr>
              <w:pStyle w:val="TableText"/>
              <w:rPr>
                <w:color w:val="000000"/>
              </w:rPr>
            </w:pPr>
            <w:r w:rsidRPr="59165C81">
              <w:t xml:space="preserve">$2,456 </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32D57F8B" w14:textId="77777777">
            <w:pPr>
              <w:pStyle w:val="TableText"/>
              <w:rPr>
                <w:color w:val="000000"/>
              </w:rPr>
            </w:pPr>
            <w:r w:rsidRPr="59165C81">
              <w:t xml:space="preserve">$2,456 </w:t>
            </w:r>
          </w:p>
        </w:tc>
      </w:tr>
      <w:tr w:rsidRPr="005B6734" w:rsidR="007253C8" w:rsidTr="00301BD8" w14:paraId="2873E537" w14:textId="77777777">
        <w:trPr>
          <w:trHeight w:val="102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3F03A81F" w14:textId="77777777">
            <w:pPr>
              <w:pStyle w:val="TableText"/>
              <w:rPr>
                <w:color w:val="000000"/>
              </w:rPr>
            </w:pPr>
            <w:r w:rsidRPr="59165C81">
              <w:rPr>
                <w:color w:val="000000" w:themeColor="text1"/>
              </w:rPr>
              <w:t>Distribution Comm. Reliability Improvements</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0A558CA6" w14:textId="77777777">
            <w:pPr>
              <w:pStyle w:val="TableText"/>
              <w:rPr>
                <w:color w:val="000000"/>
              </w:rPr>
            </w:pPr>
            <w:r w:rsidRPr="59165C81">
              <w:rPr>
                <w:color w:val="000000" w:themeColor="text1"/>
              </w:rPr>
              <w:t xml:space="preserve">$97,789 </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0F01788D" w14:textId="77777777">
            <w:pPr>
              <w:pStyle w:val="TableText"/>
              <w:rPr>
                <w:color w:val="000000"/>
              </w:rPr>
            </w:pPr>
            <w:r w:rsidRPr="59165C81">
              <w:rPr>
                <w:color w:val="000000" w:themeColor="text1"/>
              </w:rPr>
              <w:t xml:space="preserve">$140,411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467A6E32" w14:textId="77777777">
            <w:pPr>
              <w:pStyle w:val="TableText"/>
              <w:rPr>
                <w:color w:val="000000"/>
              </w:rPr>
            </w:pPr>
            <w:r>
              <w:rPr>
                <w:color w:val="000000" w:themeColor="text1"/>
              </w:rPr>
              <w:t xml:space="preserve"> $42,622</w:t>
            </w:r>
            <w:r w:rsidRPr="59165C81">
              <w:rPr>
                <w:color w:val="000000" w:themeColor="text1"/>
              </w:rPr>
              <w:t xml:space="preserve"> </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61E25E1C" w14:textId="77777777">
            <w:pPr>
              <w:pStyle w:val="TableText"/>
              <w:rPr>
                <w:color w:val="000000"/>
              </w:rPr>
            </w:pPr>
            <w:r w:rsidRPr="59165C81">
              <w:rPr>
                <w:color w:val="000000" w:themeColor="text1"/>
              </w:rPr>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4441523B" w14:textId="77777777">
            <w:pPr>
              <w:pStyle w:val="TableText"/>
              <w:rPr>
                <w:color w:val="000000"/>
              </w:rPr>
            </w:pPr>
            <w:r w:rsidRPr="59165C81">
              <w:rPr>
                <w:color w:val="000000" w:themeColor="text1"/>
              </w:rPr>
              <w:t xml:space="preserve">$715 </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18FC7727" w14:textId="77777777">
            <w:pPr>
              <w:pStyle w:val="TableText"/>
              <w:rPr>
                <w:color w:val="000000"/>
              </w:rPr>
            </w:pPr>
            <w:r w:rsidRPr="59165C81">
              <w:rPr>
                <w:color w:val="000000" w:themeColor="text1"/>
              </w:rPr>
              <w:t xml:space="preserve">$715 </w:t>
            </w:r>
          </w:p>
        </w:tc>
      </w:tr>
      <w:tr w:rsidRPr="005B6734" w:rsidR="007253C8" w:rsidTr="00301BD8" w14:paraId="51484934" w14:textId="77777777">
        <w:trPr>
          <w:trHeight w:val="68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012D44DA" w14:textId="77777777">
            <w:pPr>
              <w:pStyle w:val="TableText"/>
              <w:rPr>
                <w:color w:val="000000"/>
              </w:rPr>
            </w:pPr>
            <w:r w:rsidRPr="59165C81">
              <w:lastRenderedPageBreak/>
              <w:t>Lightning Arrestor Replacements</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40B718D1" w14:textId="77777777">
            <w:pPr>
              <w:pStyle w:val="TableText"/>
              <w:rPr>
                <w:color w:val="000000"/>
              </w:rPr>
            </w:pPr>
            <w:r w:rsidRPr="59165C81">
              <w:t>-</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4B3FD78D" w14:textId="77777777">
            <w:pPr>
              <w:pStyle w:val="TableText"/>
              <w:rPr>
                <w:color w:val="000000"/>
              </w:rPr>
            </w:pPr>
            <w:r w:rsidRPr="59165C81">
              <w:t xml:space="preserve">$5,556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6B3D286B" w14:textId="77777777">
            <w:pPr>
              <w:pStyle w:val="TableText"/>
              <w:rPr>
                <w:color w:val="000000"/>
              </w:rPr>
            </w:pPr>
            <w:r w:rsidRPr="59165C81">
              <w:t xml:space="preserve">$5,556 </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244475CD" w14:textId="77777777">
            <w:pPr>
              <w:pStyle w:val="TableText"/>
              <w:rPr>
                <w:color w:val="000000"/>
              </w:rPr>
            </w:pPr>
            <w:r w:rsidRPr="59165C81">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716806B9" w14:textId="77777777">
            <w:pPr>
              <w:pStyle w:val="TableText"/>
              <w:rPr>
                <w:color w:val="000000"/>
              </w:rPr>
            </w:pPr>
            <w:r w:rsidRPr="59165C81">
              <w:t xml:space="preserve">$28 </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3ED6CB76" w14:textId="77777777">
            <w:pPr>
              <w:pStyle w:val="TableText"/>
              <w:rPr>
                <w:color w:val="000000"/>
              </w:rPr>
            </w:pPr>
            <w:r w:rsidRPr="59165C81">
              <w:t xml:space="preserve">$28 </w:t>
            </w:r>
          </w:p>
        </w:tc>
      </w:tr>
      <w:tr w:rsidRPr="005B6734" w:rsidR="007253C8" w:rsidTr="00301BD8" w14:paraId="492F8936" w14:textId="77777777">
        <w:trPr>
          <w:trHeight w:val="340"/>
          <w:jc w:val="center"/>
        </w:trPr>
        <w:tc>
          <w:tcPr>
            <w:tcW w:w="2001" w:type="dxa"/>
            <w:tcBorders>
              <w:top w:val="nil"/>
              <w:left w:val="single" w:color="auto" w:sz="4" w:space="0"/>
              <w:bottom w:val="single" w:color="auto" w:sz="4" w:space="0"/>
              <w:right w:val="single" w:color="auto" w:sz="4" w:space="0"/>
            </w:tcBorders>
            <w:vAlign w:val="center"/>
            <w:hideMark/>
          </w:tcPr>
          <w:p w:rsidRPr="005B6734" w:rsidR="007253C8" w:rsidP="00301BD8" w:rsidRDefault="007253C8" w14:paraId="5D2D39D6" w14:textId="77777777">
            <w:pPr>
              <w:pStyle w:val="TableText"/>
              <w:rPr>
                <w:color w:val="000000"/>
              </w:rPr>
            </w:pPr>
            <w:r w:rsidRPr="59165C81">
              <w:rPr>
                <w:color w:val="000000" w:themeColor="text1"/>
              </w:rPr>
              <w:t>Avian Mitigation</w:t>
            </w:r>
          </w:p>
        </w:tc>
        <w:tc>
          <w:tcPr>
            <w:tcW w:w="1341" w:type="dxa"/>
            <w:tcBorders>
              <w:top w:val="nil"/>
              <w:left w:val="nil"/>
              <w:bottom w:val="single" w:color="auto" w:sz="4" w:space="0"/>
              <w:right w:val="single" w:color="auto" w:sz="4" w:space="0"/>
            </w:tcBorders>
            <w:vAlign w:val="center"/>
            <w:hideMark/>
          </w:tcPr>
          <w:p w:rsidRPr="005B6734" w:rsidR="007253C8" w:rsidP="00301BD8" w:rsidRDefault="007253C8" w14:paraId="2B10C0CD" w14:textId="77777777">
            <w:pPr>
              <w:pStyle w:val="TableText"/>
              <w:rPr>
                <w:color w:val="000000"/>
              </w:rPr>
            </w:pPr>
            <w:r w:rsidRPr="59165C81">
              <w:rPr>
                <w:color w:val="000000" w:themeColor="text1"/>
              </w:rPr>
              <w:t xml:space="preserve">$4,041 </w:t>
            </w:r>
          </w:p>
        </w:tc>
        <w:tc>
          <w:tcPr>
            <w:tcW w:w="1206" w:type="dxa"/>
            <w:tcBorders>
              <w:top w:val="nil"/>
              <w:left w:val="nil"/>
              <w:bottom w:val="single" w:color="auto" w:sz="4" w:space="0"/>
              <w:right w:val="single" w:color="auto" w:sz="4" w:space="0"/>
            </w:tcBorders>
            <w:vAlign w:val="center"/>
            <w:hideMark/>
          </w:tcPr>
          <w:p w:rsidRPr="005B6734" w:rsidR="007253C8" w:rsidP="00301BD8" w:rsidRDefault="007253C8" w14:paraId="3CC14E31" w14:textId="77777777">
            <w:pPr>
              <w:pStyle w:val="TableText"/>
              <w:rPr>
                <w:color w:val="000000"/>
              </w:rPr>
            </w:pPr>
            <w:r w:rsidRPr="59165C81">
              <w:rPr>
                <w:color w:val="000000" w:themeColor="text1"/>
              </w:rPr>
              <w:t xml:space="preserve">$2,189 </w:t>
            </w:r>
          </w:p>
        </w:tc>
        <w:tc>
          <w:tcPr>
            <w:tcW w:w="1434" w:type="dxa"/>
            <w:tcBorders>
              <w:top w:val="nil"/>
              <w:left w:val="single" w:color="auto" w:sz="4" w:space="0"/>
              <w:bottom w:val="single" w:color="auto" w:sz="4" w:space="0"/>
              <w:right w:val="nil"/>
            </w:tcBorders>
            <w:vAlign w:val="center"/>
            <w:hideMark/>
          </w:tcPr>
          <w:p w:rsidRPr="005B6734" w:rsidR="007253C8" w:rsidP="00301BD8" w:rsidRDefault="007253C8" w14:paraId="5EE17FD8" w14:textId="77777777">
            <w:pPr>
              <w:pStyle w:val="TableText"/>
            </w:pPr>
            <w:r w:rsidRPr="59165C81">
              <w:t>($1,852)</w:t>
            </w:r>
          </w:p>
        </w:tc>
        <w:tc>
          <w:tcPr>
            <w:tcW w:w="931" w:type="dxa"/>
            <w:tcBorders>
              <w:top w:val="nil"/>
              <w:left w:val="double" w:color="auto" w:sz="6" w:space="0"/>
              <w:bottom w:val="single" w:color="auto" w:sz="4" w:space="0"/>
              <w:right w:val="single" w:color="auto" w:sz="4" w:space="0"/>
            </w:tcBorders>
            <w:vAlign w:val="center"/>
            <w:hideMark/>
          </w:tcPr>
          <w:p w:rsidRPr="005B6734" w:rsidR="007253C8" w:rsidP="00301BD8" w:rsidRDefault="007253C8" w14:paraId="0BF27DB4" w14:textId="77777777">
            <w:pPr>
              <w:pStyle w:val="TableText"/>
              <w:rPr>
                <w:color w:val="000000"/>
              </w:rPr>
            </w:pPr>
            <w:r w:rsidRPr="59165C81">
              <w:rPr>
                <w:color w:val="000000" w:themeColor="text1"/>
              </w:rPr>
              <w:t>-</w:t>
            </w:r>
          </w:p>
        </w:tc>
        <w:tc>
          <w:tcPr>
            <w:tcW w:w="931" w:type="dxa"/>
            <w:tcBorders>
              <w:top w:val="nil"/>
              <w:left w:val="nil"/>
              <w:bottom w:val="single" w:color="auto" w:sz="4" w:space="0"/>
              <w:right w:val="single" w:color="auto" w:sz="4" w:space="0"/>
            </w:tcBorders>
            <w:vAlign w:val="center"/>
            <w:hideMark/>
          </w:tcPr>
          <w:p w:rsidRPr="005B6734" w:rsidR="007253C8" w:rsidP="00301BD8" w:rsidRDefault="007253C8" w14:paraId="70CD1C02" w14:textId="77777777">
            <w:pPr>
              <w:pStyle w:val="TableText"/>
              <w:rPr>
                <w:color w:val="000000"/>
              </w:rPr>
            </w:pPr>
            <w:r w:rsidRPr="59165C81">
              <w:rPr>
                <w:color w:val="000000" w:themeColor="text1"/>
              </w:rPr>
              <w:t xml:space="preserve">$17 </w:t>
            </w:r>
          </w:p>
        </w:tc>
        <w:tc>
          <w:tcPr>
            <w:tcW w:w="791" w:type="dxa"/>
            <w:tcBorders>
              <w:top w:val="nil"/>
              <w:left w:val="nil"/>
              <w:bottom w:val="single" w:color="auto" w:sz="4" w:space="0"/>
              <w:right w:val="single" w:color="auto" w:sz="4" w:space="0"/>
            </w:tcBorders>
            <w:vAlign w:val="center"/>
            <w:hideMark/>
          </w:tcPr>
          <w:p w:rsidRPr="005B6734" w:rsidR="007253C8" w:rsidP="00301BD8" w:rsidRDefault="007253C8" w14:paraId="07B86CB8" w14:textId="77777777">
            <w:pPr>
              <w:pStyle w:val="TableText"/>
              <w:rPr>
                <w:color w:val="000000"/>
              </w:rPr>
            </w:pPr>
            <w:r w:rsidRPr="59165C81">
              <w:rPr>
                <w:color w:val="000000" w:themeColor="text1"/>
              </w:rPr>
              <w:t xml:space="preserve">$17 </w:t>
            </w:r>
          </w:p>
        </w:tc>
      </w:tr>
      <w:tr w:rsidRPr="005B6734" w:rsidR="007253C8" w:rsidTr="00301BD8" w14:paraId="0C37F7B2" w14:textId="77777777">
        <w:trPr>
          <w:trHeight w:val="340"/>
          <w:jc w:val="center"/>
        </w:trPr>
        <w:tc>
          <w:tcPr>
            <w:tcW w:w="2001" w:type="dxa"/>
            <w:tcBorders>
              <w:top w:val="nil"/>
              <w:left w:val="single" w:color="auto" w:sz="4" w:space="0"/>
              <w:bottom w:val="single" w:color="auto" w:sz="4" w:space="0"/>
              <w:right w:val="single" w:color="auto" w:sz="4" w:space="0"/>
            </w:tcBorders>
            <w:vAlign w:val="center"/>
          </w:tcPr>
          <w:p w:rsidRPr="005B6734" w:rsidR="007253C8" w:rsidP="00301BD8" w:rsidRDefault="007253C8" w14:paraId="3FAFC990" w14:textId="77777777">
            <w:pPr>
              <w:pStyle w:val="TableText"/>
              <w:rPr>
                <w:i/>
                <w:color w:val="000000"/>
              </w:rPr>
            </w:pPr>
            <w:r w:rsidRPr="65362D06">
              <w:rPr>
                <w:i/>
                <w:iCs/>
                <w:color w:val="000000" w:themeColor="text1"/>
              </w:rPr>
              <w:t>Total</w:t>
            </w:r>
          </w:p>
        </w:tc>
        <w:tc>
          <w:tcPr>
            <w:tcW w:w="1341" w:type="dxa"/>
            <w:tcBorders>
              <w:top w:val="nil"/>
              <w:left w:val="nil"/>
              <w:bottom w:val="single" w:color="auto" w:sz="4" w:space="0"/>
              <w:right w:val="single" w:color="auto" w:sz="4" w:space="0"/>
            </w:tcBorders>
            <w:vAlign w:val="center"/>
          </w:tcPr>
          <w:p w:rsidRPr="005B6734" w:rsidR="007253C8" w:rsidP="00301BD8" w:rsidRDefault="007253C8" w14:paraId="55D47732" w14:textId="77777777">
            <w:pPr>
              <w:pStyle w:val="TableText"/>
              <w:rPr>
                <w:i/>
                <w:color w:val="000000"/>
              </w:rPr>
            </w:pPr>
            <w:r w:rsidRPr="59165C81">
              <w:rPr>
                <w:i/>
                <w:color w:val="000000" w:themeColor="text1"/>
              </w:rPr>
              <w:t>$537,412</w:t>
            </w:r>
          </w:p>
        </w:tc>
        <w:tc>
          <w:tcPr>
            <w:tcW w:w="1206" w:type="dxa"/>
            <w:tcBorders>
              <w:top w:val="nil"/>
              <w:left w:val="nil"/>
              <w:bottom w:val="single" w:color="auto" w:sz="4" w:space="0"/>
              <w:right w:val="single" w:color="auto" w:sz="4" w:space="0"/>
            </w:tcBorders>
            <w:vAlign w:val="center"/>
          </w:tcPr>
          <w:p w:rsidRPr="005B6734" w:rsidR="007253C8" w:rsidP="00301BD8" w:rsidRDefault="007253C8" w14:paraId="52EDA9DB" w14:textId="77777777">
            <w:pPr>
              <w:pStyle w:val="TableText"/>
              <w:rPr>
                <w:i/>
                <w:color w:val="000000"/>
              </w:rPr>
            </w:pPr>
            <w:r w:rsidRPr="59165C81">
              <w:rPr>
                <w:i/>
                <w:color w:val="000000" w:themeColor="text1"/>
              </w:rPr>
              <w:t>$1,177,380</w:t>
            </w:r>
          </w:p>
        </w:tc>
        <w:tc>
          <w:tcPr>
            <w:tcW w:w="1434" w:type="dxa"/>
            <w:tcBorders>
              <w:top w:val="nil"/>
              <w:left w:val="single" w:color="auto" w:sz="4" w:space="0"/>
              <w:bottom w:val="single" w:color="auto" w:sz="4" w:space="0"/>
              <w:right w:val="nil"/>
            </w:tcBorders>
            <w:vAlign w:val="center"/>
          </w:tcPr>
          <w:p w:rsidRPr="00934F2B" w:rsidR="007253C8" w:rsidP="00301BD8" w:rsidRDefault="007253C8" w14:paraId="029A1798" w14:textId="77777777">
            <w:pPr>
              <w:pStyle w:val="TableText"/>
              <w:rPr>
                <w:iCs/>
              </w:rPr>
            </w:pPr>
            <w:r w:rsidRPr="00934F2B">
              <w:rPr>
                <w:iCs/>
              </w:rPr>
              <w:t>$639,969</w:t>
            </w:r>
          </w:p>
        </w:tc>
        <w:tc>
          <w:tcPr>
            <w:tcW w:w="931" w:type="dxa"/>
            <w:tcBorders>
              <w:top w:val="nil"/>
              <w:left w:val="double" w:color="auto" w:sz="6" w:space="0"/>
              <w:bottom w:val="single" w:color="auto" w:sz="4" w:space="0"/>
              <w:right w:val="single" w:color="auto" w:sz="4" w:space="0"/>
            </w:tcBorders>
            <w:vAlign w:val="center"/>
          </w:tcPr>
          <w:p w:rsidRPr="005B6734" w:rsidR="007253C8" w:rsidP="00301BD8" w:rsidRDefault="007253C8" w14:paraId="6C87DE4F" w14:textId="77777777">
            <w:pPr>
              <w:pStyle w:val="TableText"/>
              <w:rPr>
                <w:i/>
                <w:color w:val="000000"/>
              </w:rPr>
            </w:pPr>
            <w:r w:rsidRPr="59165C81">
              <w:rPr>
                <w:i/>
              </w:rPr>
              <w:t>$21,302</w:t>
            </w:r>
          </w:p>
        </w:tc>
        <w:tc>
          <w:tcPr>
            <w:tcW w:w="931" w:type="dxa"/>
            <w:tcBorders>
              <w:top w:val="nil"/>
              <w:left w:val="nil"/>
              <w:bottom w:val="single" w:color="auto" w:sz="4" w:space="0"/>
              <w:right w:val="single" w:color="auto" w:sz="4" w:space="0"/>
            </w:tcBorders>
            <w:vAlign w:val="center"/>
          </w:tcPr>
          <w:p w:rsidRPr="005B6734" w:rsidR="007253C8" w:rsidP="00301BD8" w:rsidRDefault="007253C8" w14:paraId="33687078" w14:textId="77777777">
            <w:pPr>
              <w:pStyle w:val="TableText"/>
              <w:rPr>
                <w:i/>
                <w:color w:val="000000"/>
              </w:rPr>
            </w:pPr>
            <w:r w:rsidRPr="59165C81">
              <w:rPr>
                <w:i/>
              </w:rPr>
              <w:t>$73,363</w:t>
            </w:r>
          </w:p>
        </w:tc>
        <w:tc>
          <w:tcPr>
            <w:tcW w:w="791" w:type="dxa"/>
            <w:tcBorders>
              <w:top w:val="nil"/>
              <w:left w:val="nil"/>
              <w:bottom w:val="single" w:color="auto" w:sz="4" w:space="0"/>
              <w:right w:val="single" w:color="auto" w:sz="4" w:space="0"/>
            </w:tcBorders>
            <w:vAlign w:val="center"/>
          </w:tcPr>
          <w:p w:rsidRPr="005B6734" w:rsidR="007253C8" w:rsidP="00301BD8" w:rsidRDefault="007253C8" w14:paraId="48AF6810" w14:textId="0F462EAF">
            <w:pPr>
              <w:pStyle w:val="TableText"/>
              <w:rPr>
                <w:i/>
                <w:color w:val="000000"/>
              </w:rPr>
            </w:pPr>
            <w:r w:rsidRPr="59165C81">
              <w:rPr>
                <w:i/>
              </w:rPr>
              <w:t>$52,060</w:t>
            </w:r>
          </w:p>
        </w:tc>
      </w:tr>
    </w:tbl>
    <w:p w:rsidR="00142911" w:rsidP="00142911" w:rsidRDefault="00142911" w14:paraId="4DF5F4FA" w14:textId="77777777">
      <w:pPr>
        <w:pStyle w:val="Standard"/>
        <w:ind w:firstLine="0"/>
      </w:pPr>
    </w:p>
    <w:p w:rsidR="004C221D" w:rsidP="00834294" w:rsidRDefault="004C221D" w14:paraId="1AD91DB4" w14:textId="4AB63CB8">
      <w:pPr>
        <w:pStyle w:val="Standard"/>
      </w:pPr>
      <w:r w:rsidRPr="004C221D">
        <w:rPr>
          <w:u w:val="single"/>
        </w:rPr>
        <w:t>Other than the cost categories authorized in SDG&amp;E’s TY 2019 GRC, the Commission finds that the remaining requested costs incurred to implement SDG&amp;E’s WMP were not previously recovered in the last GRC, have not otherwise been authorized for cost recovery, and are incremental and just and reasonable per this proceeding’s record.</w:t>
      </w:r>
    </w:p>
    <w:p w:rsidRPr="00A201D2" w:rsidR="007253C8" w:rsidP="007253C8" w:rsidRDefault="007253C8" w14:paraId="11B38D72" w14:textId="0D4384E3">
      <w:pPr>
        <w:pStyle w:val="Standard"/>
      </w:pPr>
      <w:r>
        <w:t xml:space="preserve">Together, the Distribution Overhead System Hardening (DOSH), </w:t>
      </w:r>
      <w:r w:rsidR="00462A29">
        <w:t>Covered Conductor</w:t>
      </w:r>
      <w:r>
        <w:t xml:space="preserve">, and </w:t>
      </w:r>
      <w:r w:rsidR="00462A29">
        <w:t xml:space="preserve">Strategic Undergrounding </w:t>
      </w:r>
      <w:r>
        <w:t xml:space="preserve">work account for 68% of SDG&amp;E’s combined GD&amp;SH cost recovery request for the 2019–2022 period. As a result, cost recovery for these three requests </w:t>
      </w:r>
      <w:r w:rsidR="008A6CE8">
        <w:t>is</w:t>
      </w:r>
      <w:r>
        <w:t xml:space="preserve"> addressed first.</w:t>
      </w:r>
    </w:p>
    <w:p w:rsidRPr="00A201D2" w:rsidR="007253C8" w:rsidP="007253C8" w:rsidRDefault="007253C8" w14:paraId="3046038A" w14:textId="724DB8D3">
      <w:pPr>
        <w:pStyle w:val="Standard"/>
      </w:pPr>
      <w:r>
        <w:t>As background</w:t>
      </w:r>
      <w:r w:rsidR="002F7910">
        <w:t>,</w:t>
      </w:r>
      <w:r>
        <w:t xml:space="preserve"> the number of miles forecasted, installed, and</w:t>
      </w:r>
      <w:r w:rsidR="002F7910">
        <w:t xml:space="preserve"> </w:t>
      </w:r>
      <w:r>
        <w:t xml:space="preserve">cost </w:t>
      </w:r>
      <w:r w:rsidR="00126064">
        <w:t>for capital an</w:t>
      </w:r>
      <w:r w:rsidR="00FC2514">
        <w:t xml:space="preserve">d some </w:t>
      </w:r>
      <w:r w:rsidR="00126064">
        <w:t xml:space="preserve">O&amp;M </w:t>
      </w:r>
      <w:r>
        <w:t xml:space="preserve">for DOSH, </w:t>
      </w:r>
      <w:r w:rsidR="00462A29">
        <w:t>Covered Conductor</w:t>
      </w:r>
      <w:r>
        <w:t xml:space="preserve">, and </w:t>
      </w:r>
      <w:r w:rsidR="00462A29">
        <w:t xml:space="preserve">Strategic Undergrounding </w:t>
      </w:r>
      <w:r>
        <w:t>for 2019 to 2022 in SDG&amp;E WMPs approved by OEIS and the Commission</w:t>
      </w:r>
      <w:r w:rsidR="002F7910">
        <w:t xml:space="preserve"> are shown below, where available</w:t>
      </w:r>
      <w:r>
        <w:t>.</w:t>
      </w:r>
    </w:p>
    <w:p w:rsidRPr="00A201D2" w:rsidR="007253C8" w:rsidP="007253C8" w:rsidRDefault="007253C8" w14:paraId="090296A9" w14:textId="77777777">
      <w:pPr>
        <w:pStyle w:val="standard0"/>
      </w:pPr>
      <w:r w:rsidRPr="00A201D2">
        <w:t>In 2019:</w:t>
      </w:r>
    </w:p>
    <w:p w:rsidRPr="00DB63A7" w:rsidR="007253C8" w:rsidP="00142911" w:rsidRDefault="007253C8" w14:paraId="435A767C" w14:textId="77777777">
      <w:pPr>
        <w:pStyle w:val="ListBullet"/>
      </w:pPr>
      <w:r>
        <w:t>DOSH: 83 miles hardened.</w:t>
      </w:r>
      <w:r w:rsidRPr="7B393814">
        <w:rPr>
          <w:rStyle w:val="FootnoteReference"/>
        </w:rPr>
        <w:footnoteReference w:id="109"/>
      </w:r>
    </w:p>
    <w:p w:rsidRPr="00DB63A7" w:rsidR="007253C8" w:rsidP="00142911" w:rsidRDefault="00462A29" w14:paraId="00804985" w14:textId="40BB61C2">
      <w:pPr>
        <w:pStyle w:val="ListBullet"/>
      </w:pPr>
      <w:r>
        <w:t>Covered Conductor</w:t>
      </w:r>
      <w:r w:rsidR="007253C8">
        <w:t xml:space="preserve">: zero miles </w:t>
      </w:r>
      <w:r w:rsidRPr="00DB63A7" w:rsidR="007253C8">
        <w:t>installed.</w:t>
      </w:r>
    </w:p>
    <w:p w:rsidRPr="00A201D2" w:rsidR="007253C8" w:rsidP="00142911" w:rsidRDefault="00462A29" w14:paraId="549117F5" w14:textId="2AB877FB">
      <w:pPr>
        <w:pStyle w:val="ListBullet"/>
        <w:ind w:right="2160"/>
      </w:pPr>
      <w:r>
        <w:lastRenderedPageBreak/>
        <w:t>Strategic Undergrounding</w:t>
      </w:r>
      <w:r w:rsidR="007253C8">
        <w:t xml:space="preserve">: </w:t>
      </w:r>
      <w:r w:rsidRPr="00A201D2" w:rsidR="007253C8">
        <w:t xml:space="preserve">an unknown number of miles </w:t>
      </w:r>
      <w:r w:rsidR="007253C8">
        <w:t xml:space="preserve">forecasted </w:t>
      </w:r>
      <w:r w:rsidRPr="00A201D2" w:rsidR="007253C8">
        <w:t>for up to</w:t>
      </w:r>
      <w:r w:rsidR="007253C8">
        <w:t xml:space="preserve"> </w:t>
      </w:r>
      <w:r w:rsidRPr="00A201D2" w:rsidR="007253C8">
        <w:t>$1.8 million</w:t>
      </w:r>
      <w:r w:rsidR="007253C8">
        <w:t>;</w:t>
      </w:r>
      <w:r w:rsidRPr="00A201D2" w:rsidR="007253C8">
        <w:rPr>
          <w:vertAlign w:val="superscript"/>
        </w:rPr>
        <w:footnoteReference w:id="110"/>
      </w:r>
      <w:r w:rsidR="007253C8">
        <w:t xml:space="preserve"> </w:t>
      </w:r>
      <w:r w:rsidRPr="00A201D2" w:rsidR="007253C8">
        <w:t>2.6 miles</w:t>
      </w:r>
      <w:r w:rsidRPr="00A201D2" w:rsidR="007253C8">
        <w:rPr>
          <w:vertAlign w:val="superscript"/>
        </w:rPr>
        <w:footnoteReference w:id="111"/>
      </w:r>
      <w:r w:rsidRPr="00A201D2" w:rsidR="007253C8">
        <w:t xml:space="preserve"> installed for $0.198 million</w:t>
      </w:r>
      <w:r w:rsidRPr="00A201D2" w:rsidR="007253C8">
        <w:rPr>
          <w:vertAlign w:val="superscript"/>
        </w:rPr>
        <w:footnoteReference w:id="112"/>
      </w:r>
      <w:r w:rsidRPr="00A201D2" w:rsidR="007253C8">
        <w:t xml:space="preserve"> </w:t>
      </w:r>
      <w:r w:rsidR="007253C8">
        <w:t xml:space="preserve">(at </w:t>
      </w:r>
      <w:r w:rsidRPr="001738F6" w:rsidR="007253C8">
        <w:t>8</w:t>
      </w:r>
      <w:r w:rsidR="007253C8">
        <w:t>2</w:t>
      </w:r>
      <w:r w:rsidRPr="001738F6" w:rsidR="007253C8">
        <w:t xml:space="preserve">% </w:t>
      </w:r>
      <w:r w:rsidR="007253C8">
        <w:t xml:space="preserve">of the </w:t>
      </w:r>
      <w:r w:rsidRPr="001738F6" w:rsidR="007253C8">
        <w:t>forecast</w:t>
      </w:r>
      <w:r w:rsidR="007253C8">
        <w:t>ed</w:t>
      </w:r>
      <w:r w:rsidRPr="001738F6" w:rsidR="007253C8">
        <w:t xml:space="preserve"> unit cost</w:t>
      </w:r>
      <w:r w:rsidR="007253C8">
        <w:t>)</w:t>
      </w:r>
      <w:r w:rsidRPr="001738F6" w:rsidR="007253C8">
        <w:t>.</w:t>
      </w:r>
    </w:p>
    <w:p w:rsidR="007253C8" w:rsidP="007253C8" w:rsidRDefault="007253C8" w14:paraId="5D50E506" w14:textId="77777777">
      <w:pPr>
        <w:pStyle w:val="Standard"/>
      </w:pPr>
      <w:r w:rsidRPr="00A201D2">
        <w:t>In 2020:</w:t>
      </w:r>
    </w:p>
    <w:p w:rsidR="007253C8" w:rsidP="008C7B3E" w:rsidRDefault="007253C8" w14:paraId="036F0661" w14:textId="211405B9">
      <w:pPr>
        <w:pStyle w:val="ListBullet"/>
        <w:ind w:right="2160"/>
      </w:pPr>
      <w:r>
        <w:t xml:space="preserve">DOSH: 99.5 miles </w:t>
      </w:r>
      <w:r w:rsidRPr="00142911">
        <w:t>hardened</w:t>
      </w:r>
      <w:r>
        <w:t>.</w:t>
      </w:r>
      <w:r w:rsidR="00874D5D">
        <w:rPr>
          <w:rStyle w:val="FootnoteReference"/>
        </w:rPr>
        <w:footnoteReference w:id="113"/>
      </w:r>
    </w:p>
    <w:p w:rsidR="007253C8" w:rsidP="008C7B3E" w:rsidRDefault="00462A29" w14:paraId="555459A1" w14:textId="6FDC156D">
      <w:pPr>
        <w:pStyle w:val="ListBullet"/>
        <w:ind w:right="2160"/>
      </w:pPr>
      <w:r>
        <w:t>Covered Conductor</w:t>
      </w:r>
      <w:r w:rsidR="007253C8">
        <w:t xml:space="preserve">: </w:t>
      </w:r>
      <w:r w:rsidRPr="00A201D2" w:rsidR="007253C8">
        <w:t xml:space="preserve">1.2 miles </w:t>
      </w:r>
      <w:r w:rsidR="007253C8">
        <w:t xml:space="preserve">forecasted </w:t>
      </w:r>
      <w:r w:rsidRPr="00A201D2" w:rsidR="007253C8">
        <w:t>for $1.285</w:t>
      </w:r>
      <w:r w:rsidR="00645D8D">
        <w:t xml:space="preserve"> million</w:t>
      </w:r>
      <w:r w:rsidRPr="00A201D2" w:rsidR="007253C8">
        <w:t>, for a unit cost of $1.071 million per mile.</w:t>
      </w:r>
      <w:r w:rsidR="00874D5D">
        <w:rPr>
          <w:rStyle w:val="FootnoteReference"/>
        </w:rPr>
        <w:footnoteReference w:id="114"/>
      </w:r>
      <w:r w:rsidR="0025071E">
        <w:t xml:space="preserve"> </w:t>
      </w:r>
      <w:r w:rsidRPr="00A201D2" w:rsidR="007253C8">
        <w:t>1.9 miles installed for $2.134 million, for a unit cost of $1.123</w:t>
      </w:r>
      <w:r w:rsidR="00A12342">
        <w:t xml:space="preserve"> million</w:t>
      </w:r>
      <w:r w:rsidRPr="00A201D2" w:rsidR="007253C8">
        <w:t xml:space="preserve"> per mile</w:t>
      </w:r>
      <w:r w:rsidR="00874D5D">
        <w:rPr>
          <w:rStyle w:val="FootnoteReference"/>
        </w:rPr>
        <w:footnoteReference w:id="115"/>
      </w:r>
      <w:r w:rsidR="0025071E">
        <w:t xml:space="preserve"> </w:t>
      </w:r>
      <w:r w:rsidR="007253C8">
        <w:t>(</w:t>
      </w:r>
      <w:r w:rsidRPr="001738F6" w:rsidR="007253C8">
        <w:t xml:space="preserve">58% more miles </w:t>
      </w:r>
      <w:r w:rsidR="007253C8">
        <w:t xml:space="preserve">undergrounded </w:t>
      </w:r>
      <w:r w:rsidRPr="001738F6" w:rsidR="007253C8">
        <w:t>for 66% more money</w:t>
      </w:r>
      <w:r w:rsidR="007253C8">
        <w:t xml:space="preserve"> at a </w:t>
      </w:r>
      <w:r w:rsidRPr="001738F6" w:rsidR="007253C8">
        <w:t xml:space="preserve">unit cost </w:t>
      </w:r>
      <w:r w:rsidR="007253C8">
        <w:t>of 105</w:t>
      </w:r>
      <w:r w:rsidRPr="001738F6" w:rsidR="007253C8">
        <w:t>%</w:t>
      </w:r>
      <w:r w:rsidR="007253C8">
        <w:t>)</w:t>
      </w:r>
    </w:p>
    <w:p w:rsidRPr="00A201D2" w:rsidR="007253C8" w:rsidP="008C7B3E" w:rsidRDefault="00462A29" w14:paraId="1FFF5DA4" w14:textId="6149EAD2">
      <w:pPr>
        <w:pStyle w:val="ListBullet"/>
        <w:ind w:right="2160"/>
      </w:pPr>
      <w:r>
        <w:t>Strategic Undergrounding</w:t>
      </w:r>
      <w:r w:rsidR="007253C8">
        <w:t>: 8 to 25 miles forecasted;</w:t>
      </w:r>
      <w:r w:rsidRPr="00645333" w:rsidR="00874D5D">
        <w:rPr>
          <w:rStyle w:val="FootnoteReference"/>
        </w:rPr>
        <w:footnoteReference w:id="116"/>
      </w:r>
      <w:r w:rsidR="0025071E">
        <w:t xml:space="preserve"> </w:t>
      </w:r>
      <w:r w:rsidRPr="00A201D2" w:rsidR="007253C8">
        <w:t xml:space="preserve">15.5 miles </w:t>
      </w:r>
      <w:r w:rsidR="007253C8">
        <w:t>installed</w:t>
      </w:r>
      <w:r w:rsidRPr="00A201D2" w:rsidR="007253C8">
        <w:t xml:space="preserve"> for $39.293 million, for a unit cost </w:t>
      </w:r>
      <w:r w:rsidRPr="00142911" w:rsidR="007253C8">
        <w:t>of</w:t>
      </w:r>
      <w:r w:rsidRPr="00A201D2" w:rsidR="007253C8">
        <w:t xml:space="preserve"> $2.535 million per mile</w:t>
      </w:r>
      <w:r w:rsidR="007253C8">
        <w:t>.</w:t>
      </w:r>
      <w:r w:rsidR="00874D5D">
        <w:rPr>
          <w:rStyle w:val="FootnoteReference"/>
        </w:rPr>
        <w:footnoteReference w:id="117"/>
      </w:r>
    </w:p>
    <w:p w:rsidR="007253C8" w:rsidP="007253C8" w:rsidRDefault="007253C8" w14:paraId="22B8227D" w14:textId="77777777">
      <w:pPr>
        <w:pStyle w:val="standard0"/>
      </w:pPr>
      <w:r w:rsidRPr="00A201D2">
        <w:t>In 2021:</w:t>
      </w:r>
    </w:p>
    <w:p w:rsidR="007253C8" w:rsidP="00142911" w:rsidRDefault="007253C8" w14:paraId="0D0FDAF2" w14:textId="61913CAE">
      <w:pPr>
        <w:pStyle w:val="ListBullet"/>
        <w:ind w:right="2160"/>
      </w:pPr>
      <w:r>
        <w:t>DOSH: 123 miles hardened.</w:t>
      </w:r>
      <w:r w:rsidR="00874D5D">
        <w:rPr>
          <w:rStyle w:val="FootnoteReference"/>
        </w:rPr>
        <w:footnoteReference w:id="118"/>
      </w:r>
    </w:p>
    <w:p w:rsidR="007253C8" w:rsidP="00142911" w:rsidRDefault="00462A29" w14:paraId="344F3EF8" w14:textId="037D455D">
      <w:pPr>
        <w:pStyle w:val="ListBullet"/>
        <w:ind w:right="2160"/>
      </w:pPr>
      <w:r>
        <w:t>Covered Conductor</w:t>
      </w:r>
      <w:r w:rsidR="007253C8">
        <w:t xml:space="preserve">: 20 miles forecasted for $56.500 million, at a unit cost of $2.825 million per mile; 20 miles installed for $40.155 million, at a unit cost of $2.008 million </w:t>
      </w:r>
      <w:r w:rsidR="007253C8">
        <w:lastRenderedPageBreak/>
        <w:t>per mile (100% of forecast installed at 71% of its forecasted cost, and at 71% of the forecasted unit cost).</w:t>
      </w:r>
    </w:p>
    <w:p w:rsidR="007253C8" w:rsidP="00142911" w:rsidRDefault="00462A29" w14:paraId="5F2F8DC1" w14:textId="03948A36">
      <w:pPr>
        <w:pStyle w:val="ListBullet"/>
        <w:ind w:right="2160"/>
      </w:pPr>
      <w:r>
        <w:t>Strategic Undergrounding</w:t>
      </w:r>
      <w:r w:rsidR="007253C8">
        <w:t xml:space="preserve">: </w:t>
      </w:r>
      <w:r w:rsidRPr="00A201D2" w:rsidR="007253C8">
        <w:t xml:space="preserve">25 miles </w:t>
      </w:r>
      <w:r w:rsidR="007253C8">
        <w:t xml:space="preserve">forecasted </w:t>
      </w:r>
      <w:r w:rsidRPr="00A201D2" w:rsidR="007253C8">
        <w:t>for $123.383</w:t>
      </w:r>
      <w:r w:rsidR="007253C8">
        <w:t xml:space="preserve"> million</w:t>
      </w:r>
      <w:r w:rsidRPr="00A201D2" w:rsidR="007253C8">
        <w:t xml:space="preserve">, </w:t>
      </w:r>
      <w:r w:rsidR="007253C8">
        <w:t xml:space="preserve">at </w:t>
      </w:r>
      <w:r w:rsidRPr="00A201D2" w:rsidR="007253C8">
        <w:t>a unit cost of $4.935</w:t>
      </w:r>
      <w:r w:rsidR="007253C8">
        <w:t xml:space="preserve"> million</w:t>
      </w:r>
      <w:r w:rsidRPr="00A201D2" w:rsidR="007253C8">
        <w:t xml:space="preserve"> per </w:t>
      </w:r>
      <w:r w:rsidRPr="00142911" w:rsidR="007253C8">
        <w:t>mile</w:t>
      </w:r>
      <w:r w:rsidR="007253C8">
        <w:t>;</w:t>
      </w:r>
      <w:r w:rsidR="00874D5D">
        <w:rPr>
          <w:rStyle w:val="FootnoteReference"/>
        </w:rPr>
        <w:footnoteReference w:id="119"/>
      </w:r>
      <w:r w:rsidR="0025071E">
        <w:t xml:space="preserve"> </w:t>
      </w:r>
      <w:r w:rsidRPr="00A201D2" w:rsidR="007253C8">
        <w:t xml:space="preserve">26 miles </w:t>
      </w:r>
      <w:r w:rsidR="007253C8">
        <w:t xml:space="preserve">undergrounded </w:t>
      </w:r>
      <w:r w:rsidRPr="00A201D2" w:rsidR="007253C8">
        <w:t>for $70.534</w:t>
      </w:r>
      <w:r w:rsidR="007253C8">
        <w:t xml:space="preserve"> million, at </w:t>
      </w:r>
      <w:r w:rsidRPr="00A201D2" w:rsidR="007253C8">
        <w:t>a unit cost of $2.713</w:t>
      </w:r>
      <w:r w:rsidR="007253C8">
        <w:t xml:space="preserve"> million</w:t>
      </w:r>
      <w:r w:rsidRPr="00A201D2" w:rsidR="007253C8">
        <w:t xml:space="preserve"> per mile</w:t>
      </w:r>
      <w:r w:rsidRPr="00A201D2" w:rsidR="007253C8">
        <w:rPr>
          <w:vertAlign w:val="superscript"/>
        </w:rPr>
        <w:footnoteReference w:id="120"/>
      </w:r>
      <w:r w:rsidR="007253C8">
        <w:t xml:space="preserve"> (104</w:t>
      </w:r>
      <w:r w:rsidRPr="001738F6" w:rsidR="007253C8">
        <w:t xml:space="preserve">% </w:t>
      </w:r>
      <w:r w:rsidR="007253C8">
        <w:t>undergrounded for 57</w:t>
      </w:r>
      <w:r w:rsidRPr="001738F6" w:rsidR="007253C8">
        <w:t xml:space="preserve">% </w:t>
      </w:r>
      <w:r w:rsidR="007253C8">
        <w:t xml:space="preserve">of the </w:t>
      </w:r>
      <w:r w:rsidR="00B206C0">
        <w:t xml:space="preserve">forecasted </w:t>
      </w:r>
      <w:r w:rsidR="007253C8">
        <w:t>cost</w:t>
      </w:r>
      <w:r w:rsidR="003D5822">
        <w:t>, and</w:t>
      </w:r>
      <w:r w:rsidR="007253C8">
        <w:t xml:space="preserve"> at 5</w:t>
      </w:r>
      <w:r w:rsidRPr="001738F6" w:rsidR="007253C8">
        <w:t xml:space="preserve">5% </w:t>
      </w:r>
      <w:r w:rsidR="007253C8">
        <w:t xml:space="preserve">of the forecasted </w:t>
      </w:r>
      <w:r w:rsidRPr="001738F6" w:rsidR="007253C8">
        <w:t>unit cost</w:t>
      </w:r>
      <w:r w:rsidR="007253C8">
        <w:t>).</w:t>
      </w:r>
    </w:p>
    <w:p w:rsidRPr="00A201D2" w:rsidR="007253C8" w:rsidP="007253C8" w:rsidRDefault="007253C8" w14:paraId="3E5E00E7" w14:textId="77777777">
      <w:pPr>
        <w:pStyle w:val="standard0"/>
      </w:pPr>
      <w:r w:rsidRPr="00A201D2">
        <w:t>In 2022</w:t>
      </w:r>
      <w:r>
        <w:t>:</w:t>
      </w:r>
    </w:p>
    <w:p w:rsidR="007253C8" w:rsidP="00142911" w:rsidRDefault="007253C8" w14:paraId="375564F3" w14:textId="730180D0">
      <w:pPr>
        <w:pStyle w:val="ListBullet"/>
        <w:ind w:right="2160"/>
      </w:pPr>
      <w:r>
        <w:t xml:space="preserve">DOSH: 60 miles </w:t>
      </w:r>
      <w:r w:rsidRPr="00142911">
        <w:t>hardened</w:t>
      </w:r>
      <w:r>
        <w:t>.</w:t>
      </w:r>
      <w:r w:rsidR="00874D5D">
        <w:rPr>
          <w:rStyle w:val="FootnoteReference"/>
        </w:rPr>
        <w:footnoteReference w:id="121"/>
      </w:r>
    </w:p>
    <w:p w:rsidRPr="00E536AC" w:rsidR="007253C8" w:rsidP="00142911" w:rsidRDefault="00462A29" w14:paraId="620E9F9C" w14:textId="01DF9F72">
      <w:pPr>
        <w:pStyle w:val="ListBullet"/>
        <w:ind w:right="2160"/>
      </w:pPr>
      <w:r>
        <w:t>Covered Conductor</w:t>
      </w:r>
      <w:r w:rsidR="007253C8">
        <w:t xml:space="preserve">: </w:t>
      </w:r>
      <w:r w:rsidRPr="00E536AC" w:rsidR="007253C8">
        <w:t xml:space="preserve">60 miles </w:t>
      </w:r>
      <w:r w:rsidR="007253C8">
        <w:t xml:space="preserve">forecasted </w:t>
      </w:r>
      <w:r w:rsidRPr="00E536AC" w:rsidR="007253C8">
        <w:t>for $125.237</w:t>
      </w:r>
      <w:r w:rsidR="007253C8">
        <w:t xml:space="preserve"> million</w:t>
      </w:r>
      <w:r w:rsidRPr="00E536AC" w:rsidR="007253C8">
        <w:t xml:space="preserve">, </w:t>
      </w:r>
      <w:r w:rsidR="007253C8">
        <w:t xml:space="preserve">at </w:t>
      </w:r>
      <w:r w:rsidRPr="00E536AC" w:rsidR="007253C8">
        <w:t>a unit cost of $2.087</w:t>
      </w:r>
      <w:r w:rsidR="007253C8">
        <w:t xml:space="preserve"> million</w:t>
      </w:r>
      <w:r w:rsidRPr="00E536AC" w:rsidR="007253C8">
        <w:t xml:space="preserve"> per mile</w:t>
      </w:r>
      <w:r w:rsidR="007253C8">
        <w:t>;</w:t>
      </w:r>
      <w:r w:rsidR="00874D5D">
        <w:rPr>
          <w:rStyle w:val="FootnoteReference"/>
        </w:rPr>
        <w:footnoteReference w:id="122"/>
      </w:r>
      <w:r w:rsidR="0025071E">
        <w:t xml:space="preserve"> </w:t>
      </w:r>
      <w:r w:rsidRPr="00A201D2" w:rsidR="007253C8">
        <w:t xml:space="preserve">61.2 miles of </w:t>
      </w:r>
      <w:r>
        <w:t>Covered Conductor</w:t>
      </w:r>
      <w:r w:rsidDel="008E1714" w:rsidR="007253C8">
        <w:t xml:space="preserve"> </w:t>
      </w:r>
      <w:r w:rsidRPr="00A201D2" w:rsidR="007253C8">
        <w:t>installed for $96.482</w:t>
      </w:r>
      <w:r w:rsidR="007253C8">
        <w:t xml:space="preserve"> million</w:t>
      </w:r>
      <w:r w:rsidRPr="00A201D2" w:rsidR="007253C8">
        <w:t xml:space="preserve">, </w:t>
      </w:r>
      <w:r w:rsidR="007253C8">
        <w:t xml:space="preserve">at </w:t>
      </w:r>
      <w:r w:rsidRPr="00A201D2" w:rsidR="007253C8">
        <w:t>a unit cost of $1.577</w:t>
      </w:r>
      <w:r w:rsidR="007253C8">
        <w:t xml:space="preserve"> million</w:t>
      </w:r>
      <w:r w:rsidRPr="00A201D2" w:rsidR="007253C8">
        <w:t xml:space="preserve"> per mile</w:t>
      </w:r>
      <w:r w:rsidR="00874D5D">
        <w:rPr>
          <w:rStyle w:val="FootnoteReference"/>
        </w:rPr>
        <w:footnoteReference w:id="123"/>
      </w:r>
      <w:r w:rsidR="0025071E">
        <w:t xml:space="preserve"> </w:t>
      </w:r>
      <w:r w:rsidR="007253C8">
        <w:t>(</w:t>
      </w:r>
      <w:r w:rsidR="0025071E">
        <w:t>10</w:t>
      </w:r>
      <w:r w:rsidRPr="00E536AC" w:rsidR="007253C8">
        <w:t xml:space="preserve">2% </w:t>
      </w:r>
      <w:r w:rsidR="0025071E">
        <w:t>of forecasted</w:t>
      </w:r>
      <w:r w:rsidRPr="00E536AC" w:rsidR="0025071E">
        <w:t xml:space="preserve"> </w:t>
      </w:r>
      <w:r w:rsidRPr="00E536AC" w:rsidR="007253C8">
        <w:t xml:space="preserve">miles </w:t>
      </w:r>
      <w:r w:rsidR="007253C8">
        <w:t xml:space="preserve">installed </w:t>
      </w:r>
      <w:r w:rsidRPr="00E536AC" w:rsidR="007253C8">
        <w:t>for 23% less money</w:t>
      </w:r>
      <w:r w:rsidR="007253C8">
        <w:t xml:space="preserve"> at 76% of the </w:t>
      </w:r>
      <w:r w:rsidRPr="00E536AC" w:rsidR="007253C8">
        <w:t>forecast</w:t>
      </w:r>
      <w:r w:rsidR="007253C8">
        <w:t>ed</w:t>
      </w:r>
      <w:r w:rsidRPr="00E536AC" w:rsidR="007253C8">
        <w:t xml:space="preserve"> unit cost</w:t>
      </w:r>
      <w:r w:rsidR="007253C8">
        <w:t>)</w:t>
      </w:r>
      <w:r w:rsidRPr="00E536AC" w:rsidR="007253C8">
        <w:t>.</w:t>
      </w:r>
    </w:p>
    <w:p w:rsidR="007253C8" w:rsidP="00142911" w:rsidRDefault="00462A29" w14:paraId="660DFBA3" w14:textId="0FA97FBD">
      <w:pPr>
        <w:pStyle w:val="ListBullet"/>
        <w:ind w:right="2160"/>
      </w:pPr>
      <w:r>
        <w:t>Strategic Undergrounding</w:t>
      </w:r>
      <w:r w:rsidR="007253C8">
        <w:t xml:space="preserve">: </w:t>
      </w:r>
      <w:r w:rsidRPr="00A201D2" w:rsidR="007253C8">
        <w:t xml:space="preserve">65 miles </w:t>
      </w:r>
      <w:r w:rsidR="007253C8">
        <w:t xml:space="preserve">forecasted </w:t>
      </w:r>
      <w:r w:rsidRPr="00A201D2" w:rsidR="007253C8">
        <w:t>for $189.89</w:t>
      </w:r>
      <w:r w:rsidR="007253C8">
        <w:t>4 million</w:t>
      </w:r>
      <w:r w:rsidRPr="00A201D2" w:rsidR="007253C8">
        <w:t>, a</w:t>
      </w:r>
      <w:r w:rsidR="007253C8">
        <w:t>t</w:t>
      </w:r>
      <w:r w:rsidRPr="00A201D2" w:rsidR="007253C8">
        <w:t xml:space="preserve"> </w:t>
      </w:r>
      <w:r w:rsidR="003D5822">
        <w:t xml:space="preserve">a </w:t>
      </w:r>
      <w:r w:rsidRPr="00A201D2" w:rsidR="007253C8">
        <w:t>unit cost of $2.921</w:t>
      </w:r>
      <w:r w:rsidR="007253C8">
        <w:t xml:space="preserve"> million</w:t>
      </w:r>
      <w:r w:rsidRPr="00A201D2" w:rsidR="007253C8">
        <w:t xml:space="preserve"> per mile</w:t>
      </w:r>
      <w:r w:rsidR="007253C8">
        <w:t>;</w:t>
      </w:r>
      <w:r w:rsidR="00874D5D">
        <w:rPr>
          <w:rStyle w:val="FootnoteReference"/>
        </w:rPr>
        <w:footnoteReference w:id="124"/>
      </w:r>
      <w:r w:rsidR="0025071E">
        <w:t xml:space="preserve"> </w:t>
      </w:r>
      <w:r w:rsidRPr="00A201D2" w:rsidR="007253C8">
        <w:t>65 miles undergrounded for $131.384</w:t>
      </w:r>
      <w:r w:rsidR="007253C8">
        <w:t xml:space="preserve"> million</w:t>
      </w:r>
      <w:r w:rsidRPr="00A201D2" w:rsidR="007253C8">
        <w:t xml:space="preserve">, </w:t>
      </w:r>
      <w:r w:rsidR="007253C8">
        <w:t xml:space="preserve">at </w:t>
      </w:r>
      <w:r w:rsidRPr="00A201D2" w:rsidR="007253C8">
        <w:t>a unit cost of $2.021</w:t>
      </w:r>
      <w:r w:rsidR="007253C8">
        <w:t xml:space="preserve"> million</w:t>
      </w:r>
      <w:r w:rsidRPr="00A201D2" w:rsidR="007253C8">
        <w:t xml:space="preserve"> per mile</w:t>
      </w:r>
      <w:r w:rsidR="00874D5D">
        <w:rPr>
          <w:rStyle w:val="FootnoteReference"/>
        </w:rPr>
        <w:footnoteReference w:id="125"/>
      </w:r>
      <w:r w:rsidR="0025071E">
        <w:t xml:space="preserve"> </w:t>
      </w:r>
      <w:r w:rsidR="007253C8">
        <w:t>(</w:t>
      </w:r>
      <w:r w:rsidRPr="00A201D2" w:rsidR="007253C8">
        <w:t>100% of forecast</w:t>
      </w:r>
      <w:r w:rsidR="007253C8">
        <w:t>ed</w:t>
      </w:r>
      <w:r w:rsidRPr="00A201D2" w:rsidR="007253C8">
        <w:t xml:space="preserve"> miles </w:t>
      </w:r>
      <w:r w:rsidR="007253C8">
        <w:t xml:space="preserve">undergrounded </w:t>
      </w:r>
      <w:r w:rsidRPr="00A201D2" w:rsidR="007253C8">
        <w:t>at 69%</w:t>
      </w:r>
      <w:r w:rsidR="003D5822">
        <w:t xml:space="preserve"> of</w:t>
      </w:r>
      <w:r w:rsidRPr="00A201D2" w:rsidR="007253C8">
        <w:t xml:space="preserve"> its forecast</w:t>
      </w:r>
      <w:r w:rsidR="003D5822">
        <w:t>ed</w:t>
      </w:r>
      <w:r w:rsidRPr="00A201D2" w:rsidR="007253C8">
        <w:t xml:space="preserve"> cost,</w:t>
      </w:r>
      <w:r w:rsidR="007253C8">
        <w:t xml:space="preserve"> </w:t>
      </w:r>
      <w:r w:rsidR="003D5822">
        <w:t xml:space="preserve">and </w:t>
      </w:r>
      <w:r w:rsidR="007253C8">
        <w:t xml:space="preserve">at 69% of the </w:t>
      </w:r>
      <w:r w:rsidR="003D5822">
        <w:t xml:space="preserve">forecasted </w:t>
      </w:r>
      <w:r w:rsidR="007253C8">
        <w:t>uni</w:t>
      </w:r>
      <w:r w:rsidRPr="00A201D2" w:rsidR="007253C8">
        <w:t>t cost</w:t>
      </w:r>
      <w:r w:rsidR="007253C8">
        <w:t>).</w:t>
      </w:r>
    </w:p>
    <w:p w:rsidRPr="00457AC8" w:rsidR="007253C8" w:rsidP="00645333" w:rsidRDefault="007253C8" w14:paraId="417B7F7F" w14:textId="729150A6">
      <w:pPr>
        <w:pStyle w:val="Heading2"/>
      </w:pPr>
      <w:bookmarkStart w:name="_Toc213312261" w:id="34"/>
      <w:r w:rsidRPr="69D97568">
        <w:t>Distribution Overhead System Hardening</w:t>
      </w:r>
      <w:r w:rsidR="002E212A">
        <w:t xml:space="preserve"> Capital</w:t>
      </w:r>
      <w:bookmarkEnd w:id="34"/>
    </w:p>
    <w:p w:rsidRPr="00E93DE7" w:rsidR="007253C8" w:rsidP="007253C8" w:rsidRDefault="007253C8" w14:paraId="39D6F877" w14:textId="2A783EDA">
      <w:pPr>
        <w:pStyle w:val="Standard"/>
      </w:pPr>
      <w:r>
        <w:t>SDG&amp;E seeks recovery of $97.139 million (in capital) for DOSH recorded in WMPMA as incremental to already approved funds.</w:t>
      </w:r>
      <w:r>
        <w:rPr>
          <w:rStyle w:val="FootnoteReference"/>
        </w:rPr>
        <w:footnoteReference w:id="126"/>
      </w:r>
      <w:r>
        <w:t xml:space="preserve"> For the reasons stated </w:t>
      </w:r>
      <w:r>
        <w:lastRenderedPageBreak/>
        <w:t xml:space="preserve">below we find SDG&amp;E’s request to be just, reasonable, and incremental and </w:t>
      </w:r>
      <w:r w:rsidRPr="00BC67B2">
        <w:t xml:space="preserve">initially </w:t>
      </w:r>
      <w:r>
        <w:t>authorize SDG&amp;E’s request of $97.139 million in capital</w:t>
      </w:r>
      <w:r w:rsidR="00916A4D">
        <w:t>,</w:t>
      </w:r>
      <w:r>
        <w:t xml:space="preserve"> subject to direct cost reductions in Section 13.</w:t>
      </w:r>
    </w:p>
    <w:p w:rsidRPr="00E93DE7" w:rsidR="007253C8" w:rsidP="007253C8" w:rsidRDefault="007253C8" w14:paraId="0706B218" w14:textId="0D943BD8">
      <w:pPr>
        <w:pStyle w:val="Standard"/>
      </w:pPr>
      <w:r>
        <w:t xml:space="preserve">SDG&amp;E’s DOSH program combines SDG&amp;E’s overhead hardening programs based on specific wire, or at-risk poles, with execution of projects based on a circuit-by-circuit approach that weighed risk inputs alongside the need to reduce PSPS impacts. SDG&amp;E estimates that this program </w:t>
      </w:r>
      <w:r w:rsidRPr="00B76184" w:rsidR="00B76184">
        <w:t xml:space="preserve">reduced </w:t>
      </w:r>
      <w:r w:rsidR="00B76184">
        <w:t xml:space="preserve">ignitions </w:t>
      </w:r>
      <w:r w:rsidRPr="00B76184" w:rsidR="00B76184">
        <w:t>in HFTD</w:t>
      </w:r>
      <w:r w:rsidR="00B76184">
        <w:t xml:space="preserve">s by </w:t>
      </w:r>
      <w:r>
        <w:t>0.69 ignitions over the 2019</w:t>
      </w:r>
      <w:r w:rsidR="00BF02FA">
        <w:t>–</w:t>
      </w:r>
      <w:r>
        <w:t>2022 period.</w:t>
      </w:r>
      <w:r w:rsidRPr="3CB917D8">
        <w:rPr>
          <w:rStyle w:val="FootnoteReference"/>
        </w:rPr>
        <w:footnoteReference w:id="127"/>
      </w:r>
    </w:p>
    <w:p w:rsidR="007253C8" w:rsidP="007253C8" w:rsidRDefault="007253C8" w14:paraId="26EAF36D" w14:textId="7AF481EC">
      <w:pPr>
        <w:pStyle w:val="Standard"/>
      </w:pPr>
      <w:r>
        <w:t xml:space="preserve">The </w:t>
      </w:r>
      <w:r w:rsidDel="6FB22B55">
        <w:t xml:space="preserve">traditional </w:t>
      </w:r>
      <w:r>
        <w:t xml:space="preserve">overhead hardening of distribution lines focuses on </w:t>
      </w:r>
      <w:r w:rsidRPr="00E93DE7">
        <w:t xml:space="preserve">replacing older bare conductor with a new, stronger bare conductor consisting of Aluminum Core Steel Reinforced or Aluminum Wire Aluminum Core. Other activities are performed simultaneously and may include: replacing wood poles </w:t>
      </w:r>
      <w:r>
        <w:t xml:space="preserve">with </w:t>
      </w:r>
      <w:r w:rsidRPr="00E93DE7">
        <w:t>steel; replacing wood crossarms with fiberglass; replacing insulators with new polymer insulators; replacing guys and anchors; replacing aged or open wire secondary; replacing aged switches, transformers, regulators, and fuses; replac</w:t>
      </w:r>
      <w:r w:rsidR="0076717A">
        <w:t>ing</w:t>
      </w:r>
      <w:r w:rsidRPr="00E93DE7">
        <w:t xml:space="preserve"> a small section of underground related to riser poles; and</w:t>
      </w:r>
      <w:r>
        <w:t>,</w:t>
      </w:r>
      <w:r w:rsidRPr="00E93DE7">
        <w:t xml:space="preserve"> in some cases, permanent removal of poles, wires, equipment, guys, and anchors. </w:t>
      </w:r>
      <w:r w:rsidRPr="00D74378">
        <w:t xml:space="preserve">Additionally, SDG&amp;E has implemented breakaway technology when overhead service wire is required for a customer. This allows the service wire to disconnect from power when struck by debris and the span of overhead wire to break free and deenergize. This technology is a useful alternative when customers raise concerns about </w:t>
      </w:r>
      <w:r w:rsidR="00462A29">
        <w:t xml:space="preserve">Strategic Undergrounding </w:t>
      </w:r>
      <w:r w:rsidRPr="00D74378">
        <w:t>or SDG&amp;E encounters difficulties physically</w:t>
      </w:r>
      <w:r w:rsidR="00271750">
        <w:t xml:space="preserve"> pursuing</w:t>
      </w:r>
      <w:r w:rsidRPr="00D74378">
        <w:t xml:space="preserve"> </w:t>
      </w:r>
      <w:r w:rsidR="00462A29">
        <w:t xml:space="preserve">Strategic Undergrounding </w:t>
      </w:r>
      <w:r w:rsidR="00271750">
        <w:t>for</w:t>
      </w:r>
      <w:r w:rsidRPr="00D74378">
        <w:t xml:space="preserve"> some routes.</w:t>
      </w:r>
      <w:r>
        <w:rPr>
          <w:rStyle w:val="FootnoteReference"/>
        </w:rPr>
        <w:footnoteReference w:id="128"/>
      </w:r>
    </w:p>
    <w:p w:rsidR="007253C8" w:rsidP="007253C8" w:rsidRDefault="007253C8" w14:paraId="1E8952A0" w14:textId="0AC88598">
      <w:pPr>
        <w:pStyle w:val="Standard"/>
      </w:pPr>
      <w:r w:rsidRPr="00B96055">
        <w:lastRenderedPageBreak/>
        <w:t>In SDG&amp;E’s 2019 Test Year GRC, the Commission authorized $</w:t>
      </w:r>
      <w:r>
        <w:t xml:space="preserve">283.660 </w:t>
      </w:r>
      <w:r w:rsidRPr="00B96055">
        <w:t xml:space="preserve">million </w:t>
      </w:r>
      <w:r>
        <w:t>for capital expenditures and $21.302 million for O&amp;M</w:t>
      </w:r>
      <w:r w:rsidR="0076717A">
        <w:t xml:space="preserve"> for DOSH</w:t>
      </w:r>
      <w:r w:rsidRPr="00B96055">
        <w:t>.</w:t>
      </w:r>
      <w:r>
        <w:t xml:space="preserve"> Based on SDG&amp;E</w:t>
      </w:r>
      <w:r w:rsidR="007051F3">
        <w:t>’</w:t>
      </w:r>
      <w:r>
        <w:t xml:space="preserve">s actual costs for 346.1 miles of DOSH, SDG&amp;E requests recovery of </w:t>
      </w:r>
      <w:r w:rsidRPr="00E15FA7">
        <w:t>$97</w:t>
      </w:r>
      <w:r>
        <w:t>.</w:t>
      </w:r>
      <w:r w:rsidRPr="00E15FA7">
        <w:t>139</w:t>
      </w:r>
      <w:r>
        <w:t xml:space="preserve"> million in capital expenditures. No recovery is requested for O&amp;M expenses due to underspending in this category, which will offset cost recovery for other O&amp;M expenses.</w:t>
      </w:r>
      <w:r>
        <w:rPr>
          <w:rStyle w:val="FootnoteReference"/>
        </w:rPr>
        <w:footnoteReference w:id="129"/>
      </w:r>
    </w:p>
    <w:p w:rsidRPr="00800F5E" w:rsidR="007253C8" w:rsidP="007253C8" w:rsidRDefault="1BFE1C55" w14:paraId="1F220B33" w14:textId="77777777">
      <w:pPr>
        <w:pStyle w:val="Standard"/>
      </w:pPr>
      <w:r>
        <w:t xml:space="preserve"> </w:t>
      </w:r>
      <w:r w:rsidRPr="008D4A50">
        <w:t xml:space="preserve">PCF argues against authorizing cost recovery for SDG&amp;E’s </w:t>
      </w:r>
      <w:r>
        <w:t>DOSH</w:t>
      </w:r>
      <w:r w:rsidRPr="008D4A50">
        <w:t xml:space="preserve"> program, including replacing wood poles with steel poles, </w:t>
      </w:r>
      <w:r>
        <w:t xml:space="preserve">because PCF argues that the program </w:t>
      </w:r>
      <w:r w:rsidRPr="008D4A50">
        <w:t xml:space="preserve">provided </w:t>
      </w:r>
      <w:r>
        <w:t xml:space="preserve">an </w:t>
      </w:r>
      <w:r w:rsidRPr="008D4A50">
        <w:t>insufficient benefit. More specifically, PCF argues that an estimated amount of $567 million per ignition reduced or avoided in 2019</w:t>
      </w:r>
      <w:r>
        <w:t>–20</w:t>
      </w:r>
      <w:r w:rsidRPr="008D4A50">
        <w:t xml:space="preserve">22 is </w:t>
      </w:r>
      <w:r>
        <w:t>not cost-effective</w:t>
      </w:r>
      <w:r w:rsidRPr="008D4A50">
        <w:t xml:space="preserve"> and that SDG&amp;E provided insufficient support for replacing wood poles with steel.</w:t>
      </w:r>
      <w:r w:rsidRPr="008D4A50" w:rsidR="007253C8">
        <w:rPr>
          <w:vertAlign w:val="superscript"/>
        </w:rPr>
        <w:footnoteReference w:id="130"/>
      </w:r>
      <w:r w:rsidRPr="008D4A50">
        <w:t xml:space="preserve"> In addition, PCF argues that it would have been more cost-effective to equip customers with Behind-the-Meter Solar Plus Storage systems to enable shutdown of the existing grid as needed without impacting customer electricity supply reliability.</w:t>
      </w:r>
      <w:r w:rsidRPr="008D4A50" w:rsidR="007253C8">
        <w:rPr>
          <w:vertAlign w:val="superscript"/>
        </w:rPr>
        <w:footnoteReference w:id="131"/>
      </w:r>
      <w:r w:rsidDel="00DE5147">
        <w:t xml:space="preserve"> </w:t>
      </w:r>
      <w:r w:rsidR="007253C8">
        <w:tab/>
      </w:r>
    </w:p>
    <w:p w:rsidRPr="00800F5E" w:rsidR="007253C8" w:rsidP="007253C8" w:rsidRDefault="1BFE1C55" w14:paraId="1533762E" w14:textId="77777777">
      <w:pPr>
        <w:pStyle w:val="Standard"/>
      </w:pPr>
      <w:r>
        <w:t xml:space="preserve">Cal Advocates recommends </w:t>
      </w:r>
      <w:r w:rsidRPr="00072A2F">
        <w:t>that the Commission remove costs incurred for work outside of Tier 2 and Tier 3 HFTD</w:t>
      </w:r>
      <w:r>
        <w:t>s</w:t>
      </w:r>
      <w:r w:rsidRPr="00072A2F">
        <w:t xml:space="preserve"> from the WMPMA</w:t>
      </w:r>
      <w:r>
        <w:t xml:space="preserve"> because such work is not consistent with legislation requiring utilities to </w:t>
      </w:r>
      <w:r w:rsidRPr="00B55C5B">
        <w:t>construct</w:t>
      </w:r>
      <w:r>
        <w:t xml:space="preserve"> and </w:t>
      </w:r>
      <w:r w:rsidRPr="00B55C5B">
        <w:t>maintain</w:t>
      </w:r>
      <w:r>
        <w:t xml:space="preserve"> </w:t>
      </w:r>
      <w:r w:rsidRPr="00B55C5B">
        <w:t>electrical lines and equipment</w:t>
      </w:r>
      <w:r>
        <w:t xml:space="preserve"> that minimize risk.</w:t>
      </w:r>
      <w:r w:rsidR="007253C8">
        <w:rPr>
          <w:rStyle w:val="FootnoteReference"/>
        </w:rPr>
        <w:footnoteReference w:id="132"/>
      </w:r>
      <w:r>
        <w:t xml:space="preserve"> As a result, Cal Advocates argues that such work is not a reasonable and prudent use of funds that is accountable to ratepayers. Cal Advocates recommends a reduction in cost </w:t>
      </w:r>
      <w:r>
        <w:lastRenderedPageBreak/>
        <w:t xml:space="preserve">recovery for this work of </w:t>
      </w:r>
      <w:r w:rsidRPr="00800F5E">
        <w:t xml:space="preserve">$4.300 </w:t>
      </w:r>
      <w:r>
        <w:t xml:space="preserve">million in </w:t>
      </w:r>
      <w:r w:rsidRPr="00800F5E">
        <w:t>cap</w:t>
      </w:r>
      <w:r>
        <w:t xml:space="preserve">ital expenditures and </w:t>
      </w:r>
      <w:r w:rsidRPr="00800F5E">
        <w:t xml:space="preserve">$0.122 </w:t>
      </w:r>
      <w:r>
        <w:t xml:space="preserve">million in </w:t>
      </w:r>
      <w:r w:rsidRPr="00800F5E">
        <w:t>O&amp;M</w:t>
      </w:r>
      <w:r>
        <w:t>.</w:t>
      </w:r>
    </w:p>
    <w:p w:rsidR="007253C8" w:rsidP="007253C8" w:rsidRDefault="007253C8" w14:paraId="72498312" w14:textId="11292CB5">
      <w:pPr>
        <w:pStyle w:val="Standard"/>
      </w:pPr>
      <w:r>
        <w:t xml:space="preserve">The Commission is not persuaded by Cal Advocates’ arguments. In response to a data request, SDG&amp;E stated that it recorded costs for mitigation work outside the HFTD because </w:t>
      </w:r>
      <w:r w:rsidRPr="00561581">
        <w:t xml:space="preserve">the work was generally performed near the HFTD boundary or in a Wildland Urban Interface area where </w:t>
      </w:r>
      <w:r>
        <w:t>i</w:t>
      </w:r>
      <w:r w:rsidRPr="00561581">
        <w:t>nstallations will reduce th</w:t>
      </w:r>
      <w:r w:rsidR="003F2BF0">
        <w:t>e</w:t>
      </w:r>
      <w:r w:rsidRPr="00561581">
        <w:t xml:space="preserve"> risk of ignition or reduce the chance of an ignition growing into a wildfire.</w:t>
      </w:r>
      <w:r>
        <w:rPr>
          <w:rStyle w:val="FootnoteReference"/>
        </w:rPr>
        <w:footnoteReference w:id="133"/>
      </w:r>
    </w:p>
    <w:p w:rsidR="007253C8" w:rsidP="007253C8" w:rsidRDefault="007253C8" w14:paraId="09364ADE" w14:textId="49B9CD91">
      <w:pPr>
        <w:pStyle w:val="Standard"/>
      </w:pPr>
      <w:r w:rsidDel="188A0A89">
        <w:t xml:space="preserve">For this cost category, the specific amount disputed by Cal Advocates is </w:t>
      </w:r>
      <w:r w:rsidDel="1D9542A1">
        <w:t>$4</w:t>
      </w:r>
      <w:r w:rsidDel="188A0A89">
        <w:t>.</w:t>
      </w:r>
      <w:r w:rsidDel="1D9542A1">
        <w:t>300 million</w:t>
      </w:r>
      <w:r w:rsidDel="05315B5F">
        <w:t xml:space="preserve">, which represents </w:t>
      </w:r>
      <w:r w:rsidRPr="003F2BF0" w:rsidR="003F2BF0">
        <w:t>1 percent</w:t>
      </w:r>
      <w:r w:rsidRPr="003F2BF0" w:rsidDel="003F2BF0" w:rsidR="003F2BF0">
        <w:t xml:space="preserve"> </w:t>
      </w:r>
      <w:r w:rsidDel="05315B5F">
        <w:t xml:space="preserve">of this work </w:t>
      </w:r>
      <w:r w:rsidDel="188A0A89">
        <w:t>p</w:t>
      </w:r>
      <w:r w:rsidDel="05315B5F">
        <w:t xml:space="preserve">erformed outside of the HFTD. The Commission does not find this </w:t>
      </w:r>
      <w:r w:rsidR="00D852F4">
        <w:t>percentage of work to be significant</w:t>
      </w:r>
      <w:r>
        <w:t>.</w:t>
      </w:r>
      <w:r w:rsidDel="23B4CA52">
        <w:t xml:space="preserve"> </w:t>
      </w:r>
      <w:r w:rsidDel="05315B5F">
        <w:t xml:space="preserve">In addition, the areas </w:t>
      </w:r>
      <w:r>
        <w:t xml:space="preserve">within which risk should be minimized </w:t>
      </w:r>
      <w:r w:rsidR="007727E7">
        <w:t xml:space="preserve">are </w:t>
      </w:r>
      <w:r>
        <w:t xml:space="preserve">not absolute nor clearly defined by legislation, risk analysis, and maps delineating HFTDs. </w:t>
      </w:r>
      <w:r w:rsidR="00D852F4">
        <w:t xml:space="preserve">Furthermore, </w:t>
      </w:r>
      <w:r>
        <w:t xml:space="preserve">the Commission finds it reasonable that SDG&amp;E would perform some work near </w:t>
      </w:r>
      <w:r w:rsidR="003F2BF0">
        <w:t xml:space="preserve">a </w:t>
      </w:r>
      <w:r>
        <w:t xml:space="preserve">HFTD boundary or in </w:t>
      </w:r>
      <w:r w:rsidRPr="00A45255">
        <w:t>a Wildland Urban Interface area where installations</w:t>
      </w:r>
      <w:r w:rsidR="003F2BF0">
        <w:t xml:space="preserve"> outside a HFTD</w:t>
      </w:r>
      <w:r w:rsidRPr="00A45255">
        <w:t xml:space="preserve"> will reduce th</w:t>
      </w:r>
      <w:r w:rsidR="003F2BF0">
        <w:t>e</w:t>
      </w:r>
      <w:r w:rsidRPr="00A45255">
        <w:t xml:space="preserve"> risk of ignition or reduce the chance of an ignition </w:t>
      </w:r>
      <w:r>
        <w:t>causing</w:t>
      </w:r>
      <w:r w:rsidRPr="00A45255">
        <w:t xml:space="preserve"> a wildfire</w:t>
      </w:r>
      <w:r>
        <w:t>.</w:t>
      </w:r>
    </w:p>
    <w:p w:rsidR="00D852F4" w:rsidP="007253C8" w:rsidRDefault="007253C8" w14:paraId="4EFDF09C" w14:textId="78101A1A">
      <w:pPr>
        <w:pStyle w:val="Standard"/>
      </w:pPr>
      <w:r w:rsidDel="0035EA00">
        <w:t xml:space="preserve">Since the Commission authorized this work in the last GRC, the Commission </w:t>
      </w:r>
      <w:r w:rsidDel="5BC069B7">
        <w:t>f</w:t>
      </w:r>
      <w:r w:rsidDel="0035EA00">
        <w:t>inds PCF’s arguments in relation to this cost category fail to address the amount by which SDG&amp;E</w:t>
      </w:r>
      <w:r w:rsidDel="76B61569">
        <w:t xml:space="preserve">’s requested recovery of </w:t>
      </w:r>
      <w:r w:rsidDel="0035EA00">
        <w:t xml:space="preserve">capital expenditures </w:t>
      </w:r>
      <w:r w:rsidDel="76B61569">
        <w:t>exceeds the amount authorized.</w:t>
      </w:r>
      <w:r w:rsidR="00B95493">
        <w:t xml:space="preserve"> </w:t>
      </w:r>
      <w:r w:rsidR="00BA1C0C">
        <w:t>T</w:t>
      </w:r>
      <w:r w:rsidDel="57F5B21A">
        <w:t xml:space="preserve">he Commission </w:t>
      </w:r>
      <w:r w:rsidR="00BA1C0C">
        <w:t xml:space="preserve">has conditionally </w:t>
      </w:r>
      <w:r w:rsidDel="57F5B21A">
        <w:t xml:space="preserve">approved the replacement of wood poles with steel </w:t>
      </w:r>
      <w:r>
        <w:t>poles</w:t>
      </w:r>
      <w:r w:rsidDel="57F5B21A">
        <w:t>.</w:t>
      </w:r>
      <w:r w:rsidR="0076086B">
        <w:rPr>
          <w:rStyle w:val="FootnoteReference"/>
        </w:rPr>
        <w:footnoteReference w:id="134"/>
      </w:r>
      <w:r w:rsidDel="57F5B21A">
        <w:t xml:space="preserve"> </w:t>
      </w:r>
    </w:p>
    <w:p w:rsidR="007253C8" w:rsidP="000772C9" w:rsidRDefault="00D852F4" w14:paraId="56CDAD27" w14:textId="23799D63">
      <w:pPr>
        <w:pStyle w:val="Standard"/>
      </w:pPr>
      <w:r>
        <w:lastRenderedPageBreak/>
        <w:t>Considering all of the above</w:t>
      </w:r>
      <w:r w:rsidDel="51AF2222" w:rsidR="007253C8">
        <w:t xml:space="preserve">, the Commission approves cost recovery for </w:t>
      </w:r>
      <w:r w:rsidR="007253C8">
        <w:t>DOSH</w:t>
      </w:r>
      <w:r w:rsidDel="51AF2222" w:rsidR="007253C8">
        <w:t xml:space="preserve"> of $97.139 million</w:t>
      </w:r>
      <w:r w:rsidR="00744FCD">
        <w:t>,</w:t>
      </w:r>
      <w:r w:rsidR="007253C8">
        <w:t xml:space="preserve"> </w:t>
      </w:r>
      <w:r w:rsidR="00011B8F">
        <w:t xml:space="preserve">(in Capital) </w:t>
      </w:r>
      <w:r w:rsidR="007253C8">
        <w:t>minus direct cost reductions described in Section 13</w:t>
      </w:r>
      <w:r w:rsidR="00744FCD">
        <w:t>,</w:t>
      </w:r>
      <w:r w:rsidR="000772C9">
        <w:t xml:space="preserve"> based on the prudent manager standard. This standard gives the Commission discretion to find cost recovery reasonable where “it </w:t>
      </w:r>
      <w:r w:rsidRPr="000772C9" w:rsidR="000772C9">
        <w:t>encompasses a spectrum of possible practices, methods, or acts consistent with the utility system needs, the interest of the ratepayers</w:t>
      </w:r>
      <w:r w:rsidR="000772C9">
        <w:t>.</w:t>
      </w:r>
      <w:r w:rsidR="00D83855">
        <w:t>”</w:t>
      </w:r>
      <w:r w:rsidR="001135A5">
        <w:rPr>
          <w:rStyle w:val="FootnoteReference"/>
        </w:rPr>
        <w:footnoteReference w:id="135"/>
      </w:r>
      <w:r w:rsidR="000772C9">
        <w:t xml:space="preserve"> That is the case here with this longstanding method of hardening </w:t>
      </w:r>
      <w:r w:rsidR="007F65E2">
        <w:t xml:space="preserve">electric </w:t>
      </w:r>
      <w:r w:rsidR="000772C9">
        <w:t>distribution</w:t>
      </w:r>
      <w:r w:rsidR="00B95493">
        <w:t xml:space="preserve"> </w:t>
      </w:r>
      <w:r w:rsidR="000772C9">
        <w:t>lines</w:t>
      </w:r>
      <w:r w:rsidR="006778E7">
        <w:t xml:space="preserve">. The Commission finds </w:t>
      </w:r>
      <w:r w:rsidR="000B6F41">
        <w:t>that SDG&amp;E is reasonably replacing DOSH with</w:t>
      </w:r>
      <w:r w:rsidR="000772C9">
        <w:t xml:space="preserve"> covered conductor and strategic undergrounding</w:t>
      </w:r>
      <w:r w:rsidR="000B6F41">
        <w:t xml:space="preserve"> where appropriate</w:t>
      </w:r>
      <w:r w:rsidR="000772C9">
        <w:t xml:space="preserve">. </w:t>
      </w:r>
      <w:r w:rsidDel="57F5B21A" w:rsidR="007253C8">
        <w:t>However,</w:t>
      </w:r>
      <w:r w:rsidR="007253C8">
        <w:t xml:space="preserve"> SDG</w:t>
      </w:r>
      <w:r w:rsidDel="57F5B21A" w:rsidR="007253C8">
        <w:t xml:space="preserve">&amp;E </w:t>
      </w:r>
      <w:r w:rsidR="007253C8">
        <w:t xml:space="preserve">shall </w:t>
      </w:r>
      <w:r w:rsidDel="57F5B21A" w:rsidR="007253C8">
        <w:t>continue to monitor, evaluate, and report the cost-effectiveness of replacing wood poles with steel pole</w:t>
      </w:r>
      <w:r w:rsidR="000B0981">
        <w:t>s as the Commission has required</w:t>
      </w:r>
      <w:r w:rsidR="00BA1C0C">
        <w:t>.</w:t>
      </w:r>
      <w:r w:rsidDel="57F5B21A" w:rsidR="007253C8">
        <w:t xml:space="preserve"> </w:t>
      </w:r>
      <w:r w:rsidR="00BA1C0C">
        <w:t>I</w:t>
      </w:r>
      <w:r w:rsidDel="57F5B21A" w:rsidR="007253C8">
        <w:t xml:space="preserve">n </w:t>
      </w:r>
      <w:r w:rsidDel="51AF2222" w:rsidR="007253C8">
        <w:t>future applications for cost</w:t>
      </w:r>
      <w:r w:rsidR="00C22A1F">
        <w:t xml:space="preserve"> </w:t>
      </w:r>
      <w:r w:rsidDel="51AF2222" w:rsidR="007253C8">
        <w:t>recovery</w:t>
      </w:r>
      <w:r w:rsidDel="65C02F1B" w:rsidR="007253C8">
        <w:t xml:space="preserve"> </w:t>
      </w:r>
      <w:r w:rsidDel="57F5B21A" w:rsidR="007253C8">
        <w:t>and GRCs</w:t>
      </w:r>
      <w:r w:rsidR="00BA1C0C">
        <w:t xml:space="preserve">, SDG&amp;E shall provide the information required by </w:t>
      </w:r>
      <w:r w:rsidRPr="00BA1C0C" w:rsidR="00BA1C0C">
        <w:t>D.19-05-039</w:t>
      </w:r>
      <w:r w:rsidR="00BA1C0C">
        <w:rPr>
          <w:rStyle w:val="FootnoteReference"/>
        </w:rPr>
        <w:footnoteReference w:id="136"/>
      </w:r>
      <w:r w:rsidR="00BA1C0C">
        <w:t xml:space="preserve"> in its initial cost</w:t>
      </w:r>
      <w:r w:rsidR="00C22A1F">
        <w:t xml:space="preserve"> </w:t>
      </w:r>
      <w:r w:rsidR="00BA1C0C">
        <w:t xml:space="preserve">recovery </w:t>
      </w:r>
      <w:r w:rsidR="00C22A1F">
        <w:t>or</w:t>
      </w:r>
      <w:r w:rsidR="00BA1C0C">
        <w:t xml:space="preserve"> GRC application as a condition of approval.</w:t>
      </w:r>
    </w:p>
    <w:p w:rsidRPr="00CC26F7" w:rsidR="007253C8" w:rsidP="00645333" w:rsidRDefault="00462A29" w14:paraId="2B78A323" w14:textId="10B72B61">
      <w:pPr>
        <w:pStyle w:val="Heading2"/>
      </w:pPr>
      <w:bookmarkStart w:name="_Toc213312262" w:id="35"/>
      <w:r>
        <w:t>Covered Conductor</w:t>
      </w:r>
      <w:bookmarkEnd w:id="35"/>
    </w:p>
    <w:p w:rsidR="007253C8" w:rsidP="007253C8" w:rsidRDefault="007253C8" w14:paraId="4E174AC2" w14:textId="18501856">
      <w:pPr>
        <w:pStyle w:val="Standard"/>
      </w:pPr>
      <w:r>
        <w:t xml:space="preserve">SDG&amp;E requests </w:t>
      </w:r>
      <w:r w:rsidR="00462A29">
        <w:t>Covered Conductor</w:t>
      </w:r>
      <w:r>
        <w:t xml:space="preserve"> direct cost recovery of $136.496 million in capital expenditures and $3.762 million in O&amp;M expenses for the 2019–2022 period.</w:t>
      </w:r>
      <w:r w:rsidRPr="251A6C64">
        <w:rPr>
          <w:rStyle w:val="FootnoteReference"/>
        </w:rPr>
        <w:footnoteReference w:id="137"/>
      </w:r>
      <w:r>
        <w:t xml:space="preserve"> The Commission approves initial cost recovery, for the reasons stated below, of $110.903 million for capital expenditures and $3.762 million in O&amp;M expenses</w:t>
      </w:r>
      <w:r w:rsidR="00916A4D">
        <w:t>,</w:t>
      </w:r>
      <w:r>
        <w:t xml:space="preserve"> subject to direct cost reductions in Section 13</w:t>
      </w:r>
      <w:r w:rsidDel="00137343">
        <w:t>.</w:t>
      </w:r>
      <w:r w:rsidR="009E6F7E">
        <w:t xml:space="preserve"> </w:t>
      </w:r>
      <w:r w:rsidRPr="009E6F7E" w:rsidR="009E6F7E">
        <w:rPr>
          <w:u w:val="single"/>
        </w:rPr>
        <w:t>On the record submitted, subject to the reductions discussed herein, the Commission finds these amounts to be incremental and just and reasonable.</w:t>
      </w:r>
      <w:r w:rsidRPr="009E6F7E" w:rsidR="009E6F7E">
        <w:t> </w:t>
      </w:r>
    </w:p>
    <w:p w:rsidR="007253C8" w:rsidP="007253C8" w:rsidRDefault="007253C8" w14:paraId="6E9BD488" w14:textId="0C6B70E3">
      <w:pPr>
        <w:pStyle w:val="Standard"/>
      </w:pPr>
      <w:r w:rsidRPr="00CC26F7">
        <w:t xml:space="preserve">The </w:t>
      </w:r>
      <w:r w:rsidR="00462A29">
        <w:t>Covered Conductor</w:t>
      </w:r>
      <w:r w:rsidRPr="00CC26F7">
        <w:t xml:space="preserve"> Program is a program that replaces bare conductors with </w:t>
      </w:r>
      <w:r w:rsidR="00462A29">
        <w:t>Covered Conductor</w:t>
      </w:r>
      <w:r w:rsidRPr="00CC26F7">
        <w:t xml:space="preserve">s in </w:t>
      </w:r>
      <w:r>
        <w:t>a</w:t>
      </w:r>
      <w:r w:rsidR="00586F79">
        <w:t xml:space="preserve"> </w:t>
      </w:r>
      <w:r>
        <w:t xml:space="preserve">HFTD. This program was originally </w:t>
      </w:r>
      <w:r>
        <w:lastRenderedPageBreak/>
        <w:t xml:space="preserve">designed to protect </w:t>
      </w:r>
      <w:r w:rsidRPr="00A723C4">
        <w:t xml:space="preserve">personnel </w:t>
      </w:r>
      <w:r>
        <w:t xml:space="preserve">and improve </w:t>
      </w:r>
      <w:r w:rsidRPr="00A723C4">
        <w:t>reliability</w:t>
      </w:r>
      <w:r>
        <w:t>.</w:t>
      </w:r>
      <w:r w:rsidDel="6553E9F3">
        <w:t xml:space="preserve"> </w:t>
      </w:r>
      <w:r w:rsidRPr="00CC26F7">
        <w:t xml:space="preserve">In 2018, </w:t>
      </w:r>
      <w:r>
        <w:t xml:space="preserve">SDG&amp;E </w:t>
      </w:r>
      <w:r w:rsidRPr="00CC26F7">
        <w:t xml:space="preserve">shifted towards using </w:t>
      </w:r>
      <w:r w:rsidR="00462A29">
        <w:t>Covered Conductor</w:t>
      </w:r>
      <w:r w:rsidRPr="00CC26F7">
        <w:t xml:space="preserve"> as an alternative to SDG&amp;E’s traditional overhead hardening program with the primary focus of reducing </w:t>
      </w:r>
      <w:r>
        <w:t xml:space="preserve">outages and ignitions from </w:t>
      </w:r>
      <w:r w:rsidRPr="00A723C4">
        <w:t>light momentary contacts (e.g., mylar balloons, birds, and palm fronds)</w:t>
      </w:r>
      <w:r>
        <w:t xml:space="preserve">. When SDG&amp;E </w:t>
      </w:r>
      <w:r w:rsidRPr="00A723C4">
        <w:t>install</w:t>
      </w:r>
      <w:r>
        <w:t>s</w:t>
      </w:r>
      <w:r w:rsidRPr="00A723C4">
        <w:t xml:space="preserve"> the </w:t>
      </w:r>
      <w:r w:rsidR="00462A29">
        <w:t>Covered Conductor</w:t>
      </w:r>
      <w:r w:rsidRPr="00A723C4">
        <w:t xml:space="preserve"> system, SDG&amp;E also replaces other equipment that is required to accommodate the </w:t>
      </w:r>
      <w:r w:rsidR="00462A29">
        <w:t>Covered Conductor</w:t>
      </w:r>
      <w:r w:rsidRPr="00A723C4">
        <w:t>, such as insulators, cross arms,</w:t>
      </w:r>
      <w:r w:rsidRPr="00A723C4" w:rsidDel="00132E47">
        <w:t xml:space="preserve"> </w:t>
      </w:r>
      <w:r w:rsidRPr="00A723C4">
        <w:t>or poles (where applicable), replacing other equipment that is determined to reduce risk, improve resiliency, and adding other protection measures such as animal guards or covered jumper wire to</w:t>
      </w:r>
      <w:r>
        <w:t xml:space="preserve"> </w:t>
      </w:r>
      <w:r w:rsidRPr="00A723C4">
        <w:t>other equipment on the pole.</w:t>
      </w:r>
      <w:r>
        <w:rPr>
          <w:rStyle w:val="FootnoteReference"/>
        </w:rPr>
        <w:footnoteReference w:id="138"/>
      </w:r>
    </w:p>
    <w:p w:rsidR="007253C8" w:rsidP="007253C8" w:rsidRDefault="007253C8" w14:paraId="6B35605C" w14:textId="49949AB3">
      <w:pPr>
        <w:pStyle w:val="Standard"/>
      </w:pPr>
      <w:r w:rsidRPr="00105FC9">
        <w:t>SDG&amp;E has estimated that in the near</w:t>
      </w:r>
      <w:r>
        <w:t xml:space="preserve"> </w:t>
      </w:r>
      <w:r w:rsidRPr="00105FC9">
        <w:t xml:space="preserve">term, </w:t>
      </w:r>
      <w:r w:rsidR="00462A29">
        <w:t>Covered Conductor</w:t>
      </w:r>
      <w:r w:rsidRPr="00105FC9">
        <w:t xml:space="preserve"> can reduce the faults that cause ignitions by approximately 65</w:t>
      </w:r>
      <w:r>
        <w:t>%,</w:t>
      </w:r>
      <w:r>
        <w:rPr>
          <w:rStyle w:val="FootnoteReference"/>
        </w:rPr>
        <w:footnoteReference w:id="139"/>
      </w:r>
      <w:r>
        <w:t xml:space="preserve"> and has the potential to raise </w:t>
      </w:r>
      <w:r w:rsidRPr="000E45F8">
        <w:t xml:space="preserve">the threshold for PSPS events to higher wind speeds compared to bare conductor hardening; however, as of the end of 2022 no circuits have been fully hardened with </w:t>
      </w:r>
      <w:r w:rsidR="00462A29">
        <w:t>Covered Conductor</w:t>
      </w:r>
      <w:r w:rsidRPr="000E45F8">
        <w:t xml:space="preserve"> and therefore the threshold for PSPS events has not been raised on any circuits with </w:t>
      </w:r>
      <w:r w:rsidR="00462A29">
        <w:t>Covered Conductor</w:t>
      </w:r>
      <w:r w:rsidRPr="000E45F8">
        <w:t xml:space="preserve"> installed. </w:t>
      </w:r>
      <w:r>
        <w:t xml:space="preserve">Furthermore, </w:t>
      </w:r>
      <w:r w:rsidRPr="000E45F8">
        <w:t xml:space="preserve">SDG&amp;E </w:t>
      </w:r>
      <w:r>
        <w:t xml:space="preserve">states that, when later implemented, </w:t>
      </w:r>
      <w:r w:rsidRPr="000E45F8">
        <w:t>the wind speed threshold for fully covered circuit segments will be approximately 55-60 miles per hour.</w:t>
      </w:r>
      <w:r>
        <w:rPr>
          <w:rStyle w:val="FootnoteReference"/>
        </w:rPr>
        <w:footnoteReference w:id="140"/>
      </w:r>
    </w:p>
    <w:p w:rsidRPr="00924673" w:rsidR="007253C8" w:rsidP="007253C8" w:rsidRDefault="007253C8" w14:paraId="79BEAC78" w14:textId="44791919">
      <w:pPr>
        <w:pStyle w:val="Standard"/>
      </w:pPr>
      <w:r w:rsidRPr="00924673">
        <w:t xml:space="preserve">PCF argues against authorizing cost recovery for SDG&amp;E’s </w:t>
      </w:r>
      <w:r w:rsidR="00462A29">
        <w:t>Covered Conductor</w:t>
      </w:r>
      <w:r>
        <w:t xml:space="preserve"> Program because it contends </w:t>
      </w:r>
      <w:r w:rsidR="00462A29">
        <w:t>Covered Conductor</w:t>
      </w:r>
      <w:r>
        <w:t xml:space="preserve"> </w:t>
      </w:r>
      <w:r w:rsidRPr="00924673">
        <w:t>provided</w:t>
      </w:r>
      <w:r>
        <w:t xml:space="preserve"> an</w:t>
      </w:r>
      <w:r w:rsidRPr="00924673">
        <w:t xml:space="preserve"> insufficient benefit. More specifically, PCF argues that an estimated amount of $233.763</w:t>
      </w:r>
      <w:r>
        <w:t xml:space="preserve"> </w:t>
      </w:r>
      <w:r w:rsidRPr="00924673">
        <w:t>million per ignition reduced or avoided in 2019</w:t>
      </w:r>
      <w:r>
        <w:t>–20</w:t>
      </w:r>
      <w:r w:rsidRPr="00924673">
        <w:t xml:space="preserve">22 is </w:t>
      </w:r>
      <w:r>
        <w:t>not cost-</w:t>
      </w:r>
      <w:r>
        <w:lastRenderedPageBreak/>
        <w:t xml:space="preserve">effective and that </w:t>
      </w:r>
      <w:r w:rsidRPr="00924673">
        <w:t xml:space="preserve">“among all WMP mitigation measures with substantial program budgets, the </w:t>
      </w:r>
      <w:r w:rsidR="00462A29">
        <w:t>Covered Conductor</w:t>
      </w:r>
      <w:r w:rsidRPr="00924673">
        <w:t xml:space="preserve"> mitigation measure has the highest cost per ignition reduced or avoided.” </w:t>
      </w:r>
      <w:r>
        <w:t xml:space="preserve">For example, cost per ignitions avoided for </w:t>
      </w:r>
      <w:r w:rsidRPr="00924673">
        <w:t xml:space="preserve">Patrol Inspections of Distribution Equipment </w:t>
      </w:r>
      <w:r>
        <w:t xml:space="preserve">is, according to PCF, </w:t>
      </w:r>
      <w:r w:rsidRPr="00924673">
        <w:t>$125,000 per ignition avoided.</w:t>
      </w:r>
      <w:r w:rsidRPr="00924673">
        <w:rPr>
          <w:vertAlign w:val="superscript"/>
        </w:rPr>
        <w:footnoteReference w:id="141"/>
      </w:r>
      <w:r w:rsidRPr="00924673">
        <w:t xml:space="preserve"> In addition, PCF argues that it would have been more cost-effective to equip customers with Behind-the-Meter Solar Plus Storage systems to enable shutdown of the existing grid as needed without impacting customer electricity supply reliability.</w:t>
      </w:r>
      <w:r w:rsidRPr="00924673">
        <w:rPr>
          <w:vertAlign w:val="superscript"/>
        </w:rPr>
        <w:footnoteReference w:id="142"/>
      </w:r>
    </w:p>
    <w:p w:rsidR="007253C8" w:rsidP="007253C8" w:rsidRDefault="007253C8" w14:paraId="22EB6BF6" w14:textId="1BC0A903">
      <w:pPr>
        <w:pStyle w:val="Standard"/>
      </w:pPr>
      <w:r>
        <w:t>The Commission is not persuaded</w:t>
      </w:r>
      <w:r w:rsidR="003F2BF0">
        <w:t xml:space="preserve"> by PCF</w:t>
      </w:r>
      <w:r>
        <w:t xml:space="preserve">. The Commission finds PCF’s argument to reject the entire </w:t>
      </w:r>
      <w:r w:rsidR="00462A29">
        <w:t>Covered Conductor</w:t>
      </w:r>
      <w:r w:rsidR="00E56902">
        <w:t xml:space="preserve"> </w:t>
      </w:r>
      <w:r>
        <w:t>program unreasonable, just as we did with respect to PCF’s argument above regarding DOSH.</w:t>
      </w:r>
    </w:p>
    <w:p w:rsidRPr="00634EE2" w:rsidR="007253C8" w:rsidP="007253C8" w:rsidRDefault="007253C8" w14:paraId="3C99734A" w14:textId="77777777">
      <w:pPr>
        <w:pStyle w:val="Standard"/>
      </w:pPr>
      <w:r w:rsidRPr="00634EE2">
        <w:t>Cal Advocates recommends</w:t>
      </w:r>
      <w:r w:rsidRPr="00DA5565">
        <w:t xml:space="preserve"> </w:t>
      </w:r>
      <w:r w:rsidRPr="00072A2F">
        <w:t>that the Commission remove costs incurred for work outside of Tier 2 and Tier 3 HFTD</w:t>
      </w:r>
      <w:r>
        <w:t>s</w:t>
      </w:r>
      <w:r w:rsidRPr="00072A2F">
        <w:t xml:space="preserve"> from the WMPMA</w:t>
      </w:r>
      <w:r>
        <w:t xml:space="preserve"> becau</w:t>
      </w:r>
      <w:r w:rsidRPr="00634EE2">
        <w:t>se such work is not consistent with legislation requiring utilities to construct and maintain electrical lines and equipment that minimize risk.</w:t>
      </w:r>
      <w:r w:rsidRPr="00634EE2">
        <w:rPr>
          <w:vertAlign w:val="superscript"/>
        </w:rPr>
        <w:footnoteReference w:id="143"/>
      </w:r>
      <w:r w:rsidRPr="00634EE2">
        <w:t xml:space="preserve"> Cal Advocates argues that such </w:t>
      </w:r>
      <w:r>
        <w:t xml:space="preserve">unauthorized </w:t>
      </w:r>
      <w:r w:rsidRPr="00634EE2">
        <w:t>work is not a reasonable and prudent use of funds that is accountable to ratepayers.</w:t>
      </w:r>
      <w:r>
        <w:t xml:space="preserve"> As a result, Cal Advocates recommends reducing cost recovery for this work by </w:t>
      </w:r>
      <w:r w:rsidRPr="00634EE2">
        <w:t>$</w:t>
      </w:r>
      <w:r w:rsidRPr="00FF7BCC">
        <w:t>0.</w:t>
      </w:r>
      <w:r w:rsidRPr="00634EE2">
        <w:t>4</w:t>
      </w:r>
      <w:r w:rsidRPr="00FF7BCC">
        <w:t>1</w:t>
      </w:r>
      <w:r w:rsidRPr="00634EE2">
        <w:t>0 million</w:t>
      </w:r>
      <w:r>
        <w:t xml:space="preserve"> for capital expenditures and </w:t>
      </w:r>
      <w:r w:rsidRPr="00800F5E">
        <w:t xml:space="preserve">$0.0114 </w:t>
      </w:r>
      <w:r>
        <w:t xml:space="preserve">million in </w:t>
      </w:r>
      <w:r w:rsidRPr="00800F5E">
        <w:t>O&amp;M </w:t>
      </w:r>
      <w:r>
        <w:t>costs.</w:t>
      </w:r>
    </w:p>
    <w:p w:rsidR="007253C8" w:rsidP="007253C8" w:rsidRDefault="007253C8" w14:paraId="65E8BD31" w14:textId="0B97B0A4">
      <w:pPr>
        <w:pStyle w:val="Standard"/>
      </w:pPr>
      <w:r>
        <w:t>The Commission disagrees with Cal Advocates</w:t>
      </w:r>
      <w:r w:rsidDel="00137343">
        <w:t>.</w:t>
      </w:r>
      <w:r>
        <w:t xml:space="preserve"> SDG&amp;E correctly argues that </w:t>
      </w:r>
      <w:r w:rsidR="00462A29">
        <w:t>Covered Conductor</w:t>
      </w:r>
      <w:r w:rsidRPr="007728B8">
        <w:t xml:space="preserve"> is </w:t>
      </w:r>
      <w:r>
        <w:t xml:space="preserve">a </w:t>
      </w:r>
      <w:r w:rsidRPr="007728B8">
        <w:t>generally accepted hardening strateg</w:t>
      </w:r>
      <w:r>
        <w:t>y for r</w:t>
      </w:r>
      <w:r w:rsidRPr="007728B8">
        <w:t>educ</w:t>
      </w:r>
      <w:r>
        <w:t xml:space="preserve">ing </w:t>
      </w:r>
      <w:r w:rsidRPr="007728B8">
        <w:t>wildfire</w:t>
      </w:r>
      <w:r>
        <w:t xml:space="preserve"> risk from </w:t>
      </w:r>
      <w:r w:rsidRPr="007728B8">
        <w:t>foreign object-line contacts</w:t>
      </w:r>
      <w:r>
        <w:t xml:space="preserve">, and </w:t>
      </w:r>
      <w:r w:rsidRPr="007728B8">
        <w:t xml:space="preserve">a cost-effective alternative to </w:t>
      </w:r>
      <w:r w:rsidR="00462A29">
        <w:lastRenderedPageBreak/>
        <w:t>Strategic Undergrounding</w:t>
      </w:r>
      <w:r>
        <w:t>.</w:t>
      </w:r>
      <w:r>
        <w:rPr>
          <w:rStyle w:val="FootnoteReference"/>
        </w:rPr>
        <w:footnoteReference w:id="144"/>
      </w:r>
      <w:r>
        <w:t xml:space="preserve"> For example, a low</w:t>
      </w:r>
      <w:r w:rsidDel="4490194A">
        <w:t xml:space="preserve"> </w:t>
      </w:r>
      <w:r>
        <w:t xml:space="preserve">estimated ignitions avoided number for </w:t>
      </w:r>
      <w:r w:rsidR="00462A29">
        <w:t>Covered Conductor</w:t>
      </w:r>
      <w:r>
        <w:t xml:space="preserve"> fails to capture the clear benefit of fundamental aspects of this work, such as replacing </w:t>
      </w:r>
      <w:r w:rsidRPr="00EA6EA3">
        <w:t xml:space="preserve">bare conductors with </w:t>
      </w:r>
      <w:r w:rsidR="00462A29">
        <w:t>Covered Conductor</w:t>
      </w:r>
      <w:r w:rsidRPr="00EA6EA3">
        <w:t>s in a HFTD.</w:t>
      </w:r>
      <w:r>
        <w:t xml:space="preserve"> This demonstrates the difficulty in relying primarily on one statistical tool to authorize </w:t>
      </w:r>
      <w:r w:rsidRPr="00B078C3">
        <w:t>wildfire mitigation measure</w:t>
      </w:r>
      <w:r>
        <w:t>s. Moreover, as the Commission concludes above, it is reasonable that SDG&amp;E would perform some work outside of the HFTDs near the HFTD boundary or in an area outside the HFTD boundary in a Wildland Urban Interface area where installations will reduce this risk of ignition or reduce the chance of an ignition growing into a wildfire.</w:t>
      </w:r>
    </w:p>
    <w:p w:rsidR="007253C8" w:rsidP="007253C8" w:rsidRDefault="007253C8" w14:paraId="2CAEDC71" w14:textId="6D780450">
      <w:pPr>
        <w:pStyle w:val="Standard"/>
      </w:pPr>
      <w:r>
        <w:t xml:space="preserve">UCAN highlights SDG&amp;E’s high unit cost for </w:t>
      </w:r>
      <w:r w:rsidR="00462A29">
        <w:t>Covered Conductor</w:t>
      </w:r>
      <w:r>
        <w:t xml:space="preserve"> compared to SCE and PG&amp;E and recommends an audit of SDG&amp;E’s </w:t>
      </w:r>
      <w:r w:rsidR="00462A29">
        <w:t>Covered Conductor</w:t>
      </w:r>
      <w:r>
        <w:t xml:space="preserve"> initiative. UCAN states that SDG&amp;E’s </w:t>
      </w:r>
      <w:r w:rsidR="00462A29">
        <w:t>Covered Conductor</w:t>
      </w:r>
      <w:r>
        <w:t xml:space="preserve"> costs per mile are $1.6 million</w:t>
      </w:r>
      <w:r w:rsidRPr="0A336C7F">
        <w:rPr>
          <w:rStyle w:val="FootnoteReference"/>
        </w:rPr>
        <w:footnoteReference w:id="145"/>
      </w:r>
      <w:r>
        <w:t xml:space="preserve"> compared to $1.3 million for PG&amp;E</w:t>
      </w:r>
      <w:r w:rsidRPr="0A336C7F">
        <w:rPr>
          <w:rStyle w:val="FootnoteReference"/>
        </w:rPr>
        <w:footnoteReference w:id="146"/>
      </w:r>
      <w:r>
        <w:t xml:space="preserve"> and $0.7 million for SCE.</w:t>
      </w:r>
      <w:r w:rsidRPr="34EFD5F1">
        <w:rPr>
          <w:rStyle w:val="FootnoteReference"/>
        </w:rPr>
        <w:footnoteReference w:id="147"/>
      </w:r>
    </w:p>
    <w:p w:rsidRPr="00EA6EA3" w:rsidR="007253C8" w:rsidP="007253C8" w:rsidRDefault="007253C8" w14:paraId="4B4B9425" w14:textId="2AD0A186">
      <w:pPr>
        <w:pStyle w:val="Standard"/>
      </w:pPr>
      <w:r>
        <w:t xml:space="preserve">UCAN’s comparison of </w:t>
      </w:r>
      <w:r w:rsidR="00462A29">
        <w:t>Covered Conductor</w:t>
      </w:r>
      <w:r>
        <w:t xml:space="preserve"> costs with the cost of the same work performed by PG&amp;E and SCE is informative. The Commission finds </w:t>
      </w:r>
      <w:r w:rsidRPr="00365F05">
        <w:t>SDG&amp;E</w:t>
      </w:r>
      <w:r>
        <w:t xml:space="preserve">’s lack of </w:t>
      </w:r>
      <w:r w:rsidRPr="00365F05">
        <w:t xml:space="preserve">explanation for </w:t>
      </w:r>
      <w:r>
        <w:t xml:space="preserve">its cost for </w:t>
      </w:r>
      <w:r w:rsidR="00462A29">
        <w:t>Covered Conductor</w:t>
      </w:r>
      <w:r>
        <w:t xml:space="preserve"> work to be troubling. SDG&amp;E provides RSEs for installing </w:t>
      </w:r>
      <w:r w:rsidR="00462A29">
        <w:t>Covered Conductor</w:t>
      </w:r>
      <w:r>
        <w:t xml:space="preserve"> compared to </w:t>
      </w:r>
      <w:r w:rsidR="00462A29">
        <w:t>Strategic Undergrounding</w:t>
      </w:r>
      <w:r>
        <w:t>,</w:t>
      </w:r>
      <w:r w:rsidRPr="0A336C7F">
        <w:rPr>
          <w:rStyle w:val="FootnoteReference"/>
        </w:rPr>
        <w:footnoteReference w:id="148"/>
      </w:r>
      <w:r>
        <w:t xml:space="preserve"> but it does not support its request for recovery for installing </w:t>
      </w:r>
      <w:r w:rsidR="00462A29">
        <w:t>Covered Conductor</w:t>
      </w:r>
      <w:r>
        <w:t xml:space="preserve"> at its high unit cost. SDG&amp;E provides RSEs for </w:t>
      </w:r>
      <w:r w:rsidR="00462A29">
        <w:t>Covered Conductor</w:t>
      </w:r>
      <w:r>
        <w:t xml:space="preserve"> compared to </w:t>
      </w:r>
      <w:r w:rsidR="00462A29">
        <w:t>Strategic Undergrounding</w:t>
      </w:r>
      <w:r>
        <w:t>, but the Commission</w:t>
      </w:r>
      <w:r w:rsidDel="1AD89EEA">
        <w:t xml:space="preserve"> </w:t>
      </w:r>
      <w:r>
        <w:lastRenderedPageBreak/>
        <w:t xml:space="preserve">finds SDG&amp;E’s </w:t>
      </w:r>
      <w:r w:rsidR="00462A29">
        <w:t>Covered Conductor</w:t>
      </w:r>
      <w:r>
        <w:t xml:space="preserve"> cost to be unreasonable based on it being significantly higher than that of PG&amp;E and SCE.</w:t>
      </w:r>
      <w:r w:rsidRPr="00365F05">
        <w:rPr>
          <w:vertAlign w:val="superscript"/>
        </w:rPr>
        <w:footnoteReference w:id="149"/>
      </w:r>
      <w:r>
        <w:t xml:space="preserve"> As such, the Commission finds it reasonable to reduce SDG&amp;E’s cost recovery by the approximate percentage difference between SDG&amp;E’s </w:t>
      </w:r>
      <w:r w:rsidR="00462A29">
        <w:t>Covered Conductor</w:t>
      </w:r>
      <w:r>
        <w:t xml:space="preserve"> cost per mile and the same cost for PG&amp;E</w:t>
      </w:r>
      <w:r w:rsidR="003F2BF0">
        <w:t>,</w:t>
      </w:r>
      <w:r>
        <w:t xml:space="preserve"> approximately 19 percent. The Commission finds it reasonable to apply this reduction to SDG&amp;E’s capital expenditure only</w:t>
      </w:r>
      <w:r w:rsidR="002858A3">
        <w:t>,</w:t>
      </w:r>
      <w:r>
        <w:t xml:space="preserve"> </w:t>
      </w:r>
      <w:r w:rsidRPr="000B0981" w:rsidR="000B0981">
        <w:t>based on the prudent manager standard. This standard gives the Commission discretion to find cost recovery reasonable where “it encompasses a spectrum of possible practices, methods, or acts consistent with the utility system needs,</w:t>
      </w:r>
      <w:r w:rsidR="008B6DE3">
        <w:t xml:space="preserve"> [and]</w:t>
      </w:r>
      <w:r w:rsidRPr="000B0981" w:rsidR="000B0981">
        <w:t xml:space="preserve"> the interest of the ratepayers.</w:t>
      </w:r>
      <w:r w:rsidR="006778E7">
        <w:t>”</w:t>
      </w:r>
      <w:r w:rsidR="008B6DE3">
        <w:rPr>
          <w:rStyle w:val="FootnoteReference"/>
        </w:rPr>
        <w:footnoteReference w:id="150"/>
      </w:r>
      <w:r w:rsidRPr="000B0981" w:rsidR="000B0981">
        <w:t xml:space="preserve"> That is the case here</w:t>
      </w:r>
      <w:r w:rsidR="000B6F41">
        <w:t xml:space="preserve"> where the Commission finds SDG&amp;E’s scope of Covered Conductor work versus DOSH and undergrounding to be appropriate. SDG&amp;E’s amount of recovery for Covered Conductor work is reasonably disputed.</w:t>
      </w:r>
      <w:r w:rsidR="000B6F41">
        <w:rPr>
          <w:rStyle w:val="FootnoteReference"/>
        </w:rPr>
        <w:footnoteReference w:id="151"/>
      </w:r>
      <w:r w:rsidR="000B6F41">
        <w:t xml:space="preserve"> However, the prudent manager standard is not one of </w:t>
      </w:r>
      <w:r w:rsidRPr="000B6F41" w:rsidR="000B6F41">
        <w:t>perfection</w:t>
      </w:r>
      <w:r w:rsidR="00890832">
        <w:t xml:space="preserve"> that </w:t>
      </w:r>
      <w:r w:rsidRPr="000B6F41" w:rsidR="000B6F41">
        <w:t xml:space="preserve">is </w:t>
      </w:r>
      <w:r w:rsidR="00890832">
        <w:t>limi</w:t>
      </w:r>
      <w:r w:rsidRPr="000B6F41" w:rsidR="000B6F41">
        <w:t>ted to the optimum practice</w:t>
      </w:r>
      <w:r w:rsidR="00890832">
        <w:t xml:space="preserve"> </w:t>
      </w:r>
      <w:r w:rsidRPr="000B6F41" w:rsidR="000B6F41">
        <w:t>to the exclusion of all others</w:t>
      </w:r>
      <w:r w:rsidR="00890832">
        <w:t>. For the amount requested for this work, the Commission finds the cost per mile for Covered Conductor work for the 2019</w:t>
      </w:r>
      <w:r w:rsidR="006D2955">
        <w:t>–</w:t>
      </w:r>
      <w:r w:rsidR="00890832">
        <w:t xml:space="preserve">2022 period to be an </w:t>
      </w:r>
      <w:r w:rsidRPr="00890832" w:rsidR="00890832">
        <w:t xml:space="preserve">exercise of reasonable judgment </w:t>
      </w:r>
      <w:r w:rsidR="00890832">
        <w:t>for that time period</w:t>
      </w:r>
      <w:r w:rsidRPr="00890832" w:rsidR="00890832">
        <w:t>.</w:t>
      </w:r>
      <w:r w:rsidR="00890832">
        <w:t xml:space="preserve"> </w:t>
      </w:r>
      <w:r w:rsidRPr="00EA6EA3">
        <w:t xml:space="preserve">Accordingly, the Commission approves </w:t>
      </w:r>
      <w:r>
        <w:t xml:space="preserve">initial </w:t>
      </w:r>
      <w:r w:rsidRPr="00EA6EA3">
        <w:t xml:space="preserve">cost recovery for </w:t>
      </w:r>
      <w:r>
        <w:t xml:space="preserve">SDG&amp;E’s </w:t>
      </w:r>
      <w:r w:rsidR="00462A29">
        <w:t>Covered Conductor</w:t>
      </w:r>
      <w:r>
        <w:t xml:space="preserve"> direct costs for the 2019–2022 period of $110.903 million for capital expenditures and </w:t>
      </w:r>
      <w:r w:rsidRPr="007B7AB5">
        <w:t>$3.762 million in O&amp;M expenses</w:t>
      </w:r>
      <w:r w:rsidR="00916A4D">
        <w:t>,</w:t>
      </w:r>
      <w:r>
        <w:t xml:space="preserve"> subject to direct cost reductions in Section 13</w:t>
      </w:r>
      <w:r w:rsidRPr="007B7AB5">
        <w:t>.</w:t>
      </w:r>
    </w:p>
    <w:p w:rsidRPr="00AC1B57" w:rsidR="007253C8" w:rsidP="00645333" w:rsidRDefault="00462A29" w14:paraId="2D7F3904" w14:textId="47BABD1E">
      <w:pPr>
        <w:pStyle w:val="Heading2"/>
      </w:pPr>
      <w:bookmarkStart w:name="_Toc213312263" w:id="36"/>
      <w:r>
        <w:lastRenderedPageBreak/>
        <w:t>Strategic Undergrounding</w:t>
      </w:r>
      <w:bookmarkEnd w:id="36"/>
      <w:r>
        <w:t xml:space="preserve"> </w:t>
      </w:r>
    </w:p>
    <w:p w:rsidR="007253C8" w:rsidP="007253C8" w:rsidRDefault="007253C8" w14:paraId="04BB25AC" w14:textId="1B02D6EB">
      <w:pPr>
        <w:pStyle w:val="Standard"/>
      </w:pPr>
      <w:r>
        <w:t xml:space="preserve">SDG&amp;E’s </w:t>
      </w:r>
      <w:r w:rsidR="00462A29">
        <w:t>Strategic Undergrounding</w:t>
      </w:r>
      <w:r w:rsidRPr="0020313C">
        <w:t xml:space="preserve"> Program </w:t>
      </w:r>
      <w:r>
        <w:t xml:space="preserve">removes </w:t>
      </w:r>
      <w:r w:rsidRPr="0020313C">
        <w:t xml:space="preserve">overhead </w:t>
      </w:r>
      <w:r>
        <w:t xml:space="preserve">electrical distribution </w:t>
      </w:r>
      <w:r w:rsidRPr="0020313C">
        <w:t xml:space="preserve">systems </w:t>
      </w:r>
      <w:r>
        <w:t xml:space="preserve">and places them in trenches or other </w:t>
      </w:r>
      <w:r w:rsidRPr="0020313C">
        <w:t>underground</w:t>
      </w:r>
      <w:r>
        <w:t xml:space="preserve"> distribution systems. SDG&amp;E states that </w:t>
      </w:r>
      <w:r w:rsidR="00462A29">
        <w:t xml:space="preserve">Strategic Undergrounding </w:t>
      </w:r>
      <w:r>
        <w:t>r</w:t>
      </w:r>
      <w:r w:rsidRPr="00315186">
        <w:t xml:space="preserve">educes </w:t>
      </w:r>
      <w:r>
        <w:t xml:space="preserve">the need for PSPS events and reduces </w:t>
      </w:r>
      <w:r w:rsidRPr="00315186">
        <w:t>the risk of ignition related to electrical infrastructure by 98% or greater</w:t>
      </w:r>
      <w:r>
        <w:t xml:space="preserve"> for the following reasons: 1) </w:t>
      </w:r>
      <w:r w:rsidRPr="0020313C">
        <w:t>by moving the infrastructure underground, most faults that can cause an ignition (</w:t>
      </w:r>
      <w:r w:rsidR="005D23AE">
        <w:t>not including</w:t>
      </w:r>
      <w:r w:rsidRPr="0020313C" w:rsidR="005D23AE">
        <w:t xml:space="preserve"> </w:t>
      </w:r>
      <w:r w:rsidRPr="0020313C">
        <w:t>vehicle contact with pad</w:t>
      </w:r>
      <w:r>
        <w:t>-</w:t>
      </w:r>
      <w:r w:rsidRPr="0020313C">
        <w:t>mounted equipment) are mitigated in their entirety</w:t>
      </w:r>
      <w:r>
        <w:t>; 2)</w:t>
      </w:r>
      <w:r w:rsidR="00EB33A9">
        <w:t> </w:t>
      </w:r>
      <w:r>
        <w:t>risk related to failures from aging equipment i</w:t>
      </w:r>
      <w:r w:rsidRPr="0020313C">
        <w:t>s near zero when the infrastructure is underground</w:t>
      </w:r>
      <w:r>
        <w:t xml:space="preserve">; and 3) </w:t>
      </w:r>
      <w:r w:rsidRPr="0020313C">
        <w:t xml:space="preserve">PSPS </w:t>
      </w:r>
      <w:r>
        <w:t xml:space="preserve">events are </w:t>
      </w:r>
      <w:r w:rsidRPr="0020313C">
        <w:t>reduced on circuits that are fully undergrounded as the wind speed and other weather conditions do not impact the infrastructure.</w:t>
      </w:r>
      <w:r>
        <w:rPr>
          <w:rStyle w:val="FootnoteReference"/>
        </w:rPr>
        <w:footnoteReference w:id="152"/>
      </w:r>
      <w:r>
        <w:t xml:space="preserve"> SD</w:t>
      </w:r>
      <w:r w:rsidRPr="00E9475F">
        <w:t xml:space="preserve">G&amp;E </w:t>
      </w:r>
      <w:r>
        <w:t xml:space="preserve">has </w:t>
      </w:r>
      <w:r w:rsidRPr="00E9475F">
        <w:t>deploy</w:t>
      </w:r>
      <w:r>
        <w:t>ed</w:t>
      </w:r>
      <w:r w:rsidRPr="00E9475F">
        <w:t xml:space="preserve"> </w:t>
      </w:r>
      <w:r w:rsidR="00462A29">
        <w:t xml:space="preserve">Strategic Undergrounding </w:t>
      </w:r>
      <w:r w:rsidRPr="00E9475F">
        <w:t>in HFTD</w:t>
      </w:r>
      <w:r>
        <w:t>s</w:t>
      </w:r>
      <w:r w:rsidRPr="00E9475F">
        <w:t xml:space="preserve"> as well as in areas where substantial PSPS-event reductions can be gained through strategic installation of the underground electric system</w:t>
      </w:r>
      <w:r>
        <w:t xml:space="preserve">. SDG&amp;E </w:t>
      </w:r>
      <w:r w:rsidR="00ED26CB">
        <w:t xml:space="preserve">did </w:t>
      </w:r>
      <w:r>
        <w:t xml:space="preserve">this based on its </w:t>
      </w:r>
      <w:r w:rsidRPr="00E9475F">
        <w:t xml:space="preserve">WRRM </w:t>
      </w:r>
      <w:r>
        <w:t xml:space="preserve">and its </w:t>
      </w:r>
      <w:proofErr w:type="spellStart"/>
      <w:r w:rsidRPr="00E9475F">
        <w:t>WiNGS</w:t>
      </w:r>
      <w:proofErr w:type="spellEnd"/>
      <w:r w:rsidRPr="00E9475F">
        <w:t xml:space="preserve">-Planning tool </w:t>
      </w:r>
      <w:r>
        <w:t xml:space="preserve">(used since 2022) </w:t>
      </w:r>
      <w:r w:rsidRPr="00E9475F">
        <w:t xml:space="preserve">to develop its risk reduction goals and the </w:t>
      </w:r>
      <w:r>
        <w:t xml:space="preserve">resulting </w:t>
      </w:r>
      <w:r w:rsidRPr="00E9475F">
        <w:t xml:space="preserve">grid hardening mitigations required. </w:t>
      </w:r>
      <w:r>
        <w:t xml:space="preserve">Such goals include </w:t>
      </w:r>
      <w:r w:rsidRPr="00E9475F">
        <w:t>reduc</w:t>
      </w:r>
      <w:r>
        <w:t>ing</w:t>
      </w:r>
      <w:r w:rsidRPr="00E9475F">
        <w:t xml:space="preserve"> PSPS impacts for critical facilities, including schools</w:t>
      </w:r>
      <w:r>
        <w:t xml:space="preserve">, and those with frequent </w:t>
      </w:r>
      <w:r w:rsidRPr="00E9475F">
        <w:t xml:space="preserve">PSPS events. For instance, SDG&amp;E completed </w:t>
      </w:r>
      <w:r w:rsidR="00462A29">
        <w:t>Strategic Undergrounding</w:t>
      </w:r>
      <w:r w:rsidRPr="00E9475F">
        <w:t xml:space="preserve"> </w:t>
      </w:r>
      <w:r w:rsidR="00365462">
        <w:t xml:space="preserve">of </w:t>
      </w:r>
      <w:r w:rsidRPr="00E9475F">
        <w:t>a section of overhead infrastructure in the Hellhole Canyon area</w:t>
      </w:r>
      <w:r w:rsidRPr="005130B7">
        <w:t>,</w:t>
      </w:r>
      <w:r w:rsidRPr="00E9475F">
        <w:t xml:space="preserve"> which has seen wind gusts over 90 miles per hour. This area experienced</w:t>
      </w:r>
      <w:r>
        <w:t xml:space="preserve"> </w:t>
      </w:r>
      <w:r w:rsidRPr="00E9475F">
        <w:t xml:space="preserve">seven PSPS events in 2019 and 2020 but was not de-energized during SDG&amp;E’s </w:t>
      </w:r>
      <w:r>
        <w:t>2021</w:t>
      </w:r>
      <w:r w:rsidRPr="00E9475F">
        <w:t xml:space="preserve"> PSPS event.</w:t>
      </w:r>
      <w:r>
        <w:rPr>
          <w:rStyle w:val="FootnoteReference"/>
        </w:rPr>
        <w:footnoteReference w:id="153"/>
      </w:r>
    </w:p>
    <w:p w:rsidR="007253C8" w:rsidP="007253C8" w:rsidRDefault="007253C8" w14:paraId="1AA0FB72" w14:textId="57A82E92">
      <w:pPr>
        <w:pStyle w:val="Standard"/>
      </w:pPr>
      <w:r>
        <w:lastRenderedPageBreak/>
        <w:t xml:space="preserve">The </w:t>
      </w:r>
      <w:proofErr w:type="spellStart"/>
      <w:r w:rsidRPr="00C105F6">
        <w:t>WiNGS</w:t>
      </w:r>
      <w:proofErr w:type="spellEnd"/>
      <w:r w:rsidRPr="00C105F6">
        <w:t xml:space="preserve">-Planning </w:t>
      </w:r>
      <w:r>
        <w:t xml:space="preserve">tool </w:t>
      </w:r>
      <w:r w:rsidRPr="00C105F6">
        <w:t>assists in the allocation of grid hardening initiatives across HFTD</w:t>
      </w:r>
      <w:r>
        <w:t>s</w:t>
      </w:r>
      <w:r w:rsidRPr="00C105F6">
        <w:t xml:space="preserve"> based </w:t>
      </w:r>
      <w:r w:rsidRPr="001A4132">
        <w:t>on the M</w:t>
      </w:r>
      <w:r>
        <w:t>ulti-</w:t>
      </w:r>
      <w:r w:rsidRPr="001A4132">
        <w:t>A</w:t>
      </w:r>
      <w:r>
        <w:t xml:space="preserve">ttribute </w:t>
      </w:r>
      <w:r w:rsidRPr="001A4132">
        <w:t>V</w:t>
      </w:r>
      <w:r>
        <w:t xml:space="preserve">ariable </w:t>
      </w:r>
      <w:r w:rsidRPr="001A4132">
        <w:t>F</w:t>
      </w:r>
      <w:r>
        <w:t xml:space="preserve">actor (MAVF) </w:t>
      </w:r>
      <w:r w:rsidRPr="001A4132">
        <w:t>framework in R</w:t>
      </w:r>
      <w:r>
        <w:t xml:space="preserve">isk </w:t>
      </w:r>
      <w:r w:rsidRPr="001A4132">
        <w:t>A</w:t>
      </w:r>
      <w:r>
        <w:t xml:space="preserve">ssessment </w:t>
      </w:r>
      <w:r w:rsidR="00BC4539">
        <w:t xml:space="preserve">and </w:t>
      </w:r>
      <w:r w:rsidRPr="001A4132">
        <w:t>M</w:t>
      </w:r>
      <w:r>
        <w:t>itigation Phase (RAMP)</w:t>
      </w:r>
      <w:r w:rsidRPr="001A4132">
        <w:t xml:space="preserve"> and evaluates both wildfire and PSPS impacts at the sub-circuit/segment level.</w:t>
      </w:r>
      <w:r>
        <w:t xml:space="preserve"> This includes d</w:t>
      </w:r>
      <w:r w:rsidRPr="00C105F6">
        <w:t xml:space="preserve">ata on historic PSPS events, wind conditions, and others </w:t>
      </w:r>
      <w:r>
        <w:t xml:space="preserve">that </w:t>
      </w:r>
      <w:r w:rsidRPr="00C105F6">
        <w:t xml:space="preserve">are reviewed to determine where </w:t>
      </w:r>
      <w:r w:rsidR="00462A29">
        <w:t>Strategic Undergrounding</w:t>
      </w:r>
      <w:r w:rsidRPr="00C105F6">
        <w:t xml:space="preserve"> will have the largest impact.</w:t>
      </w:r>
      <w:r>
        <w:t xml:space="preserve"> Investment decisions are also informed by </w:t>
      </w:r>
      <w:r w:rsidRPr="00C105F6">
        <w:t>RSE</w:t>
      </w:r>
      <w:r>
        <w:t>s</w:t>
      </w:r>
      <w:r w:rsidRPr="00C105F6">
        <w:t>, improving wildfire safety, and limiting the impact of PSPS on customers.</w:t>
      </w:r>
      <w:r>
        <w:rPr>
          <w:rStyle w:val="FootnoteReference"/>
        </w:rPr>
        <w:footnoteReference w:id="154"/>
      </w:r>
    </w:p>
    <w:p w:rsidRPr="00C95396" w:rsidR="007253C8" w:rsidP="007253C8" w:rsidRDefault="007253C8" w14:paraId="2CDB1497" w14:textId="6DCA70FB">
      <w:pPr>
        <w:pStyle w:val="Standard"/>
      </w:pPr>
      <w:r w:rsidRPr="00C95396">
        <w:t xml:space="preserve">To calculate the wildfire risk reduction for </w:t>
      </w:r>
      <w:r w:rsidR="00462A29">
        <w:t>Strategic Undergrounding</w:t>
      </w:r>
      <w:r w:rsidRPr="00C95396">
        <w:t>, data</w:t>
      </w:r>
      <w:r>
        <w:t xml:space="preserve"> were analyzed</w:t>
      </w:r>
      <w:r w:rsidRPr="00C95396">
        <w:t xml:space="preserve"> on historical ignitions associated with underground equipment, pre-mitigation overhead system risk event rate and ignitions rates, and underground mileage completed within the 2019</w:t>
      </w:r>
      <w:r>
        <w:t>–20</w:t>
      </w:r>
      <w:r w:rsidRPr="00C95396">
        <w:t>22 time period</w:t>
      </w:r>
      <w:r>
        <w:t xml:space="preserve">. </w:t>
      </w:r>
      <w:r w:rsidRPr="00C95396">
        <w:t xml:space="preserve">Specifically, the effectiveness of </w:t>
      </w:r>
      <w:r w:rsidR="00462A29">
        <w:t xml:space="preserve">Strategic Undergrounding </w:t>
      </w:r>
      <w:r w:rsidRPr="00C95396">
        <w:t xml:space="preserve">was measured by taking total CPUC-reportable ignitions associated with </w:t>
      </w:r>
      <w:r w:rsidR="00462A29">
        <w:t>Strategic U</w:t>
      </w:r>
      <w:r w:rsidRPr="00C95396">
        <w:t>nderground</w:t>
      </w:r>
      <w:r>
        <w:t>ing</w:t>
      </w:r>
      <w:r w:rsidRPr="00C95396">
        <w:t xml:space="preserve"> and dividing by total ignitions. Based on this analysis, </w:t>
      </w:r>
      <w:r w:rsidR="00462A29">
        <w:t xml:space="preserve">Strategic Undergrounding </w:t>
      </w:r>
      <w:r w:rsidRPr="00C95396">
        <w:t xml:space="preserve">is estimated to have </w:t>
      </w:r>
      <w:r>
        <w:t>prevented</w:t>
      </w:r>
      <w:r w:rsidRPr="00C95396">
        <w:t xml:space="preserve"> 0.67 ignitions and mitigated PSPS impacts to approximately 7,192 customers through 2022.</w:t>
      </w:r>
      <w:r w:rsidRPr="00C95396">
        <w:rPr>
          <w:vertAlign w:val="superscript"/>
        </w:rPr>
        <w:footnoteReference w:id="155"/>
      </w:r>
    </w:p>
    <w:p w:rsidR="007253C8" w:rsidP="007253C8" w:rsidRDefault="007253C8" w14:paraId="6BB1A5F7" w14:textId="5E1F5685">
      <w:pPr>
        <w:pStyle w:val="Standard"/>
      </w:pPr>
      <w:r w:rsidRPr="00C95396">
        <w:t xml:space="preserve">SDG&amp;E’s </w:t>
      </w:r>
      <w:r w:rsidR="00462A29">
        <w:t>Strategic Undergrounding</w:t>
      </w:r>
      <w:r w:rsidRPr="00C95396">
        <w:t xml:space="preserve"> cost recovery request is for</w:t>
      </w:r>
      <w:r>
        <w:t xml:space="preserve"> $241.233 million in direct cost capital </w:t>
      </w:r>
      <w:r w:rsidDel="25DDC7F3">
        <w:t>expenditures</w:t>
      </w:r>
      <w:r w:rsidDel="569F8B8A">
        <w:t xml:space="preserve"> </w:t>
      </w:r>
      <w:r>
        <w:t xml:space="preserve">and $0.176 million in O&amp;M direct costs for the 2019–2022 period for 109.5 miles of </w:t>
      </w:r>
      <w:r w:rsidR="00462A29">
        <w:t>Strategic U</w:t>
      </w:r>
      <w:r>
        <w:t>ndergrounding</w:t>
      </w:r>
      <w:r w:rsidRPr="00554079">
        <w:t>.</w:t>
      </w:r>
      <w:r w:rsidR="00DA04BA">
        <w:t xml:space="preserve"> </w:t>
      </w:r>
      <w:r w:rsidRPr="00DA04BA" w:rsidR="00DA04BA">
        <w:rPr>
          <w:u w:val="single"/>
        </w:rPr>
        <w:t xml:space="preserve">No party contends that SDG&amp;E received funding for this Strategic Undergrounding work during this period, nor that SDG&amp;E accomplished the work by redirecting other wildfire mitigation revenues to complete this work. On this record, the </w:t>
      </w:r>
      <w:r w:rsidRPr="00DA04BA" w:rsidR="00DA04BA">
        <w:rPr>
          <w:u w:val="single"/>
        </w:rPr>
        <w:lastRenderedPageBreak/>
        <w:t>Commission finds SDG&amp;E’s requested Strategic Undergrounding costs to be incremental and just and reasonable.</w:t>
      </w:r>
    </w:p>
    <w:p w:rsidRPr="00D44C69" w:rsidR="007253C8" w:rsidP="00645333" w:rsidRDefault="007253C8" w14:paraId="1938EF04" w14:textId="584F67B0">
      <w:pPr>
        <w:pStyle w:val="Heading3"/>
      </w:pPr>
      <w:bookmarkStart w:name="_Toc213312264" w:id="38"/>
      <w:r w:rsidRPr="00D44C69">
        <w:t>Intervenor Positions and Recommendations</w:t>
      </w:r>
      <w:bookmarkEnd w:id="38"/>
    </w:p>
    <w:p w:rsidRPr="00D509F6" w:rsidR="007253C8" w:rsidP="00645333" w:rsidRDefault="007253C8" w14:paraId="383630B7" w14:textId="2B34141A">
      <w:pPr>
        <w:pStyle w:val="Heading4"/>
      </w:pPr>
      <w:bookmarkStart w:name="_Toc213312265" w:id="39"/>
      <w:r w:rsidRPr="004356CA">
        <w:t>Cal Advocates</w:t>
      </w:r>
      <w:bookmarkEnd w:id="39"/>
    </w:p>
    <w:p w:rsidR="007253C8" w:rsidP="007253C8" w:rsidRDefault="007253C8" w14:paraId="11F7A22B" w14:textId="77777777">
      <w:pPr>
        <w:pStyle w:val="Standard"/>
      </w:pPr>
      <w:r>
        <w:t xml:space="preserve">Cal Advocates </w:t>
      </w:r>
      <w:r w:rsidRPr="00634EE2">
        <w:t xml:space="preserve">recommends </w:t>
      </w:r>
      <w:r w:rsidRPr="00072A2F">
        <w:t>that the Commission remove costs incurred for work outside of Tier 2 and Tier 3 HFTD</w:t>
      </w:r>
      <w:r>
        <w:t>s</w:t>
      </w:r>
      <w:r w:rsidRPr="00072A2F">
        <w:t xml:space="preserve"> from the WMPMA </w:t>
      </w:r>
      <w:r>
        <w:t>b</w:t>
      </w:r>
      <w:r w:rsidRPr="00634EE2">
        <w:t xml:space="preserve">ecause such work is </w:t>
      </w:r>
      <w:r>
        <w:t>inefficient</w:t>
      </w:r>
      <w:r w:rsidRPr="711A917D">
        <w:rPr>
          <w:rStyle w:val="FootnoteReference"/>
        </w:rPr>
        <w:footnoteReference w:id="156"/>
      </w:r>
      <w:r w:rsidRPr="00634EE2">
        <w:t xml:space="preserve"> </w:t>
      </w:r>
      <w:r>
        <w:t xml:space="preserve">and not </w:t>
      </w:r>
      <w:r w:rsidRPr="00634EE2">
        <w:t>consistent with legislation requiring utilities to construct and maintain electrical lines and equipment that minimize risk.</w:t>
      </w:r>
      <w:r w:rsidRPr="00634EE2">
        <w:rPr>
          <w:vertAlign w:val="superscript"/>
        </w:rPr>
        <w:footnoteReference w:id="157"/>
      </w:r>
      <w:r>
        <w:t xml:space="preserve"> </w:t>
      </w:r>
      <w:r w:rsidRPr="00634EE2">
        <w:t>As a result</w:t>
      </w:r>
      <w:r w:rsidRPr="00B672DD">
        <w:t>,</w:t>
      </w:r>
      <w:r w:rsidRPr="00634EE2">
        <w:t xml:space="preserve"> Cal Advocates argues that such </w:t>
      </w:r>
      <w:r w:rsidRPr="00B672DD">
        <w:t xml:space="preserve">unauthorized </w:t>
      </w:r>
      <w:r w:rsidRPr="00634EE2">
        <w:t>work is not a reasonable and prudent use of funds that is accountable to ratepayers.</w:t>
      </w:r>
      <w:r>
        <w:t xml:space="preserve"> For this reason, Cal Advocates recommends a reduction in this cost of</w:t>
      </w:r>
      <w:r w:rsidRPr="00800F5E">
        <w:t xml:space="preserve"> </w:t>
      </w:r>
      <w:r>
        <w:t>$2.100 million in capital expenditures and $1 million in O&amp;M.</w:t>
      </w:r>
      <w:r>
        <w:rPr>
          <w:rStyle w:val="FootnoteReference"/>
        </w:rPr>
        <w:footnoteReference w:id="158"/>
      </w:r>
    </w:p>
    <w:p w:rsidRPr="00645333" w:rsidR="007253C8" w:rsidP="00645333" w:rsidRDefault="007253C8" w14:paraId="6414FC3F" w14:textId="5E1C9F94">
      <w:pPr>
        <w:pStyle w:val="Heading4"/>
      </w:pPr>
      <w:bookmarkStart w:name="_Toc213312266" w:id="40"/>
      <w:r w:rsidRPr="004356CA">
        <w:t>Protect our Communities Foundation</w:t>
      </w:r>
      <w:bookmarkEnd w:id="40"/>
    </w:p>
    <w:p w:rsidR="007253C8" w:rsidP="007253C8" w:rsidRDefault="007253C8" w14:paraId="141DF8AC" w14:textId="08C41AAA">
      <w:pPr>
        <w:pStyle w:val="Standard"/>
      </w:pPr>
      <w:r w:rsidRPr="00924673">
        <w:t xml:space="preserve">PCF argues against authorizing cost recovery for SDG&amp;E’s </w:t>
      </w:r>
      <w:r w:rsidR="00462A29">
        <w:t xml:space="preserve">Strategic Undergrounding </w:t>
      </w:r>
      <w:r w:rsidRPr="003E1DAD">
        <w:t xml:space="preserve">because, according to PCF, </w:t>
      </w:r>
      <w:r>
        <w:t xml:space="preserve">SDG&amp;E itself says </w:t>
      </w:r>
      <w:r w:rsidRPr="003E1DAD">
        <w:t xml:space="preserve">that </w:t>
      </w:r>
      <w:r w:rsidR="00462A29">
        <w:t xml:space="preserve">Strategic Undergrounding </w:t>
      </w:r>
      <w:r w:rsidRPr="00924673">
        <w:t>provide</w:t>
      </w:r>
      <w:r>
        <w:t>s</w:t>
      </w:r>
      <w:r w:rsidRPr="003E1DAD">
        <w:t xml:space="preserve"> an</w:t>
      </w:r>
      <w:r w:rsidRPr="00924673">
        <w:t xml:space="preserve"> insufficient benefit. More specifically, </w:t>
      </w:r>
      <w:bookmarkStart w:name="_Hlk195615473" w:id="41"/>
      <w:r w:rsidRPr="00924673">
        <w:t>PCF contends that an estimated amount of $</w:t>
      </w:r>
      <w:r>
        <w:t>90</w:t>
      </w:r>
      <w:r w:rsidRPr="003E1DAD">
        <w:t xml:space="preserve"> </w:t>
      </w:r>
      <w:r w:rsidRPr="00924673">
        <w:t>million per ignition reduced or avoided in 2019</w:t>
      </w:r>
      <w:r>
        <w:t>–20</w:t>
      </w:r>
      <w:r w:rsidRPr="00924673">
        <w:t xml:space="preserve">22 is </w:t>
      </w:r>
      <w:r w:rsidRPr="003E1DAD">
        <w:t xml:space="preserve">not cost-effective </w:t>
      </w:r>
      <w:r>
        <w:t xml:space="preserve">compared to other wildfire mitigations, </w:t>
      </w:r>
      <w:bookmarkEnd w:id="41"/>
      <w:r>
        <w:t>such as Patrol Inspections of Distribution Equipment</w:t>
      </w:r>
      <w:r w:rsidR="008F7A81">
        <w:t>,</w:t>
      </w:r>
      <w:r>
        <w:t xml:space="preserve"> which PCF says costs </w:t>
      </w:r>
      <w:r w:rsidRPr="00924673">
        <w:t>$125,000 per ignition avoided.</w:t>
      </w:r>
      <w:r w:rsidRPr="00924673">
        <w:rPr>
          <w:vertAlign w:val="superscript"/>
        </w:rPr>
        <w:footnoteReference w:id="159"/>
      </w:r>
    </w:p>
    <w:p w:rsidR="007253C8" w:rsidP="007253C8" w:rsidRDefault="007253C8" w14:paraId="5CD994A8" w14:textId="77777777">
      <w:pPr>
        <w:pStyle w:val="Standard"/>
      </w:pPr>
      <w:r w:rsidRPr="003E1DAD">
        <w:t xml:space="preserve">PCF asserts that it would have been </w:t>
      </w:r>
      <w:bookmarkStart w:name="_Hlk195615906" w:id="42"/>
      <w:r w:rsidRPr="003E1DAD">
        <w:t xml:space="preserve">more cost-effective to equip customers with Behind-the-Meter Solar Plus Storage systems to enable shutdown of the </w:t>
      </w:r>
      <w:r w:rsidRPr="003E1DAD">
        <w:lastRenderedPageBreak/>
        <w:t>existing grid as needed without impacting customer electricity supply reliability.</w:t>
      </w:r>
      <w:bookmarkEnd w:id="42"/>
      <w:r w:rsidRPr="003E1DAD">
        <w:rPr>
          <w:vertAlign w:val="superscript"/>
        </w:rPr>
        <w:footnoteReference w:id="160"/>
      </w:r>
    </w:p>
    <w:p w:rsidR="007253C8" w:rsidP="007253C8" w:rsidRDefault="007253C8" w14:paraId="2228D763" w14:textId="663FACA5">
      <w:pPr>
        <w:pStyle w:val="Standard"/>
      </w:pPr>
      <w:r>
        <w:t xml:space="preserve">Lastly, PCF points out that the CPUC/OEIS 2021 Audit examined and called into question costs spent by SDG&amp;E on </w:t>
      </w:r>
      <w:r w:rsidR="00462A29">
        <w:t>Strategic Undergrounding</w:t>
      </w:r>
      <w:r>
        <w:t>. PCF argues that the</w:t>
      </w:r>
      <w:r w:rsidRPr="00522179">
        <w:t xml:space="preserve"> Commission should determine whether SDG&amp;E complied with the recommendations in the CPUC/OEIS 2021 Audit before authorizing any cost recovery </w:t>
      </w:r>
      <w:r>
        <w:t xml:space="preserve">for </w:t>
      </w:r>
      <w:r w:rsidRPr="00522179">
        <w:t>SDG&amp;E’s spending here.</w:t>
      </w:r>
      <w:r>
        <w:rPr>
          <w:rStyle w:val="FootnoteReference"/>
        </w:rPr>
        <w:footnoteReference w:id="161"/>
      </w:r>
    </w:p>
    <w:p w:rsidRPr="004356CA" w:rsidR="007253C8" w:rsidP="00645333" w:rsidRDefault="007253C8" w14:paraId="13DBA917" w14:textId="7B242712">
      <w:pPr>
        <w:pStyle w:val="Heading4"/>
        <w:rPr>
          <w:b w:val="0"/>
          <w:i/>
          <w:iCs w:val="0"/>
        </w:rPr>
      </w:pPr>
      <w:bookmarkStart w:name="_Toc213312267" w:id="43"/>
      <w:r w:rsidRPr="004356CA">
        <w:t>TURN</w:t>
      </w:r>
      <w:bookmarkEnd w:id="43"/>
    </w:p>
    <w:p w:rsidRPr="00072A2F" w:rsidR="007253C8" w:rsidP="007253C8" w:rsidRDefault="007253C8" w14:paraId="6CF28CB4" w14:textId="56FBA387">
      <w:pPr>
        <w:pStyle w:val="Standard"/>
      </w:pPr>
      <w:bookmarkStart w:name="_Hlk189058012" w:id="44"/>
      <w:r w:rsidRPr="00072A2F">
        <w:t>SDG&amp;E request</w:t>
      </w:r>
      <w:r>
        <w:t>s</w:t>
      </w:r>
      <w:r w:rsidRPr="00072A2F">
        <w:t xml:space="preserve"> that the Commission find its 2019</w:t>
      </w:r>
      <w:r>
        <w:t>–20</w:t>
      </w:r>
      <w:r w:rsidRPr="00072A2F">
        <w:t xml:space="preserve">22 costs to be reasonable </w:t>
      </w:r>
      <w:r w:rsidR="0034022D">
        <w:t xml:space="preserve">partly </w:t>
      </w:r>
      <w:r w:rsidRPr="00072A2F">
        <w:t>based on its WMPs for 2020, 2021, and 2022</w:t>
      </w:r>
      <w:r w:rsidDel="00137343">
        <w:t xml:space="preserve">. </w:t>
      </w:r>
      <w:r>
        <w:t>TURN argues, however</w:t>
      </w:r>
      <w:r w:rsidRPr="00072A2F">
        <w:t xml:space="preserve">, </w:t>
      </w:r>
      <w:r>
        <w:t xml:space="preserve">that </w:t>
      </w:r>
      <w:r w:rsidRPr="00072A2F">
        <w:t>SDG&amp;E</w:t>
      </w:r>
      <w:r w:rsidR="0076089D">
        <w:t>’</w:t>
      </w:r>
      <w:r w:rsidRPr="00072A2F">
        <w:t>s WMPs provide no specific information that supports SDG&amp;E</w:t>
      </w:r>
      <w:r w:rsidRPr="00522179">
        <w:t>’</w:t>
      </w:r>
      <w:r w:rsidRPr="00072A2F">
        <w:t xml:space="preserve">s choices </w:t>
      </w:r>
      <w:r>
        <w:t xml:space="preserve">leading </w:t>
      </w:r>
      <w:r w:rsidRPr="00072A2F">
        <w:t>to the recorded wildfire mitigation costs for which it seeks recovery.</w:t>
      </w:r>
      <w:r w:rsidRPr="00072A2F">
        <w:rPr>
          <w:vertAlign w:val="superscript"/>
        </w:rPr>
        <w:footnoteReference w:id="162"/>
      </w:r>
    </w:p>
    <w:p w:rsidRPr="00072A2F" w:rsidR="007253C8" w:rsidP="00645333" w:rsidRDefault="007253C8" w14:paraId="300CBBD2" w14:textId="1C8AAABB">
      <w:pPr>
        <w:pStyle w:val="Heading3"/>
      </w:pPr>
      <w:bookmarkStart w:name="_Toc213312268" w:id="45"/>
      <w:bookmarkEnd w:id="44"/>
      <w:r w:rsidRPr="009F3AAA">
        <w:t>Discussion</w:t>
      </w:r>
      <w:bookmarkEnd w:id="45"/>
    </w:p>
    <w:p w:rsidR="007253C8" w:rsidP="007253C8" w:rsidRDefault="007253C8" w14:paraId="738E2673" w14:textId="21D254F8">
      <w:pPr>
        <w:pStyle w:val="Standard"/>
      </w:pPr>
      <w:r>
        <w:t xml:space="preserve">As described above, SDG&amp;E supports its request for recovery of its 2019–2022 wildfire mitigation costs </w:t>
      </w:r>
      <w:r w:rsidR="005B4C81">
        <w:t xml:space="preserve">for </w:t>
      </w:r>
      <w:r w:rsidR="00462A29">
        <w:t>Strategic Undergrounding</w:t>
      </w:r>
      <w:r w:rsidR="005B4C81">
        <w:t xml:space="preserve"> </w:t>
      </w:r>
      <w:r>
        <w:t>based on the benefit of reducing ignitions and PSPS events in HFTDs.</w:t>
      </w:r>
      <w:r w:rsidRPr="00B206C7">
        <w:rPr>
          <w:vertAlign w:val="superscript"/>
        </w:rPr>
        <w:footnoteReference w:id="163"/>
      </w:r>
      <w:r>
        <w:t xml:space="preserve"> To evaluate SDG&amp;E’s request, the Commission takes into consideration the evolving nature of wildfire risk, wildfire risk mitigation requirements, their risk analysis, WMPs, and their cost-effectiveness during this time period as fire threats and the responses to them have increased across the state. None of the work performed for these costs was fully anticipated or authorized in the last GRC. As such, the Commission </w:t>
      </w:r>
      <w:r>
        <w:lastRenderedPageBreak/>
        <w:t xml:space="preserve">finds </w:t>
      </w:r>
      <w:r w:rsidR="005B4C81">
        <w:t>SDG&amp;E’s requested</w:t>
      </w:r>
      <w:r>
        <w:t xml:space="preserve"> costs to be incremental. In other words, the domains of wildfire risk and the above issues related to it, along with the information required to evaluate the prudency and reasonableness of these costs, have </w:t>
      </w:r>
      <w:r w:rsidR="001866E5">
        <w:t>changed with each WMP approval</w:t>
      </w:r>
      <w:r>
        <w:t xml:space="preserve"> during this time period. </w:t>
      </w:r>
      <w:r w:rsidRPr="00DA718D">
        <w:t>SDG&amp;E</w:t>
      </w:r>
      <w:r w:rsidR="002D654C">
        <w:t xml:space="preserve"> </w:t>
      </w:r>
      <w:r w:rsidRPr="00DA718D">
        <w:t>develop</w:t>
      </w:r>
      <w:r w:rsidR="00B80498">
        <w:t>ed</w:t>
      </w:r>
      <w:r w:rsidRPr="00DA718D">
        <w:t xml:space="preserve"> risk assessment and modeling processes at the same time as it was </w:t>
      </w:r>
      <w:r>
        <w:t xml:space="preserve">performing wildfire </w:t>
      </w:r>
      <w:r w:rsidRPr="00DA718D">
        <w:t>mitigation</w:t>
      </w:r>
      <w:r>
        <w:t xml:space="preserve"> work to reduce wildfires. Under such circumstances, the Commission finds that SDG&amp;E has provided sufficient information for the 2019–2022 period to find </w:t>
      </w:r>
      <w:r w:rsidR="006A0985">
        <w:t xml:space="preserve">its requested </w:t>
      </w:r>
      <w:r w:rsidR="00462A29">
        <w:t>Strategic Undergrounding</w:t>
      </w:r>
      <w:r>
        <w:t xml:space="preserve"> costs just and reasonable.</w:t>
      </w:r>
    </w:p>
    <w:p w:rsidR="007253C8" w:rsidP="007253C8" w:rsidRDefault="007253C8" w14:paraId="2F660EB4" w14:textId="282603D1">
      <w:pPr>
        <w:pStyle w:val="Standard"/>
      </w:pPr>
      <w:r>
        <w:t xml:space="preserve">PCF argues that the estimated amount of $90 million per ignition reduced or avoided for </w:t>
      </w:r>
      <w:r w:rsidR="00462A29">
        <w:t>Strategic Undergrounding</w:t>
      </w:r>
      <w:r>
        <w:t xml:space="preserve"> during the 2019–2022 period is not cost-effective compared to other wildfire mitigations, such as Patrol Inspections of Distribution Equipment</w:t>
      </w:r>
      <w:r w:rsidR="00D86838">
        <w:t>,</w:t>
      </w:r>
      <w:r>
        <w:t xml:space="preserve"> which costs $125,000 per ignition avoided. This argument does not take into consideration the complexity of the evolution of wildfire risk and related issues. Using PCF’s information, even if patrol inspections may be cheaper per ignition avoided under some circumstances, they would be ineffective at avoiding high consequence fires under the circumstances of high fire danger in a HFTD. Moreover, even if equipping customers with Behind-the-Meter Solar Plus Storage systems may have</w:t>
      </w:r>
      <w:r w:rsidR="005808FA">
        <w:t xml:space="preserve"> had some</w:t>
      </w:r>
      <w:r>
        <w:t xml:space="preserve"> merit, there is an insufficient record to demonstrate that it was a viable alternative to all </w:t>
      </w:r>
      <w:r w:rsidR="00462A29">
        <w:t>Strategic Undergrounding</w:t>
      </w:r>
      <w:r>
        <w:t xml:space="preserve"> during the 2019–2022 period.</w:t>
      </w:r>
    </w:p>
    <w:p w:rsidR="007253C8" w:rsidP="007253C8" w:rsidRDefault="007253C8" w14:paraId="794ECBDB" w14:textId="0FF6EA86">
      <w:pPr>
        <w:pStyle w:val="Standard"/>
      </w:pPr>
      <w:r>
        <w:t xml:space="preserve">At the very least, given the high degree with which </w:t>
      </w:r>
      <w:r w:rsidR="00462A29">
        <w:t>Strategic Undergrounding</w:t>
      </w:r>
      <w:r>
        <w:t xml:space="preserve"> can reduce risk under the highest risk circumstances, the Commission finds SDG&amp;E was prudent in strategically </w:t>
      </w:r>
      <w:r w:rsidR="00D51D99">
        <w:t>u</w:t>
      </w:r>
      <w:r w:rsidR="00462A29">
        <w:t>ndergrounding</w:t>
      </w:r>
      <w:r>
        <w:t xml:space="preserve"> electric distribution lines, especially in the highest risk areas. S</w:t>
      </w:r>
      <w:r w:rsidRPr="00D015B2">
        <w:t xml:space="preserve">DG&amp;E aimed </w:t>
      </w:r>
      <w:r>
        <w:t xml:space="preserve">its early </w:t>
      </w:r>
      <w:r w:rsidR="00462A29">
        <w:t xml:space="preserve">Strategic Undergrounding </w:t>
      </w:r>
      <w:r>
        <w:t xml:space="preserve">work </w:t>
      </w:r>
      <w:r w:rsidRPr="00D015B2">
        <w:t xml:space="preserve">to reduce PSPS impacts for critical facilities, </w:t>
      </w:r>
      <w:r w:rsidRPr="00D015B2">
        <w:lastRenderedPageBreak/>
        <w:t>including schools, or other areas with frequent PSPS events.</w:t>
      </w:r>
      <w:r>
        <w:t xml:space="preserve"> As a result, the Commission finds the cost</w:t>
      </w:r>
      <w:r w:rsidR="006A0985">
        <w:t>s</w:t>
      </w:r>
      <w:r>
        <w:t xml:space="preserve"> recorded during the 2019–2022 period to be reasonable.</w:t>
      </w:r>
    </w:p>
    <w:p w:rsidR="007253C8" w:rsidP="007253C8" w:rsidRDefault="007253C8" w14:paraId="5EEF80CD" w14:textId="3E5F25CA">
      <w:pPr>
        <w:pStyle w:val="Standard"/>
      </w:pPr>
      <w:r>
        <w:t>Cal Advocates recommends a reduction of $</w:t>
      </w:r>
      <w:r w:rsidRPr="000C3284">
        <w:t>2.100 million in capital expenditures and $1 million in O&amp;M</w:t>
      </w:r>
      <w:r>
        <w:t>, to r</w:t>
      </w:r>
      <w:r w:rsidRPr="000C3284">
        <w:t>emove costs incurred for work outside of Tier 2 and Tier 3 HFTD from the WMPMA</w:t>
      </w:r>
      <w:r>
        <w:t>,</w:t>
      </w:r>
      <w:r w:rsidRPr="000C3284">
        <w:t xml:space="preserve"> </w:t>
      </w:r>
      <w:r w:rsidR="007C418F">
        <w:t>arguing</w:t>
      </w:r>
      <w:r w:rsidRPr="000C3284" w:rsidR="007C418F">
        <w:t xml:space="preserve"> </w:t>
      </w:r>
      <w:r w:rsidRPr="000C3284">
        <w:t xml:space="preserve">such work is </w:t>
      </w:r>
      <w:r>
        <w:t xml:space="preserve">inefficient and </w:t>
      </w:r>
      <w:r w:rsidRPr="000C3284">
        <w:t>not consistent with legislation requiring utilities to construct and maintain electrical lines and equipment that minimize risk</w:t>
      </w:r>
      <w:r>
        <w:t>.</w:t>
      </w:r>
      <w:r w:rsidRPr="000C3284">
        <w:rPr>
          <w:vertAlign w:val="superscript"/>
        </w:rPr>
        <w:footnoteReference w:id="164"/>
      </w:r>
      <w:r>
        <w:t xml:space="preserve"> </w:t>
      </w:r>
      <w:r w:rsidR="004C2825">
        <w:t>As discussed</w:t>
      </w:r>
      <w:r>
        <w:t xml:space="preserve"> </w:t>
      </w:r>
      <w:r w:rsidR="004C2825">
        <w:t xml:space="preserve">above regarding DOSH and </w:t>
      </w:r>
      <w:r w:rsidR="00462A29">
        <w:t>Covered Conductor</w:t>
      </w:r>
      <w:r>
        <w:t>,</w:t>
      </w:r>
      <w:r w:rsidR="004C2825">
        <w:t xml:space="preserve"> the Commission does not find</w:t>
      </w:r>
      <w:r>
        <w:t xml:space="preserve"> this recommendation </w:t>
      </w:r>
      <w:r w:rsidR="004C2825">
        <w:t>to be supported</w:t>
      </w:r>
      <w:r>
        <w:t xml:space="preserve">. The Commission finds the small percentage of work outside the HFTD to be reasonable given there is not a clear-cut boundary while accommodating </w:t>
      </w:r>
      <w:r w:rsidRPr="005C4B1A">
        <w:t>the design of SDG&amp;E’s existing infrastructure and address</w:t>
      </w:r>
      <w:r>
        <w:t>ing</w:t>
      </w:r>
      <w:r w:rsidRPr="005C4B1A">
        <w:t xml:space="preserve"> known risk</w:t>
      </w:r>
      <w:r>
        <w:t>, as described by SDG&amp;E.</w:t>
      </w:r>
      <w:r>
        <w:rPr>
          <w:rStyle w:val="FootnoteReference"/>
        </w:rPr>
        <w:footnoteReference w:id="165"/>
      </w:r>
    </w:p>
    <w:p w:rsidR="007253C8" w:rsidP="007253C8" w:rsidRDefault="007253C8" w14:paraId="252D1636" w14:textId="77777777">
      <w:pPr>
        <w:pStyle w:val="Standard"/>
      </w:pPr>
      <w:r>
        <w:t>PCF claims t</w:t>
      </w:r>
      <w:r w:rsidRPr="00096DBE">
        <w:t>he CPUC/OEIS 2021 Audit</w:t>
      </w:r>
      <w:r>
        <w:t xml:space="preserve"> found that </w:t>
      </w:r>
      <w:r w:rsidRPr="00096DBE">
        <w:t xml:space="preserve">SDG&amp;E underspent </w:t>
      </w:r>
      <w:r>
        <w:t xml:space="preserve">and redirected </w:t>
      </w:r>
      <w:r w:rsidRPr="00096DBE">
        <w:t xml:space="preserve">a total of $240 </w:t>
      </w:r>
      <w:r>
        <w:t>m</w:t>
      </w:r>
      <w:r w:rsidRPr="00096DBE">
        <w:t>illion of GRC-adopted electric capital costs for 2019 and 2020.</w:t>
      </w:r>
      <w:r>
        <w:rPr>
          <w:rStyle w:val="FootnoteReference"/>
        </w:rPr>
        <w:footnoteReference w:id="166"/>
      </w:r>
      <w:r>
        <w:t xml:space="preserve"> The Commission finds PCF’s </w:t>
      </w:r>
      <w:r w:rsidRPr="00096DBE">
        <w:t>rational</w:t>
      </w:r>
      <w:r>
        <w:t>e</w:t>
      </w:r>
      <w:r w:rsidRPr="00096DBE">
        <w:t xml:space="preserve"> for denying </w:t>
      </w:r>
      <w:r>
        <w:t xml:space="preserve">this </w:t>
      </w:r>
      <w:r w:rsidRPr="00096DBE">
        <w:t>cost re</w:t>
      </w:r>
      <w:r>
        <w:t xml:space="preserve">covery to be unsupported for two reasons. First, by expanding the review of SDG&amp;E wildfire mitigation spending to include years 2021 and 2022, which is not covered by the </w:t>
      </w:r>
      <w:r w:rsidRPr="00096DBE">
        <w:t>CPUC/OEIS 2021 Audit</w:t>
      </w:r>
      <w:r>
        <w:t xml:space="preserve">, the Commission finds no underspending. Second, SDG&amp;E is </w:t>
      </w:r>
      <w:r w:rsidRPr="00E36C07">
        <w:t>allowed the flexibility to reprioritize authorized funds in order to ensure safe and reliable operations.</w:t>
      </w:r>
      <w:r>
        <w:rPr>
          <w:rStyle w:val="FootnoteReference"/>
        </w:rPr>
        <w:footnoteReference w:id="167"/>
      </w:r>
      <w:r>
        <w:t xml:space="preserve"> The evidence </w:t>
      </w:r>
      <w:r>
        <w:lastRenderedPageBreak/>
        <w:t>does not show that the redirected funds were inconsistent with providing safe and reliable operations.</w:t>
      </w:r>
    </w:p>
    <w:p w:rsidR="00FF69DC" w:rsidP="007253C8" w:rsidRDefault="007253C8" w14:paraId="2B90C61C" w14:textId="5B764D12">
      <w:pPr>
        <w:pStyle w:val="Standard"/>
      </w:pPr>
      <w:r>
        <w:t xml:space="preserve">The 2019 Wildfire Legislation requires electrical corporations to submit WMPs that minimize risk, but no legislation or regulation determines how much wildfire risk to reduce nor at what cost. </w:t>
      </w:r>
      <w:r w:rsidR="00462A29">
        <w:t>Strategic Undergrounding</w:t>
      </w:r>
      <w:r>
        <w:t xml:space="preserve"> provides a high degree of risk reduction at a high cost, so the reasonableness of the amount of </w:t>
      </w:r>
      <w:r w:rsidR="00462A29">
        <w:t>Strategic Undergrounding</w:t>
      </w:r>
      <w:r>
        <w:t xml:space="preserve"> in miles and at what cost is a difficult question. For the 2024–2027 period, the Commission approved forecasts to underground 140 miles of electrical distribution lines and to install 400 miles of </w:t>
      </w:r>
      <w:r w:rsidR="00462A29">
        <w:t>Covered Conductor</w:t>
      </w:r>
      <w:r>
        <w:t>.</w:t>
      </w:r>
      <w:r w:rsidRPr="7FA93A28">
        <w:rPr>
          <w:rStyle w:val="FootnoteReference"/>
        </w:rPr>
        <w:footnoteReference w:id="168"/>
      </w:r>
      <w:r>
        <w:t xml:space="preserve"> With regard to the total requested by SDG&amp;E for </w:t>
      </w:r>
      <w:r w:rsidR="00462A29">
        <w:t>Strategic Undergrounding</w:t>
      </w:r>
      <w:r>
        <w:t xml:space="preserve"> for the 2019–2022 period, the Commission finds that </w:t>
      </w:r>
      <w:bookmarkStart w:name="_Hlk217659308" w:id="46"/>
      <w:r>
        <w:t xml:space="preserve">the profile of </w:t>
      </w:r>
      <w:r w:rsidRPr="006A641A">
        <w:t>SDG&amp;E’s wildfire mitigation</w:t>
      </w:r>
      <w:r>
        <w:t>s</w:t>
      </w:r>
      <w:r w:rsidRPr="006A641A">
        <w:t xml:space="preserve"> </w:t>
      </w:r>
      <w:r>
        <w:t>by miles of DOSH</w:t>
      </w:r>
      <w:r w:rsidRPr="006A641A">
        <w:t xml:space="preserve"> plus </w:t>
      </w:r>
      <w:r w:rsidR="00462A29">
        <w:t>Covered Conductor</w:t>
      </w:r>
      <w:r w:rsidRPr="006A641A">
        <w:t xml:space="preserve"> </w:t>
      </w:r>
      <w:r>
        <w:t>during the 2019–2022 period</w:t>
      </w:r>
      <w:r>
        <w:rPr>
          <w:rStyle w:val="FootnoteReference"/>
        </w:rPr>
        <w:footnoteReference w:id="169"/>
      </w:r>
      <w:r>
        <w:t xml:space="preserve"> </w:t>
      </w:r>
      <w:r w:rsidRPr="006A641A">
        <w:t xml:space="preserve">is similar to the </w:t>
      </w:r>
      <w:r>
        <w:t xml:space="preserve">profile </w:t>
      </w:r>
      <w:r w:rsidRPr="006A641A">
        <w:t>of the same work approved by the Commission in Track 1 of this proceeding</w:t>
      </w:r>
      <w:r>
        <w:t>.</w:t>
      </w:r>
      <w:r w:rsidDel="52BFEC1D">
        <w:t xml:space="preserve"> </w:t>
      </w:r>
      <w:r>
        <w:t>SDG&amp;E also employed the three methods of system hardening close to the amounts forecasted in its WMPs, or less, in terms of miles and cost during the 2019-2022 period</w:t>
      </w:r>
      <w:bookmarkEnd w:id="46"/>
      <w:r>
        <w:t>. As a result, and upon considering all of</w:t>
      </w:r>
      <w:r w:rsidDel="52BFEC1D">
        <w:t xml:space="preserve"> the parties’ arguments </w:t>
      </w:r>
      <w:r>
        <w:t xml:space="preserve">above, the Commission finds SDG&amp;E’s cost recovery request for </w:t>
      </w:r>
      <w:r w:rsidR="00462A29">
        <w:t>Strategic Undergrounding</w:t>
      </w:r>
      <w:r>
        <w:t xml:space="preserve"> for the 2019–2022 period in the amount of</w:t>
      </w:r>
      <w:r w:rsidRPr="119102C1">
        <w:t xml:space="preserve"> </w:t>
      </w:r>
      <w:r>
        <w:t>$241.233 million capital and $0.176 million O&amp;M plus the associated indirect costs to be reasonable as an initial authorization subject to direct cost reductions as described in Section 13.</w:t>
      </w:r>
    </w:p>
    <w:p w:rsidR="00DA19D1" w:rsidP="007253C8" w:rsidRDefault="00FF69DC" w14:paraId="1DDBF158" w14:textId="6477A49F">
      <w:pPr>
        <w:pStyle w:val="Standard"/>
      </w:pPr>
      <w:r>
        <w:lastRenderedPageBreak/>
        <w:t xml:space="preserve">Both PCF </w:t>
      </w:r>
      <w:r w:rsidR="003B0088">
        <w:t xml:space="preserve">and TURN </w:t>
      </w:r>
      <w:r>
        <w:t xml:space="preserve">argue that </w:t>
      </w:r>
      <w:r w:rsidR="00172E12">
        <w:t>SDG&amp;E’s request for Strategic</w:t>
      </w:r>
      <w:r w:rsidR="00614F87">
        <w:t xml:space="preserve"> Undergrounding</w:t>
      </w:r>
      <w:r w:rsidR="00172E12">
        <w:t xml:space="preserve"> cost recovery should be denied because </w:t>
      </w:r>
      <w:r w:rsidR="00392A20">
        <w:t xml:space="preserve">of </w:t>
      </w:r>
      <w:r w:rsidR="00172E12">
        <w:t>its</w:t>
      </w:r>
      <w:r w:rsidR="000806B4">
        <w:rPr>
          <w:rStyle w:val="CommentReference"/>
        </w:rPr>
        <w:t xml:space="preserve"> </w:t>
      </w:r>
      <w:r w:rsidR="00172E12">
        <w:t>deficient showing of cost</w:t>
      </w:r>
      <w:r w:rsidR="006B6145">
        <w:t>-</w:t>
      </w:r>
      <w:r w:rsidR="00172E12">
        <w:t>effectiveness.</w:t>
      </w:r>
      <w:r w:rsidR="00172E12">
        <w:rPr>
          <w:rStyle w:val="FootnoteReference"/>
        </w:rPr>
        <w:footnoteReference w:id="170"/>
      </w:r>
      <w:r w:rsidR="00172E12">
        <w:t xml:space="preserve"> </w:t>
      </w:r>
      <w:r w:rsidR="003B0088">
        <w:t xml:space="preserve">PCF </w:t>
      </w:r>
      <w:r w:rsidR="006B6145">
        <w:t xml:space="preserve">contends that greater consideration should be given to the </w:t>
      </w:r>
      <w:r w:rsidRPr="003B0088" w:rsidR="003B0088">
        <w:t>cost to reduce one ignition</w:t>
      </w:r>
      <w:r w:rsidR="006B6145">
        <w:t xml:space="preserve"> </w:t>
      </w:r>
      <w:r w:rsidR="003B0088">
        <w:t xml:space="preserve">and </w:t>
      </w:r>
      <w:r w:rsidR="006B6145">
        <w:t xml:space="preserve">the alternative of </w:t>
      </w:r>
      <w:r w:rsidR="003B0088">
        <w:t>solar</w:t>
      </w:r>
      <w:r w:rsidR="006B6145">
        <w:t>-</w:t>
      </w:r>
      <w:r w:rsidR="003B0088">
        <w:t>plus</w:t>
      </w:r>
      <w:r w:rsidR="006B6145">
        <w:t>-</w:t>
      </w:r>
      <w:r w:rsidR="003B0088">
        <w:t>storage</w:t>
      </w:r>
      <w:r w:rsidR="006E64E4">
        <w:t xml:space="preserve"> (SPS)</w:t>
      </w:r>
      <w:r w:rsidR="006B6145">
        <w:t xml:space="preserve">. As a remedy for SDG&amp;E’s insufficient showing of cost-effectiveness, TURN proposes that the cost authorized should be </w:t>
      </w:r>
      <w:r w:rsidR="00870D08">
        <w:t xml:space="preserve">simply </w:t>
      </w:r>
      <w:r w:rsidR="006B6145">
        <w:t xml:space="preserve">limited to an amount </w:t>
      </w:r>
      <w:r w:rsidRPr="006B6145" w:rsidR="006B6145">
        <w:t>that was approximate</w:t>
      </w:r>
      <w:r w:rsidR="006B6145">
        <w:t>ly</w:t>
      </w:r>
      <w:r w:rsidRPr="006B6145" w:rsidR="006B6145">
        <w:t xml:space="preserve"> 15% higher than the amount authorized for Covered Conductor</w:t>
      </w:r>
      <w:r w:rsidR="00870D08">
        <w:t>.</w:t>
      </w:r>
      <w:r w:rsidR="006B6145">
        <w:rPr>
          <w:rStyle w:val="FootnoteReference"/>
        </w:rPr>
        <w:footnoteReference w:id="171"/>
      </w:r>
    </w:p>
    <w:p w:rsidR="003B0088" w:rsidP="007253C8" w:rsidRDefault="00870D08" w14:paraId="06EB001D" w14:textId="06F8430D">
      <w:pPr>
        <w:pStyle w:val="Standard"/>
      </w:pPr>
      <w:r>
        <w:t>Alt</w:t>
      </w:r>
      <w:r w:rsidR="006B6145">
        <w:t>hough cost-effectiveness</w:t>
      </w:r>
      <w:r w:rsidR="00E86FDE">
        <w:t xml:space="preserve"> is</w:t>
      </w:r>
      <w:r w:rsidR="006B6145">
        <w:t xml:space="preserve"> a valid concern, the Commission </w:t>
      </w:r>
      <w:r w:rsidR="00E56B64">
        <w:t xml:space="preserve">is unpersuaded by intervenor arguments </w:t>
      </w:r>
      <w:r w:rsidR="00661EAB">
        <w:t xml:space="preserve">claiming </w:t>
      </w:r>
      <w:r w:rsidR="001C6429">
        <w:t xml:space="preserve">their </w:t>
      </w:r>
      <w:r w:rsidR="006B6145">
        <w:t>proposed alternatives</w:t>
      </w:r>
      <w:r w:rsidR="006E64E4">
        <w:t xml:space="preserve"> </w:t>
      </w:r>
      <w:r w:rsidR="00E56B64">
        <w:t xml:space="preserve">were superior </w:t>
      </w:r>
      <w:r w:rsidR="006D7E29">
        <w:t xml:space="preserve">alternatives </w:t>
      </w:r>
      <w:r w:rsidR="006E64E4">
        <w:t xml:space="preserve">compared to SDG&amp;E’s. PCF fails to </w:t>
      </w:r>
      <w:r w:rsidR="00B52FA3">
        <w:t>demonstrate</w:t>
      </w:r>
      <w:r w:rsidR="006E64E4">
        <w:t xml:space="preserve"> how much </w:t>
      </w:r>
      <w:r w:rsidR="00642825">
        <w:t xml:space="preserve">– if any - </w:t>
      </w:r>
      <w:r w:rsidR="006E64E4">
        <w:t>SPS can substitute for undergrounding,</w:t>
      </w:r>
      <w:r>
        <w:t xml:space="preserve"> and</w:t>
      </w:r>
      <w:r w:rsidR="006E64E4">
        <w:t xml:space="preserve"> TURN’s proposal is limited to a</w:t>
      </w:r>
      <w:r w:rsidR="00DA19D1">
        <w:t xml:space="preserve"> simple increase of 15% over the amount for Covered Conductor</w:t>
      </w:r>
      <w:r>
        <w:t xml:space="preserve">. </w:t>
      </w:r>
      <w:r w:rsidRPr="00870D08">
        <w:t xml:space="preserve">Based on the record submitted, the Commission finds that SDG&amp;E met its burden to support its position </w:t>
      </w:r>
      <w:r w:rsidRPr="001860D0" w:rsidR="001860D0">
        <w:t xml:space="preserve">in light of facts known or which should have been known at the time </w:t>
      </w:r>
      <w:r w:rsidR="002E1941">
        <w:t>its</w:t>
      </w:r>
      <w:r w:rsidRPr="001860D0" w:rsidR="001860D0">
        <w:t xml:space="preserve"> decision was made</w:t>
      </w:r>
      <w:r w:rsidR="00BD5929">
        <w:t>, including utility system needs,</w:t>
      </w:r>
      <w:r w:rsidR="001860D0">
        <w:t xml:space="preserve"> </w:t>
      </w:r>
      <w:r w:rsidR="00461DF3">
        <w:t>and rejects</w:t>
      </w:r>
      <w:r w:rsidRPr="00870D08">
        <w:t xml:space="preserve"> intervenors</w:t>
      </w:r>
      <w:r w:rsidR="009F7D99">
        <w:t>’</w:t>
      </w:r>
      <w:r w:rsidRPr="00870D08">
        <w:t xml:space="preserve"> positions</w:t>
      </w:r>
      <w:r w:rsidR="00A056C7">
        <w:t xml:space="preserve"> </w:t>
      </w:r>
      <w:r w:rsidR="00461DF3">
        <w:t>based on the record evidence</w:t>
      </w:r>
      <w:r w:rsidR="00A056C7">
        <w:t>.</w:t>
      </w:r>
    </w:p>
    <w:p w:rsidR="007253C8" w:rsidP="007253C8" w:rsidRDefault="007253C8" w14:paraId="4DB9D202" w14:textId="2F8D6868">
      <w:pPr>
        <w:pStyle w:val="Standard"/>
        <w:rPr>
          <w:b/>
          <w:bCs/>
        </w:rPr>
      </w:pPr>
      <w:r>
        <w:t xml:space="preserve">However, this does not mean that </w:t>
      </w:r>
      <w:r w:rsidR="00462A29">
        <w:t>Strategic Undergrounding</w:t>
      </w:r>
      <w:r>
        <w:t>, in the same amount,</w:t>
      </w:r>
      <w:r w:rsidDel="52BFEC1D">
        <w:t xml:space="preserve"> </w:t>
      </w:r>
      <w:r>
        <w:t xml:space="preserve">will continue to be prudent and reasonable in later years. </w:t>
      </w:r>
      <w:r w:rsidDel="52BFEC1D">
        <w:t xml:space="preserve">Rather, </w:t>
      </w:r>
      <w:r>
        <w:t>circumstances change and information regarding</w:t>
      </w:r>
      <w:r w:rsidDel="52BFEC1D">
        <w:t xml:space="preserve"> wildfire risk and its related issues continue</w:t>
      </w:r>
      <w:r w:rsidR="00CB0E43">
        <w:t>s</w:t>
      </w:r>
      <w:r>
        <w:t xml:space="preserve"> to evolve. As stated in Track 1 of this proceeding, the Commission expects SDG&amp;E’s risk analysis to continue to improve in future GRCs and applications for cost recovery.</w:t>
      </w:r>
      <w:r>
        <w:rPr>
          <w:rStyle w:val="FootnoteReference"/>
        </w:rPr>
        <w:footnoteReference w:id="172"/>
      </w:r>
    </w:p>
    <w:p w:rsidRPr="00A31627" w:rsidR="007253C8" w:rsidP="00645333" w:rsidRDefault="007253C8" w14:paraId="6CBA8000" w14:textId="2B35D8A4">
      <w:pPr>
        <w:pStyle w:val="Heading2"/>
      </w:pPr>
      <w:bookmarkStart w:name="_Toc213312269" w:id="47"/>
      <w:r w:rsidRPr="001A2564">
        <w:lastRenderedPageBreak/>
        <w:t xml:space="preserve">Other </w:t>
      </w:r>
      <w:r w:rsidRPr="00A31627">
        <w:t>Work Performed Outside HFTD Tiers 2 or 3</w:t>
      </w:r>
      <w:bookmarkEnd w:id="47"/>
    </w:p>
    <w:p w:rsidR="007253C8" w:rsidP="007253C8" w:rsidRDefault="007253C8" w14:paraId="49CD61B5" w14:textId="77777777">
      <w:pPr>
        <w:pStyle w:val="Standard"/>
      </w:pPr>
      <w:r w:rsidRPr="001A2564">
        <w:t>Pub. Util. Code Section 8386(a)</w:t>
      </w:r>
      <w:r>
        <w:t xml:space="preserve"> requires </w:t>
      </w:r>
      <w:r w:rsidRPr="001A2564">
        <w:t>utilities to construct and maintain electrical lines and equipment that minimize risk</w:t>
      </w:r>
      <w:r>
        <w:t>. The highest wildfire risk areas are mapped within HFTD Tiers 2 and 3.</w:t>
      </w:r>
    </w:p>
    <w:p w:rsidR="007253C8" w:rsidP="007253C8" w:rsidRDefault="007253C8" w14:paraId="672A3132" w14:textId="77777777">
      <w:pPr>
        <w:pStyle w:val="Standard"/>
      </w:pPr>
      <w:r w:rsidRPr="00A961D8">
        <w:t xml:space="preserve">Cal Advocates recommends that the Commission </w:t>
      </w:r>
      <w:r>
        <w:t xml:space="preserve">deny SDG&amp;E recovery of WMPMA </w:t>
      </w:r>
      <w:r w:rsidRPr="00A961D8">
        <w:t>costs incurred for work outside of Tier 2 and Tier 3 HFTD</w:t>
      </w:r>
      <w:r>
        <w:t>s</w:t>
      </w:r>
      <w:r w:rsidRPr="00A961D8">
        <w:t xml:space="preserve"> because such work is not consistent with legislat</w:t>
      </w:r>
      <w:r>
        <w:t>ive mandates to reduce risk. More specifically, Cal Advocates recommends reducing cost recovery by the amounts shown in the table below for the work performed outside HFTDs for each of the listed GD&amp;SH initiatives.</w:t>
      </w:r>
    </w:p>
    <w:p w:rsidRPr="00073C22" w:rsidR="007253C8" w:rsidP="007253C8" w:rsidRDefault="007253C8" w14:paraId="58AE4033" w14:textId="77777777">
      <w:pPr>
        <w:pStyle w:val="Standard"/>
        <w:ind w:firstLine="0"/>
        <w:jc w:val="center"/>
        <w:rPr>
          <w:b/>
          <w:bCs/>
        </w:rPr>
      </w:pPr>
      <w:r w:rsidRPr="18124A6B">
        <w:rPr>
          <w:b/>
          <w:bCs/>
        </w:rPr>
        <w:t xml:space="preserve">Table 4.5 </w:t>
      </w:r>
    </w:p>
    <w:p w:rsidRPr="00073C22" w:rsidR="007253C8" w:rsidP="007253C8" w:rsidRDefault="007253C8" w14:paraId="2FE1DA17" w14:textId="1B090CC9">
      <w:pPr>
        <w:pStyle w:val="Standard"/>
        <w:ind w:firstLine="0"/>
        <w:jc w:val="center"/>
        <w:rPr>
          <w:b/>
        </w:rPr>
      </w:pPr>
      <w:r w:rsidRPr="18124A6B">
        <w:rPr>
          <w:b/>
          <w:bCs/>
        </w:rPr>
        <w:t>System Hardening Recommended Reductions</w:t>
      </w:r>
      <w:r w:rsidR="00496F72">
        <w:rPr>
          <w:b/>
          <w:bCs/>
        </w:rPr>
        <w:t xml:space="preserve"> ($million)</w:t>
      </w:r>
    </w:p>
    <w:tbl>
      <w:tblPr>
        <w:tblW w:w="9350" w:type="dxa"/>
        <w:tblLook w:val="04A0" w:firstRow="1" w:lastRow="0" w:firstColumn="1" w:lastColumn="0" w:noHBand="0" w:noVBand="1"/>
      </w:tblPr>
      <w:tblGrid>
        <w:gridCol w:w="2929"/>
        <w:gridCol w:w="2205"/>
        <w:gridCol w:w="2156"/>
        <w:gridCol w:w="2060"/>
      </w:tblGrid>
      <w:tr w:rsidR="007253C8" w:rsidTr="00301BD8" w14:paraId="765EB892" w14:textId="77777777">
        <w:trPr>
          <w:trHeight w:val="680"/>
        </w:trPr>
        <w:tc>
          <w:tcPr>
            <w:tcW w:w="2929" w:type="dxa"/>
            <w:tcBorders>
              <w:top w:val="single" w:color="auto" w:sz="4" w:space="0"/>
              <w:left w:val="single" w:color="auto" w:sz="4" w:space="0"/>
              <w:bottom w:val="single" w:color="auto" w:sz="4" w:space="0"/>
              <w:right w:val="single" w:color="auto" w:sz="4" w:space="0"/>
            </w:tcBorders>
            <w:vAlign w:val="center"/>
            <w:hideMark/>
          </w:tcPr>
          <w:p w:rsidR="007253C8" w:rsidP="00301BD8" w:rsidRDefault="007253C8" w14:paraId="06787DF9" w14:textId="77777777">
            <w:pPr>
              <w:pStyle w:val="TableText"/>
              <w:rPr>
                <w:color w:val="000000"/>
              </w:rPr>
            </w:pPr>
            <w:r>
              <w:t>Initiative</w:t>
            </w:r>
          </w:p>
        </w:tc>
        <w:tc>
          <w:tcPr>
            <w:tcW w:w="2205" w:type="dxa"/>
            <w:tcBorders>
              <w:top w:val="single" w:color="auto" w:sz="4" w:space="0"/>
              <w:left w:val="nil"/>
              <w:bottom w:val="single" w:color="auto" w:sz="4" w:space="0"/>
              <w:right w:val="single" w:color="auto" w:sz="4" w:space="0"/>
            </w:tcBorders>
            <w:vAlign w:val="center"/>
            <w:hideMark/>
          </w:tcPr>
          <w:p w:rsidR="007253C8" w:rsidP="00301BD8" w:rsidRDefault="007253C8" w14:paraId="57857639" w14:textId="77777777">
            <w:pPr>
              <w:pStyle w:val="TableText"/>
              <w:rPr>
                <w:color w:val="000000"/>
              </w:rPr>
            </w:pPr>
            <w:r>
              <w:t>Recommended Reduction</w:t>
            </w:r>
          </w:p>
        </w:tc>
        <w:tc>
          <w:tcPr>
            <w:tcW w:w="2156" w:type="dxa"/>
            <w:tcBorders>
              <w:top w:val="single" w:color="auto" w:sz="4" w:space="0"/>
              <w:left w:val="nil"/>
              <w:bottom w:val="single" w:color="auto" w:sz="4" w:space="0"/>
              <w:right w:val="single" w:color="auto" w:sz="4" w:space="0"/>
            </w:tcBorders>
            <w:vAlign w:val="center"/>
            <w:hideMark/>
          </w:tcPr>
          <w:p w:rsidR="007253C8" w:rsidP="00301BD8" w:rsidRDefault="007253C8" w14:paraId="36154E76" w14:textId="77777777">
            <w:pPr>
              <w:pStyle w:val="TableText"/>
            </w:pPr>
            <w:r>
              <w:t>Recommended Reduction</w:t>
            </w:r>
          </w:p>
          <w:p w:rsidR="007253C8" w:rsidP="00301BD8" w:rsidRDefault="007253C8" w14:paraId="6A6FD1F7" w14:textId="77777777">
            <w:pPr>
              <w:pStyle w:val="TableText"/>
              <w:rPr>
                <w:color w:val="000000"/>
              </w:rPr>
            </w:pPr>
            <w:r>
              <w:t>(capital + O&amp;M)</w:t>
            </w:r>
          </w:p>
        </w:tc>
        <w:tc>
          <w:tcPr>
            <w:tcW w:w="2060" w:type="dxa"/>
            <w:tcBorders>
              <w:top w:val="single" w:color="auto" w:sz="4" w:space="0"/>
              <w:left w:val="nil"/>
              <w:bottom w:val="single" w:color="auto" w:sz="4" w:space="0"/>
              <w:right w:val="single" w:color="auto" w:sz="4" w:space="0"/>
            </w:tcBorders>
            <w:vAlign w:val="center"/>
            <w:hideMark/>
          </w:tcPr>
          <w:p w:rsidR="007253C8" w:rsidP="00301BD8" w:rsidRDefault="007253C8" w14:paraId="5ED6ED69" w14:textId="77777777">
            <w:pPr>
              <w:pStyle w:val="TableText"/>
              <w:rPr>
                <w:color w:val="000000"/>
              </w:rPr>
            </w:pPr>
            <w:r>
              <w:t>Units Outside HFTD</w:t>
            </w:r>
          </w:p>
        </w:tc>
      </w:tr>
      <w:tr w:rsidR="007253C8" w:rsidTr="00301BD8" w14:paraId="208718BC" w14:textId="77777777">
        <w:trPr>
          <w:trHeight w:val="680"/>
        </w:trPr>
        <w:tc>
          <w:tcPr>
            <w:tcW w:w="2929" w:type="dxa"/>
            <w:tcBorders>
              <w:top w:val="nil"/>
              <w:left w:val="single" w:color="auto" w:sz="4" w:space="0"/>
              <w:bottom w:val="single" w:color="auto" w:sz="4" w:space="0"/>
              <w:right w:val="single" w:color="auto" w:sz="4" w:space="0"/>
            </w:tcBorders>
            <w:vAlign w:val="center"/>
            <w:hideMark/>
          </w:tcPr>
          <w:p w:rsidR="007253C8" w:rsidP="00301BD8" w:rsidRDefault="007253C8" w14:paraId="2ADBBAAB" w14:textId="77777777">
            <w:pPr>
              <w:pStyle w:val="TableText"/>
              <w:rPr>
                <w:color w:val="000000"/>
              </w:rPr>
            </w:pPr>
            <w:r>
              <w:rPr>
                <w:color w:val="000000"/>
              </w:rPr>
              <w:t>Dist. Communication Reliability Improvements</w:t>
            </w:r>
          </w:p>
        </w:tc>
        <w:tc>
          <w:tcPr>
            <w:tcW w:w="2205" w:type="dxa"/>
            <w:tcBorders>
              <w:top w:val="nil"/>
              <w:left w:val="nil"/>
              <w:bottom w:val="single" w:color="auto" w:sz="4" w:space="0"/>
              <w:right w:val="single" w:color="auto" w:sz="4" w:space="0"/>
            </w:tcBorders>
            <w:vAlign w:val="center"/>
            <w:hideMark/>
          </w:tcPr>
          <w:p w:rsidR="007253C8" w:rsidP="00301BD8" w:rsidRDefault="007253C8" w14:paraId="4A94EEE3" w14:textId="7FA7EA26">
            <w:pPr>
              <w:pStyle w:val="TableText"/>
              <w:rPr>
                <w:color w:val="000000"/>
              </w:rPr>
            </w:pPr>
            <w:r>
              <w:rPr>
                <w:color w:val="000000"/>
              </w:rPr>
              <w:t xml:space="preserve">$55.167 </w:t>
            </w:r>
            <w:r w:rsidR="00496F72">
              <w:rPr>
                <w:color w:val="000000"/>
              </w:rPr>
              <w:t>capital (</w:t>
            </w:r>
            <w:r>
              <w:rPr>
                <w:color w:val="000000"/>
              </w:rPr>
              <w:t>cap</w:t>
            </w:r>
            <w:r w:rsidR="00496F72">
              <w:rPr>
                <w:color w:val="000000"/>
              </w:rPr>
              <w:t>)</w:t>
            </w:r>
          </w:p>
        </w:tc>
        <w:tc>
          <w:tcPr>
            <w:tcW w:w="2156" w:type="dxa"/>
            <w:tcBorders>
              <w:top w:val="nil"/>
              <w:left w:val="nil"/>
              <w:bottom w:val="single" w:color="auto" w:sz="4" w:space="0"/>
              <w:right w:val="single" w:color="auto" w:sz="4" w:space="0"/>
            </w:tcBorders>
            <w:vAlign w:val="center"/>
            <w:hideMark/>
          </w:tcPr>
          <w:p w:rsidR="007253C8" w:rsidP="00301BD8" w:rsidRDefault="007253C8" w14:paraId="4E9D6038" w14:textId="77777777">
            <w:pPr>
              <w:pStyle w:val="TableText"/>
              <w:rPr>
                <w:color w:val="000000"/>
              </w:rPr>
            </w:pPr>
            <w:r>
              <w:rPr>
                <w:color w:val="000000"/>
              </w:rPr>
              <w:t xml:space="preserve">$55.167 </w:t>
            </w:r>
          </w:p>
        </w:tc>
        <w:tc>
          <w:tcPr>
            <w:tcW w:w="2060" w:type="dxa"/>
            <w:tcBorders>
              <w:top w:val="nil"/>
              <w:left w:val="nil"/>
              <w:bottom w:val="single" w:color="auto" w:sz="4" w:space="0"/>
              <w:right w:val="single" w:color="auto" w:sz="4" w:space="0"/>
            </w:tcBorders>
            <w:vAlign w:val="center"/>
            <w:hideMark/>
          </w:tcPr>
          <w:p w:rsidR="007253C8" w:rsidP="00301BD8" w:rsidRDefault="007253C8" w14:paraId="06811173" w14:textId="77777777">
            <w:pPr>
              <w:pStyle w:val="TableText"/>
              <w:rPr>
                <w:color w:val="000000"/>
              </w:rPr>
            </w:pPr>
            <w:r>
              <w:rPr>
                <w:color w:val="000000"/>
              </w:rPr>
              <w:t>16 stations</w:t>
            </w:r>
          </w:p>
        </w:tc>
      </w:tr>
      <w:tr w:rsidR="007253C8" w:rsidTr="00301BD8" w14:paraId="0787F3BE" w14:textId="77777777">
        <w:trPr>
          <w:trHeight w:val="680"/>
        </w:trPr>
        <w:tc>
          <w:tcPr>
            <w:tcW w:w="2929" w:type="dxa"/>
            <w:tcBorders>
              <w:top w:val="nil"/>
              <w:left w:val="single" w:color="auto" w:sz="4" w:space="0"/>
              <w:bottom w:val="single" w:color="auto" w:sz="4" w:space="0"/>
              <w:right w:val="single" w:color="auto" w:sz="4" w:space="0"/>
            </w:tcBorders>
            <w:vAlign w:val="center"/>
            <w:hideMark/>
          </w:tcPr>
          <w:p w:rsidR="007253C8" w:rsidP="00301BD8" w:rsidRDefault="007253C8" w14:paraId="79CCA15C" w14:textId="77777777">
            <w:pPr>
              <w:pStyle w:val="TableText"/>
              <w:rPr>
                <w:color w:val="000000"/>
              </w:rPr>
            </w:pPr>
            <w:r>
              <w:rPr>
                <w:color w:val="000000"/>
              </w:rPr>
              <w:t>Dist. Overhead System Hardening</w:t>
            </w:r>
          </w:p>
        </w:tc>
        <w:tc>
          <w:tcPr>
            <w:tcW w:w="2205" w:type="dxa"/>
            <w:tcBorders>
              <w:top w:val="nil"/>
              <w:left w:val="nil"/>
              <w:bottom w:val="single" w:color="auto" w:sz="4" w:space="0"/>
              <w:right w:val="single" w:color="auto" w:sz="4" w:space="0"/>
            </w:tcBorders>
            <w:vAlign w:val="center"/>
            <w:hideMark/>
          </w:tcPr>
          <w:p w:rsidR="007253C8" w:rsidP="00301BD8" w:rsidRDefault="007253C8" w14:paraId="3A57480C" w14:textId="77777777">
            <w:pPr>
              <w:pStyle w:val="TableText"/>
              <w:rPr>
                <w:color w:val="000000"/>
              </w:rPr>
            </w:pPr>
            <w:r>
              <w:rPr>
                <w:color w:val="000000"/>
              </w:rPr>
              <w:t xml:space="preserve">$4.300 cap, </w:t>
            </w:r>
          </w:p>
          <w:p w:rsidR="007253C8" w:rsidP="00301BD8" w:rsidRDefault="007253C8" w14:paraId="4173D77D" w14:textId="77777777">
            <w:pPr>
              <w:pStyle w:val="TableText"/>
              <w:rPr>
                <w:color w:val="000000"/>
              </w:rPr>
            </w:pPr>
            <w:r>
              <w:rPr>
                <w:color w:val="000000"/>
              </w:rPr>
              <w:t>$0.122 O&amp;M</w:t>
            </w:r>
          </w:p>
        </w:tc>
        <w:tc>
          <w:tcPr>
            <w:tcW w:w="2156" w:type="dxa"/>
            <w:tcBorders>
              <w:top w:val="nil"/>
              <w:left w:val="nil"/>
              <w:bottom w:val="single" w:color="auto" w:sz="4" w:space="0"/>
              <w:right w:val="single" w:color="auto" w:sz="4" w:space="0"/>
            </w:tcBorders>
            <w:vAlign w:val="center"/>
            <w:hideMark/>
          </w:tcPr>
          <w:p w:rsidR="007253C8" w:rsidP="00301BD8" w:rsidRDefault="007253C8" w14:paraId="141EBC2A" w14:textId="77777777">
            <w:pPr>
              <w:pStyle w:val="TableText"/>
              <w:rPr>
                <w:color w:val="000000"/>
              </w:rPr>
            </w:pPr>
            <w:r>
              <w:rPr>
                <w:color w:val="000000"/>
              </w:rPr>
              <w:t xml:space="preserve">$4.422 </w:t>
            </w:r>
          </w:p>
        </w:tc>
        <w:tc>
          <w:tcPr>
            <w:tcW w:w="2060" w:type="dxa"/>
            <w:tcBorders>
              <w:top w:val="nil"/>
              <w:left w:val="nil"/>
              <w:bottom w:val="single" w:color="auto" w:sz="4" w:space="0"/>
              <w:right w:val="single" w:color="auto" w:sz="4" w:space="0"/>
            </w:tcBorders>
            <w:vAlign w:val="center"/>
            <w:hideMark/>
          </w:tcPr>
          <w:p w:rsidR="007253C8" w:rsidP="00301BD8" w:rsidRDefault="007253C8" w14:paraId="7A25645B" w14:textId="77777777">
            <w:pPr>
              <w:pStyle w:val="TableText"/>
              <w:rPr>
                <w:color w:val="000000"/>
              </w:rPr>
            </w:pPr>
            <w:r>
              <w:rPr>
                <w:color w:val="000000"/>
              </w:rPr>
              <w:t>3.94 miles</w:t>
            </w:r>
          </w:p>
        </w:tc>
      </w:tr>
      <w:tr w:rsidR="007253C8" w:rsidTr="00301BD8" w14:paraId="7794C96D" w14:textId="77777777">
        <w:trPr>
          <w:trHeight w:val="340"/>
        </w:trPr>
        <w:tc>
          <w:tcPr>
            <w:tcW w:w="2929" w:type="dxa"/>
            <w:tcBorders>
              <w:top w:val="nil"/>
              <w:left w:val="single" w:color="auto" w:sz="4" w:space="0"/>
              <w:bottom w:val="single" w:color="auto" w:sz="4" w:space="0"/>
              <w:right w:val="single" w:color="auto" w:sz="4" w:space="0"/>
            </w:tcBorders>
            <w:vAlign w:val="center"/>
            <w:hideMark/>
          </w:tcPr>
          <w:p w:rsidR="007253C8" w:rsidP="00301BD8" w:rsidRDefault="007253C8" w14:paraId="059E7D18" w14:textId="77777777">
            <w:pPr>
              <w:pStyle w:val="TableText"/>
              <w:rPr>
                <w:color w:val="000000"/>
              </w:rPr>
            </w:pPr>
            <w:r>
              <w:rPr>
                <w:color w:val="000000"/>
              </w:rPr>
              <w:t>SCADA Capacitors</w:t>
            </w:r>
          </w:p>
        </w:tc>
        <w:tc>
          <w:tcPr>
            <w:tcW w:w="2205" w:type="dxa"/>
            <w:tcBorders>
              <w:top w:val="nil"/>
              <w:left w:val="nil"/>
              <w:bottom w:val="single" w:color="auto" w:sz="4" w:space="0"/>
              <w:right w:val="single" w:color="auto" w:sz="4" w:space="0"/>
            </w:tcBorders>
            <w:vAlign w:val="center"/>
            <w:hideMark/>
          </w:tcPr>
          <w:p w:rsidR="007253C8" w:rsidP="00301BD8" w:rsidRDefault="007253C8" w14:paraId="2C31B69F" w14:textId="77777777">
            <w:pPr>
              <w:pStyle w:val="TableText"/>
              <w:rPr>
                <w:color w:val="000000"/>
              </w:rPr>
            </w:pPr>
            <w:r>
              <w:rPr>
                <w:color w:val="000000"/>
              </w:rPr>
              <w:t>$2.549 cap</w:t>
            </w:r>
          </w:p>
        </w:tc>
        <w:tc>
          <w:tcPr>
            <w:tcW w:w="2156" w:type="dxa"/>
            <w:tcBorders>
              <w:top w:val="nil"/>
              <w:left w:val="nil"/>
              <w:bottom w:val="single" w:color="auto" w:sz="4" w:space="0"/>
              <w:right w:val="single" w:color="auto" w:sz="4" w:space="0"/>
            </w:tcBorders>
            <w:vAlign w:val="center"/>
            <w:hideMark/>
          </w:tcPr>
          <w:p w:rsidR="007253C8" w:rsidP="00301BD8" w:rsidRDefault="007253C8" w14:paraId="0A37AE62" w14:textId="77777777">
            <w:pPr>
              <w:pStyle w:val="TableText"/>
              <w:rPr>
                <w:color w:val="000000"/>
              </w:rPr>
            </w:pPr>
            <w:r>
              <w:rPr>
                <w:color w:val="000000"/>
              </w:rPr>
              <w:t xml:space="preserve">$2.549 </w:t>
            </w:r>
          </w:p>
        </w:tc>
        <w:tc>
          <w:tcPr>
            <w:tcW w:w="2060" w:type="dxa"/>
            <w:tcBorders>
              <w:top w:val="nil"/>
              <w:left w:val="nil"/>
              <w:bottom w:val="single" w:color="auto" w:sz="4" w:space="0"/>
              <w:right w:val="single" w:color="auto" w:sz="4" w:space="0"/>
            </w:tcBorders>
            <w:vAlign w:val="center"/>
            <w:hideMark/>
          </w:tcPr>
          <w:p w:rsidR="007253C8" w:rsidP="00301BD8" w:rsidRDefault="007253C8" w14:paraId="1529970F" w14:textId="77777777">
            <w:pPr>
              <w:pStyle w:val="TableText"/>
              <w:rPr>
                <w:color w:val="000000"/>
              </w:rPr>
            </w:pPr>
            <w:r>
              <w:rPr>
                <w:color w:val="000000"/>
              </w:rPr>
              <w:t>45 capacitors</w:t>
            </w:r>
          </w:p>
        </w:tc>
      </w:tr>
      <w:tr w:rsidR="007253C8" w:rsidTr="00301BD8" w14:paraId="0C0FAE71" w14:textId="77777777">
        <w:trPr>
          <w:trHeight w:val="680"/>
        </w:trPr>
        <w:tc>
          <w:tcPr>
            <w:tcW w:w="2929" w:type="dxa"/>
            <w:tcBorders>
              <w:top w:val="nil"/>
              <w:left w:val="single" w:color="auto" w:sz="4" w:space="0"/>
              <w:bottom w:val="single" w:color="auto" w:sz="4" w:space="0"/>
              <w:right w:val="single" w:color="auto" w:sz="4" w:space="0"/>
            </w:tcBorders>
            <w:vAlign w:val="center"/>
            <w:hideMark/>
          </w:tcPr>
          <w:p w:rsidR="007253C8" w:rsidP="00301BD8" w:rsidRDefault="007253C8" w14:paraId="22005688" w14:textId="77777777">
            <w:pPr>
              <w:pStyle w:val="TableText"/>
              <w:rPr>
                <w:color w:val="000000"/>
              </w:rPr>
            </w:pPr>
            <w:r>
              <w:rPr>
                <w:color w:val="000000"/>
              </w:rPr>
              <w:t>PSPS Sectionalizing Enhancements</w:t>
            </w:r>
          </w:p>
        </w:tc>
        <w:tc>
          <w:tcPr>
            <w:tcW w:w="2205" w:type="dxa"/>
            <w:tcBorders>
              <w:top w:val="nil"/>
              <w:left w:val="nil"/>
              <w:bottom w:val="single" w:color="auto" w:sz="4" w:space="0"/>
              <w:right w:val="single" w:color="auto" w:sz="4" w:space="0"/>
            </w:tcBorders>
            <w:vAlign w:val="center"/>
            <w:hideMark/>
          </w:tcPr>
          <w:p w:rsidR="007253C8" w:rsidP="00301BD8" w:rsidRDefault="007253C8" w14:paraId="020463AC" w14:textId="77777777">
            <w:pPr>
              <w:pStyle w:val="TableText"/>
              <w:rPr>
                <w:color w:val="000000"/>
              </w:rPr>
            </w:pPr>
            <w:r>
              <w:rPr>
                <w:color w:val="000000"/>
              </w:rPr>
              <w:t>$2.429 cap</w:t>
            </w:r>
          </w:p>
        </w:tc>
        <w:tc>
          <w:tcPr>
            <w:tcW w:w="2156" w:type="dxa"/>
            <w:tcBorders>
              <w:top w:val="nil"/>
              <w:left w:val="nil"/>
              <w:bottom w:val="single" w:color="auto" w:sz="4" w:space="0"/>
              <w:right w:val="single" w:color="auto" w:sz="4" w:space="0"/>
            </w:tcBorders>
            <w:vAlign w:val="center"/>
            <w:hideMark/>
          </w:tcPr>
          <w:p w:rsidR="007253C8" w:rsidP="00301BD8" w:rsidRDefault="007253C8" w14:paraId="7D705CCD" w14:textId="77777777">
            <w:pPr>
              <w:pStyle w:val="TableText"/>
              <w:rPr>
                <w:color w:val="000000"/>
              </w:rPr>
            </w:pPr>
            <w:r>
              <w:rPr>
                <w:color w:val="000000"/>
              </w:rPr>
              <w:t xml:space="preserve">$2.429 </w:t>
            </w:r>
          </w:p>
        </w:tc>
        <w:tc>
          <w:tcPr>
            <w:tcW w:w="2060" w:type="dxa"/>
            <w:tcBorders>
              <w:top w:val="nil"/>
              <w:left w:val="nil"/>
              <w:bottom w:val="single" w:color="auto" w:sz="4" w:space="0"/>
              <w:right w:val="single" w:color="auto" w:sz="4" w:space="0"/>
            </w:tcBorders>
            <w:vAlign w:val="center"/>
            <w:hideMark/>
          </w:tcPr>
          <w:p w:rsidR="007253C8" w:rsidP="00301BD8" w:rsidRDefault="007253C8" w14:paraId="5AA521D4" w14:textId="77777777">
            <w:pPr>
              <w:pStyle w:val="TableText"/>
              <w:rPr>
                <w:color w:val="000000"/>
              </w:rPr>
            </w:pPr>
            <w:r>
              <w:rPr>
                <w:color w:val="000000"/>
              </w:rPr>
              <w:t>12 switches</w:t>
            </w:r>
          </w:p>
        </w:tc>
      </w:tr>
      <w:tr w:rsidR="007253C8" w:rsidTr="00301BD8" w14:paraId="40DC56F0" w14:textId="77777777">
        <w:trPr>
          <w:trHeight w:val="680"/>
        </w:trPr>
        <w:tc>
          <w:tcPr>
            <w:tcW w:w="2929" w:type="dxa"/>
            <w:tcBorders>
              <w:top w:val="single" w:color="auto" w:sz="4" w:space="0"/>
              <w:left w:val="single" w:color="auto" w:sz="4" w:space="0"/>
              <w:bottom w:val="single" w:color="auto" w:sz="4" w:space="0"/>
              <w:right w:val="single" w:color="auto" w:sz="4" w:space="0"/>
            </w:tcBorders>
            <w:vAlign w:val="center"/>
            <w:hideMark/>
          </w:tcPr>
          <w:p w:rsidR="007253C8" w:rsidP="00301BD8" w:rsidRDefault="00462A29" w14:paraId="50A3D228" w14:textId="313E56C3">
            <w:pPr>
              <w:pStyle w:val="TableText"/>
              <w:rPr>
                <w:color w:val="000000"/>
              </w:rPr>
            </w:pPr>
            <w:r>
              <w:rPr>
                <w:color w:val="000000"/>
              </w:rPr>
              <w:t xml:space="preserve">Strategic Undergrounding </w:t>
            </w:r>
          </w:p>
        </w:tc>
        <w:tc>
          <w:tcPr>
            <w:tcW w:w="2205" w:type="dxa"/>
            <w:tcBorders>
              <w:top w:val="single" w:color="auto" w:sz="4" w:space="0"/>
              <w:left w:val="nil"/>
              <w:bottom w:val="single" w:color="auto" w:sz="4" w:space="0"/>
              <w:right w:val="single" w:color="auto" w:sz="4" w:space="0"/>
            </w:tcBorders>
            <w:vAlign w:val="center"/>
            <w:hideMark/>
          </w:tcPr>
          <w:p w:rsidR="007253C8" w:rsidP="00301BD8" w:rsidRDefault="007253C8" w14:paraId="37C22FB5" w14:textId="77777777">
            <w:pPr>
              <w:pStyle w:val="TableText"/>
              <w:rPr>
                <w:color w:val="000000"/>
              </w:rPr>
            </w:pPr>
            <w:r w:rsidRPr="7BF762AD">
              <w:rPr>
                <w:color w:val="000000" w:themeColor="text1"/>
              </w:rPr>
              <w:t xml:space="preserve">$2.1 cap, </w:t>
            </w:r>
          </w:p>
          <w:p w:rsidR="007253C8" w:rsidP="00301BD8" w:rsidRDefault="007253C8" w14:paraId="2FAD112A" w14:textId="77777777">
            <w:pPr>
              <w:pStyle w:val="TableText"/>
              <w:rPr>
                <w:color w:val="000000"/>
              </w:rPr>
            </w:pPr>
            <w:r>
              <w:rPr>
                <w:color w:val="000000"/>
              </w:rPr>
              <w:t>$0.001 O&amp;M</w:t>
            </w:r>
          </w:p>
        </w:tc>
        <w:tc>
          <w:tcPr>
            <w:tcW w:w="2156" w:type="dxa"/>
            <w:tcBorders>
              <w:top w:val="single" w:color="auto" w:sz="4" w:space="0"/>
              <w:left w:val="nil"/>
              <w:bottom w:val="single" w:color="auto" w:sz="4" w:space="0"/>
              <w:right w:val="single" w:color="auto" w:sz="4" w:space="0"/>
            </w:tcBorders>
            <w:vAlign w:val="center"/>
            <w:hideMark/>
          </w:tcPr>
          <w:p w:rsidR="007253C8" w:rsidP="00301BD8" w:rsidRDefault="007253C8" w14:paraId="1D784D01" w14:textId="77777777">
            <w:pPr>
              <w:pStyle w:val="TableText"/>
              <w:rPr>
                <w:color w:val="000000"/>
              </w:rPr>
            </w:pPr>
            <w:r>
              <w:rPr>
                <w:color w:val="000000"/>
              </w:rPr>
              <w:t xml:space="preserve">$2.101 </w:t>
            </w:r>
          </w:p>
        </w:tc>
        <w:tc>
          <w:tcPr>
            <w:tcW w:w="2060" w:type="dxa"/>
            <w:tcBorders>
              <w:top w:val="single" w:color="auto" w:sz="4" w:space="0"/>
              <w:left w:val="nil"/>
              <w:bottom w:val="single" w:color="auto" w:sz="4" w:space="0"/>
              <w:right w:val="single" w:color="auto" w:sz="4" w:space="0"/>
            </w:tcBorders>
            <w:vAlign w:val="center"/>
            <w:hideMark/>
          </w:tcPr>
          <w:p w:rsidR="007253C8" w:rsidP="00301BD8" w:rsidRDefault="007253C8" w14:paraId="2B2EE38D" w14:textId="77777777">
            <w:pPr>
              <w:pStyle w:val="TableText"/>
              <w:rPr>
                <w:color w:val="000000"/>
              </w:rPr>
            </w:pPr>
            <w:r w:rsidRPr="7BF762AD">
              <w:rPr>
                <w:color w:val="000000" w:themeColor="text1"/>
              </w:rPr>
              <w:t>0.96 miles</w:t>
            </w:r>
          </w:p>
        </w:tc>
      </w:tr>
      <w:tr w:rsidR="007253C8" w:rsidTr="00301BD8" w14:paraId="03807182" w14:textId="77777777">
        <w:trPr>
          <w:trHeight w:val="340"/>
        </w:trPr>
        <w:tc>
          <w:tcPr>
            <w:tcW w:w="2929" w:type="dxa"/>
            <w:tcBorders>
              <w:top w:val="nil"/>
              <w:left w:val="single" w:color="auto" w:sz="4" w:space="0"/>
              <w:bottom w:val="single" w:color="auto" w:sz="4" w:space="0"/>
              <w:right w:val="single" w:color="auto" w:sz="4" w:space="0"/>
            </w:tcBorders>
            <w:vAlign w:val="center"/>
            <w:hideMark/>
          </w:tcPr>
          <w:p w:rsidR="007253C8" w:rsidP="00301BD8" w:rsidRDefault="007253C8" w14:paraId="6000104C" w14:textId="77777777">
            <w:pPr>
              <w:pStyle w:val="TableText"/>
              <w:rPr>
                <w:color w:val="000000"/>
              </w:rPr>
            </w:pPr>
            <w:r>
              <w:rPr>
                <w:color w:val="000000"/>
              </w:rPr>
              <w:t>Microgrids</w:t>
            </w:r>
          </w:p>
        </w:tc>
        <w:tc>
          <w:tcPr>
            <w:tcW w:w="2205" w:type="dxa"/>
            <w:tcBorders>
              <w:top w:val="nil"/>
              <w:left w:val="nil"/>
              <w:bottom w:val="single" w:color="auto" w:sz="4" w:space="0"/>
              <w:right w:val="single" w:color="auto" w:sz="4" w:space="0"/>
            </w:tcBorders>
            <w:vAlign w:val="center"/>
            <w:hideMark/>
          </w:tcPr>
          <w:p w:rsidR="007253C8" w:rsidP="00301BD8" w:rsidRDefault="007253C8" w14:paraId="7D7E2F03" w14:textId="77777777">
            <w:pPr>
              <w:pStyle w:val="TableText"/>
              <w:rPr>
                <w:color w:val="000000"/>
              </w:rPr>
            </w:pPr>
            <w:r>
              <w:rPr>
                <w:color w:val="000000"/>
              </w:rPr>
              <w:t>$1.524 cap</w:t>
            </w:r>
          </w:p>
        </w:tc>
        <w:tc>
          <w:tcPr>
            <w:tcW w:w="2156" w:type="dxa"/>
            <w:tcBorders>
              <w:top w:val="nil"/>
              <w:left w:val="nil"/>
              <w:bottom w:val="single" w:color="auto" w:sz="4" w:space="0"/>
              <w:right w:val="single" w:color="auto" w:sz="4" w:space="0"/>
            </w:tcBorders>
            <w:vAlign w:val="center"/>
            <w:hideMark/>
          </w:tcPr>
          <w:p w:rsidR="007253C8" w:rsidP="00301BD8" w:rsidRDefault="007253C8" w14:paraId="6CDE8C82" w14:textId="77777777">
            <w:pPr>
              <w:pStyle w:val="TableText"/>
              <w:rPr>
                <w:color w:val="000000"/>
              </w:rPr>
            </w:pPr>
            <w:r>
              <w:rPr>
                <w:color w:val="000000"/>
              </w:rPr>
              <w:t xml:space="preserve">$1.524 </w:t>
            </w:r>
          </w:p>
        </w:tc>
        <w:tc>
          <w:tcPr>
            <w:tcW w:w="2060" w:type="dxa"/>
            <w:tcBorders>
              <w:top w:val="nil"/>
              <w:left w:val="nil"/>
              <w:bottom w:val="single" w:color="auto" w:sz="4" w:space="0"/>
              <w:right w:val="single" w:color="auto" w:sz="4" w:space="0"/>
            </w:tcBorders>
            <w:vAlign w:val="center"/>
            <w:hideMark/>
          </w:tcPr>
          <w:p w:rsidR="007253C8" w:rsidP="00301BD8" w:rsidRDefault="007253C8" w14:paraId="30C15256" w14:textId="77777777">
            <w:pPr>
              <w:pStyle w:val="TableText"/>
              <w:rPr>
                <w:color w:val="000000"/>
              </w:rPr>
            </w:pPr>
            <w:r>
              <w:rPr>
                <w:color w:val="000000"/>
              </w:rPr>
              <w:t>2 microgrids</w:t>
            </w:r>
          </w:p>
        </w:tc>
      </w:tr>
      <w:tr w:rsidR="007253C8" w:rsidTr="00301BD8" w14:paraId="1F0D9449" w14:textId="77777777">
        <w:trPr>
          <w:trHeight w:val="680"/>
        </w:trPr>
        <w:tc>
          <w:tcPr>
            <w:tcW w:w="2929" w:type="dxa"/>
            <w:tcBorders>
              <w:top w:val="nil"/>
              <w:left w:val="single" w:color="auto" w:sz="4" w:space="0"/>
              <w:bottom w:val="single" w:color="auto" w:sz="4" w:space="0"/>
              <w:right w:val="single" w:color="auto" w:sz="4" w:space="0"/>
            </w:tcBorders>
            <w:vAlign w:val="center"/>
            <w:hideMark/>
          </w:tcPr>
          <w:p w:rsidR="007253C8" w:rsidP="00301BD8" w:rsidRDefault="00462A29" w14:paraId="718F278B" w14:textId="3F933182">
            <w:pPr>
              <w:pStyle w:val="TableText"/>
              <w:rPr>
                <w:color w:val="000000"/>
              </w:rPr>
            </w:pPr>
            <w:r>
              <w:rPr>
                <w:color w:val="000000"/>
              </w:rPr>
              <w:t>Covered Conductor</w:t>
            </w:r>
            <w:r w:rsidR="007253C8">
              <w:rPr>
                <w:color w:val="000000"/>
              </w:rPr>
              <w:t>s</w:t>
            </w:r>
          </w:p>
        </w:tc>
        <w:tc>
          <w:tcPr>
            <w:tcW w:w="2205" w:type="dxa"/>
            <w:tcBorders>
              <w:top w:val="nil"/>
              <w:left w:val="nil"/>
              <w:bottom w:val="single" w:color="auto" w:sz="4" w:space="0"/>
              <w:right w:val="single" w:color="auto" w:sz="4" w:space="0"/>
            </w:tcBorders>
            <w:vAlign w:val="center"/>
            <w:hideMark/>
          </w:tcPr>
          <w:p w:rsidR="007253C8" w:rsidP="00301BD8" w:rsidRDefault="007253C8" w14:paraId="1BECFCDB" w14:textId="77777777">
            <w:pPr>
              <w:pStyle w:val="TableText"/>
              <w:rPr>
                <w:color w:val="000000"/>
              </w:rPr>
            </w:pPr>
            <w:r>
              <w:rPr>
                <w:color w:val="000000"/>
              </w:rPr>
              <w:t>$0.410 cap, $0.0114 O&amp;M</w:t>
            </w:r>
          </w:p>
        </w:tc>
        <w:tc>
          <w:tcPr>
            <w:tcW w:w="2156" w:type="dxa"/>
            <w:tcBorders>
              <w:top w:val="nil"/>
              <w:left w:val="nil"/>
              <w:bottom w:val="single" w:color="auto" w:sz="4" w:space="0"/>
              <w:right w:val="single" w:color="auto" w:sz="4" w:space="0"/>
            </w:tcBorders>
            <w:vAlign w:val="center"/>
            <w:hideMark/>
          </w:tcPr>
          <w:p w:rsidR="007253C8" w:rsidP="00301BD8" w:rsidRDefault="007253C8" w14:paraId="6DAD0CB0" w14:textId="77777777">
            <w:pPr>
              <w:pStyle w:val="TableText"/>
              <w:rPr>
                <w:color w:val="000000"/>
              </w:rPr>
            </w:pPr>
            <w:r>
              <w:rPr>
                <w:color w:val="000000"/>
              </w:rPr>
              <w:t>$0.4214</w:t>
            </w:r>
          </w:p>
        </w:tc>
        <w:tc>
          <w:tcPr>
            <w:tcW w:w="2060" w:type="dxa"/>
            <w:tcBorders>
              <w:top w:val="nil"/>
              <w:left w:val="nil"/>
              <w:bottom w:val="single" w:color="auto" w:sz="4" w:space="0"/>
              <w:right w:val="single" w:color="auto" w:sz="4" w:space="0"/>
            </w:tcBorders>
            <w:vAlign w:val="center"/>
            <w:hideMark/>
          </w:tcPr>
          <w:p w:rsidR="007253C8" w:rsidP="00301BD8" w:rsidRDefault="007253C8" w14:paraId="22CC9F72" w14:textId="77777777">
            <w:pPr>
              <w:pStyle w:val="TableText"/>
              <w:rPr>
                <w:color w:val="000000"/>
              </w:rPr>
            </w:pPr>
            <w:r>
              <w:rPr>
                <w:color w:val="000000"/>
              </w:rPr>
              <w:t>0.25 miles</w:t>
            </w:r>
          </w:p>
        </w:tc>
      </w:tr>
      <w:tr w:rsidR="007253C8" w:rsidTr="00301BD8" w14:paraId="35572CAE" w14:textId="77777777">
        <w:trPr>
          <w:trHeight w:val="340"/>
        </w:trPr>
        <w:tc>
          <w:tcPr>
            <w:tcW w:w="2929" w:type="dxa"/>
            <w:tcBorders>
              <w:top w:val="nil"/>
              <w:left w:val="single" w:color="auto" w:sz="4" w:space="0"/>
              <w:bottom w:val="single" w:color="auto" w:sz="4" w:space="0"/>
              <w:right w:val="single" w:color="auto" w:sz="4" w:space="0"/>
            </w:tcBorders>
            <w:vAlign w:val="center"/>
            <w:hideMark/>
          </w:tcPr>
          <w:p w:rsidR="007253C8" w:rsidP="00301BD8" w:rsidRDefault="007253C8" w14:paraId="66FE6D03" w14:textId="77777777">
            <w:pPr>
              <w:pStyle w:val="TableText"/>
              <w:rPr>
                <w:color w:val="000000"/>
              </w:rPr>
            </w:pPr>
            <w:r w:rsidRPr="119102C1">
              <w:rPr>
                <w:color w:val="000000" w:themeColor="text1"/>
              </w:rPr>
              <w:t>Expulsion Fuse Replacement</w:t>
            </w:r>
          </w:p>
        </w:tc>
        <w:tc>
          <w:tcPr>
            <w:tcW w:w="2205" w:type="dxa"/>
            <w:tcBorders>
              <w:top w:val="nil"/>
              <w:left w:val="nil"/>
              <w:bottom w:val="single" w:color="auto" w:sz="4" w:space="0"/>
              <w:right w:val="single" w:color="auto" w:sz="4" w:space="0"/>
            </w:tcBorders>
            <w:vAlign w:val="center"/>
            <w:hideMark/>
          </w:tcPr>
          <w:p w:rsidR="007253C8" w:rsidP="00301BD8" w:rsidRDefault="007253C8" w14:paraId="49A90AA5" w14:textId="77777777">
            <w:pPr>
              <w:pStyle w:val="TableText"/>
              <w:rPr>
                <w:color w:val="000000"/>
              </w:rPr>
            </w:pPr>
            <w:r>
              <w:rPr>
                <w:color w:val="000000"/>
              </w:rPr>
              <w:t>$0.034 cap</w:t>
            </w:r>
          </w:p>
        </w:tc>
        <w:tc>
          <w:tcPr>
            <w:tcW w:w="2156" w:type="dxa"/>
            <w:tcBorders>
              <w:top w:val="nil"/>
              <w:left w:val="nil"/>
              <w:bottom w:val="single" w:color="auto" w:sz="4" w:space="0"/>
              <w:right w:val="single" w:color="auto" w:sz="4" w:space="0"/>
            </w:tcBorders>
            <w:vAlign w:val="center"/>
            <w:hideMark/>
          </w:tcPr>
          <w:p w:rsidR="007253C8" w:rsidP="00301BD8" w:rsidRDefault="007253C8" w14:paraId="750A2DC3" w14:textId="77777777">
            <w:pPr>
              <w:pStyle w:val="TableText"/>
              <w:rPr>
                <w:color w:val="000000"/>
              </w:rPr>
            </w:pPr>
            <w:r>
              <w:rPr>
                <w:color w:val="000000"/>
              </w:rPr>
              <w:t xml:space="preserve">$0.034 </w:t>
            </w:r>
          </w:p>
        </w:tc>
        <w:tc>
          <w:tcPr>
            <w:tcW w:w="2060" w:type="dxa"/>
            <w:tcBorders>
              <w:top w:val="nil"/>
              <w:left w:val="nil"/>
              <w:bottom w:val="single" w:color="auto" w:sz="4" w:space="0"/>
              <w:right w:val="single" w:color="auto" w:sz="4" w:space="0"/>
            </w:tcBorders>
            <w:vAlign w:val="center"/>
            <w:hideMark/>
          </w:tcPr>
          <w:p w:rsidR="007253C8" w:rsidP="00301BD8" w:rsidRDefault="007253C8" w14:paraId="228A792B" w14:textId="77777777">
            <w:pPr>
              <w:pStyle w:val="TableText"/>
              <w:rPr>
                <w:color w:val="000000"/>
              </w:rPr>
            </w:pPr>
            <w:r>
              <w:rPr>
                <w:color w:val="000000"/>
              </w:rPr>
              <w:t>18 fuses</w:t>
            </w:r>
          </w:p>
        </w:tc>
      </w:tr>
      <w:tr w:rsidR="007253C8" w:rsidTr="00301BD8" w14:paraId="5D7EB4D6" w14:textId="77777777">
        <w:trPr>
          <w:trHeight w:val="340"/>
        </w:trPr>
        <w:tc>
          <w:tcPr>
            <w:tcW w:w="2929" w:type="dxa"/>
            <w:tcBorders>
              <w:top w:val="nil"/>
              <w:left w:val="single" w:color="auto" w:sz="4" w:space="0"/>
              <w:bottom w:val="single" w:color="auto" w:sz="4" w:space="0"/>
              <w:right w:val="single" w:color="auto" w:sz="4" w:space="0"/>
            </w:tcBorders>
            <w:vAlign w:val="center"/>
            <w:hideMark/>
          </w:tcPr>
          <w:p w:rsidR="007253C8" w:rsidP="00301BD8" w:rsidRDefault="007253C8" w14:paraId="6C59E2AE" w14:textId="77777777">
            <w:pPr>
              <w:pStyle w:val="TableText"/>
              <w:rPr>
                <w:color w:val="000000"/>
              </w:rPr>
            </w:pPr>
            <w:r>
              <w:rPr>
                <w:color w:val="000000"/>
              </w:rPr>
              <w:t>Hotline Clamps</w:t>
            </w:r>
          </w:p>
        </w:tc>
        <w:tc>
          <w:tcPr>
            <w:tcW w:w="2205" w:type="dxa"/>
            <w:tcBorders>
              <w:top w:val="nil"/>
              <w:left w:val="nil"/>
              <w:bottom w:val="single" w:color="auto" w:sz="4" w:space="0"/>
              <w:right w:val="single" w:color="auto" w:sz="4" w:space="0"/>
            </w:tcBorders>
            <w:vAlign w:val="center"/>
            <w:hideMark/>
          </w:tcPr>
          <w:p w:rsidR="007253C8" w:rsidP="00301BD8" w:rsidRDefault="007253C8" w14:paraId="4F5A1463" w14:textId="77777777">
            <w:pPr>
              <w:pStyle w:val="TableText"/>
              <w:rPr>
                <w:color w:val="000000"/>
              </w:rPr>
            </w:pPr>
            <w:r>
              <w:rPr>
                <w:color w:val="000000"/>
              </w:rPr>
              <w:t>$0.020 O&amp;M</w:t>
            </w:r>
          </w:p>
        </w:tc>
        <w:tc>
          <w:tcPr>
            <w:tcW w:w="2156" w:type="dxa"/>
            <w:tcBorders>
              <w:top w:val="nil"/>
              <w:left w:val="nil"/>
              <w:bottom w:val="single" w:color="auto" w:sz="4" w:space="0"/>
              <w:right w:val="single" w:color="auto" w:sz="4" w:space="0"/>
            </w:tcBorders>
            <w:vAlign w:val="center"/>
            <w:hideMark/>
          </w:tcPr>
          <w:p w:rsidR="007253C8" w:rsidP="00301BD8" w:rsidRDefault="007253C8" w14:paraId="4DCCF873" w14:textId="77777777">
            <w:pPr>
              <w:pStyle w:val="TableText"/>
              <w:rPr>
                <w:color w:val="000000"/>
              </w:rPr>
            </w:pPr>
            <w:r>
              <w:rPr>
                <w:color w:val="000000"/>
              </w:rPr>
              <w:t xml:space="preserve">$0.020 </w:t>
            </w:r>
          </w:p>
        </w:tc>
        <w:tc>
          <w:tcPr>
            <w:tcW w:w="2060" w:type="dxa"/>
            <w:tcBorders>
              <w:top w:val="nil"/>
              <w:left w:val="nil"/>
              <w:bottom w:val="single" w:color="auto" w:sz="4" w:space="0"/>
              <w:right w:val="single" w:color="auto" w:sz="4" w:space="0"/>
            </w:tcBorders>
            <w:vAlign w:val="center"/>
            <w:hideMark/>
          </w:tcPr>
          <w:p w:rsidR="007253C8" w:rsidP="00301BD8" w:rsidRDefault="007253C8" w14:paraId="4B642F7D" w14:textId="77777777">
            <w:pPr>
              <w:pStyle w:val="TableText"/>
              <w:rPr>
                <w:color w:val="000000"/>
              </w:rPr>
            </w:pPr>
            <w:r>
              <w:rPr>
                <w:color w:val="000000"/>
              </w:rPr>
              <w:t>15 clamps</w:t>
            </w:r>
          </w:p>
        </w:tc>
      </w:tr>
      <w:tr w:rsidR="007253C8" w:rsidTr="00301BD8" w14:paraId="0DC8A09D" w14:textId="77777777">
        <w:trPr>
          <w:trHeight w:val="340"/>
        </w:trPr>
        <w:tc>
          <w:tcPr>
            <w:tcW w:w="2929" w:type="dxa"/>
            <w:tcBorders>
              <w:top w:val="nil"/>
              <w:left w:val="single" w:color="auto" w:sz="4" w:space="0"/>
              <w:bottom w:val="single" w:color="auto" w:sz="4" w:space="0"/>
              <w:right w:val="single" w:color="auto" w:sz="4" w:space="0"/>
            </w:tcBorders>
            <w:vAlign w:val="center"/>
            <w:hideMark/>
          </w:tcPr>
          <w:p w:rsidR="007253C8" w:rsidP="00301BD8" w:rsidRDefault="007253C8" w14:paraId="60EC5B32" w14:textId="77777777">
            <w:pPr>
              <w:pStyle w:val="TableText"/>
              <w:rPr>
                <w:color w:val="000000"/>
              </w:rPr>
            </w:pPr>
            <w:r>
              <w:rPr>
                <w:color w:val="000000"/>
              </w:rPr>
              <w:t>Lightning Arrestors</w:t>
            </w:r>
          </w:p>
        </w:tc>
        <w:tc>
          <w:tcPr>
            <w:tcW w:w="2205" w:type="dxa"/>
            <w:tcBorders>
              <w:top w:val="nil"/>
              <w:left w:val="nil"/>
              <w:bottom w:val="single" w:color="auto" w:sz="4" w:space="0"/>
              <w:right w:val="single" w:color="auto" w:sz="4" w:space="0"/>
            </w:tcBorders>
            <w:vAlign w:val="center"/>
            <w:hideMark/>
          </w:tcPr>
          <w:p w:rsidR="007253C8" w:rsidP="00301BD8" w:rsidRDefault="007253C8" w14:paraId="667364C1" w14:textId="77777777">
            <w:pPr>
              <w:pStyle w:val="TableText"/>
              <w:rPr>
                <w:color w:val="000000"/>
              </w:rPr>
            </w:pPr>
            <w:r>
              <w:rPr>
                <w:color w:val="000000"/>
              </w:rPr>
              <w:t>$0.017 cap</w:t>
            </w:r>
          </w:p>
        </w:tc>
        <w:tc>
          <w:tcPr>
            <w:tcW w:w="2156" w:type="dxa"/>
            <w:tcBorders>
              <w:top w:val="nil"/>
              <w:left w:val="nil"/>
              <w:bottom w:val="single" w:color="auto" w:sz="4" w:space="0"/>
              <w:right w:val="single" w:color="auto" w:sz="4" w:space="0"/>
            </w:tcBorders>
            <w:vAlign w:val="center"/>
            <w:hideMark/>
          </w:tcPr>
          <w:p w:rsidR="007253C8" w:rsidP="00301BD8" w:rsidRDefault="007253C8" w14:paraId="73ED26E9" w14:textId="77777777">
            <w:pPr>
              <w:pStyle w:val="TableText"/>
              <w:rPr>
                <w:color w:val="000000"/>
              </w:rPr>
            </w:pPr>
            <w:r>
              <w:rPr>
                <w:color w:val="000000"/>
              </w:rPr>
              <w:t xml:space="preserve">$0.017 </w:t>
            </w:r>
          </w:p>
        </w:tc>
        <w:tc>
          <w:tcPr>
            <w:tcW w:w="2060" w:type="dxa"/>
            <w:tcBorders>
              <w:top w:val="nil"/>
              <w:left w:val="nil"/>
              <w:bottom w:val="single" w:color="auto" w:sz="4" w:space="0"/>
              <w:right w:val="single" w:color="auto" w:sz="4" w:space="0"/>
            </w:tcBorders>
            <w:vAlign w:val="center"/>
            <w:hideMark/>
          </w:tcPr>
          <w:p w:rsidR="007253C8" w:rsidP="00301BD8" w:rsidRDefault="007253C8" w14:paraId="6BFAC0F0" w14:textId="77777777">
            <w:pPr>
              <w:pStyle w:val="TableText"/>
              <w:rPr>
                <w:color w:val="000000"/>
              </w:rPr>
            </w:pPr>
            <w:r>
              <w:rPr>
                <w:color w:val="000000"/>
              </w:rPr>
              <w:t>14 arrestors</w:t>
            </w:r>
          </w:p>
        </w:tc>
      </w:tr>
      <w:tr w:rsidR="007253C8" w:rsidTr="00301BD8" w14:paraId="1E049065" w14:textId="77777777">
        <w:trPr>
          <w:trHeight w:val="340"/>
        </w:trPr>
        <w:tc>
          <w:tcPr>
            <w:tcW w:w="2929" w:type="dxa"/>
            <w:tcBorders>
              <w:top w:val="nil"/>
              <w:left w:val="single" w:color="auto" w:sz="4" w:space="0"/>
              <w:bottom w:val="single" w:color="auto" w:sz="4" w:space="0"/>
              <w:right w:val="single" w:color="auto" w:sz="4" w:space="0"/>
            </w:tcBorders>
            <w:vAlign w:val="center"/>
            <w:hideMark/>
          </w:tcPr>
          <w:p w:rsidR="007253C8" w:rsidP="00301BD8" w:rsidRDefault="007253C8" w14:paraId="64C67063" w14:textId="77777777">
            <w:pPr>
              <w:pStyle w:val="TableText"/>
              <w:rPr>
                <w:color w:val="000000"/>
              </w:rPr>
            </w:pPr>
            <w:r>
              <w:rPr>
                <w:color w:val="000000"/>
              </w:rPr>
              <w:t>Avian Mitigation</w:t>
            </w:r>
          </w:p>
        </w:tc>
        <w:tc>
          <w:tcPr>
            <w:tcW w:w="2205" w:type="dxa"/>
            <w:tcBorders>
              <w:top w:val="nil"/>
              <w:left w:val="nil"/>
              <w:bottom w:val="single" w:color="auto" w:sz="4" w:space="0"/>
              <w:right w:val="single" w:color="auto" w:sz="4" w:space="0"/>
            </w:tcBorders>
            <w:vAlign w:val="center"/>
            <w:hideMark/>
          </w:tcPr>
          <w:p w:rsidR="007253C8" w:rsidP="00301BD8" w:rsidRDefault="007253C8" w14:paraId="2BD27F80" w14:textId="77777777">
            <w:pPr>
              <w:pStyle w:val="TableText"/>
              <w:rPr>
                <w:color w:val="000000"/>
              </w:rPr>
            </w:pPr>
            <w:r>
              <w:rPr>
                <w:color w:val="000000"/>
              </w:rPr>
              <w:t>$0.006 cap</w:t>
            </w:r>
          </w:p>
        </w:tc>
        <w:tc>
          <w:tcPr>
            <w:tcW w:w="2156" w:type="dxa"/>
            <w:tcBorders>
              <w:top w:val="nil"/>
              <w:left w:val="nil"/>
              <w:bottom w:val="single" w:color="auto" w:sz="4" w:space="0"/>
              <w:right w:val="single" w:color="auto" w:sz="4" w:space="0"/>
            </w:tcBorders>
            <w:vAlign w:val="center"/>
            <w:hideMark/>
          </w:tcPr>
          <w:p w:rsidR="007253C8" w:rsidP="00301BD8" w:rsidRDefault="007253C8" w14:paraId="45721CCE" w14:textId="77777777">
            <w:pPr>
              <w:pStyle w:val="TableText"/>
              <w:rPr>
                <w:color w:val="000000"/>
              </w:rPr>
            </w:pPr>
            <w:r>
              <w:rPr>
                <w:color w:val="000000"/>
              </w:rPr>
              <w:t xml:space="preserve">$0.006 </w:t>
            </w:r>
          </w:p>
        </w:tc>
        <w:tc>
          <w:tcPr>
            <w:tcW w:w="2060" w:type="dxa"/>
            <w:tcBorders>
              <w:top w:val="nil"/>
              <w:left w:val="nil"/>
              <w:bottom w:val="single" w:color="auto" w:sz="4" w:space="0"/>
              <w:right w:val="single" w:color="auto" w:sz="4" w:space="0"/>
            </w:tcBorders>
            <w:vAlign w:val="center"/>
            <w:hideMark/>
          </w:tcPr>
          <w:p w:rsidR="007253C8" w:rsidP="00301BD8" w:rsidRDefault="007253C8" w14:paraId="45C7D35E" w14:textId="77777777">
            <w:pPr>
              <w:pStyle w:val="TableText"/>
              <w:rPr>
                <w:color w:val="000000"/>
              </w:rPr>
            </w:pPr>
            <w:r>
              <w:rPr>
                <w:color w:val="000000"/>
              </w:rPr>
              <w:t>3 poles</w:t>
            </w:r>
          </w:p>
        </w:tc>
      </w:tr>
    </w:tbl>
    <w:p w:rsidR="007253C8" w:rsidP="007253C8" w:rsidRDefault="007253C8" w14:paraId="302444F7" w14:textId="77777777">
      <w:pPr>
        <w:pStyle w:val="standard0"/>
        <w:ind w:firstLine="0"/>
      </w:pPr>
    </w:p>
    <w:p w:rsidR="007253C8" w:rsidP="007253C8" w:rsidRDefault="007253C8" w14:paraId="7A767C23" w14:textId="755892B2">
      <w:pPr>
        <w:pStyle w:val="Standard"/>
      </w:pPr>
      <w:r>
        <w:lastRenderedPageBreak/>
        <w:t>The Commission finds SDG&amp;E’s explanation for its work outside the HFTDs to be reasonable. For example, much of SDG&amp;E’s infrastructure was designed prior to the establishment of HFTDs. As a result, SDG&amp;E states that certain investments near the HFTD may be necessary to align WMP work with existing infrastructure and to address PSPS risk, which may be crucial for achieving desired risk reduction with</w:t>
      </w:r>
      <w:r w:rsidR="00C833E6">
        <w:t>in</w:t>
      </w:r>
      <w:r>
        <w:t xml:space="preserve"> HFTDs.</w:t>
      </w:r>
      <w:r w:rsidRPr="006E018D">
        <w:rPr>
          <w:rStyle w:val="FootnoteReference"/>
        </w:rPr>
        <w:footnoteReference w:id="173"/>
      </w:r>
      <w:r>
        <w:t xml:space="preserve"> In other instances, work on either side of the HFTD boundaries overlapped and could not be separated at the boundaries of HFTDs. For example, c</w:t>
      </w:r>
      <w:r w:rsidRPr="00394650">
        <w:t>ertain circuit segments include infrastructure that crosses HFTD boundaries.</w:t>
      </w:r>
      <w:r>
        <w:t xml:space="preserve"> In addition</w:t>
      </w:r>
      <w:r w:rsidRPr="00394650">
        <w:t>, work may have been performed outside the HFTD to reduce the number of customers impacted by PSPS events.</w:t>
      </w:r>
    </w:p>
    <w:p w:rsidR="007253C8" w:rsidP="007253C8" w:rsidRDefault="007253C8" w14:paraId="2E8544B3" w14:textId="77777777">
      <w:pPr>
        <w:pStyle w:val="Standard"/>
      </w:pPr>
      <w:r>
        <w:t>For</w:t>
      </w:r>
      <w:r w:rsidDel="00B7768E">
        <w:t xml:space="preserve"> </w:t>
      </w:r>
      <w:r>
        <w:t xml:space="preserve">seven of the 11 cost categories in the table above, the amount of work SDG&amp;E performed outside HFTDs was 1% or less. The Commission finds this amount to be de </w:t>
      </w:r>
      <w:proofErr w:type="spellStart"/>
      <w:r>
        <w:t>minimus</w:t>
      </w:r>
      <w:proofErr w:type="spellEnd"/>
      <w:r>
        <w:t xml:space="preserve"> and reasonable, for the reasons stated above. For the remaining four areas, the percentage of work performed outside HFTDs was between 20 and 40 percent. We address the reasonableness in these areas below, including the installation of microgrids, </w:t>
      </w:r>
      <w:r w:rsidRPr="00B957D5">
        <w:t xml:space="preserve">Supervisory Control and Data Acquisition (SCADA) </w:t>
      </w:r>
      <w:r>
        <w:t>c</w:t>
      </w:r>
      <w:r w:rsidRPr="00B957D5">
        <w:t>apacitors</w:t>
      </w:r>
      <w:r>
        <w:t>, PSPS Sectionalizing Enhancements, and Distribution Community Reliability Improvements.</w:t>
      </w:r>
    </w:p>
    <w:p w:rsidRPr="0097606E" w:rsidR="007253C8" w:rsidP="00645333" w:rsidRDefault="007253C8" w14:paraId="49A955C7" w14:textId="092C8095">
      <w:pPr>
        <w:pStyle w:val="Heading2"/>
      </w:pPr>
      <w:bookmarkStart w:name="_Toc213312270" w:id="48"/>
      <w:r w:rsidRPr="0097606E">
        <w:t>Microgrids</w:t>
      </w:r>
      <w:bookmarkEnd w:id="48"/>
    </w:p>
    <w:p w:rsidR="007253C8" w:rsidP="007253C8" w:rsidRDefault="007253C8" w14:paraId="004C8977" w14:textId="77777777">
      <w:pPr>
        <w:pStyle w:val="Standard"/>
      </w:pPr>
      <w:r>
        <w:t>SDG&amp;E installed t</w:t>
      </w:r>
      <w:r w:rsidRPr="008575A3">
        <w:t>wo of five (40%) microgrids during 2019</w:t>
      </w:r>
      <w:r>
        <w:t>–20</w:t>
      </w:r>
      <w:r w:rsidRPr="008575A3">
        <w:t>22</w:t>
      </w:r>
      <w:r>
        <w:t xml:space="preserve"> at </w:t>
      </w:r>
      <w:r w:rsidRPr="008575A3">
        <w:t>Butterfield Ranch and Shelter Valley</w:t>
      </w:r>
      <w:r>
        <w:t xml:space="preserve"> </w:t>
      </w:r>
      <w:r w:rsidRPr="008575A3">
        <w:t xml:space="preserve">outside the HFTD. Cal Advocates argues that SDG&amp;E should have prioritized the two Tier 3 locations over Butterfield Ranch and Shelter Valley and that the costs for the Butterfield Ranch and Shelter </w:t>
      </w:r>
      <w:r w:rsidRPr="008575A3">
        <w:lastRenderedPageBreak/>
        <w:t>Valley microgrids</w:t>
      </w:r>
      <w:r>
        <w:rPr>
          <w:rStyle w:val="FootnoteReference"/>
        </w:rPr>
        <w:footnoteReference w:id="174"/>
      </w:r>
      <w:r w:rsidRPr="008575A3">
        <w:t xml:space="preserve"> should therefore be denied recovery.</w:t>
      </w:r>
      <w:r>
        <w:rPr>
          <w:rStyle w:val="FootnoteReference"/>
        </w:rPr>
        <w:footnoteReference w:id="175"/>
      </w:r>
      <w:r w:rsidRPr="008575A3">
        <w:t> </w:t>
      </w:r>
      <w:r>
        <w:t xml:space="preserve">PCF also opposes cost recovery for the microgrid initiative because it is not </w:t>
      </w:r>
      <w:r w:rsidRPr="00B957D5">
        <w:t xml:space="preserve">cost-effective and </w:t>
      </w:r>
      <w:r>
        <w:t>does not utilize renewable energy</w:t>
      </w:r>
      <w:r w:rsidRPr="00B957D5">
        <w:t>.</w:t>
      </w:r>
      <w:r>
        <w:rPr>
          <w:rStyle w:val="FootnoteReference"/>
        </w:rPr>
        <w:footnoteReference w:id="176"/>
      </w:r>
    </w:p>
    <w:p w:rsidR="007253C8" w:rsidP="007253C8" w:rsidRDefault="007253C8" w14:paraId="1342495D" w14:textId="0CDF2AB0">
      <w:pPr>
        <w:pStyle w:val="Standard"/>
      </w:pPr>
      <w:r>
        <w:t xml:space="preserve">In reply, </w:t>
      </w:r>
      <w:r w:rsidRPr="007D25BD">
        <w:t xml:space="preserve">SDG&amp;E </w:t>
      </w:r>
      <w:r>
        <w:t xml:space="preserve">provides two reasons for installing the two </w:t>
      </w:r>
      <w:r w:rsidRPr="007D25BD">
        <w:t xml:space="preserve">microgrids </w:t>
      </w:r>
      <w:r>
        <w:t xml:space="preserve">outside the HFTD. First, these microgrids serve the indirect wildfire mitigation purpose of reducing the impact of PSPS events and, thereby, provide </w:t>
      </w:r>
      <w:r w:rsidRPr="007D25BD">
        <w:t>resiliency to</w:t>
      </w:r>
      <w:r>
        <w:t xml:space="preserve"> the served </w:t>
      </w:r>
      <w:r w:rsidRPr="007D25BD">
        <w:t>communit</w:t>
      </w:r>
      <w:r>
        <w:t>ies.</w:t>
      </w:r>
      <w:r>
        <w:rPr>
          <w:vertAlign w:val="superscript"/>
        </w:rPr>
        <w:t xml:space="preserve"> </w:t>
      </w:r>
      <w:r>
        <w:t xml:space="preserve">These two communities are at risk for de-energization during high-risk conditions because </w:t>
      </w:r>
      <w:r w:rsidRPr="00DB1323">
        <w:t>the circuits that feed both microgrids are located within Tier 2 and Tier 3 of the HFTD</w:t>
      </w:r>
      <w:r>
        <w:t xml:space="preserve">s. </w:t>
      </w:r>
      <w:r w:rsidR="00496F72">
        <w:t>Second, t</w:t>
      </w:r>
      <w:r>
        <w:t xml:space="preserve">he Shelter Valley microgrid also serves </w:t>
      </w:r>
      <w:r w:rsidRPr="007D25BD">
        <w:t>the critical facility of San Diego County Fire Station #53</w:t>
      </w:r>
      <w:r>
        <w:t>.</w:t>
      </w:r>
      <w:r>
        <w:rPr>
          <w:rStyle w:val="FootnoteReference"/>
        </w:rPr>
        <w:footnoteReference w:id="177"/>
      </w:r>
      <w:r>
        <w:t xml:space="preserve"> The Commission finds that these reasons support recovery of the two microgrids outside the HFTDs and approves such cost recovery.</w:t>
      </w:r>
    </w:p>
    <w:p w:rsidRPr="006A5782" w:rsidR="007253C8" w:rsidP="007253C8" w:rsidRDefault="007253C8" w14:paraId="710531ED" w14:textId="7D310AD5">
      <w:pPr>
        <w:pStyle w:val="Standard"/>
      </w:pPr>
      <w:bookmarkStart w:name="_Hlk196812277" w:id="49"/>
      <w:r w:rsidRPr="001A6EAE">
        <w:t xml:space="preserve">PCF argues that </w:t>
      </w:r>
      <w:r>
        <w:t xml:space="preserve">recovery for SDG&amp;E’s microgrid costs should be denied for the following reasons: 1) </w:t>
      </w:r>
      <w:r w:rsidRPr="001A6EAE">
        <w:t>SDG&amp;E’s microgrid initiative is not cost-effective</w:t>
      </w:r>
      <w:r>
        <w:t>, 2)</w:t>
      </w:r>
      <w:r w:rsidR="00EB33A9">
        <w:t> </w:t>
      </w:r>
      <w:r>
        <w:t xml:space="preserve">SDG&amp;E’s </w:t>
      </w:r>
      <w:r w:rsidRPr="001A6EAE">
        <w:t>microgrid initiative is not utilizing renewable power</w:t>
      </w:r>
      <w:r>
        <w:t>, and 3)</w:t>
      </w:r>
      <w:r w:rsidR="00EB33A9">
        <w:t> </w:t>
      </w:r>
      <w:r>
        <w:t xml:space="preserve">traditional </w:t>
      </w:r>
      <w:r w:rsidRPr="00E34332">
        <w:t>generators</w:t>
      </w:r>
      <w:r>
        <w:t xml:space="preserve"> have a higher wildfire risk.</w:t>
      </w:r>
      <w:r>
        <w:rPr>
          <w:rStyle w:val="FootnoteReference"/>
        </w:rPr>
        <w:footnoteReference w:id="178"/>
      </w:r>
      <w:r>
        <w:t xml:space="preserve"> Although these arguments may have </w:t>
      </w:r>
      <w:r w:rsidR="00C833E6">
        <w:t xml:space="preserve">had </w:t>
      </w:r>
      <w:r>
        <w:t>merit, the Commission notes that SDG&amp;E’s four microgrid locations were upgraded in 2021 to remove temporary generators and install renewable power solutions. Mobile battery storage unit</w:t>
      </w:r>
      <w:r w:rsidR="00496F72">
        <w:t>s</w:t>
      </w:r>
      <w:r>
        <w:t xml:space="preserve"> and box power units were also deployed to aid in mitigating the impacts of PSPS events for critical </w:t>
      </w:r>
      <w:r>
        <w:lastRenderedPageBreak/>
        <w:t>customers.</w:t>
      </w:r>
      <w:r w:rsidRPr="59165C81">
        <w:rPr>
          <w:rStyle w:val="FootnoteReference"/>
        </w:rPr>
        <w:footnoteReference w:id="179"/>
      </w:r>
      <w:r w:rsidRPr="7FA93A28">
        <w:rPr>
          <w:rStyle w:val="FootnoteReference"/>
        </w:rPr>
        <w:t xml:space="preserve">  </w:t>
      </w:r>
      <w:r>
        <w:t>Nonetheless, PCF identifies areas that require further examination</w:t>
      </w:r>
      <w:r w:rsidDel="00137343">
        <w:t xml:space="preserve">. </w:t>
      </w:r>
      <w:r>
        <w:t>As a result, in its next GRC, if SDG&amp;E requests cost recovery for any additional microgrid projects, SDG&amp;E shall provide evidence of the energy source and cost</w:t>
      </w:r>
      <w:r w:rsidR="00FC388E">
        <w:t>-</w:t>
      </w:r>
      <w:r>
        <w:t>effectiveness of future microgrid projects.</w:t>
      </w:r>
    </w:p>
    <w:p w:rsidRPr="006419A8" w:rsidR="007253C8" w:rsidP="00645333" w:rsidRDefault="007253C8" w14:paraId="6F5941B2" w14:textId="7B5BF87A">
      <w:pPr>
        <w:pStyle w:val="Heading2"/>
      </w:pPr>
      <w:bookmarkStart w:name="_Toc213312271" w:id="50"/>
      <w:bookmarkEnd w:id="49"/>
      <w:r w:rsidRPr="006419A8">
        <w:t>SCADA Capacitors</w:t>
      </w:r>
      <w:bookmarkEnd w:id="50"/>
    </w:p>
    <w:p w:rsidR="007253C8" w:rsidP="007253C8" w:rsidRDefault="007253C8" w14:paraId="4E3A2B98" w14:textId="77777777">
      <w:pPr>
        <w:pStyle w:val="Standard"/>
      </w:pPr>
      <w:r>
        <w:t xml:space="preserve">Electrical distribution </w:t>
      </w:r>
      <w:r w:rsidRPr="00525922">
        <w:t>capacitors are a necessary part of the electrical distribution system and can ignite fires when they fail by</w:t>
      </w:r>
      <w:r>
        <w:t>, for example, r</w:t>
      </w:r>
      <w:r w:rsidRPr="00525922">
        <w:t>upturing and leaking molten metal</w:t>
      </w:r>
      <w:r>
        <w:t xml:space="preserve">. Through the </w:t>
      </w:r>
      <w:r w:rsidRPr="00525922">
        <w:t xml:space="preserve">Supervisory Control and Data Acquisition (SCADA) </w:t>
      </w:r>
      <w:r>
        <w:t>C</w:t>
      </w:r>
      <w:r w:rsidRPr="00525922">
        <w:t>apacitor</w:t>
      </w:r>
      <w:r>
        <w:t xml:space="preserve"> </w:t>
      </w:r>
      <w:r w:rsidRPr="00525922">
        <w:t>Maintenance and Replacement Program</w:t>
      </w:r>
      <w:r>
        <w:t>, SDG&amp;E replaces non-SCADA capacitors with n</w:t>
      </w:r>
      <w:r w:rsidRPr="00525922">
        <w:t xml:space="preserve">ewer SCADA capacitors </w:t>
      </w:r>
      <w:r>
        <w:t xml:space="preserve">to </w:t>
      </w:r>
      <w:r w:rsidRPr="00525922">
        <w:t>mitigate wildfire risk</w:t>
      </w:r>
      <w:r w:rsidDel="00137343">
        <w:t xml:space="preserve">. </w:t>
      </w:r>
      <w:r>
        <w:t xml:space="preserve">This is accomplished via remote electronic monitoring </w:t>
      </w:r>
      <w:r w:rsidRPr="00525922">
        <w:t>for risks that can be isolated before they cause catastrophic failure.</w:t>
      </w:r>
      <w:r w:rsidRPr="00525922">
        <w:rPr>
          <w:vertAlign w:val="superscript"/>
        </w:rPr>
        <w:footnoteReference w:id="180"/>
      </w:r>
    </w:p>
    <w:p w:rsidRPr="0089596F" w:rsidR="007253C8" w:rsidP="007253C8" w:rsidRDefault="007253C8" w14:paraId="28A74FA5" w14:textId="77777777">
      <w:pPr>
        <w:pStyle w:val="Standard"/>
      </w:pPr>
      <w:r>
        <w:t xml:space="preserve">Cal Advocates </w:t>
      </w:r>
      <w:r w:rsidRPr="0089596F">
        <w:t xml:space="preserve">recommends that the Commission deny SDG&amp;E recovery of WMPMA costs incurred for 45 SCADA </w:t>
      </w:r>
      <w:r>
        <w:t>c</w:t>
      </w:r>
      <w:r w:rsidRPr="0089596F">
        <w:t>apacitors</w:t>
      </w:r>
      <w:r>
        <w:t xml:space="preserve"> </w:t>
      </w:r>
      <w:r w:rsidRPr="0089596F">
        <w:t>(out of 123</w:t>
      </w:r>
      <w:r>
        <w:t>,</w:t>
      </w:r>
      <w:r w:rsidRPr="0089596F">
        <w:t xml:space="preserve"> or 37 percent) </w:t>
      </w:r>
      <w:r>
        <w:t xml:space="preserve">that </w:t>
      </w:r>
      <w:r w:rsidRPr="0089596F">
        <w:t>were installed outside of the HFTD.</w:t>
      </w:r>
      <w:r>
        <w:t xml:space="preserve">  </w:t>
      </w:r>
    </w:p>
    <w:p w:rsidR="007253C8" w:rsidP="007253C8" w:rsidRDefault="007253C8" w14:paraId="35A73639" w14:textId="2EBE1F1B">
      <w:pPr>
        <w:pStyle w:val="Standard"/>
      </w:pPr>
      <w:r>
        <w:t xml:space="preserve">The Commission finds that the number of non-SCADA capacitors SDG&amp;E replaced outside HFTDs is reasonable because </w:t>
      </w:r>
      <w:r w:rsidRPr="006419A8">
        <w:t xml:space="preserve">93 percent of the capacitors in question were installed in the Wildland Urban Interface or coastal canyons with </w:t>
      </w:r>
      <w:r>
        <w:t xml:space="preserve">unique </w:t>
      </w:r>
      <w:r w:rsidRPr="006419A8">
        <w:t>wildfire risk and 73 percent (33 of 45) were installed within two miles of the HFTD boundary</w:t>
      </w:r>
      <w:r>
        <w:t xml:space="preserve">. In such locations, replacing riskier capacitors that may lead to catastrophic damage is a reasonable and cost-effective risk mitigation. As a result, the Commission </w:t>
      </w:r>
      <w:r w:rsidR="00C833E6">
        <w:t xml:space="preserve">rejects </w:t>
      </w:r>
      <w:r>
        <w:t>Cal Advocates’ recommendation to deny such recovery.</w:t>
      </w:r>
    </w:p>
    <w:p w:rsidRPr="007164BC" w:rsidR="007253C8" w:rsidP="00645333" w:rsidRDefault="007253C8" w14:paraId="6AD7F4E8" w14:textId="57F5A0E6">
      <w:pPr>
        <w:pStyle w:val="Heading2"/>
      </w:pPr>
      <w:bookmarkStart w:name="_Toc213312272" w:id="51"/>
      <w:r w:rsidRPr="007164BC">
        <w:lastRenderedPageBreak/>
        <w:t>PSPS Sectionalizing Enhancements</w:t>
      </w:r>
      <w:bookmarkEnd w:id="51"/>
    </w:p>
    <w:p w:rsidR="007253C8" w:rsidP="007253C8" w:rsidRDefault="007253C8" w14:paraId="79DB5E11" w14:textId="77777777">
      <w:pPr>
        <w:pStyle w:val="Standard"/>
      </w:pPr>
      <w:r w:rsidRPr="005C6503">
        <w:t>The PSPS Sectionalizing Enhancement Program installs switches in strategic locations</w:t>
      </w:r>
      <w:r>
        <w:t xml:space="preserve"> to </w:t>
      </w:r>
      <w:r w:rsidRPr="005C6503">
        <w:t>improv</w:t>
      </w:r>
      <w:r>
        <w:t>e</w:t>
      </w:r>
      <w:r w:rsidRPr="005C6503">
        <w:t xml:space="preserve"> the ability to isolate high-risk areas for potential de</w:t>
      </w:r>
      <w:r>
        <w:t>-</w:t>
      </w:r>
      <w:r w:rsidRPr="005C6503">
        <w:t>energization</w:t>
      </w:r>
      <w:r>
        <w:t xml:space="preserve"> and to </w:t>
      </w:r>
      <w:r w:rsidRPr="005C6503">
        <w:t>allow customers with lower-risk infrastructure to remain energized.</w:t>
      </w:r>
      <w:r>
        <w:rPr>
          <w:rStyle w:val="FootnoteReference"/>
        </w:rPr>
        <w:footnoteReference w:id="181"/>
      </w:r>
    </w:p>
    <w:p w:rsidR="007253C8" w:rsidP="007253C8" w:rsidRDefault="007253C8" w14:paraId="6FB4A0B1" w14:textId="77777777">
      <w:pPr>
        <w:pStyle w:val="Standard"/>
      </w:pPr>
      <w:r w:rsidRPr="005C6503">
        <w:t xml:space="preserve">Cal Advocates recommends that the Commission deny SDG&amp;E recovery of WMPMA costs incurred for </w:t>
      </w:r>
      <w:r>
        <w:t>12 PSPS sectionalizing</w:t>
      </w:r>
      <w:r w:rsidRPr="005C6503">
        <w:t xml:space="preserve"> switches </w:t>
      </w:r>
      <w:r>
        <w:t xml:space="preserve">that were </w:t>
      </w:r>
      <w:r w:rsidRPr="005C6503">
        <w:t>installed outside the HFTD (out of 55 switches, or 22 percent).</w:t>
      </w:r>
    </w:p>
    <w:p w:rsidRPr="00F72372" w:rsidR="007253C8" w:rsidP="007253C8" w:rsidRDefault="007253C8" w14:paraId="7F85A381" w14:textId="77777777">
      <w:pPr>
        <w:pStyle w:val="Standard"/>
        <w:rPr>
          <w:vertAlign w:val="superscript"/>
        </w:rPr>
      </w:pPr>
      <w:r>
        <w:t>In reply, SDG&amp;E states that of</w:t>
      </w:r>
      <w:r w:rsidRPr="00F72372">
        <w:t xml:space="preserve"> the 12 devices that Cal Advocates recommends for reduction, one is in fact in Tier 2 of the HFTD and 11 are immediately adjacent to Tier 2.</w:t>
      </w:r>
    </w:p>
    <w:p w:rsidR="007253C8" w:rsidP="007253C8" w:rsidRDefault="007253C8" w14:paraId="44DE79C8" w14:textId="4EBC2114">
      <w:pPr>
        <w:pStyle w:val="Standard"/>
      </w:pPr>
      <w:r>
        <w:t xml:space="preserve">The Commission finds the number of sectionalizing switches installed outside HFTDs to be sufficiently tied to high-risk areas to be a reasonable method of providing rapid isolation during any wind or wildfire incidents. As a result, the Commission </w:t>
      </w:r>
      <w:r w:rsidR="00C833E6">
        <w:t xml:space="preserve">rejects </w:t>
      </w:r>
      <w:r>
        <w:t xml:space="preserve">Cal Advocates’ recommendation to deny such recovery.  </w:t>
      </w:r>
    </w:p>
    <w:p w:rsidRPr="00231020" w:rsidR="007253C8" w:rsidP="00645333" w:rsidRDefault="007253C8" w14:paraId="25F2D97B" w14:textId="7E0BD47B">
      <w:pPr>
        <w:pStyle w:val="Heading2"/>
      </w:pPr>
      <w:bookmarkStart w:name="_Toc213312273" w:id="52"/>
      <w:r w:rsidRPr="00231020">
        <w:t>Dist</w:t>
      </w:r>
      <w:r>
        <w:t>ribution</w:t>
      </w:r>
      <w:r w:rsidRPr="00231020">
        <w:t xml:space="preserve"> Comm</w:t>
      </w:r>
      <w:r>
        <w:t>unications</w:t>
      </w:r>
      <w:r w:rsidRPr="00231020">
        <w:t xml:space="preserve"> Reliability Improvements</w:t>
      </w:r>
      <w:bookmarkEnd w:id="52"/>
      <w:r w:rsidR="004C4C2D">
        <w:t xml:space="preserve"> (DCRI)</w:t>
      </w:r>
    </w:p>
    <w:p w:rsidR="007253C8" w:rsidP="007253C8" w:rsidRDefault="007253C8" w14:paraId="708E05C5" w14:textId="7A0461B6">
      <w:pPr>
        <w:pStyle w:val="Standard"/>
      </w:pPr>
      <w:r>
        <w:t>In D.19-09-051</w:t>
      </w:r>
      <w:r w:rsidR="00D22E9D">
        <w:t>,</w:t>
      </w:r>
      <w:r>
        <w:t xml:space="preserve"> the Commission authorized SDG&amp;E to construct a mobile communications network to replace wire </w:t>
      </w:r>
      <w:r w:rsidRPr="001D3BDE">
        <w:t>communications infrastructure which ha</w:t>
      </w:r>
      <w:r>
        <w:t>d</w:t>
      </w:r>
      <w:r w:rsidRPr="001D3BDE">
        <w:t xml:space="preserve"> become inadequate to meet demand for greater volumes of data at high speed. </w:t>
      </w:r>
      <w:r>
        <w:t>The scope of the Commission’s authorization included e</w:t>
      </w:r>
      <w:r w:rsidRPr="001D3BDE">
        <w:t>xpanding the system</w:t>
      </w:r>
      <w:r>
        <w:t xml:space="preserve"> to </w:t>
      </w:r>
      <w:r w:rsidRPr="001D3BDE">
        <w:t>provide coverage for a wider area.</w:t>
      </w:r>
      <w:r>
        <w:rPr>
          <w:rStyle w:val="FootnoteReference"/>
        </w:rPr>
        <w:footnoteReference w:id="182"/>
      </w:r>
    </w:p>
    <w:p w:rsidR="007253C8" w:rsidP="007253C8" w:rsidRDefault="007253C8" w14:paraId="1380385A" w14:textId="77777777">
      <w:pPr>
        <w:pStyle w:val="Standard"/>
      </w:pPr>
      <w:r>
        <w:lastRenderedPageBreak/>
        <w:t xml:space="preserve">The new system provides increased bandwidth in the HFTD </w:t>
      </w:r>
      <w:r w:rsidRPr="001D3BDE">
        <w:t>to support technologies deployed as wildfire mitigations, including the Advanced Protection Program</w:t>
      </w:r>
      <w:r>
        <w:t>, f</w:t>
      </w:r>
      <w:r w:rsidRPr="001D3BDE">
        <w:t xml:space="preserve">alling </w:t>
      </w:r>
      <w:r>
        <w:t>c</w:t>
      </w:r>
      <w:r w:rsidRPr="001D3BDE">
        <w:t xml:space="preserve">onductor </w:t>
      </w:r>
      <w:r>
        <w:t>p</w:t>
      </w:r>
      <w:r w:rsidRPr="001D3BDE">
        <w:t>rotection</w:t>
      </w:r>
      <w:r>
        <w:t xml:space="preserve"> through early fault detection, and SCADA</w:t>
      </w:r>
      <w:r w:rsidRPr="0078231D">
        <w:t xml:space="preserve"> switches to support PSPS events and day-to-day operation</w:t>
      </w:r>
      <w:r>
        <w:t xml:space="preserve">s. </w:t>
      </w:r>
      <w:r w:rsidRPr="001D3BDE">
        <w:t xml:space="preserve">These programs require high-speed data communication between field devices to operate quickly, de-energizing a circuit before a broken conductor can reach the ground, </w:t>
      </w:r>
      <w:r>
        <w:t xml:space="preserve">thereby </w:t>
      </w:r>
      <w:r w:rsidRPr="001D3BDE">
        <w:t>reducing the wildfire risk associated with energized</w:t>
      </w:r>
      <w:r>
        <w:t xml:space="preserve"> </w:t>
      </w:r>
      <w:r w:rsidRPr="001D3BDE">
        <w:t xml:space="preserve">wire-down events. In addition, there are gaps in coverage of third-party communication providers in the rural areas of eastern San Diego County that limit the ability to communicate with field personnel during </w:t>
      </w:r>
      <w:r>
        <w:t xml:space="preserve">events requiring activation of the Emergency Operations Center (EOC). </w:t>
      </w:r>
      <w:r w:rsidRPr="001D3BDE">
        <w:t xml:space="preserve">The ability to reliably enable and disable sensitive settings, enable or disable reclosing, or remotely operate a switch during a high-risk weather event requires reliable communication that the </w:t>
      </w:r>
      <w:r w:rsidRPr="00A54509">
        <w:t xml:space="preserve">Distribution Communications Reliability Improvements </w:t>
      </w:r>
      <w:r>
        <w:t>(</w:t>
      </w:r>
      <w:r w:rsidRPr="001D3BDE">
        <w:t>DCRI</w:t>
      </w:r>
      <w:r>
        <w:t>)</w:t>
      </w:r>
      <w:r w:rsidRPr="001D3BDE">
        <w:t xml:space="preserve"> program will provide.</w:t>
      </w:r>
      <w:r>
        <w:rPr>
          <w:rStyle w:val="FootnoteReference"/>
        </w:rPr>
        <w:footnoteReference w:id="183"/>
      </w:r>
    </w:p>
    <w:p w:rsidR="007253C8" w:rsidP="007253C8" w:rsidRDefault="007253C8" w14:paraId="38FE89D2" w14:textId="21A53E41">
      <w:pPr>
        <w:pStyle w:val="Standard"/>
      </w:pPr>
      <w:r w:rsidRPr="0078231D">
        <w:t xml:space="preserve">SDG&amp;E </w:t>
      </w:r>
      <w:r>
        <w:t>provide</w:t>
      </w:r>
      <w:r w:rsidR="00C833E6">
        <w:t>d</w:t>
      </w:r>
      <w:r>
        <w:t xml:space="preserve"> details regarding how the mobile communications network functions inside and outside the HFTDs. </w:t>
      </w:r>
      <w:r w:rsidRPr="0078231D">
        <w:t xml:space="preserve">SDG&amp;E’s DCRI requires </w:t>
      </w:r>
      <w:r>
        <w:t>a</w:t>
      </w:r>
      <w:r w:rsidRPr="0078231D">
        <w:t xml:space="preserve"> network of base stations that allows communications to extend into SDG&amp;E’s backcountry areas throughout the HFTD</w:t>
      </w:r>
      <w:r>
        <w:t xml:space="preserve">. This system requires </w:t>
      </w:r>
      <w:r w:rsidRPr="0078231D">
        <w:t>route</w:t>
      </w:r>
      <w:r>
        <w:t>s</w:t>
      </w:r>
      <w:r w:rsidRPr="0078231D">
        <w:t xml:space="preserve"> from the base stations in the HFTD back to the centralized data center and control</w:t>
      </w:r>
      <w:r>
        <w:t xml:space="preserve"> center. </w:t>
      </w:r>
      <w:r w:rsidRPr="0078231D">
        <w:t>In certain cases, a base station outside the HFTD was necessary to establish a path to the HFTD. In other cases, SDG&amp;E installed base station</w:t>
      </w:r>
      <w:r>
        <w:t>s</w:t>
      </w:r>
      <w:r w:rsidRPr="0078231D">
        <w:t xml:space="preserve"> outside of the </w:t>
      </w:r>
      <w:r w:rsidRPr="0078231D">
        <w:lastRenderedPageBreak/>
        <w:t>HFTD to optimize the wireless communications within the HFTD, which reduces the need for additional base stations.</w:t>
      </w:r>
      <w:r>
        <w:rPr>
          <w:rStyle w:val="FootnoteReference"/>
        </w:rPr>
        <w:footnoteReference w:id="184"/>
      </w:r>
    </w:p>
    <w:p w:rsidRPr="0078231D" w:rsidR="007253C8" w:rsidP="007253C8" w:rsidRDefault="007253C8" w14:paraId="17FA0ED0" w14:textId="76974FF3">
      <w:pPr>
        <w:pStyle w:val="Standard"/>
      </w:pPr>
      <w:r>
        <w:t>Considering all</w:t>
      </w:r>
      <w:r w:rsidDel="008B4F85">
        <w:t xml:space="preserve"> </w:t>
      </w:r>
      <w:r>
        <w:t>the above, the Commission finds SDG&amp;E’s installation of communication stations outside HFTDs improv</w:t>
      </w:r>
      <w:r w:rsidR="00C833E6">
        <w:t>es</w:t>
      </w:r>
      <w:r>
        <w:t xml:space="preserve"> SDG&amp;E’s wireless communications in the HFTDs. The Commission also finds the additional cost of SDG&amp;E installing a new mobile communications network, including stations outside HFTDs, to be a reasonable method of reducing costs and maximizing coverage for HFTDs. As a result, the Commission approves SDG&amp;E’s request for recovery of DCRI direct costs in the amount of $42.622 million for capital expenditures and $0.715 million for O&amp;M expenses as an initial authorization subject to direct cost reductions in Section 13.</w:t>
      </w:r>
      <w:r>
        <w:rPr>
          <w:rStyle w:val="FootnoteReference"/>
        </w:rPr>
        <w:footnoteReference w:id="185"/>
      </w:r>
    </w:p>
    <w:p w:rsidRPr="00420901" w:rsidR="007253C8" w:rsidP="007253C8" w:rsidRDefault="007253C8" w14:paraId="6F170D03" w14:textId="6D0ACC75">
      <w:pPr>
        <w:pStyle w:val="Standard"/>
      </w:pPr>
      <w:r>
        <w:t>Cal Advocates’ remaining recommended reductions for work performed outside HFTDs relate to initiatives for which the rate of installation outside the HFTD is one percent or less. Although these amounts are relatively small, the Commission finds them to be reasonable for several reasons. HFTD boundaries are not precise</w:t>
      </w:r>
      <w:r w:rsidR="007E2BB1">
        <w:t>,</w:t>
      </w:r>
      <w:r w:rsidR="00C833E6">
        <w:t xml:space="preserve"> and</w:t>
      </w:r>
      <w:r>
        <w:t xml:space="preserve"> </w:t>
      </w:r>
      <w:r w:rsidR="00C833E6">
        <w:t>a</w:t>
      </w:r>
      <w:r>
        <w:t xml:space="preserve">dding mitigations close to an HFTD can reduce risk within the HFTD. Certain work outside an HFTD, such as adding communication stations, can improve communications within an HFTD. Therefore, the Commission denies Cal Advocates’ recommended reductions for the following initiatives: DOSH, </w:t>
      </w:r>
      <w:r w:rsidR="00462A29">
        <w:t xml:space="preserve">Strategic Undergrounding </w:t>
      </w:r>
      <w:r>
        <w:t xml:space="preserve">, Expulsion Fuse Replacements, Hotline Clamps, Lightning Arrestors, Avian Mitigation, and </w:t>
      </w:r>
      <w:r w:rsidR="00462A29">
        <w:t>Covered Conductor</w:t>
      </w:r>
      <w:r>
        <w:t>s.  </w:t>
      </w:r>
    </w:p>
    <w:p w:rsidR="007253C8" w:rsidP="007253C8" w:rsidRDefault="007253C8" w14:paraId="625B28EB" w14:textId="77777777">
      <w:pPr>
        <w:pStyle w:val="Standard"/>
      </w:pPr>
      <w:r>
        <w:lastRenderedPageBreak/>
        <w:t>In future WMPs and other reports regarding wildfire mitigation work, SDG&amp;E shall fully disclose the work and costs performed within and outside HFTDs.</w:t>
      </w:r>
    </w:p>
    <w:p w:rsidRPr="00A24D8D" w:rsidR="007253C8" w:rsidP="00645333" w:rsidRDefault="007253C8" w14:paraId="5E3DB0E3" w14:textId="77777777">
      <w:pPr>
        <w:pStyle w:val="Heading2"/>
      </w:pPr>
      <w:bookmarkStart w:name="_Hlk196895229" w:id="53"/>
      <w:r>
        <w:t xml:space="preserve"> </w:t>
      </w:r>
      <w:bookmarkStart w:name="_Toc213312274" w:id="54"/>
      <w:r w:rsidRPr="00142911">
        <w:t>Generator</w:t>
      </w:r>
      <w:r w:rsidRPr="00FC726E">
        <w:t xml:space="preserve"> Grant, Generator Assistance, and Standby Power Programs</w:t>
      </w:r>
      <w:bookmarkEnd w:id="54"/>
    </w:p>
    <w:p w:rsidR="007253C8" w:rsidP="007253C8" w:rsidRDefault="007253C8" w14:paraId="7FB7D56B" w14:textId="6D6DB797">
      <w:pPr>
        <w:pStyle w:val="Standard"/>
      </w:pPr>
      <w:r>
        <w:t xml:space="preserve">Several programs focus on helping customers to </w:t>
      </w:r>
      <w:r w:rsidRPr="006A58DA">
        <w:t>access electricity during PSPS event</w:t>
      </w:r>
      <w:r>
        <w:t>s</w:t>
      </w:r>
      <w:r w:rsidRPr="006A58DA">
        <w:t>.</w:t>
      </w:r>
      <w:r>
        <w:t xml:space="preserve"> </w:t>
      </w:r>
      <w:r w:rsidRPr="006A58DA">
        <w:t xml:space="preserve">The Generator Grant Program (GGP) </w:t>
      </w:r>
      <w:r>
        <w:t xml:space="preserve">helps </w:t>
      </w:r>
      <w:r w:rsidRPr="006A58DA">
        <w:t>vulnerable customer</w:t>
      </w:r>
      <w:r>
        <w:t xml:space="preserve">s </w:t>
      </w:r>
      <w:r w:rsidRPr="0046276F">
        <w:t>in Tier</w:t>
      </w:r>
      <w:r w:rsidR="00E80A86">
        <w:t>s</w:t>
      </w:r>
      <w:r w:rsidRPr="0046276F">
        <w:t xml:space="preserve"> 2 and 3 of the HFTD</w:t>
      </w:r>
      <w:r>
        <w:t>s to a</w:t>
      </w:r>
      <w:r w:rsidRPr="006A58DA">
        <w:t>ccess electricity for medical devices and critical</w:t>
      </w:r>
      <w:r>
        <w:t xml:space="preserve"> appliances by offering them p</w:t>
      </w:r>
      <w:r w:rsidRPr="006A58DA">
        <w:t>ortable backup battery units with solar charging capacity</w:t>
      </w:r>
      <w:r>
        <w:t xml:space="preserve">. From 2019 to </w:t>
      </w:r>
      <w:r w:rsidRPr="0046276F">
        <w:t xml:space="preserve">2022, </w:t>
      </w:r>
      <w:r>
        <w:t xml:space="preserve">SDG&amp;E’s </w:t>
      </w:r>
      <w:r w:rsidRPr="0046276F">
        <w:t>GGP reduced the impact of PSPS events by providing portable backup battery units to approximately 4,700 customers.</w:t>
      </w:r>
      <w:r>
        <w:rPr>
          <w:rStyle w:val="FootnoteReference"/>
        </w:rPr>
        <w:footnoteReference w:id="186"/>
      </w:r>
    </w:p>
    <w:p w:rsidR="007253C8" w:rsidP="007253C8" w:rsidRDefault="007253C8" w14:paraId="4A836BB9" w14:textId="77777777">
      <w:pPr>
        <w:pStyle w:val="Standard"/>
      </w:pPr>
      <w:r>
        <w:t xml:space="preserve">From 2020 to 2022, the </w:t>
      </w:r>
      <w:r w:rsidRPr="0046276F">
        <w:t>G</w:t>
      </w:r>
      <w:r>
        <w:t xml:space="preserve">enerator </w:t>
      </w:r>
      <w:r w:rsidRPr="0046276F">
        <w:t>A</w:t>
      </w:r>
      <w:r>
        <w:t xml:space="preserve">ssistance </w:t>
      </w:r>
      <w:r w:rsidRPr="0046276F">
        <w:t>P</w:t>
      </w:r>
      <w:r>
        <w:t>rogram</w:t>
      </w:r>
      <w:r w:rsidRPr="0046276F">
        <w:t xml:space="preserve"> </w:t>
      </w:r>
      <w:r>
        <w:t xml:space="preserve">(GAP) has </w:t>
      </w:r>
      <w:r w:rsidRPr="0046276F">
        <w:t>offer</w:t>
      </w:r>
      <w:r>
        <w:t>ed</w:t>
      </w:r>
      <w:r w:rsidRPr="0046276F">
        <w:t xml:space="preserve"> rebates for portable fuel generators and portable power stations to encourage customers to acquire backup power options to enhance preparedness and mitigate the impacts of PSPS. The </w:t>
      </w:r>
      <w:r>
        <w:t xml:space="preserve">program has </w:t>
      </w:r>
      <w:r w:rsidRPr="0046276F">
        <w:t>target</w:t>
      </w:r>
      <w:r>
        <w:t>ed c</w:t>
      </w:r>
      <w:r w:rsidRPr="0046276F">
        <w:t>ustomers who reside within Tiers 2 and 3 of HFTD</w:t>
      </w:r>
      <w:r>
        <w:t>s</w:t>
      </w:r>
      <w:r w:rsidRPr="0046276F">
        <w:t xml:space="preserve"> and have experienced at least one PSPS event since 2019. Eligible customers receive program materials via mail and email campaigns and are directed to an online portal to verify account information and learn more about the program. Upon verification, the program offers a $300 rebate to customers who meet the basic eligibility criteria of residing in an HFTD zone and experiencing a recent PSPS event. In addition, customers enrolled in the California Alternate Rates for Energy (CARE) program are eligible for an enhanced rebate amount of $450, providing a 70 to 90 percent discount on average portable generator models. The program also includes portable power stations and offers rebates of $100, with an additional $50 for CARE customers. </w:t>
      </w:r>
      <w:r w:rsidRPr="0046276F">
        <w:lastRenderedPageBreak/>
        <w:t>The program provides the option for customers to receive one rebate for a fuel generator and one rebate for a portable power station to accommodate various backup power needs.</w:t>
      </w:r>
      <w:r>
        <w:rPr>
          <w:rStyle w:val="FootnoteReference"/>
        </w:rPr>
        <w:footnoteReference w:id="187"/>
      </w:r>
    </w:p>
    <w:p w:rsidRPr="00000CE1" w:rsidR="007253C8" w:rsidP="007253C8" w:rsidRDefault="007253C8" w14:paraId="2EC869CE" w14:textId="77777777">
      <w:pPr>
        <w:pStyle w:val="Standard"/>
        <w:rPr>
          <w:b/>
          <w:bCs/>
        </w:rPr>
      </w:pPr>
      <w:r>
        <w:t>Through 2022, the Standby Power Program is an umbrella program that has provided backup power solutions to approximately 820 residential and nine commercial customers that would not directly benefit from grid hardening programs. These customers reside in rural, remote areas widely distanced from one another where other initiatives would not reduce potential PSPS events. The Standby Power Program includes the Fixed Backup Power (FBP) Programs for residential customers, commercial customers, and mobile home park clubhouses. Customers are identified based on meter, circuit, and PSPS event exposure. Outreach letters and other communications are sent to customers inviting them to participate and, depending on site requirements, feasibility, and cost, a customer could receive a fixed installation backup generator, a business could receive a critical facility generator on a temporary basis during an active PSPS event, or a clubhouse or central community building at a mobile home park could receive a solar panel and battery backup system to provide resilient access to electricity during power outages, particularly during a PSPS event. The program manages site permitting, construction, and final inspection to ensure the equipment is installed properly.</w:t>
      </w:r>
    </w:p>
    <w:p w:rsidRPr="006A58DA" w:rsidR="007253C8" w:rsidP="007253C8" w:rsidRDefault="007253C8" w14:paraId="598FD641" w14:textId="1F478C53">
      <w:pPr>
        <w:pStyle w:val="Standard"/>
      </w:pPr>
      <w:r>
        <w:t xml:space="preserve">PCF argues that recovery for SDG&amp;E’s Generator Grant, Generator Assistance, and Standby Power Programs should be denied for the following reasons: 1) SDG&amp;E does not attempt in Track 2 testimony to calculate how many ignitions have been avoided as a result of their generator programs; and 2) the </w:t>
      </w:r>
      <w:r>
        <w:lastRenderedPageBreak/>
        <w:t>programs present wildfire risk. As an example of the latter, PCF gives an example of a PG&amp;E customer who in 2019 ignited their home with an at-home generator during a PG&amp;E PSPS event.</w:t>
      </w:r>
    </w:p>
    <w:p w:rsidR="00BA4BBF" w:rsidP="007253C8" w:rsidRDefault="007253C8" w14:paraId="506B522C" w14:textId="77777777">
      <w:pPr>
        <w:pStyle w:val="Standard"/>
      </w:pPr>
      <w:r>
        <w:t>As discussed in SDG&amp;E’s WMPs, the generator and standby power programs are designed to mitigate the impact of PSPS events, not necessarily to avoid ignitions. Although renewable sources would be preferred to meet sustainability goals, review of the generator source must also consider the reasonableness of the cost of the programs included in approved WMPs. SDG&amp;E’s 2022 WMP includes subsidizing the cost of standby power for residential customers who have medical and other critical needs for power during PSPS events. SDG&amp;E also seeks recovery for commercial customers even when they do not have medical or other critical needs. As such, the Commission denies recovery of the cost of Standby Programs for commercial customers. For nine commercial customers out of a total of 829 customers, this amounts to a reduction of $0.247 million</w:t>
      </w:r>
      <w:r w:rsidRPr="49FA6DA2">
        <w:rPr>
          <w:rStyle w:val="FootnoteReference"/>
        </w:rPr>
        <w:footnoteReference w:id="188"/>
      </w:r>
      <w:r>
        <w:t xml:space="preserve"> from SDG&amp;E’s request for direct cost recovery for Standby Power programs of $22.744 million (plus the associated reduction to indirect costs).</w:t>
      </w:r>
      <w:r w:rsidRPr="49FA6DA2">
        <w:rPr>
          <w:rStyle w:val="FootnoteReference"/>
        </w:rPr>
        <w:footnoteReference w:id="189"/>
      </w:r>
      <w:r>
        <w:t xml:space="preserve"> In the absence of data showing </w:t>
      </w:r>
      <w:r w:rsidDel="282DE424">
        <w:t>the</w:t>
      </w:r>
      <w:r>
        <w:t xml:space="preserve"> cost of renewable generator sources from 2019–2022 to be more cost-effective than the cost of non-renewable generator sources, the Commission finds the remainder of SDG&amp;E’s request for recovery of costs to be reasonable. </w:t>
      </w:r>
    </w:p>
    <w:p w:rsidRPr="00FC726E" w:rsidR="007253C8" w:rsidP="007253C8" w:rsidRDefault="007253C8" w14:paraId="7E1B7452" w14:textId="256FE32F">
      <w:pPr>
        <w:pStyle w:val="Standard"/>
      </w:pPr>
      <w:r>
        <w:t xml:space="preserve">In SDG&amp;E’s next GRC or application for such cost recovery, SDG&amp;E shall provide data comparing the cost of renewable </w:t>
      </w:r>
      <w:r w:rsidDel="3D319BB7">
        <w:t xml:space="preserve">generator </w:t>
      </w:r>
      <w:r>
        <w:t xml:space="preserve">sources with the cost of non-renewable generator sources. Specifically, in SDG&amp;E’s next GRC, SDG&amp;E </w:t>
      </w:r>
      <w:r>
        <w:lastRenderedPageBreak/>
        <w:t xml:space="preserve">shall provide evidence of the following: the unit cost of generator and standby sources of power, including renewable options; and the distance at which grid hardening remote customers is unreasonable and standby power is recommended. The cost-effectiveness of such alternatives to grid hardening compared to standby, remote, and renewable sources should also be considered in SDG&amp;E’s next Risk Assessment and Mitigation Phase proceeding.  </w:t>
      </w:r>
    </w:p>
    <w:bookmarkEnd w:id="53"/>
    <w:p w:rsidRPr="002B1810" w:rsidR="007253C8" w:rsidP="00645333" w:rsidRDefault="007253C8" w14:paraId="7E4A5F87" w14:textId="77777777">
      <w:pPr>
        <w:pStyle w:val="Heading2"/>
      </w:pPr>
      <w:r>
        <w:t xml:space="preserve"> </w:t>
      </w:r>
      <w:bookmarkStart w:name="_Toc213312275" w:id="55"/>
      <w:r w:rsidRPr="00142911">
        <w:t>Remaining</w:t>
      </w:r>
      <w:r w:rsidRPr="002B1810">
        <w:t xml:space="preserve"> GD&amp;SH </w:t>
      </w:r>
      <w:r>
        <w:t>Mitigations</w:t>
      </w:r>
      <w:bookmarkEnd w:id="55"/>
    </w:p>
    <w:p w:rsidR="007253C8" w:rsidP="007253C8" w:rsidRDefault="007253C8" w14:paraId="063FB40F" w14:textId="77777777">
      <w:pPr>
        <w:pStyle w:val="Standard"/>
      </w:pPr>
      <w:r>
        <w:t>For the remaining GD&amp;SH mitigations described above and listed below, SDG&amp;E provided initial testimony describing each initiative and its impact.</w:t>
      </w:r>
      <w:r>
        <w:rPr>
          <w:rStyle w:val="FootnoteReference"/>
        </w:rPr>
        <w:footnoteReference w:id="190"/>
      </w:r>
      <w:r>
        <w:t xml:space="preserve"> In rebuttal testimony, SDG&amp;E also addressed Cal Advocates’ arguments related to work performed outside HFTDs.</w:t>
      </w:r>
      <w:r>
        <w:rPr>
          <w:rStyle w:val="FootnoteReference"/>
        </w:rPr>
        <w:footnoteReference w:id="191"/>
      </w:r>
      <w:r>
        <w:t xml:space="preserve"> In addition, SDG&amp;E provided additional data regarding the authorizations imputed in the last GRC in response to the ALJs’ ruling.</w:t>
      </w:r>
      <w:r>
        <w:rPr>
          <w:rStyle w:val="FootnoteReference"/>
        </w:rPr>
        <w:footnoteReference w:id="192"/>
      </w:r>
    </w:p>
    <w:p w:rsidR="007253C8" w:rsidP="007253C8" w:rsidRDefault="007253C8" w14:paraId="54EB5A39" w14:textId="77DB6C0B">
      <w:pPr>
        <w:pStyle w:val="Standard"/>
      </w:pPr>
      <w:r>
        <w:t>As discussed in background Section 1.4 on cost-effectiveness, various parties contested the cost-effectiveness of wildfire mitigations generally but did not specifically contest the remaining GD&amp;SH mitigations. Based on SDG&amp;E’s imputed authorizations, methodology, and cost drivers in its supporting documents, the Commission finds direct cost recovery in the amounts in the following categories to be reasonable and approves them as initial authorizations subject to direct cost reductions in Section 13.</w:t>
      </w:r>
    </w:p>
    <w:p w:rsidRPr="00073C22" w:rsidR="007253C8" w:rsidP="007253C8" w:rsidRDefault="007253C8" w14:paraId="63F10E14" w14:textId="77777777">
      <w:pPr>
        <w:pStyle w:val="Standard"/>
        <w:ind w:firstLine="0"/>
        <w:jc w:val="center"/>
        <w:rPr>
          <w:b/>
          <w:bCs/>
        </w:rPr>
      </w:pPr>
      <w:r w:rsidRPr="00073C22">
        <w:rPr>
          <w:b/>
        </w:rPr>
        <w:t>Table 4.11</w:t>
      </w:r>
    </w:p>
    <w:p w:rsidRPr="00073C22" w:rsidR="007253C8" w:rsidP="007253C8" w:rsidRDefault="007253C8" w14:paraId="31B5F925" w14:textId="77777777">
      <w:pPr>
        <w:pStyle w:val="Standard"/>
        <w:ind w:firstLine="0"/>
        <w:jc w:val="center"/>
        <w:rPr>
          <w:b/>
        </w:rPr>
      </w:pPr>
      <w:r w:rsidRPr="00073C22">
        <w:rPr>
          <w:b/>
        </w:rPr>
        <w:t>Remaining GD&amp;SH Mitigation Authorizations</w:t>
      </w:r>
    </w:p>
    <w:p w:rsidRPr="00073C22" w:rsidR="007253C8" w:rsidP="007253C8" w:rsidRDefault="007253C8" w14:paraId="2D23DF27" w14:textId="77777777">
      <w:pPr>
        <w:pStyle w:val="Standard"/>
        <w:ind w:firstLine="0"/>
        <w:jc w:val="center"/>
        <w:rPr>
          <w:b/>
        </w:rPr>
      </w:pPr>
      <w:r w:rsidRPr="00073C22">
        <w:rPr>
          <w:b/>
        </w:rPr>
        <w:t>($ millions)</w:t>
      </w:r>
    </w:p>
    <w:tbl>
      <w:tblPr>
        <w:tblW w:w="8188" w:type="dxa"/>
        <w:jc w:val="center"/>
        <w:tblLook w:val="04A0" w:firstRow="1" w:lastRow="0" w:firstColumn="1" w:lastColumn="0" w:noHBand="0" w:noVBand="1"/>
      </w:tblPr>
      <w:tblGrid>
        <w:gridCol w:w="6268"/>
        <w:gridCol w:w="960"/>
        <w:gridCol w:w="960"/>
      </w:tblGrid>
      <w:tr w:rsidRPr="00BC0AB6" w:rsidR="007253C8" w:rsidTr="00301BD8" w14:paraId="43432A77" w14:textId="77777777">
        <w:trPr>
          <w:trHeight w:val="300"/>
          <w:jc w:val="center"/>
        </w:trPr>
        <w:tc>
          <w:tcPr>
            <w:tcW w:w="6268" w:type="dxa"/>
            <w:tcBorders>
              <w:top w:val="single" w:color="auto" w:sz="4" w:space="0"/>
              <w:left w:val="single" w:color="auto" w:sz="4" w:space="0"/>
              <w:bottom w:val="single" w:color="auto" w:sz="4" w:space="0"/>
              <w:right w:val="single" w:color="auto" w:sz="4" w:space="0"/>
            </w:tcBorders>
            <w:noWrap/>
            <w:vAlign w:val="center"/>
            <w:hideMark/>
          </w:tcPr>
          <w:p w:rsidRPr="00BC0AB6" w:rsidR="007253C8" w:rsidP="00301BD8" w:rsidRDefault="007253C8" w14:paraId="5434A56C" w14:textId="77777777">
            <w:pPr>
              <w:pStyle w:val="TableText"/>
              <w:rPr>
                <w:rFonts w:ascii="Aptos Narrow" w:hAnsi="Aptos Narrow"/>
                <w:b/>
                <w:color w:val="FFFFFF"/>
              </w:rPr>
            </w:pPr>
            <w:r w:rsidRPr="00FE70D9">
              <w:rPr>
                <w:b/>
              </w:rPr>
              <w:lastRenderedPageBreak/>
              <w:t>Initiative</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C0AB6" w:rsidR="007253C8" w:rsidP="00301BD8" w:rsidRDefault="007253C8" w14:paraId="02BAFA4D" w14:textId="77777777">
            <w:pPr>
              <w:pStyle w:val="TableText"/>
              <w:rPr>
                <w:rFonts w:ascii="Aptos Narrow" w:hAnsi="Aptos Narrow"/>
                <w:b/>
                <w:color w:val="FFFFFF"/>
              </w:rPr>
            </w:pPr>
            <w:r w:rsidRPr="00FE70D9">
              <w:rPr>
                <w:b/>
              </w:rPr>
              <w:t>Capital</w:t>
            </w:r>
          </w:p>
        </w:tc>
        <w:tc>
          <w:tcPr>
            <w:tcW w:w="960" w:type="dxa"/>
            <w:tcBorders>
              <w:top w:val="single" w:color="auto" w:sz="4" w:space="0"/>
              <w:left w:val="nil"/>
              <w:bottom w:val="single" w:color="auto" w:sz="4" w:space="0"/>
              <w:right w:val="single" w:color="auto" w:sz="4" w:space="0"/>
            </w:tcBorders>
            <w:noWrap/>
            <w:vAlign w:val="center"/>
            <w:hideMark/>
          </w:tcPr>
          <w:p w:rsidRPr="00BC0AB6" w:rsidR="007253C8" w:rsidP="00301BD8" w:rsidRDefault="007253C8" w14:paraId="5A211C2F" w14:textId="77777777">
            <w:pPr>
              <w:pStyle w:val="TableText"/>
              <w:rPr>
                <w:rFonts w:ascii="Aptos Narrow" w:hAnsi="Aptos Narrow"/>
                <w:b/>
                <w:color w:val="FFFFFF"/>
              </w:rPr>
            </w:pPr>
            <w:r w:rsidRPr="00FE70D9">
              <w:rPr>
                <w:b/>
              </w:rPr>
              <w:t>O&amp;M</w:t>
            </w:r>
          </w:p>
        </w:tc>
      </w:tr>
      <w:tr w:rsidRPr="00BC0AB6" w:rsidR="007253C8" w:rsidTr="00301BD8" w14:paraId="50E669D1" w14:textId="77777777">
        <w:trPr>
          <w:trHeight w:val="300"/>
          <w:jc w:val="center"/>
        </w:trPr>
        <w:tc>
          <w:tcPr>
            <w:tcW w:w="6268"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02C0FD96" w14:textId="77777777">
            <w:pPr>
              <w:pStyle w:val="TableText"/>
              <w:rPr>
                <w:rFonts w:ascii="Aptos Narrow" w:hAnsi="Aptos Narrow"/>
              </w:rPr>
            </w:pPr>
            <w:r w:rsidRPr="00FE70D9">
              <w:t>Expulsion Fuse Replacement</w:t>
            </w:r>
          </w:p>
        </w:tc>
        <w:tc>
          <w:tcPr>
            <w:tcW w:w="960"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40CD1B9D" w14:textId="77777777">
            <w:pPr>
              <w:pStyle w:val="TableText"/>
              <w:rPr>
                <w:rFonts w:ascii="Aptos Narrow" w:hAnsi="Aptos Narrow"/>
                <w:color w:val="000000"/>
              </w:rPr>
            </w:pPr>
            <w:r w:rsidRPr="00FE70D9">
              <w:t xml:space="preserve">     17.922 </w:t>
            </w:r>
          </w:p>
        </w:tc>
        <w:tc>
          <w:tcPr>
            <w:tcW w:w="960" w:type="dxa"/>
            <w:tcBorders>
              <w:top w:val="nil"/>
              <w:left w:val="nil"/>
              <w:bottom w:val="single" w:color="auto" w:sz="4" w:space="0"/>
              <w:right w:val="single" w:color="auto" w:sz="4" w:space="0"/>
            </w:tcBorders>
            <w:noWrap/>
            <w:vAlign w:val="center"/>
            <w:hideMark/>
          </w:tcPr>
          <w:p w:rsidRPr="00BC0AB6" w:rsidR="007253C8" w:rsidP="00301BD8" w:rsidRDefault="007253C8" w14:paraId="17A931C1" w14:textId="77777777">
            <w:pPr>
              <w:pStyle w:val="TableText"/>
              <w:rPr>
                <w:rFonts w:ascii="Aptos Narrow" w:hAnsi="Aptos Narrow"/>
                <w:color w:val="000000"/>
              </w:rPr>
            </w:pPr>
            <w:r w:rsidRPr="00FE70D9">
              <w:t xml:space="preserve">               -   </w:t>
            </w:r>
          </w:p>
        </w:tc>
      </w:tr>
      <w:tr w:rsidRPr="00BC0AB6" w:rsidR="007253C8" w:rsidTr="00301BD8" w14:paraId="73449652" w14:textId="77777777">
        <w:trPr>
          <w:trHeight w:val="300"/>
          <w:jc w:val="center"/>
        </w:trPr>
        <w:tc>
          <w:tcPr>
            <w:tcW w:w="6268"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32765350" w14:textId="77777777">
            <w:pPr>
              <w:pStyle w:val="TableText"/>
              <w:rPr>
                <w:rFonts w:ascii="Aptos Narrow" w:hAnsi="Aptos Narrow"/>
              </w:rPr>
            </w:pPr>
            <w:r w:rsidRPr="00FE70D9">
              <w:t>Advanced Protection</w:t>
            </w:r>
          </w:p>
        </w:tc>
        <w:tc>
          <w:tcPr>
            <w:tcW w:w="960"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0066FC7B" w14:textId="77777777">
            <w:pPr>
              <w:pStyle w:val="TableText"/>
              <w:rPr>
                <w:rFonts w:ascii="Aptos Narrow" w:hAnsi="Aptos Narrow"/>
                <w:color w:val="000000"/>
              </w:rPr>
            </w:pPr>
            <w:r w:rsidRPr="00FE70D9">
              <w:t xml:space="preserve">     (7.267)</w:t>
            </w:r>
          </w:p>
        </w:tc>
        <w:tc>
          <w:tcPr>
            <w:tcW w:w="960" w:type="dxa"/>
            <w:tcBorders>
              <w:top w:val="nil"/>
              <w:left w:val="nil"/>
              <w:bottom w:val="single" w:color="auto" w:sz="4" w:space="0"/>
              <w:right w:val="single" w:color="auto" w:sz="4" w:space="0"/>
            </w:tcBorders>
            <w:noWrap/>
            <w:vAlign w:val="center"/>
            <w:hideMark/>
          </w:tcPr>
          <w:p w:rsidRPr="00BC0AB6" w:rsidR="007253C8" w:rsidP="00301BD8" w:rsidRDefault="007253C8" w14:paraId="09F0BB0D" w14:textId="77777777">
            <w:pPr>
              <w:pStyle w:val="TableText"/>
              <w:rPr>
                <w:rFonts w:ascii="Aptos Narrow" w:hAnsi="Aptos Narrow"/>
                <w:color w:val="000000"/>
              </w:rPr>
            </w:pPr>
            <w:r w:rsidRPr="00FE70D9">
              <w:t xml:space="preserve">        0.153 </w:t>
            </w:r>
          </w:p>
        </w:tc>
      </w:tr>
      <w:tr w:rsidRPr="00BC0AB6" w:rsidR="007253C8" w:rsidTr="00301BD8" w14:paraId="2C64DFF5" w14:textId="77777777">
        <w:trPr>
          <w:trHeight w:val="300"/>
          <w:jc w:val="center"/>
        </w:trPr>
        <w:tc>
          <w:tcPr>
            <w:tcW w:w="6268"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2947C3A3" w14:textId="77777777">
            <w:pPr>
              <w:pStyle w:val="TableText"/>
              <w:rPr>
                <w:rFonts w:ascii="Aptos Narrow" w:hAnsi="Aptos Narrow"/>
              </w:rPr>
            </w:pPr>
            <w:r w:rsidRPr="00FE70D9">
              <w:t>Hotline Clamps</w:t>
            </w:r>
          </w:p>
        </w:tc>
        <w:tc>
          <w:tcPr>
            <w:tcW w:w="960"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41291882" w14:textId="77777777">
            <w:pPr>
              <w:pStyle w:val="TableText"/>
              <w:rPr>
                <w:rFonts w:ascii="Aptos Narrow" w:hAnsi="Aptos Narrow"/>
                <w:color w:val="000000"/>
              </w:rPr>
            </w:pPr>
            <w:r w:rsidRPr="00FE70D9">
              <w:t xml:space="preserve">               -   </w:t>
            </w:r>
          </w:p>
        </w:tc>
        <w:tc>
          <w:tcPr>
            <w:tcW w:w="960" w:type="dxa"/>
            <w:tcBorders>
              <w:top w:val="nil"/>
              <w:left w:val="nil"/>
              <w:bottom w:val="single" w:color="auto" w:sz="4" w:space="0"/>
              <w:right w:val="single" w:color="auto" w:sz="4" w:space="0"/>
            </w:tcBorders>
            <w:noWrap/>
            <w:vAlign w:val="center"/>
            <w:hideMark/>
          </w:tcPr>
          <w:p w:rsidRPr="00BC0AB6" w:rsidR="007253C8" w:rsidP="00301BD8" w:rsidRDefault="007253C8" w14:paraId="609E1A54" w14:textId="77777777">
            <w:pPr>
              <w:pStyle w:val="TableText"/>
              <w:rPr>
                <w:rFonts w:ascii="Aptos Narrow" w:hAnsi="Aptos Narrow"/>
                <w:color w:val="000000"/>
              </w:rPr>
            </w:pPr>
            <w:r w:rsidRPr="00FE70D9">
              <w:t xml:space="preserve">        9.937 </w:t>
            </w:r>
          </w:p>
        </w:tc>
      </w:tr>
      <w:tr w:rsidRPr="00BC0AB6" w:rsidR="007253C8" w:rsidTr="00301BD8" w14:paraId="2288CC2F" w14:textId="77777777">
        <w:trPr>
          <w:trHeight w:val="300"/>
          <w:jc w:val="center"/>
        </w:trPr>
        <w:tc>
          <w:tcPr>
            <w:tcW w:w="6268"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34F092DF" w14:textId="77777777">
            <w:pPr>
              <w:pStyle w:val="TableText"/>
              <w:rPr>
                <w:rFonts w:ascii="Aptos Narrow" w:hAnsi="Aptos Narrow"/>
              </w:rPr>
            </w:pPr>
            <w:r w:rsidRPr="00FE70D9">
              <w:t xml:space="preserve">Transmission Overhead System Hardening – Distribution </w:t>
            </w:r>
            <w:proofErr w:type="spellStart"/>
            <w:r w:rsidRPr="00FE70D9">
              <w:t>Underbuild</w:t>
            </w:r>
            <w:proofErr w:type="spellEnd"/>
          </w:p>
        </w:tc>
        <w:tc>
          <w:tcPr>
            <w:tcW w:w="960"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0C3F38D3" w14:textId="77777777">
            <w:pPr>
              <w:pStyle w:val="TableText"/>
              <w:rPr>
                <w:rFonts w:ascii="Aptos Narrow" w:hAnsi="Aptos Narrow"/>
                <w:color w:val="000000"/>
              </w:rPr>
            </w:pPr>
            <w:r w:rsidRPr="00FE70D9">
              <w:t xml:space="preserve">     14.321 </w:t>
            </w:r>
          </w:p>
        </w:tc>
        <w:tc>
          <w:tcPr>
            <w:tcW w:w="960" w:type="dxa"/>
            <w:tcBorders>
              <w:top w:val="nil"/>
              <w:left w:val="nil"/>
              <w:bottom w:val="single" w:color="auto" w:sz="4" w:space="0"/>
              <w:right w:val="single" w:color="auto" w:sz="4" w:space="0"/>
            </w:tcBorders>
            <w:noWrap/>
            <w:vAlign w:val="center"/>
            <w:hideMark/>
          </w:tcPr>
          <w:p w:rsidRPr="00BC0AB6" w:rsidR="007253C8" w:rsidP="00301BD8" w:rsidRDefault="007253C8" w14:paraId="7073B8E3" w14:textId="77777777">
            <w:pPr>
              <w:pStyle w:val="TableText"/>
              <w:rPr>
                <w:rFonts w:ascii="Aptos Narrow" w:hAnsi="Aptos Narrow"/>
                <w:color w:val="000000"/>
              </w:rPr>
            </w:pPr>
            <w:r w:rsidRPr="00FE70D9">
              <w:t xml:space="preserve">               -   </w:t>
            </w:r>
          </w:p>
        </w:tc>
      </w:tr>
      <w:tr w:rsidRPr="00BC0AB6" w:rsidR="007253C8" w:rsidTr="00301BD8" w14:paraId="26D23E12" w14:textId="77777777">
        <w:trPr>
          <w:trHeight w:val="300"/>
          <w:jc w:val="center"/>
        </w:trPr>
        <w:tc>
          <w:tcPr>
            <w:tcW w:w="6268"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750DFA51" w14:textId="77777777">
            <w:pPr>
              <w:pStyle w:val="TableText"/>
              <w:rPr>
                <w:rFonts w:ascii="Aptos Narrow" w:hAnsi="Aptos Narrow"/>
              </w:rPr>
            </w:pPr>
            <w:r w:rsidRPr="00FE70D9">
              <w:t>Cleveland National Forest Fire Hardening</w:t>
            </w:r>
          </w:p>
        </w:tc>
        <w:tc>
          <w:tcPr>
            <w:tcW w:w="960"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3448EE10" w14:textId="77777777">
            <w:pPr>
              <w:pStyle w:val="TableText"/>
              <w:rPr>
                <w:rFonts w:ascii="Aptos Narrow" w:hAnsi="Aptos Narrow"/>
                <w:color w:val="000000"/>
              </w:rPr>
            </w:pPr>
            <w:r w:rsidRPr="00FE70D9">
              <w:t xml:space="preserve">     64.440 </w:t>
            </w:r>
          </w:p>
        </w:tc>
        <w:tc>
          <w:tcPr>
            <w:tcW w:w="960" w:type="dxa"/>
            <w:tcBorders>
              <w:top w:val="nil"/>
              <w:left w:val="nil"/>
              <w:bottom w:val="single" w:color="auto" w:sz="4" w:space="0"/>
              <w:right w:val="single" w:color="auto" w:sz="4" w:space="0"/>
            </w:tcBorders>
            <w:noWrap/>
            <w:vAlign w:val="center"/>
            <w:hideMark/>
          </w:tcPr>
          <w:p w:rsidRPr="00BC0AB6" w:rsidR="007253C8" w:rsidP="00301BD8" w:rsidRDefault="007253C8" w14:paraId="6CE1A05F" w14:textId="77777777">
            <w:pPr>
              <w:pStyle w:val="TableText"/>
              <w:rPr>
                <w:rFonts w:ascii="Aptos Narrow" w:hAnsi="Aptos Narrow"/>
                <w:color w:val="000000"/>
              </w:rPr>
            </w:pPr>
            <w:r w:rsidRPr="00FE70D9">
              <w:t xml:space="preserve">        2.456 </w:t>
            </w:r>
          </w:p>
        </w:tc>
      </w:tr>
      <w:tr w:rsidRPr="00BC0AB6" w:rsidR="007253C8" w:rsidTr="00301BD8" w14:paraId="7F602B95" w14:textId="77777777">
        <w:trPr>
          <w:trHeight w:val="300"/>
          <w:jc w:val="center"/>
        </w:trPr>
        <w:tc>
          <w:tcPr>
            <w:tcW w:w="6268"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6AA3FF32" w14:textId="77777777">
            <w:pPr>
              <w:pStyle w:val="TableText"/>
              <w:rPr>
                <w:rFonts w:ascii="Aptos Narrow" w:hAnsi="Aptos Narrow"/>
              </w:rPr>
            </w:pPr>
            <w:r w:rsidRPr="00FE70D9">
              <w:t>Lightning Arrestor Replacements</w:t>
            </w:r>
          </w:p>
        </w:tc>
        <w:tc>
          <w:tcPr>
            <w:tcW w:w="960"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30820605" w14:textId="77777777">
            <w:pPr>
              <w:pStyle w:val="TableText"/>
              <w:rPr>
                <w:rFonts w:ascii="Aptos Narrow" w:hAnsi="Aptos Narrow"/>
                <w:color w:val="000000"/>
              </w:rPr>
            </w:pPr>
            <w:r w:rsidRPr="00FE70D9">
              <w:t xml:space="preserve">        5.556 </w:t>
            </w:r>
          </w:p>
        </w:tc>
        <w:tc>
          <w:tcPr>
            <w:tcW w:w="960" w:type="dxa"/>
            <w:tcBorders>
              <w:top w:val="nil"/>
              <w:left w:val="nil"/>
              <w:bottom w:val="single" w:color="auto" w:sz="4" w:space="0"/>
              <w:right w:val="single" w:color="auto" w:sz="4" w:space="0"/>
            </w:tcBorders>
            <w:noWrap/>
            <w:vAlign w:val="center"/>
            <w:hideMark/>
          </w:tcPr>
          <w:p w:rsidRPr="00BC0AB6" w:rsidR="007253C8" w:rsidP="00301BD8" w:rsidRDefault="007253C8" w14:paraId="072DB407" w14:textId="77777777">
            <w:pPr>
              <w:pStyle w:val="TableText"/>
              <w:rPr>
                <w:rFonts w:ascii="Aptos Narrow" w:hAnsi="Aptos Narrow"/>
                <w:color w:val="000000"/>
              </w:rPr>
            </w:pPr>
            <w:r w:rsidRPr="00FE70D9">
              <w:t xml:space="preserve">        0.028 </w:t>
            </w:r>
          </w:p>
        </w:tc>
      </w:tr>
      <w:tr w:rsidRPr="00BC0AB6" w:rsidR="007253C8" w:rsidTr="00301BD8" w14:paraId="532B1BF0" w14:textId="77777777">
        <w:trPr>
          <w:trHeight w:val="300"/>
          <w:jc w:val="center"/>
        </w:trPr>
        <w:tc>
          <w:tcPr>
            <w:tcW w:w="6268"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2774F86E" w14:textId="77777777">
            <w:pPr>
              <w:pStyle w:val="TableText"/>
              <w:rPr>
                <w:rFonts w:ascii="Aptos Narrow" w:hAnsi="Aptos Narrow"/>
              </w:rPr>
            </w:pPr>
            <w:r w:rsidRPr="00FE70D9">
              <w:t>Avian Mitigation</w:t>
            </w:r>
          </w:p>
        </w:tc>
        <w:tc>
          <w:tcPr>
            <w:tcW w:w="960" w:type="dxa"/>
            <w:tcBorders>
              <w:top w:val="nil"/>
              <w:left w:val="single" w:color="auto" w:sz="4" w:space="0"/>
              <w:bottom w:val="single" w:color="auto" w:sz="4" w:space="0"/>
              <w:right w:val="single" w:color="auto" w:sz="4" w:space="0"/>
            </w:tcBorders>
            <w:noWrap/>
            <w:vAlign w:val="center"/>
            <w:hideMark/>
          </w:tcPr>
          <w:p w:rsidRPr="00BC0AB6" w:rsidR="007253C8" w:rsidP="00301BD8" w:rsidRDefault="007253C8" w14:paraId="4D6B4CD5" w14:textId="77777777">
            <w:pPr>
              <w:pStyle w:val="TableText"/>
              <w:rPr>
                <w:rFonts w:ascii="Aptos Narrow" w:hAnsi="Aptos Narrow"/>
                <w:color w:val="000000"/>
              </w:rPr>
            </w:pPr>
            <w:r w:rsidRPr="00FE70D9">
              <w:t xml:space="preserve">     (1.852)</w:t>
            </w:r>
          </w:p>
        </w:tc>
        <w:tc>
          <w:tcPr>
            <w:tcW w:w="960" w:type="dxa"/>
            <w:tcBorders>
              <w:top w:val="nil"/>
              <w:left w:val="nil"/>
              <w:bottom w:val="single" w:color="auto" w:sz="4" w:space="0"/>
              <w:right w:val="single" w:color="auto" w:sz="4" w:space="0"/>
            </w:tcBorders>
            <w:noWrap/>
            <w:vAlign w:val="center"/>
            <w:hideMark/>
          </w:tcPr>
          <w:p w:rsidRPr="00BC0AB6" w:rsidR="007253C8" w:rsidP="00301BD8" w:rsidRDefault="007253C8" w14:paraId="286F5C0D" w14:textId="77777777">
            <w:pPr>
              <w:pStyle w:val="TableText"/>
              <w:rPr>
                <w:rFonts w:ascii="Aptos Narrow" w:hAnsi="Aptos Narrow"/>
                <w:color w:val="000000"/>
              </w:rPr>
            </w:pPr>
            <w:r w:rsidRPr="00FE70D9">
              <w:t xml:space="preserve">        0.017 </w:t>
            </w:r>
          </w:p>
        </w:tc>
      </w:tr>
      <w:tr w:rsidRPr="00BC0AB6" w:rsidR="007253C8" w:rsidTr="00301BD8" w14:paraId="605E0D4E" w14:textId="77777777">
        <w:trPr>
          <w:trHeight w:val="315"/>
          <w:jc w:val="center"/>
        </w:trPr>
        <w:tc>
          <w:tcPr>
            <w:tcW w:w="6268" w:type="dxa"/>
            <w:tcBorders>
              <w:top w:val="nil"/>
              <w:left w:val="single" w:color="auto" w:sz="4" w:space="0"/>
              <w:bottom w:val="double" w:color="auto" w:sz="6" w:space="0"/>
              <w:right w:val="single" w:color="auto" w:sz="4" w:space="0"/>
            </w:tcBorders>
            <w:noWrap/>
            <w:vAlign w:val="center"/>
            <w:hideMark/>
          </w:tcPr>
          <w:p w:rsidRPr="00BC0AB6" w:rsidR="007253C8" w:rsidP="00301BD8" w:rsidRDefault="007253C8" w14:paraId="37DBAF63" w14:textId="77777777">
            <w:pPr>
              <w:pStyle w:val="TableText"/>
              <w:rPr>
                <w:rFonts w:ascii="Aptos Narrow" w:hAnsi="Aptos Narrow"/>
                <w:b/>
              </w:rPr>
            </w:pPr>
            <w:r w:rsidRPr="00FE70D9">
              <w:t>Total</w:t>
            </w:r>
          </w:p>
        </w:tc>
        <w:tc>
          <w:tcPr>
            <w:tcW w:w="960" w:type="dxa"/>
            <w:tcBorders>
              <w:top w:val="nil"/>
              <w:left w:val="single" w:color="auto" w:sz="4" w:space="0"/>
              <w:bottom w:val="double" w:color="auto" w:sz="6" w:space="0"/>
              <w:right w:val="single" w:color="auto" w:sz="4" w:space="0"/>
            </w:tcBorders>
            <w:noWrap/>
            <w:vAlign w:val="center"/>
            <w:hideMark/>
          </w:tcPr>
          <w:p w:rsidRPr="00BC0AB6" w:rsidR="007253C8" w:rsidP="00301BD8" w:rsidRDefault="007253C8" w14:paraId="01E443B5" w14:textId="77777777">
            <w:pPr>
              <w:pStyle w:val="TableText"/>
              <w:rPr>
                <w:rFonts w:ascii="Aptos Narrow" w:hAnsi="Aptos Narrow"/>
                <w:b/>
                <w:color w:val="000000"/>
              </w:rPr>
            </w:pPr>
            <w:r w:rsidRPr="00FE70D9">
              <w:t xml:space="preserve">93.120 </w:t>
            </w:r>
          </w:p>
        </w:tc>
        <w:tc>
          <w:tcPr>
            <w:tcW w:w="960" w:type="dxa"/>
            <w:tcBorders>
              <w:top w:val="nil"/>
              <w:left w:val="nil"/>
              <w:bottom w:val="double" w:color="auto" w:sz="6" w:space="0"/>
              <w:right w:val="single" w:color="auto" w:sz="4" w:space="0"/>
            </w:tcBorders>
            <w:noWrap/>
            <w:vAlign w:val="center"/>
            <w:hideMark/>
          </w:tcPr>
          <w:p w:rsidRPr="00BC0AB6" w:rsidR="007253C8" w:rsidP="00301BD8" w:rsidRDefault="007253C8" w14:paraId="2D0628F5" w14:textId="77777777">
            <w:pPr>
              <w:pStyle w:val="TableText"/>
              <w:rPr>
                <w:rFonts w:ascii="Aptos Narrow" w:hAnsi="Aptos Narrow"/>
                <w:b/>
                <w:color w:val="000000"/>
              </w:rPr>
            </w:pPr>
            <w:r w:rsidRPr="00FE70D9">
              <w:t xml:space="preserve">12.591 </w:t>
            </w:r>
          </w:p>
        </w:tc>
      </w:tr>
    </w:tbl>
    <w:p w:rsidR="007253C8" w:rsidP="007253C8" w:rsidRDefault="007253C8" w14:paraId="13315310" w14:textId="77777777">
      <w:pPr>
        <w:pStyle w:val="Standard"/>
      </w:pPr>
    </w:p>
    <w:p w:rsidRPr="00531B6A" w:rsidR="007253C8" w:rsidP="00835392" w:rsidRDefault="007253C8" w14:paraId="67E81E77" w14:textId="32C109F4">
      <w:pPr>
        <w:pStyle w:val="Heading1"/>
      </w:pPr>
      <w:bookmarkStart w:name="_Toc213312276" w:id="56"/>
      <w:r w:rsidRPr="18124A6B">
        <w:t xml:space="preserve">Emergency </w:t>
      </w:r>
      <w:r w:rsidRPr="009F3AAA">
        <w:t>Planning</w:t>
      </w:r>
      <w:r w:rsidRPr="18124A6B">
        <w:t xml:space="preserve"> &amp; Preparedness</w:t>
      </w:r>
      <w:bookmarkEnd w:id="56"/>
    </w:p>
    <w:p w:rsidR="007253C8" w:rsidP="007253C8" w:rsidRDefault="007253C8" w14:paraId="4EE59BAA" w14:textId="474CBD61">
      <w:pPr>
        <w:pStyle w:val="Standard"/>
      </w:pPr>
      <w:r w:rsidRPr="002D1F49">
        <w:t xml:space="preserve">SDG&amp;E engages in proactive planning and preparedness efforts to respond effectively to all hazards </w:t>
      </w:r>
      <w:r w:rsidR="00A1540B">
        <w:t>it</w:t>
      </w:r>
      <w:r w:rsidRPr="002D1F49">
        <w:t xml:space="preserve"> may encounter</w:t>
      </w:r>
      <w:r>
        <w:t xml:space="preserve">, which includes community awareness regarding </w:t>
      </w:r>
      <w:r w:rsidRPr="002D1F49">
        <w:t>the risk of wildfires</w:t>
      </w:r>
      <w:r>
        <w:t xml:space="preserve"> and activity during and after PSPS events. </w:t>
      </w:r>
      <w:r w:rsidRPr="00305E50">
        <w:t xml:space="preserve">This </w:t>
      </w:r>
      <w:r>
        <w:t xml:space="preserve">work is implemented through </w:t>
      </w:r>
      <w:r w:rsidRPr="00D943F1">
        <w:t xml:space="preserve">1) Emergency Management Operations and 2) Community Outreach, Public Awareness, and Communications Efforts. </w:t>
      </w:r>
      <w:r>
        <w:t xml:space="preserve">Emergency Management Operations </w:t>
      </w:r>
      <w:r w:rsidRPr="00D943F1">
        <w:t>supports SDG&amp;E’s company-wide efforts associated with emergency planning, preparedness, response, and recovery for all hazards and risks, with a strong focus on wildfire-related events</w:t>
      </w:r>
      <w:r>
        <w:t xml:space="preserve"> and includes</w:t>
      </w:r>
      <w:r w:rsidRPr="00D943F1">
        <w:t xml:space="preserve"> planning, training, exercising, and supporting responses and recovery efforts related to incidents, emergencies, disasters, and catastrophes</w:t>
      </w:r>
      <w:r>
        <w:t>.</w:t>
      </w:r>
      <w:r>
        <w:rPr>
          <w:rStyle w:val="FootnoteReference"/>
        </w:rPr>
        <w:footnoteReference w:id="193"/>
      </w:r>
    </w:p>
    <w:p w:rsidR="007253C8" w:rsidP="007253C8" w:rsidRDefault="007253C8" w14:paraId="599199D4" w14:textId="36A13B99">
      <w:pPr>
        <w:pStyle w:val="Standard"/>
      </w:pPr>
      <w:r w:rsidRPr="00531B6A">
        <w:t xml:space="preserve">SDG&amp;E’s </w:t>
      </w:r>
      <w:r>
        <w:t>Emergency Planning &amp; Preparedness (</w:t>
      </w:r>
      <w:r w:rsidRPr="00531B6A">
        <w:t>E</w:t>
      </w:r>
      <w:r>
        <w:t>P&amp;P)</w:t>
      </w:r>
      <w:r w:rsidRPr="00531B6A">
        <w:t xml:space="preserve"> cost recovery request is for $</w:t>
      </w:r>
      <w:r>
        <w:t>2</w:t>
      </w:r>
      <w:r w:rsidRPr="00531B6A">
        <w:t xml:space="preserve">.449 million in </w:t>
      </w:r>
      <w:r w:rsidR="00A1540B">
        <w:t>c</w:t>
      </w:r>
      <w:r w:rsidRPr="00531B6A">
        <w:t xml:space="preserve">apital </w:t>
      </w:r>
      <w:r>
        <w:t xml:space="preserve">expenditures </w:t>
      </w:r>
      <w:r w:rsidRPr="00531B6A">
        <w:t xml:space="preserve">and </w:t>
      </w:r>
      <w:r w:rsidR="00BD7675">
        <w:t>$</w:t>
      </w:r>
      <w:r w:rsidR="008E16A5">
        <w:t xml:space="preserve">34.472 </w:t>
      </w:r>
      <w:r w:rsidRPr="00531B6A">
        <w:t>million in O&amp;M</w:t>
      </w:r>
      <w:r>
        <w:t xml:space="preserve"> </w:t>
      </w:r>
      <w:r>
        <w:lastRenderedPageBreak/>
        <w:t xml:space="preserve">(direct). </w:t>
      </w:r>
      <w:r w:rsidRPr="00130F48">
        <w:t>For the Emergency Management Operations initiative, the capital authoriz</w:t>
      </w:r>
      <w:r>
        <w:t xml:space="preserve">ed in the 2019 GRC </w:t>
      </w:r>
      <w:r w:rsidRPr="00130F48">
        <w:t>of $5.237 million (2019</w:t>
      </w:r>
      <w:r>
        <w:t>–</w:t>
      </w:r>
      <w:r w:rsidRPr="00130F48">
        <w:t>22) was never used</w:t>
      </w:r>
      <w:r>
        <w:t xml:space="preserve"> </w:t>
      </w:r>
      <w:r w:rsidRPr="00130F48">
        <w:t xml:space="preserve">while </w:t>
      </w:r>
      <w:r>
        <w:t>SDG&amp;E’s</w:t>
      </w:r>
      <w:r w:rsidRPr="00130F48">
        <w:t xml:space="preserve"> O&amp;M spend</w:t>
      </w:r>
      <w:r>
        <w:t>ing</w:t>
      </w:r>
      <w:r w:rsidRPr="00130F48">
        <w:t xml:space="preserve"> of $42.203 million (2019</w:t>
      </w:r>
      <w:r>
        <w:t>–</w:t>
      </w:r>
      <w:r w:rsidRPr="00130F48">
        <w:t xml:space="preserve">22) was more than five times its authorization ($7.732 million). For the Community Outreach, Public Awareness, &amp; Communications Efforts initiative, </w:t>
      </w:r>
      <w:r>
        <w:t xml:space="preserve">the Commission has not previously </w:t>
      </w:r>
      <w:r w:rsidRPr="00130F48">
        <w:t>authoriz</w:t>
      </w:r>
      <w:r>
        <w:t>ed capital expenditures, but</w:t>
      </w:r>
      <w:r w:rsidRPr="00130F48">
        <w:t xml:space="preserve"> the entire </w:t>
      </w:r>
      <w:r>
        <w:t xml:space="preserve">amount </w:t>
      </w:r>
      <w:r w:rsidRPr="00130F48">
        <w:t>spen</w:t>
      </w:r>
      <w:r>
        <w:t>t</w:t>
      </w:r>
      <w:r w:rsidRPr="00130F48">
        <w:t xml:space="preserve"> of $7.686 million (2019</w:t>
      </w:r>
      <w:r>
        <w:t>–</w:t>
      </w:r>
      <w:r w:rsidRPr="00130F48">
        <w:t>22) was charged by SDG&amp;E as capital.</w:t>
      </w:r>
      <w:r>
        <w:rPr>
          <w:rStyle w:val="FootnoteReference"/>
        </w:rPr>
        <w:footnoteReference w:id="194"/>
      </w:r>
      <w:r>
        <w:t xml:space="preserve"> </w:t>
      </w:r>
      <w:r w:rsidRPr="00FE2148">
        <w:rPr>
          <w:i/>
          <w:iCs/>
        </w:rPr>
        <w:t>See</w:t>
      </w:r>
      <w:r>
        <w:t xml:space="preserve"> also the table below.</w:t>
      </w:r>
    </w:p>
    <w:p w:rsidRPr="00316906" w:rsidR="007253C8" w:rsidP="007253C8" w:rsidRDefault="007253C8" w14:paraId="41C74863" w14:textId="77777777">
      <w:pPr>
        <w:pStyle w:val="Standard"/>
        <w:ind w:firstLine="0"/>
        <w:jc w:val="center"/>
        <w:rPr>
          <w:b/>
          <w:bCs/>
        </w:rPr>
      </w:pPr>
      <w:r w:rsidRPr="18124A6B">
        <w:rPr>
          <w:b/>
        </w:rPr>
        <w:t xml:space="preserve">Table </w:t>
      </w:r>
      <w:r w:rsidRPr="18124A6B">
        <w:rPr>
          <w:b/>
          <w:bCs/>
        </w:rPr>
        <w:t>5</w:t>
      </w:r>
    </w:p>
    <w:p w:rsidRPr="00ED3F9F" w:rsidR="007253C8" w:rsidP="007253C8" w:rsidRDefault="007253C8" w14:paraId="1530C6CC" w14:textId="77777777">
      <w:pPr>
        <w:pStyle w:val="Standard"/>
        <w:ind w:firstLine="0"/>
        <w:jc w:val="center"/>
        <w:rPr>
          <w:b/>
        </w:rPr>
      </w:pPr>
      <w:r w:rsidRPr="18124A6B">
        <w:rPr>
          <w:b/>
        </w:rPr>
        <w:t>Emergency Planning &amp; Preparedness</w:t>
      </w:r>
    </w:p>
    <w:p w:rsidRPr="00ED3F9F" w:rsidR="007253C8" w:rsidP="007253C8" w:rsidRDefault="007253C8" w14:paraId="0B4748DE" w14:textId="77777777">
      <w:pPr>
        <w:pStyle w:val="Standard"/>
        <w:ind w:firstLine="0"/>
        <w:jc w:val="center"/>
        <w:rPr>
          <w:b/>
        </w:rPr>
      </w:pPr>
      <w:r w:rsidRPr="18124A6B">
        <w:rPr>
          <w:b/>
        </w:rPr>
        <w:t>Authorizations and Spend</w:t>
      </w:r>
      <w:r w:rsidRPr="00587F8A">
        <w:rPr>
          <w:b/>
        </w:rPr>
        <w:t>ing</w:t>
      </w:r>
      <w:r w:rsidRPr="18124A6B">
        <w:rPr>
          <w:b/>
        </w:rPr>
        <w:t xml:space="preserve"> 2019–2022 ($000)</w:t>
      </w:r>
      <w:r w:rsidRPr="18124A6B">
        <w:rPr>
          <w:rStyle w:val="FootnoteReference"/>
        </w:rPr>
        <w:footnoteReference w:id="195"/>
      </w:r>
    </w:p>
    <w:tbl>
      <w:tblPr>
        <w:tblW w:w="9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75"/>
        <w:gridCol w:w="1350"/>
        <w:gridCol w:w="990"/>
        <w:gridCol w:w="1395"/>
        <w:gridCol w:w="1395"/>
        <w:gridCol w:w="990"/>
        <w:gridCol w:w="1387"/>
      </w:tblGrid>
      <w:tr w:rsidRPr="00D450F6" w:rsidR="007253C8" w:rsidTr="00301BD8" w14:paraId="2E11E299" w14:textId="77777777">
        <w:trPr>
          <w:trHeight w:val="346"/>
        </w:trPr>
        <w:tc>
          <w:tcPr>
            <w:tcW w:w="1975" w:type="dxa"/>
            <w:vAlign w:val="center"/>
            <w:hideMark/>
          </w:tcPr>
          <w:p w:rsidRPr="00D450F6" w:rsidR="007253C8" w:rsidP="00301BD8" w:rsidRDefault="007253C8" w14:paraId="48C32E6F" w14:textId="77777777">
            <w:pPr>
              <w:pStyle w:val="TableText"/>
            </w:pPr>
            <w:r w:rsidRPr="00D450F6">
              <w:t>Initiative</w:t>
            </w:r>
          </w:p>
        </w:tc>
        <w:tc>
          <w:tcPr>
            <w:tcW w:w="1350" w:type="dxa"/>
            <w:vAlign w:val="center"/>
            <w:hideMark/>
          </w:tcPr>
          <w:p w:rsidRPr="00D450F6" w:rsidR="007253C8" w:rsidP="00301BD8" w:rsidRDefault="007253C8" w14:paraId="02D9449A" w14:textId="77777777">
            <w:pPr>
              <w:pStyle w:val="TableText"/>
            </w:pPr>
            <w:r w:rsidRPr="00D450F6">
              <w:t>Authorized Capital</w:t>
            </w:r>
          </w:p>
        </w:tc>
        <w:tc>
          <w:tcPr>
            <w:tcW w:w="990" w:type="dxa"/>
            <w:vAlign w:val="center"/>
            <w:hideMark/>
          </w:tcPr>
          <w:p w:rsidRPr="00D450F6" w:rsidR="007253C8" w:rsidP="00301BD8" w:rsidRDefault="007253C8" w14:paraId="6429671D" w14:textId="77777777">
            <w:pPr>
              <w:pStyle w:val="TableText"/>
            </w:pPr>
            <w:r w:rsidRPr="00D450F6">
              <w:t>Actual Capital</w:t>
            </w:r>
          </w:p>
        </w:tc>
        <w:tc>
          <w:tcPr>
            <w:tcW w:w="1395" w:type="dxa"/>
            <w:tcBorders>
              <w:right w:val="double" w:color="auto" w:sz="4" w:space="0"/>
            </w:tcBorders>
            <w:vAlign w:val="center"/>
            <w:hideMark/>
          </w:tcPr>
          <w:p w:rsidRPr="00D450F6" w:rsidR="007253C8" w:rsidP="00301BD8" w:rsidRDefault="007253C8" w14:paraId="2365B2F5" w14:textId="77777777">
            <w:pPr>
              <w:pStyle w:val="TableText"/>
            </w:pPr>
            <w:r w:rsidRPr="00D450F6">
              <w:t>Differential Capital</w:t>
            </w:r>
          </w:p>
        </w:tc>
        <w:tc>
          <w:tcPr>
            <w:tcW w:w="1395" w:type="dxa"/>
            <w:tcBorders>
              <w:left w:val="double" w:color="auto" w:sz="4" w:space="0"/>
            </w:tcBorders>
            <w:vAlign w:val="center"/>
            <w:hideMark/>
          </w:tcPr>
          <w:p w:rsidRPr="00D450F6" w:rsidR="007253C8" w:rsidP="00301BD8" w:rsidRDefault="007253C8" w14:paraId="0F8F2F4F" w14:textId="77777777">
            <w:pPr>
              <w:pStyle w:val="TableText"/>
            </w:pPr>
            <w:r w:rsidRPr="00D450F6">
              <w:t>Authorized O&amp;M</w:t>
            </w:r>
          </w:p>
        </w:tc>
        <w:tc>
          <w:tcPr>
            <w:tcW w:w="990" w:type="dxa"/>
            <w:vAlign w:val="center"/>
            <w:hideMark/>
          </w:tcPr>
          <w:p w:rsidRPr="00D450F6" w:rsidR="007253C8" w:rsidP="00301BD8" w:rsidRDefault="007253C8" w14:paraId="03169610" w14:textId="77777777">
            <w:pPr>
              <w:pStyle w:val="TableText"/>
            </w:pPr>
            <w:r w:rsidRPr="00D450F6">
              <w:t>Actual O&amp;M</w:t>
            </w:r>
          </w:p>
        </w:tc>
        <w:tc>
          <w:tcPr>
            <w:tcW w:w="1387" w:type="dxa"/>
            <w:vAlign w:val="center"/>
            <w:hideMark/>
          </w:tcPr>
          <w:p w:rsidRPr="00D450F6" w:rsidR="007253C8" w:rsidP="00301BD8" w:rsidRDefault="007253C8" w14:paraId="1487854F" w14:textId="77777777">
            <w:pPr>
              <w:pStyle w:val="TableText"/>
            </w:pPr>
            <w:r w:rsidRPr="00D450F6">
              <w:t>Differential O&amp;M</w:t>
            </w:r>
          </w:p>
        </w:tc>
      </w:tr>
      <w:tr w:rsidRPr="00D450F6" w:rsidR="007253C8" w:rsidTr="00301BD8" w14:paraId="5C90B46A" w14:textId="77777777">
        <w:trPr>
          <w:trHeight w:val="518"/>
        </w:trPr>
        <w:tc>
          <w:tcPr>
            <w:tcW w:w="1975" w:type="dxa"/>
            <w:vAlign w:val="center"/>
            <w:hideMark/>
          </w:tcPr>
          <w:p w:rsidRPr="00D450F6" w:rsidR="007253C8" w:rsidP="00301BD8" w:rsidRDefault="007253C8" w14:paraId="7F2EC937" w14:textId="77777777">
            <w:pPr>
              <w:pStyle w:val="TableText"/>
            </w:pPr>
            <w:r w:rsidRPr="00D450F6">
              <w:t>Emergency Management Operations</w:t>
            </w:r>
          </w:p>
        </w:tc>
        <w:tc>
          <w:tcPr>
            <w:tcW w:w="1350" w:type="dxa"/>
            <w:vAlign w:val="center"/>
            <w:hideMark/>
          </w:tcPr>
          <w:p w:rsidRPr="00D450F6" w:rsidR="007253C8" w:rsidP="00301BD8" w:rsidRDefault="007253C8" w14:paraId="40EA47AE" w14:textId="77777777">
            <w:pPr>
              <w:pStyle w:val="TableText"/>
            </w:pPr>
            <w:r w:rsidRPr="00D450F6">
              <w:t>$5,237</w:t>
            </w:r>
          </w:p>
        </w:tc>
        <w:tc>
          <w:tcPr>
            <w:tcW w:w="990" w:type="dxa"/>
            <w:vAlign w:val="center"/>
            <w:hideMark/>
          </w:tcPr>
          <w:p w:rsidRPr="00D450F6" w:rsidR="007253C8" w:rsidP="00301BD8" w:rsidRDefault="007253C8" w14:paraId="76CCAC0F" w14:textId="77777777">
            <w:pPr>
              <w:pStyle w:val="TableText"/>
            </w:pPr>
            <w:r w:rsidRPr="00D450F6">
              <w:t>-</w:t>
            </w:r>
          </w:p>
        </w:tc>
        <w:tc>
          <w:tcPr>
            <w:tcW w:w="1395" w:type="dxa"/>
            <w:tcBorders>
              <w:right w:val="double" w:color="auto" w:sz="4" w:space="0"/>
            </w:tcBorders>
            <w:vAlign w:val="center"/>
            <w:hideMark/>
          </w:tcPr>
          <w:p w:rsidRPr="00D450F6" w:rsidR="007253C8" w:rsidP="00301BD8" w:rsidRDefault="007253C8" w14:paraId="24F1B117" w14:textId="77777777">
            <w:pPr>
              <w:pStyle w:val="TableText"/>
              <w:rPr>
                <w:color w:val="000000" w:themeColor="text1"/>
              </w:rPr>
            </w:pPr>
            <w:r w:rsidRPr="00D450F6">
              <w:rPr>
                <w:color w:val="000000" w:themeColor="text1"/>
              </w:rPr>
              <w:t>($5,237)</w:t>
            </w:r>
          </w:p>
        </w:tc>
        <w:tc>
          <w:tcPr>
            <w:tcW w:w="1395" w:type="dxa"/>
            <w:tcBorders>
              <w:left w:val="double" w:color="auto" w:sz="4" w:space="0"/>
            </w:tcBorders>
            <w:vAlign w:val="center"/>
            <w:hideMark/>
          </w:tcPr>
          <w:p w:rsidRPr="00D450F6" w:rsidR="007253C8" w:rsidP="00301BD8" w:rsidRDefault="007253C8" w14:paraId="672379B9" w14:textId="77777777">
            <w:pPr>
              <w:pStyle w:val="TableText"/>
            </w:pPr>
            <w:r w:rsidRPr="00D450F6">
              <w:t>$7,732</w:t>
            </w:r>
          </w:p>
        </w:tc>
        <w:tc>
          <w:tcPr>
            <w:tcW w:w="990" w:type="dxa"/>
            <w:vAlign w:val="center"/>
            <w:hideMark/>
          </w:tcPr>
          <w:p w:rsidRPr="00D450F6" w:rsidR="007253C8" w:rsidP="00301BD8" w:rsidRDefault="007253C8" w14:paraId="57019B27" w14:textId="77777777">
            <w:pPr>
              <w:pStyle w:val="TableText"/>
            </w:pPr>
            <w:r w:rsidRPr="00D450F6">
              <w:t>$42,203</w:t>
            </w:r>
          </w:p>
        </w:tc>
        <w:tc>
          <w:tcPr>
            <w:tcW w:w="1387" w:type="dxa"/>
            <w:vAlign w:val="center"/>
            <w:hideMark/>
          </w:tcPr>
          <w:p w:rsidRPr="00D450F6" w:rsidR="007253C8" w:rsidP="00301BD8" w:rsidRDefault="007253C8" w14:paraId="73AA050D" w14:textId="77777777">
            <w:pPr>
              <w:pStyle w:val="TableText"/>
            </w:pPr>
            <w:r w:rsidRPr="00D450F6">
              <w:t>$34,472</w:t>
            </w:r>
          </w:p>
        </w:tc>
      </w:tr>
      <w:tr w:rsidRPr="00D450F6" w:rsidR="007253C8" w:rsidTr="00301BD8" w14:paraId="67AD2466" w14:textId="77777777">
        <w:trPr>
          <w:trHeight w:val="864"/>
        </w:trPr>
        <w:tc>
          <w:tcPr>
            <w:tcW w:w="1975" w:type="dxa"/>
            <w:vAlign w:val="center"/>
            <w:hideMark/>
          </w:tcPr>
          <w:p w:rsidRPr="00D450F6" w:rsidR="007253C8" w:rsidP="00301BD8" w:rsidRDefault="007253C8" w14:paraId="3666278A" w14:textId="77777777">
            <w:pPr>
              <w:pStyle w:val="TableText"/>
            </w:pPr>
            <w:r w:rsidRPr="00D450F6">
              <w:t xml:space="preserve">Community Outreach, Public Awareness, </w:t>
            </w:r>
            <w:r>
              <w:t>&amp;</w:t>
            </w:r>
            <w:r w:rsidRPr="00D450F6">
              <w:t xml:space="preserve"> Communications Efforts</w:t>
            </w:r>
          </w:p>
        </w:tc>
        <w:tc>
          <w:tcPr>
            <w:tcW w:w="1350" w:type="dxa"/>
            <w:vAlign w:val="center"/>
            <w:hideMark/>
          </w:tcPr>
          <w:p w:rsidRPr="00D450F6" w:rsidR="007253C8" w:rsidP="00301BD8" w:rsidRDefault="007253C8" w14:paraId="0807BB98" w14:textId="77777777">
            <w:pPr>
              <w:pStyle w:val="TableText"/>
            </w:pPr>
            <w:r w:rsidRPr="00D450F6">
              <w:t>-</w:t>
            </w:r>
          </w:p>
        </w:tc>
        <w:tc>
          <w:tcPr>
            <w:tcW w:w="990" w:type="dxa"/>
            <w:vAlign w:val="center"/>
            <w:hideMark/>
          </w:tcPr>
          <w:p w:rsidRPr="00D450F6" w:rsidR="007253C8" w:rsidP="00301BD8" w:rsidRDefault="007253C8" w14:paraId="2BB45D42" w14:textId="77777777">
            <w:pPr>
              <w:pStyle w:val="TableText"/>
            </w:pPr>
            <w:r w:rsidRPr="00D450F6">
              <w:t>$7,686</w:t>
            </w:r>
          </w:p>
        </w:tc>
        <w:tc>
          <w:tcPr>
            <w:tcW w:w="1395" w:type="dxa"/>
            <w:tcBorders>
              <w:right w:val="double" w:color="auto" w:sz="4" w:space="0"/>
            </w:tcBorders>
            <w:vAlign w:val="center"/>
            <w:hideMark/>
          </w:tcPr>
          <w:p w:rsidRPr="00D450F6" w:rsidR="007253C8" w:rsidP="00301BD8" w:rsidRDefault="007253C8" w14:paraId="416A78CE" w14:textId="77777777">
            <w:pPr>
              <w:pStyle w:val="TableText"/>
            </w:pPr>
            <w:r w:rsidRPr="00D450F6">
              <w:t>$7,686</w:t>
            </w:r>
          </w:p>
        </w:tc>
        <w:tc>
          <w:tcPr>
            <w:tcW w:w="1395" w:type="dxa"/>
            <w:tcBorders>
              <w:left w:val="double" w:color="auto" w:sz="4" w:space="0"/>
            </w:tcBorders>
            <w:vAlign w:val="center"/>
            <w:hideMark/>
          </w:tcPr>
          <w:p w:rsidRPr="00D450F6" w:rsidR="007253C8" w:rsidP="00301BD8" w:rsidRDefault="007253C8" w14:paraId="2CA949C8" w14:textId="77777777">
            <w:pPr>
              <w:pStyle w:val="TableText"/>
            </w:pPr>
            <w:r w:rsidRPr="00D450F6">
              <w:t>-</w:t>
            </w:r>
          </w:p>
        </w:tc>
        <w:tc>
          <w:tcPr>
            <w:tcW w:w="990" w:type="dxa"/>
            <w:vAlign w:val="center"/>
            <w:hideMark/>
          </w:tcPr>
          <w:p w:rsidRPr="00D450F6" w:rsidR="007253C8" w:rsidP="00301BD8" w:rsidRDefault="007253C8" w14:paraId="75805A6A" w14:textId="77777777">
            <w:pPr>
              <w:pStyle w:val="TableText"/>
            </w:pPr>
            <w:r w:rsidRPr="00D450F6">
              <w:t>-</w:t>
            </w:r>
          </w:p>
        </w:tc>
        <w:tc>
          <w:tcPr>
            <w:tcW w:w="1387" w:type="dxa"/>
            <w:vAlign w:val="center"/>
            <w:hideMark/>
          </w:tcPr>
          <w:p w:rsidRPr="00D450F6" w:rsidR="007253C8" w:rsidP="00301BD8" w:rsidRDefault="007253C8" w14:paraId="58198FC4" w14:textId="77777777">
            <w:pPr>
              <w:pStyle w:val="TableText"/>
            </w:pPr>
            <w:r w:rsidRPr="00D450F6">
              <w:t>-</w:t>
            </w:r>
          </w:p>
        </w:tc>
      </w:tr>
      <w:tr w:rsidRPr="00D450F6" w:rsidR="007253C8" w:rsidTr="00301BD8" w14:paraId="775272DE" w14:textId="77777777">
        <w:trPr>
          <w:trHeight w:val="360"/>
        </w:trPr>
        <w:tc>
          <w:tcPr>
            <w:tcW w:w="1975" w:type="dxa"/>
            <w:vAlign w:val="center"/>
            <w:hideMark/>
          </w:tcPr>
          <w:p w:rsidRPr="00D450F6" w:rsidR="007253C8" w:rsidP="00301BD8" w:rsidRDefault="007253C8" w14:paraId="785A40DB" w14:textId="77777777">
            <w:pPr>
              <w:pStyle w:val="TableText"/>
              <w:rPr>
                <w:i/>
              </w:rPr>
            </w:pPr>
            <w:r w:rsidRPr="2301A64E">
              <w:rPr>
                <w:i/>
                <w:iCs/>
              </w:rPr>
              <w:t>Total</w:t>
            </w:r>
          </w:p>
        </w:tc>
        <w:tc>
          <w:tcPr>
            <w:tcW w:w="1350" w:type="dxa"/>
            <w:vAlign w:val="center"/>
            <w:hideMark/>
          </w:tcPr>
          <w:p w:rsidRPr="00D450F6" w:rsidR="007253C8" w:rsidP="00301BD8" w:rsidRDefault="007253C8" w14:paraId="39770FAA" w14:textId="77777777">
            <w:pPr>
              <w:pStyle w:val="TableText"/>
              <w:rPr>
                <w:i/>
              </w:rPr>
            </w:pPr>
            <w:r w:rsidRPr="00D450F6">
              <w:rPr>
                <w:i/>
              </w:rPr>
              <w:t>$5,237</w:t>
            </w:r>
          </w:p>
        </w:tc>
        <w:tc>
          <w:tcPr>
            <w:tcW w:w="990" w:type="dxa"/>
            <w:vAlign w:val="center"/>
            <w:hideMark/>
          </w:tcPr>
          <w:p w:rsidRPr="00D450F6" w:rsidR="007253C8" w:rsidP="00301BD8" w:rsidRDefault="007253C8" w14:paraId="27A0BB36" w14:textId="77777777">
            <w:pPr>
              <w:pStyle w:val="TableText"/>
              <w:rPr>
                <w:i/>
              </w:rPr>
            </w:pPr>
            <w:r w:rsidRPr="00D450F6">
              <w:rPr>
                <w:i/>
              </w:rPr>
              <w:t>$7,686</w:t>
            </w:r>
          </w:p>
        </w:tc>
        <w:tc>
          <w:tcPr>
            <w:tcW w:w="1395" w:type="dxa"/>
            <w:tcBorders>
              <w:right w:val="double" w:color="auto" w:sz="4" w:space="0"/>
            </w:tcBorders>
            <w:vAlign w:val="center"/>
            <w:hideMark/>
          </w:tcPr>
          <w:p w:rsidRPr="00D450F6" w:rsidR="007253C8" w:rsidP="00301BD8" w:rsidRDefault="007253C8" w14:paraId="5C3AC0E9" w14:textId="26F938B4">
            <w:pPr>
              <w:pStyle w:val="TableText"/>
              <w:rPr>
                <w:i/>
              </w:rPr>
            </w:pPr>
            <w:r w:rsidRPr="00D450F6">
              <w:rPr>
                <w:i/>
              </w:rPr>
              <w:t>$2,449</w:t>
            </w:r>
          </w:p>
        </w:tc>
        <w:tc>
          <w:tcPr>
            <w:tcW w:w="1395" w:type="dxa"/>
            <w:tcBorders>
              <w:left w:val="double" w:color="auto" w:sz="4" w:space="0"/>
            </w:tcBorders>
            <w:vAlign w:val="center"/>
            <w:hideMark/>
          </w:tcPr>
          <w:p w:rsidRPr="00D450F6" w:rsidR="007253C8" w:rsidP="00301BD8" w:rsidRDefault="007253C8" w14:paraId="5507909F" w14:textId="77777777">
            <w:pPr>
              <w:pStyle w:val="TableText"/>
              <w:rPr>
                <w:i/>
              </w:rPr>
            </w:pPr>
            <w:r w:rsidRPr="00D450F6">
              <w:rPr>
                <w:i/>
              </w:rPr>
              <w:t>$7,732</w:t>
            </w:r>
          </w:p>
        </w:tc>
        <w:tc>
          <w:tcPr>
            <w:tcW w:w="990" w:type="dxa"/>
            <w:vAlign w:val="center"/>
            <w:hideMark/>
          </w:tcPr>
          <w:p w:rsidRPr="00D450F6" w:rsidR="007253C8" w:rsidP="00301BD8" w:rsidRDefault="007253C8" w14:paraId="1E4405C5" w14:textId="77777777">
            <w:pPr>
              <w:pStyle w:val="TableText"/>
              <w:rPr>
                <w:i/>
              </w:rPr>
            </w:pPr>
            <w:r w:rsidRPr="00D450F6">
              <w:rPr>
                <w:i/>
              </w:rPr>
              <w:t>$42,203</w:t>
            </w:r>
          </w:p>
        </w:tc>
        <w:tc>
          <w:tcPr>
            <w:tcW w:w="1387" w:type="dxa"/>
            <w:vAlign w:val="center"/>
            <w:hideMark/>
          </w:tcPr>
          <w:p w:rsidRPr="00D450F6" w:rsidR="007253C8" w:rsidP="00301BD8" w:rsidRDefault="007253C8" w14:paraId="329E2086" w14:textId="42011ABF">
            <w:pPr>
              <w:pStyle w:val="TableText"/>
              <w:rPr>
                <w:i/>
              </w:rPr>
            </w:pPr>
            <w:r w:rsidRPr="00D450F6">
              <w:rPr>
                <w:i/>
              </w:rPr>
              <w:t>$34,472</w:t>
            </w:r>
          </w:p>
        </w:tc>
      </w:tr>
    </w:tbl>
    <w:p w:rsidRPr="007650F2" w:rsidR="007253C8" w:rsidP="00142911" w:rsidRDefault="007253C8" w14:paraId="739B02B8" w14:textId="77777777">
      <w:pPr>
        <w:pStyle w:val="standard0"/>
      </w:pPr>
      <w:r>
        <w:t>The 2019 Wildfire Legislation</w:t>
      </w:r>
      <w:r w:rsidRPr="007650F2">
        <w:t xml:space="preserve"> altered the regulations imposed upon the electric utilities to such an extent</w:t>
      </w:r>
      <w:r>
        <w:t>, however,</w:t>
      </w:r>
      <w:r w:rsidRPr="007650F2">
        <w:t xml:space="preserve"> that the budget categories used after 2018 are not readily comparable to those used before 2018.</w:t>
      </w:r>
    </w:p>
    <w:p w:rsidR="007253C8" w:rsidP="007253C8" w:rsidRDefault="007253C8" w14:paraId="1CC43140" w14:textId="729FDF8F">
      <w:pPr>
        <w:pStyle w:val="Standard"/>
      </w:pPr>
      <w:r>
        <w:t xml:space="preserve">PCF opposes </w:t>
      </w:r>
      <w:r w:rsidRPr="00A05377">
        <w:t xml:space="preserve">full </w:t>
      </w:r>
      <w:r>
        <w:t xml:space="preserve">cost </w:t>
      </w:r>
      <w:r w:rsidRPr="00A05377">
        <w:t xml:space="preserve">recovery </w:t>
      </w:r>
      <w:r>
        <w:t xml:space="preserve">of SDG&amp;E’s requested EP&amp;P </w:t>
      </w:r>
      <w:r w:rsidRPr="00A05377">
        <w:t>costs because</w:t>
      </w:r>
      <w:r>
        <w:t xml:space="preserve"> PCF argues that SDG&amp;E </w:t>
      </w:r>
      <w:r w:rsidRPr="00A05377">
        <w:t>include</w:t>
      </w:r>
      <w:r>
        <w:t>d</w:t>
      </w:r>
      <w:r w:rsidRPr="00A05377">
        <w:t xml:space="preserve"> no quantification of ignitions reduced or avoided or </w:t>
      </w:r>
      <w:r>
        <w:t xml:space="preserve">any </w:t>
      </w:r>
      <w:r w:rsidRPr="00A05377">
        <w:t xml:space="preserve">other risk reduction data that would enable an assessment of </w:t>
      </w:r>
      <w:r>
        <w:t xml:space="preserve">the </w:t>
      </w:r>
      <w:r w:rsidRPr="00A05377">
        <w:lastRenderedPageBreak/>
        <w:t>program</w:t>
      </w:r>
      <w:r>
        <w:t>’s</w:t>
      </w:r>
      <w:r w:rsidRPr="00A05377">
        <w:t xml:space="preserve"> cost-effectiveness</w:t>
      </w:r>
      <w:r>
        <w:t>.</w:t>
      </w:r>
      <w:r>
        <w:rPr>
          <w:rStyle w:val="FootnoteReference"/>
        </w:rPr>
        <w:footnoteReference w:id="196"/>
      </w:r>
      <w:r>
        <w:t xml:space="preserve"> However, PCF neither acknowledges the benefit of any EP&amp;P activity that would reasonably be necessary to plan and prepare for emergencies, nor does PCF recommend reasonable reductions or a methodology for determining such reductions. No other intervenor comments on </w:t>
      </w:r>
      <w:r w:rsidR="00FB1DE1">
        <w:t>n</w:t>
      </w:r>
      <w:r>
        <w:t>or contests SDG&amp;E’s EP&amp;P cost recovery request.</w:t>
      </w:r>
    </w:p>
    <w:p w:rsidR="007253C8" w:rsidP="007253C8" w:rsidRDefault="007253C8" w14:paraId="2DA22703" w14:textId="62782D04">
      <w:pPr>
        <w:pStyle w:val="Standard"/>
      </w:pPr>
      <w:bookmarkStart w:name="_Hlk193879498" w:id="57"/>
      <w:r w:rsidRPr="00354B97">
        <w:t>Although SDG&amp;E has manage</w:t>
      </w:r>
      <w:r w:rsidR="004A7F74">
        <w:t>d</w:t>
      </w:r>
      <w:r w:rsidRPr="00354B97">
        <w:t xml:space="preserve"> emergencies since the beginning of its operations, the requirement for large-scale emergency planning and preparedness for the risk of wildfires arose </w:t>
      </w:r>
      <w:r>
        <w:t>after</w:t>
      </w:r>
      <w:r w:rsidRPr="00354B97">
        <w:t xml:space="preserve"> the last GRC in response to the </w:t>
      </w:r>
      <w:r>
        <w:t>2019 Wildfire Legislation. Therefore, the Commission finds this requested cost to be incremental.</w:t>
      </w:r>
    </w:p>
    <w:p w:rsidRPr="00BF3EE3" w:rsidR="007253C8" w:rsidP="007253C8" w:rsidRDefault="007253C8" w14:paraId="40BF71DC" w14:textId="3763DF1A">
      <w:pPr>
        <w:pStyle w:val="Standard"/>
      </w:pPr>
      <w:r>
        <w:t xml:space="preserve">In light of the new legislative requirements for EP&amp;P specific to wildfires, including PSPS events, and the need to increase efforts to reduce wildfires, the Commission also finds SDG&amp;E’s rapid increase in EP&amp;P costs documented above to be prudent and reasonable. </w:t>
      </w:r>
      <w:r w:rsidRPr="00BF3EE3">
        <w:t>PCF</w:t>
      </w:r>
      <w:r>
        <w:t>’s</w:t>
      </w:r>
      <w:r w:rsidRPr="00BF3EE3">
        <w:t xml:space="preserve"> recommend</w:t>
      </w:r>
      <w:r>
        <w:t>ation to</w:t>
      </w:r>
      <w:r w:rsidRPr="00BF3EE3">
        <w:t xml:space="preserve"> reduc</w:t>
      </w:r>
      <w:r>
        <w:t>e</w:t>
      </w:r>
      <w:r w:rsidRPr="00BF3EE3">
        <w:t xml:space="preserve"> recovery of </w:t>
      </w:r>
      <w:r>
        <w:t>EP&amp;P</w:t>
      </w:r>
      <w:r w:rsidRPr="00BF3EE3">
        <w:t xml:space="preserve"> costs because there is no link between these costs and avoided ignitions </w:t>
      </w:r>
      <w:r>
        <w:t xml:space="preserve">is without </w:t>
      </w:r>
      <w:r w:rsidRPr="00BF3EE3">
        <w:t>merit</w:t>
      </w:r>
      <w:r w:rsidR="00BE4F51">
        <w:t>,</w:t>
      </w:r>
      <w:r w:rsidRPr="00BF3EE3">
        <w:t xml:space="preserve"> since EP&amp;P activities are inherently concerned with post-ignition events and are meant to mitigate the consequences of a wildfire rather than prevent one.</w:t>
      </w:r>
      <w:r>
        <w:t xml:space="preserve"> In other words, </w:t>
      </w:r>
      <w:r w:rsidRPr="002C3033">
        <w:t>ignitions avoided ha</w:t>
      </w:r>
      <w:r>
        <w:t>ve</w:t>
      </w:r>
      <w:r w:rsidRPr="002C3033">
        <w:t xml:space="preserve"> no bearing on </w:t>
      </w:r>
      <w:r>
        <w:t>EP&amp;P.</w:t>
      </w:r>
      <w:r>
        <w:rPr>
          <w:rStyle w:val="FootnoteReference"/>
        </w:rPr>
        <w:footnoteReference w:id="197"/>
      </w:r>
      <w:r>
        <w:t xml:space="preserve"> Accordingly, the Commission approves SDG&amp;E’s request for cost recovery for EP&amp;P</w:t>
      </w:r>
      <w:r w:rsidR="005130B7">
        <w:t>,</w:t>
      </w:r>
      <w:r>
        <w:t xml:space="preserve"> subject to </w:t>
      </w:r>
      <w:r w:rsidR="0075686A">
        <w:t>in</w:t>
      </w:r>
      <w:r>
        <w:t xml:space="preserve">direct cost reductions </w:t>
      </w:r>
      <w:r w:rsidR="0075686A">
        <w:t xml:space="preserve">for reduced direct costs </w:t>
      </w:r>
      <w:r>
        <w:t>in Section 13.</w:t>
      </w:r>
    </w:p>
    <w:p w:rsidR="00A84836" w:rsidP="007253C8" w:rsidRDefault="007253C8" w14:paraId="6741EF5C" w14:textId="0D72AA76">
      <w:pPr>
        <w:pStyle w:val="Standard"/>
      </w:pPr>
      <w:r>
        <w:t xml:space="preserve">However, SDG&amp;E has not substantiated how any EP&amp;P cost should be considered a capital expenditure that extends over a year and would be depreciated over several years of useful life. As a result, the Commission finds </w:t>
      </w:r>
      <w:r>
        <w:lastRenderedPageBreak/>
        <w:t xml:space="preserve">the requested amount for </w:t>
      </w:r>
      <w:r w:rsidR="00A50612">
        <w:t>the Community Outreach, Public Awareness, and Communication Efforts initiative</w:t>
      </w:r>
      <w:r>
        <w:t xml:space="preserve"> </w:t>
      </w:r>
      <w:r w:rsidR="0075686A">
        <w:t xml:space="preserve">of $7.686 million </w:t>
      </w:r>
      <w:r>
        <w:t xml:space="preserve">to be reasonable only as an O&amp;M cost, not </w:t>
      </w:r>
      <w:r w:rsidR="00A1540B">
        <w:t xml:space="preserve">a </w:t>
      </w:r>
      <w:r>
        <w:t>capital expenditure</w:t>
      </w:r>
      <w:r w:rsidR="00EA0D1C">
        <w:t>.</w:t>
      </w:r>
      <w:r w:rsidDel="00E17673">
        <w:t xml:space="preserve"> </w:t>
      </w:r>
    </w:p>
    <w:p w:rsidR="007253C8" w:rsidP="007253C8" w:rsidRDefault="00EA0D1C" w14:paraId="0B7FE19D" w14:textId="36936E8D">
      <w:pPr>
        <w:pStyle w:val="Standard"/>
      </w:pPr>
      <w:r>
        <w:t xml:space="preserve">The amount of $7.686 million is added to total EP&amp;P O&amp;M </w:t>
      </w:r>
      <w:r w:rsidR="00FA3ECD">
        <w:t xml:space="preserve">direct </w:t>
      </w:r>
      <w:r>
        <w:t>costs of $42.</w:t>
      </w:r>
      <w:r w:rsidR="00A70399">
        <w:t>2</w:t>
      </w:r>
      <w:r>
        <w:t xml:space="preserve">03 million </w:t>
      </w:r>
      <w:r w:rsidR="00A84836">
        <w:t xml:space="preserve">plus </w:t>
      </w:r>
      <w:r>
        <w:t xml:space="preserve">indirect </w:t>
      </w:r>
      <w:r w:rsidR="00A84836">
        <w:t xml:space="preserve">EP&amp;P </w:t>
      </w:r>
      <w:r>
        <w:t>costs of $7.8</w:t>
      </w:r>
      <w:r w:rsidR="004B5AD3">
        <w:t>00</w:t>
      </w:r>
      <w:r>
        <w:t xml:space="preserve"> million. </w:t>
      </w:r>
      <w:r w:rsidR="00A84836">
        <w:t xml:space="preserve">Minus the amount previously authorized for EP&amp;P O&amp;M of $7.732 million and </w:t>
      </w:r>
      <w:r w:rsidR="007576E5">
        <w:t>any additional direct</w:t>
      </w:r>
      <w:r w:rsidR="00426609">
        <w:t xml:space="preserve"> cost reductions</w:t>
      </w:r>
      <w:r w:rsidR="004458CD">
        <w:t xml:space="preserve"> (E&amp;Y</w:t>
      </w:r>
      <w:r w:rsidR="00C9389D">
        <w:t xml:space="preserve"> or</w:t>
      </w:r>
      <w:r w:rsidR="004458CD">
        <w:t xml:space="preserve"> dues),</w:t>
      </w:r>
      <w:r w:rsidR="00426609">
        <w:t xml:space="preserve"> </w:t>
      </w:r>
      <w:r>
        <w:t xml:space="preserve">the Commission authorizes recovery of EP&amp;P costs </w:t>
      </w:r>
      <w:r w:rsidDel="00E17673" w:rsidR="007253C8">
        <w:t xml:space="preserve">in the amount </w:t>
      </w:r>
      <w:r w:rsidR="009B53E2">
        <w:t xml:space="preserve">shown in </w:t>
      </w:r>
      <w:r w:rsidR="00A211C9">
        <w:t>Tables 1 and 2</w:t>
      </w:r>
      <w:r w:rsidR="007253C8">
        <w:t>.</w:t>
      </w:r>
      <w:bookmarkEnd w:id="57"/>
    </w:p>
    <w:p w:rsidR="007253C8" w:rsidP="00835392" w:rsidRDefault="007253C8" w14:paraId="43FEEB99" w14:textId="77777777">
      <w:pPr>
        <w:pStyle w:val="Heading1"/>
      </w:pPr>
      <w:bookmarkStart w:name="_Toc213312277" w:id="58"/>
      <w:r>
        <w:t xml:space="preserve">Situational </w:t>
      </w:r>
      <w:r w:rsidRPr="009F3AAA">
        <w:t>Awareness</w:t>
      </w:r>
      <w:r>
        <w:t xml:space="preserve"> and Forecasting</w:t>
      </w:r>
      <w:bookmarkEnd w:id="58"/>
    </w:p>
    <w:p w:rsidR="007253C8" w:rsidP="007253C8" w:rsidRDefault="007253C8" w14:paraId="25A122D4" w14:textId="74E0A4EC">
      <w:pPr>
        <w:pStyle w:val="Standard"/>
      </w:pPr>
      <w:r w:rsidRPr="001915EE">
        <w:t xml:space="preserve">The Situational Awareness &amp; Forecasting </w:t>
      </w:r>
      <w:r>
        <w:t xml:space="preserve">(SA&amp;F) </w:t>
      </w:r>
      <w:r w:rsidRPr="001915EE">
        <w:t>initiatives</w:t>
      </w:r>
      <w:r>
        <w:t xml:space="preserve"> broadly </w:t>
      </w:r>
      <w:r w:rsidRPr="001915EE">
        <w:t>cover weather and fire potential monitoring and reporting, the installation and utilization of camera networks and fault indicators, climate adaptation, and the computing infrastructure,</w:t>
      </w:r>
      <w:r>
        <w:t xml:space="preserve"> which supports </w:t>
      </w:r>
      <w:r w:rsidRPr="001915EE">
        <w:t>wildfire mitigation.</w:t>
      </w:r>
      <w:r>
        <w:t xml:space="preserve"> </w:t>
      </w:r>
      <w:r w:rsidRPr="0072298C">
        <w:t>Many of the initiatives in the S</w:t>
      </w:r>
      <w:r w:rsidR="00396249">
        <w:t>A&amp;F</w:t>
      </w:r>
      <w:r w:rsidRPr="0072298C">
        <w:t xml:space="preserve"> category were implemented to enable SDG&amp;E’s Fire Science and Climate Adaptation </w:t>
      </w:r>
      <w:r>
        <w:t xml:space="preserve">(FSCA) </w:t>
      </w:r>
      <w:r w:rsidRPr="0072298C">
        <w:t>unit to effectively conduct wildfire response and preparedness activities.</w:t>
      </w:r>
      <w:r>
        <w:t xml:space="preserve"> The </w:t>
      </w:r>
      <w:r w:rsidRPr="0072298C">
        <w:t>FSCA unit</w:t>
      </w:r>
      <w:r>
        <w:t xml:space="preserve">, which </w:t>
      </w:r>
      <w:r w:rsidRPr="0072298C">
        <w:t>was established in 2018, is comprised of meteorologists, community resiliency experts, fire coordinators, and project management personnel.</w:t>
      </w:r>
      <w:r>
        <w:rPr>
          <w:rStyle w:val="FootnoteReference"/>
        </w:rPr>
        <w:footnoteReference w:id="198"/>
      </w:r>
    </w:p>
    <w:p w:rsidR="007253C8" w:rsidP="007253C8" w:rsidRDefault="007253C8" w14:paraId="31C1D51D" w14:textId="77777777">
      <w:pPr>
        <w:pStyle w:val="Standard"/>
      </w:pPr>
      <w:r>
        <w:t xml:space="preserve">Another key component of Situational Awareness and Forecasting is SDG&amp;E’s </w:t>
      </w:r>
      <w:r w:rsidRPr="0072298C">
        <w:t>Weather Station Network</w:t>
      </w:r>
      <w:r>
        <w:t xml:space="preserve">, which </w:t>
      </w:r>
      <w:r w:rsidRPr="0072298C">
        <w:t>obtains data for operation</w:t>
      </w:r>
      <w:r>
        <w:t xml:space="preserve">s </w:t>
      </w:r>
      <w:r w:rsidRPr="0072298C">
        <w:t>and</w:t>
      </w:r>
      <w:r>
        <w:t xml:space="preserve"> critical activities</w:t>
      </w:r>
      <w:r w:rsidRPr="0072298C">
        <w:t xml:space="preserve">. </w:t>
      </w:r>
      <w:r>
        <w:t xml:space="preserve">This network includes </w:t>
      </w:r>
      <w:r w:rsidRPr="0072298C">
        <w:t>weather stations, cameras, the Fire Potential Index (FPI), the Santa Ana Wildfire Threat Index (SAWTI)</w:t>
      </w:r>
      <w:r>
        <w:t>,</w:t>
      </w:r>
      <w:r w:rsidRPr="0072298C">
        <w:t xml:space="preserve"> </w:t>
      </w:r>
      <w:r>
        <w:t xml:space="preserve">and other tools used </w:t>
      </w:r>
      <w:r w:rsidRPr="0072298C">
        <w:t>to forecast weather across the service territory</w:t>
      </w:r>
      <w:r>
        <w:t xml:space="preserve"> by </w:t>
      </w:r>
      <w:r w:rsidRPr="0072298C">
        <w:t xml:space="preserve">location and severity </w:t>
      </w:r>
      <w:r w:rsidRPr="0072298C">
        <w:lastRenderedPageBreak/>
        <w:t xml:space="preserve">of weather events. </w:t>
      </w:r>
      <w:r>
        <w:t xml:space="preserve">Ground level equipment is complemented with </w:t>
      </w:r>
      <w:r w:rsidRPr="0072298C">
        <w:t>satellite-based ignition detection</w:t>
      </w:r>
      <w:r>
        <w:t xml:space="preserve"> systems and </w:t>
      </w:r>
      <w:r w:rsidRPr="0072298C">
        <w:t>a mountain</w:t>
      </w:r>
      <w:r>
        <w:t>-</w:t>
      </w:r>
      <w:r w:rsidRPr="0072298C">
        <w:t>top camera network.</w:t>
      </w:r>
      <w:r>
        <w:rPr>
          <w:rStyle w:val="FootnoteReference"/>
        </w:rPr>
        <w:footnoteReference w:id="199"/>
      </w:r>
    </w:p>
    <w:p w:rsidR="007253C8" w:rsidP="007253C8" w:rsidRDefault="007253C8" w14:paraId="741998EB" w14:textId="18343C11">
      <w:pPr>
        <w:pStyle w:val="Standard"/>
      </w:pPr>
      <w:r w:rsidRPr="00925FB6">
        <w:t xml:space="preserve">The </w:t>
      </w:r>
      <w:r>
        <w:t xml:space="preserve">SA&amp;F </w:t>
      </w:r>
      <w:r w:rsidRPr="00925FB6">
        <w:t xml:space="preserve">budget category </w:t>
      </w:r>
      <w:r>
        <w:t>includes</w:t>
      </w:r>
      <w:r w:rsidRPr="00925FB6">
        <w:t xml:space="preserve"> </w:t>
      </w:r>
      <w:r>
        <w:t xml:space="preserve">the </w:t>
      </w:r>
      <w:r w:rsidRPr="00925FB6">
        <w:t>seven initiatives</w:t>
      </w:r>
      <w:r>
        <w:t xml:space="preserve"> shown in Table 6 below.</w:t>
      </w:r>
      <w:r>
        <w:rPr>
          <w:rStyle w:val="FootnoteReference"/>
        </w:rPr>
        <w:footnoteReference w:id="200"/>
      </w:r>
      <w:r w:rsidRPr="00925FB6">
        <w:t> </w:t>
      </w:r>
      <w:r>
        <w:t xml:space="preserve">For this SA&amp;F activity, SDG&amp;E </w:t>
      </w:r>
      <w:r w:rsidRPr="000F55F5">
        <w:t>request</w:t>
      </w:r>
      <w:r>
        <w:t>s</w:t>
      </w:r>
      <w:r w:rsidRPr="000F55F5">
        <w:t xml:space="preserve"> </w:t>
      </w:r>
      <w:r w:rsidR="005D5CAB">
        <w:t>$3.</w:t>
      </w:r>
      <w:r w:rsidR="002A38F0">
        <w:t>010</w:t>
      </w:r>
      <w:r w:rsidRPr="000F55F5">
        <w:t xml:space="preserve"> million in capital</w:t>
      </w:r>
      <w:r>
        <w:t xml:space="preserve"> expenditures</w:t>
      </w:r>
      <w:r w:rsidRPr="000F55F5">
        <w:t xml:space="preserve"> and $</w:t>
      </w:r>
      <w:r>
        <w:t>1.854</w:t>
      </w:r>
      <w:r w:rsidRPr="000F55F5">
        <w:t xml:space="preserve"> million in O&amp;M </w:t>
      </w:r>
      <w:r>
        <w:t>costs (direct</w:t>
      </w:r>
      <w:r w:rsidDel="00213F5D">
        <w:t xml:space="preserve"> </w:t>
      </w:r>
      <w:r>
        <w:t>costs). The authorized, actual, and net increased SA&amp;F capital and O&amp;M costs for which SDG&amp;E requests recovery are shown below.</w:t>
      </w:r>
    </w:p>
    <w:p w:rsidR="007253C8" w:rsidP="007253C8" w:rsidRDefault="007253C8" w14:paraId="150C51FB" w14:textId="77777777">
      <w:pPr>
        <w:pStyle w:val="Standard"/>
        <w:ind w:firstLine="0"/>
        <w:jc w:val="center"/>
        <w:rPr>
          <w:b/>
          <w:bCs/>
        </w:rPr>
      </w:pPr>
      <w:r w:rsidRPr="00316906">
        <w:rPr>
          <w:b/>
        </w:rPr>
        <w:t xml:space="preserve">Table 6 </w:t>
      </w:r>
    </w:p>
    <w:p w:rsidRPr="00316906" w:rsidR="007253C8" w:rsidP="007253C8" w:rsidRDefault="007253C8" w14:paraId="14B1BF29" w14:textId="77777777">
      <w:pPr>
        <w:pStyle w:val="Standard"/>
        <w:ind w:firstLine="0"/>
        <w:jc w:val="center"/>
        <w:rPr>
          <w:b/>
        </w:rPr>
      </w:pPr>
      <w:r w:rsidRPr="61D4D11C">
        <w:rPr>
          <w:b/>
          <w:bCs/>
        </w:rPr>
        <w:t>Situational Awareness &amp; Forecasting</w:t>
      </w:r>
      <w:r>
        <w:rPr>
          <w:rStyle w:val="FootnoteReference"/>
        </w:rPr>
        <w:footnoteReference w:id="201"/>
      </w:r>
    </w:p>
    <w:p w:rsidR="007253C8" w:rsidP="007253C8" w:rsidRDefault="007253C8" w14:paraId="01FF4B7C" w14:textId="77777777">
      <w:pPr>
        <w:pStyle w:val="Standard"/>
        <w:ind w:firstLine="0"/>
        <w:jc w:val="center"/>
        <w:rPr>
          <w:b/>
        </w:rPr>
      </w:pPr>
      <w:r w:rsidRPr="00316906">
        <w:rPr>
          <w:b/>
        </w:rPr>
        <w:t>Authorizations and 2019–</w:t>
      </w:r>
      <w:r w:rsidRPr="328D1E27">
        <w:rPr>
          <w:b/>
          <w:bCs/>
        </w:rPr>
        <w:t>2022 Costs</w:t>
      </w:r>
      <w:r w:rsidRPr="00316906">
        <w:rPr>
          <w:b/>
        </w:rPr>
        <w:t xml:space="preserve"> ($000)</w:t>
      </w:r>
    </w:p>
    <w:tbl>
      <w:tblPr>
        <w:tblW w:w="98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2"/>
        <w:gridCol w:w="1350"/>
        <w:gridCol w:w="1052"/>
        <w:gridCol w:w="1377"/>
        <w:gridCol w:w="1341"/>
        <w:gridCol w:w="1044"/>
        <w:gridCol w:w="1406"/>
      </w:tblGrid>
      <w:tr w:rsidRPr="00DB5205" w:rsidR="007253C8" w:rsidTr="00301BD8" w14:paraId="7AA1CE2E" w14:textId="77777777">
        <w:trPr>
          <w:cantSplit/>
          <w:trHeight w:val="945"/>
          <w:tblHeader/>
        </w:trPr>
        <w:tc>
          <w:tcPr>
            <w:tcW w:w="2302" w:type="dxa"/>
            <w:vAlign w:val="center"/>
            <w:hideMark/>
          </w:tcPr>
          <w:p w:rsidRPr="00DB5205" w:rsidR="007253C8" w:rsidP="00301BD8" w:rsidRDefault="007253C8" w14:paraId="39FF8161" w14:textId="77777777">
            <w:pPr>
              <w:pStyle w:val="TableText"/>
            </w:pPr>
            <w:r w:rsidRPr="00DB5205">
              <w:t>Initiative</w:t>
            </w:r>
          </w:p>
        </w:tc>
        <w:tc>
          <w:tcPr>
            <w:tcW w:w="1350" w:type="dxa"/>
            <w:vAlign w:val="center"/>
            <w:hideMark/>
          </w:tcPr>
          <w:p w:rsidRPr="00DB5205" w:rsidR="007253C8" w:rsidP="00301BD8" w:rsidRDefault="007253C8" w14:paraId="1A133BF6" w14:textId="77777777">
            <w:pPr>
              <w:pStyle w:val="TableText"/>
            </w:pPr>
            <w:r w:rsidRPr="00DB5205">
              <w:t>Authorized Capital</w:t>
            </w:r>
          </w:p>
        </w:tc>
        <w:tc>
          <w:tcPr>
            <w:tcW w:w="1052" w:type="dxa"/>
            <w:vAlign w:val="center"/>
            <w:hideMark/>
          </w:tcPr>
          <w:p w:rsidRPr="00DB5205" w:rsidR="007253C8" w:rsidP="00301BD8" w:rsidRDefault="007253C8" w14:paraId="6EF00F0D" w14:textId="77777777">
            <w:pPr>
              <w:pStyle w:val="TableText"/>
            </w:pPr>
            <w:r w:rsidRPr="00DB5205">
              <w:t>Actual Capital</w:t>
            </w:r>
          </w:p>
        </w:tc>
        <w:tc>
          <w:tcPr>
            <w:tcW w:w="1377" w:type="dxa"/>
            <w:vAlign w:val="center"/>
            <w:hideMark/>
          </w:tcPr>
          <w:p w:rsidRPr="00DB5205" w:rsidR="007253C8" w:rsidP="00301BD8" w:rsidRDefault="007253C8" w14:paraId="0A7E58E4" w14:textId="77777777">
            <w:pPr>
              <w:pStyle w:val="TableText"/>
            </w:pPr>
            <w:r w:rsidRPr="00DB5205">
              <w:t>Differential Capital</w:t>
            </w:r>
          </w:p>
        </w:tc>
        <w:tc>
          <w:tcPr>
            <w:tcW w:w="1341" w:type="dxa"/>
            <w:vAlign w:val="center"/>
            <w:hideMark/>
          </w:tcPr>
          <w:p w:rsidRPr="00DB5205" w:rsidR="007253C8" w:rsidP="00301BD8" w:rsidRDefault="007253C8" w14:paraId="2C24DD59" w14:textId="77777777">
            <w:pPr>
              <w:pStyle w:val="TableText"/>
            </w:pPr>
            <w:r w:rsidRPr="00DB5205">
              <w:t>Authorized O&amp;M</w:t>
            </w:r>
          </w:p>
        </w:tc>
        <w:tc>
          <w:tcPr>
            <w:tcW w:w="1044" w:type="dxa"/>
            <w:vAlign w:val="center"/>
            <w:hideMark/>
          </w:tcPr>
          <w:p w:rsidRPr="00DB5205" w:rsidR="007253C8" w:rsidP="00301BD8" w:rsidRDefault="007253C8" w14:paraId="1D4C73DB" w14:textId="77777777">
            <w:pPr>
              <w:pStyle w:val="TableText"/>
            </w:pPr>
            <w:r w:rsidRPr="00DB5205">
              <w:t>Actual O&amp;M</w:t>
            </w:r>
          </w:p>
        </w:tc>
        <w:tc>
          <w:tcPr>
            <w:tcW w:w="1406" w:type="dxa"/>
            <w:vAlign w:val="center"/>
            <w:hideMark/>
          </w:tcPr>
          <w:p w:rsidRPr="00DB5205" w:rsidR="007253C8" w:rsidP="00301BD8" w:rsidRDefault="007253C8" w14:paraId="190547D7" w14:textId="77777777">
            <w:pPr>
              <w:pStyle w:val="TableText"/>
            </w:pPr>
            <w:r w:rsidRPr="00DB5205">
              <w:t>Differential O&amp;M</w:t>
            </w:r>
          </w:p>
        </w:tc>
      </w:tr>
      <w:tr w:rsidRPr="00DB5205" w:rsidR="007253C8" w:rsidTr="00301BD8" w14:paraId="5689A662" w14:textId="77777777">
        <w:trPr>
          <w:cantSplit/>
          <w:trHeight w:val="360"/>
        </w:trPr>
        <w:tc>
          <w:tcPr>
            <w:tcW w:w="2302" w:type="dxa"/>
            <w:vAlign w:val="center"/>
            <w:hideMark/>
          </w:tcPr>
          <w:p w:rsidRPr="00DB5205" w:rsidR="007253C8" w:rsidP="00301BD8" w:rsidRDefault="007253C8" w14:paraId="2C6FBB11" w14:textId="77777777">
            <w:pPr>
              <w:pStyle w:val="TableText"/>
            </w:pPr>
            <w:r w:rsidRPr="00DB5205">
              <w:t>Advanced Weather Monitoring &amp; Weather Stations</w:t>
            </w:r>
          </w:p>
        </w:tc>
        <w:tc>
          <w:tcPr>
            <w:tcW w:w="1350" w:type="dxa"/>
            <w:vAlign w:val="center"/>
            <w:hideMark/>
          </w:tcPr>
          <w:p w:rsidRPr="00DB5205" w:rsidR="007253C8" w:rsidP="00301BD8" w:rsidRDefault="007253C8" w14:paraId="5568347F" w14:textId="77777777">
            <w:pPr>
              <w:pStyle w:val="TableText"/>
            </w:pPr>
            <w:r w:rsidRPr="00DB5205">
              <w:t xml:space="preserve">$2,769 </w:t>
            </w:r>
          </w:p>
        </w:tc>
        <w:tc>
          <w:tcPr>
            <w:tcW w:w="1052" w:type="dxa"/>
            <w:vAlign w:val="center"/>
            <w:hideMark/>
          </w:tcPr>
          <w:p w:rsidRPr="00DB5205" w:rsidR="007253C8" w:rsidP="00301BD8" w:rsidRDefault="007253C8" w14:paraId="19B2C441" w14:textId="77777777">
            <w:pPr>
              <w:pStyle w:val="TableText"/>
            </w:pPr>
            <w:r w:rsidRPr="00DB5205">
              <w:t xml:space="preserve">$2,539 </w:t>
            </w:r>
          </w:p>
        </w:tc>
        <w:tc>
          <w:tcPr>
            <w:tcW w:w="1377" w:type="dxa"/>
            <w:vAlign w:val="center"/>
            <w:hideMark/>
          </w:tcPr>
          <w:p w:rsidRPr="00DB5205" w:rsidR="007253C8" w:rsidP="00301BD8" w:rsidRDefault="007253C8" w14:paraId="7A1FBC77" w14:textId="77777777">
            <w:pPr>
              <w:pStyle w:val="TableText"/>
            </w:pPr>
            <w:r w:rsidRPr="00DB5205">
              <w:t>($229)</w:t>
            </w:r>
          </w:p>
        </w:tc>
        <w:tc>
          <w:tcPr>
            <w:tcW w:w="1341" w:type="dxa"/>
            <w:vAlign w:val="center"/>
            <w:hideMark/>
          </w:tcPr>
          <w:p w:rsidRPr="00DB5205" w:rsidR="007253C8" w:rsidP="00301BD8" w:rsidRDefault="007253C8" w14:paraId="2E8E0CAE" w14:textId="77777777">
            <w:pPr>
              <w:pStyle w:val="TableText"/>
            </w:pPr>
            <w:r w:rsidRPr="00DB5205">
              <w:t>-</w:t>
            </w:r>
          </w:p>
        </w:tc>
        <w:tc>
          <w:tcPr>
            <w:tcW w:w="1044" w:type="dxa"/>
            <w:vAlign w:val="center"/>
            <w:hideMark/>
          </w:tcPr>
          <w:p w:rsidRPr="00DB5205" w:rsidR="007253C8" w:rsidP="00301BD8" w:rsidRDefault="007253C8" w14:paraId="1A8934F9" w14:textId="77777777">
            <w:pPr>
              <w:pStyle w:val="TableText"/>
            </w:pPr>
            <w:r w:rsidRPr="00DB5205">
              <w:t>-</w:t>
            </w:r>
          </w:p>
        </w:tc>
        <w:tc>
          <w:tcPr>
            <w:tcW w:w="1406" w:type="dxa"/>
            <w:vAlign w:val="center"/>
            <w:hideMark/>
          </w:tcPr>
          <w:p w:rsidRPr="00DB5205" w:rsidR="007253C8" w:rsidP="00301BD8" w:rsidRDefault="007253C8" w14:paraId="1CC1EC0E" w14:textId="77777777">
            <w:pPr>
              <w:pStyle w:val="TableText"/>
            </w:pPr>
            <w:r w:rsidRPr="00DB5205">
              <w:t>-</w:t>
            </w:r>
          </w:p>
        </w:tc>
      </w:tr>
      <w:tr w:rsidRPr="00DB5205" w:rsidR="007253C8" w:rsidTr="00301BD8" w14:paraId="7F4784CB" w14:textId="77777777">
        <w:trPr>
          <w:cantSplit/>
          <w:trHeight w:val="360"/>
        </w:trPr>
        <w:tc>
          <w:tcPr>
            <w:tcW w:w="2302" w:type="dxa"/>
            <w:vAlign w:val="center"/>
            <w:hideMark/>
          </w:tcPr>
          <w:p w:rsidRPr="00DB5205" w:rsidR="007253C8" w:rsidP="00301BD8" w:rsidRDefault="007253C8" w14:paraId="79C0DA82" w14:textId="77777777">
            <w:pPr>
              <w:pStyle w:val="TableText"/>
            </w:pPr>
            <w:r w:rsidRPr="00DB5205">
              <w:t>Air Quality Index</w:t>
            </w:r>
          </w:p>
        </w:tc>
        <w:tc>
          <w:tcPr>
            <w:tcW w:w="1350" w:type="dxa"/>
            <w:vAlign w:val="center"/>
            <w:hideMark/>
          </w:tcPr>
          <w:p w:rsidRPr="00DB5205" w:rsidR="007253C8" w:rsidP="00301BD8" w:rsidRDefault="007253C8" w14:paraId="768BB66B" w14:textId="77777777">
            <w:pPr>
              <w:pStyle w:val="TableText"/>
            </w:pPr>
            <w:r w:rsidRPr="00DB5205">
              <w:t>-</w:t>
            </w:r>
          </w:p>
        </w:tc>
        <w:tc>
          <w:tcPr>
            <w:tcW w:w="1052" w:type="dxa"/>
            <w:vAlign w:val="center"/>
            <w:hideMark/>
          </w:tcPr>
          <w:p w:rsidRPr="00DB5205" w:rsidR="007253C8" w:rsidP="00301BD8" w:rsidRDefault="007253C8" w14:paraId="68E21730" w14:textId="77777777">
            <w:pPr>
              <w:pStyle w:val="TableText"/>
            </w:pPr>
            <w:r w:rsidRPr="00DB5205">
              <w:t>-</w:t>
            </w:r>
          </w:p>
        </w:tc>
        <w:tc>
          <w:tcPr>
            <w:tcW w:w="1377" w:type="dxa"/>
            <w:vAlign w:val="center"/>
            <w:hideMark/>
          </w:tcPr>
          <w:p w:rsidRPr="00DB5205" w:rsidR="007253C8" w:rsidP="00301BD8" w:rsidRDefault="007253C8" w14:paraId="44A07111" w14:textId="77777777">
            <w:pPr>
              <w:pStyle w:val="TableText"/>
            </w:pPr>
            <w:r w:rsidRPr="00DB5205">
              <w:t>-</w:t>
            </w:r>
          </w:p>
        </w:tc>
        <w:tc>
          <w:tcPr>
            <w:tcW w:w="1341" w:type="dxa"/>
            <w:vAlign w:val="center"/>
            <w:hideMark/>
          </w:tcPr>
          <w:p w:rsidRPr="00DB5205" w:rsidR="007253C8" w:rsidP="00301BD8" w:rsidRDefault="007253C8" w14:paraId="5A1E70D7" w14:textId="77777777">
            <w:pPr>
              <w:pStyle w:val="TableText"/>
            </w:pPr>
            <w:r w:rsidRPr="00DB5205">
              <w:t>-</w:t>
            </w:r>
          </w:p>
        </w:tc>
        <w:tc>
          <w:tcPr>
            <w:tcW w:w="1044" w:type="dxa"/>
            <w:vAlign w:val="center"/>
            <w:hideMark/>
          </w:tcPr>
          <w:p w:rsidRPr="00DB5205" w:rsidR="007253C8" w:rsidP="00301BD8" w:rsidRDefault="007253C8" w14:paraId="5CDBD5E0" w14:textId="77777777">
            <w:pPr>
              <w:pStyle w:val="TableText"/>
            </w:pPr>
            <w:r w:rsidRPr="00DB5205">
              <w:t>-</w:t>
            </w:r>
          </w:p>
        </w:tc>
        <w:tc>
          <w:tcPr>
            <w:tcW w:w="1406" w:type="dxa"/>
            <w:vAlign w:val="center"/>
            <w:hideMark/>
          </w:tcPr>
          <w:p w:rsidRPr="00DB5205" w:rsidR="007253C8" w:rsidP="00301BD8" w:rsidRDefault="007253C8" w14:paraId="78A8D02F" w14:textId="77777777">
            <w:pPr>
              <w:pStyle w:val="TableText"/>
            </w:pPr>
            <w:r w:rsidRPr="00DB5205">
              <w:t>-</w:t>
            </w:r>
          </w:p>
        </w:tc>
      </w:tr>
      <w:tr w:rsidRPr="00DB5205" w:rsidR="007253C8" w:rsidTr="00301BD8" w14:paraId="7B73B8B5" w14:textId="77777777">
        <w:trPr>
          <w:cantSplit/>
          <w:trHeight w:val="360"/>
        </w:trPr>
        <w:tc>
          <w:tcPr>
            <w:tcW w:w="2302" w:type="dxa"/>
            <w:vAlign w:val="center"/>
            <w:hideMark/>
          </w:tcPr>
          <w:p w:rsidRPr="00DB5205" w:rsidR="007253C8" w:rsidP="00301BD8" w:rsidRDefault="007253C8" w14:paraId="75BE6B56" w14:textId="77777777">
            <w:pPr>
              <w:pStyle w:val="TableText"/>
            </w:pPr>
            <w:r w:rsidRPr="00DB5205">
              <w:t>Camera Network</w:t>
            </w:r>
          </w:p>
        </w:tc>
        <w:tc>
          <w:tcPr>
            <w:tcW w:w="1350" w:type="dxa"/>
            <w:vAlign w:val="center"/>
            <w:hideMark/>
          </w:tcPr>
          <w:p w:rsidRPr="00DB5205" w:rsidR="007253C8" w:rsidP="00301BD8" w:rsidRDefault="007253C8" w14:paraId="2528AB5E" w14:textId="77777777">
            <w:pPr>
              <w:pStyle w:val="TableText"/>
            </w:pPr>
            <w:r w:rsidRPr="00DB5205">
              <w:t>-</w:t>
            </w:r>
          </w:p>
        </w:tc>
        <w:tc>
          <w:tcPr>
            <w:tcW w:w="1052" w:type="dxa"/>
            <w:vAlign w:val="center"/>
            <w:hideMark/>
          </w:tcPr>
          <w:p w:rsidRPr="00DB5205" w:rsidR="007253C8" w:rsidP="00301BD8" w:rsidRDefault="007253C8" w14:paraId="244308FF" w14:textId="77777777">
            <w:pPr>
              <w:pStyle w:val="TableText"/>
            </w:pPr>
            <w:r w:rsidRPr="00DB5205">
              <w:t xml:space="preserve">$9 </w:t>
            </w:r>
          </w:p>
        </w:tc>
        <w:tc>
          <w:tcPr>
            <w:tcW w:w="1377" w:type="dxa"/>
            <w:vAlign w:val="center"/>
            <w:hideMark/>
          </w:tcPr>
          <w:p w:rsidRPr="00DB5205" w:rsidR="007253C8" w:rsidP="00301BD8" w:rsidRDefault="007253C8" w14:paraId="3ABCDBEE" w14:textId="77777777">
            <w:pPr>
              <w:pStyle w:val="TableText"/>
            </w:pPr>
            <w:r w:rsidRPr="00DB5205">
              <w:t xml:space="preserve">$9 </w:t>
            </w:r>
          </w:p>
        </w:tc>
        <w:tc>
          <w:tcPr>
            <w:tcW w:w="1341" w:type="dxa"/>
            <w:vAlign w:val="center"/>
            <w:hideMark/>
          </w:tcPr>
          <w:p w:rsidRPr="00DB5205" w:rsidR="007253C8" w:rsidP="00301BD8" w:rsidRDefault="007253C8" w14:paraId="7A4E0343" w14:textId="77777777">
            <w:pPr>
              <w:pStyle w:val="TableText"/>
            </w:pPr>
            <w:r w:rsidRPr="00DB5205">
              <w:t>-</w:t>
            </w:r>
          </w:p>
        </w:tc>
        <w:tc>
          <w:tcPr>
            <w:tcW w:w="1044" w:type="dxa"/>
            <w:vAlign w:val="center"/>
            <w:hideMark/>
          </w:tcPr>
          <w:p w:rsidRPr="00DB5205" w:rsidR="007253C8" w:rsidP="00301BD8" w:rsidRDefault="007253C8" w14:paraId="1DE01E53" w14:textId="77777777">
            <w:pPr>
              <w:pStyle w:val="TableText"/>
            </w:pPr>
            <w:r w:rsidRPr="00DB5205">
              <w:t>-</w:t>
            </w:r>
          </w:p>
        </w:tc>
        <w:tc>
          <w:tcPr>
            <w:tcW w:w="1406" w:type="dxa"/>
            <w:vAlign w:val="center"/>
            <w:hideMark/>
          </w:tcPr>
          <w:p w:rsidRPr="00DB5205" w:rsidR="007253C8" w:rsidP="00301BD8" w:rsidRDefault="007253C8" w14:paraId="39F808BB" w14:textId="77777777">
            <w:pPr>
              <w:pStyle w:val="TableText"/>
            </w:pPr>
            <w:r w:rsidRPr="00DB5205">
              <w:t>-</w:t>
            </w:r>
          </w:p>
        </w:tc>
      </w:tr>
      <w:tr w:rsidRPr="00DB5205" w:rsidR="007253C8" w:rsidTr="00301BD8" w14:paraId="0A64CABE" w14:textId="77777777">
        <w:trPr>
          <w:cantSplit/>
          <w:trHeight w:val="360"/>
        </w:trPr>
        <w:tc>
          <w:tcPr>
            <w:tcW w:w="2302" w:type="dxa"/>
            <w:vAlign w:val="center"/>
            <w:hideMark/>
          </w:tcPr>
          <w:p w:rsidRPr="00DB5205" w:rsidR="007253C8" w:rsidP="00301BD8" w:rsidRDefault="007253C8" w14:paraId="21820299" w14:textId="77777777">
            <w:pPr>
              <w:pStyle w:val="TableText"/>
            </w:pPr>
            <w:r w:rsidRPr="00DB5205">
              <w:t>Wireless Fault Indicators</w:t>
            </w:r>
          </w:p>
        </w:tc>
        <w:tc>
          <w:tcPr>
            <w:tcW w:w="1350" w:type="dxa"/>
            <w:vAlign w:val="center"/>
            <w:hideMark/>
          </w:tcPr>
          <w:p w:rsidRPr="00DB5205" w:rsidR="007253C8" w:rsidP="00301BD8" w:rsidRDefault="007253C8" w14:paraId="13AA7164" w14:textId="77777777">
            <w:pPr>
              <w:pStyle w:val="TableText"/>
            </w:pPr>
            <w:r w:rsidRPr="00DB5205">
              <w:t xml:space="preserve">$10,218 </w:t>
            </w:r>
          </w:p>
        </w:tc>
        <w:tc>
          <w:tcPr>
            <w:tcW w:w="1052" w:type="dxa"/>
            <w:vAlign w:val="center"/>
            <w:hideMark/>
          </w:tcPr>
          <w:p w:rsidRPr="00DB5205" w:rsidR="007253C8" w:rsidP="00301BD8" w:rsidRDefault="007253C8" w14:paraId="0CCCB996" w14:textId="77777777">
            <w:pPr>
              <w:pStyle w:val="TableText"/>
            </w:pPr>
            <w:r w:rsidRPr="00DB5205">
              <w:t xml:space="preserve">$3,670 </w:t>
            </w:r>
          </w:p>
        </w:tc>
        <w:tc>
          <w:tcPr>
            <w:tcW w:w="1377" w:type="dxa"/>
            <w:vAlign w:val="center"/>
            <w:hideMark/>
          </w:tcPr>
          <w:p w:rsidRPr="00DB5205" w:rsidR="007253C8" w:rsidP="00301BD8" w:rsidRDefault="007253C8" w14:paraId="24F86212" w14:textId="77777777">
            <w:pPr>
              <w:pStyle w:val="TableText"/>
            </w:pPr>
            <w:r w:rsidRPr="00DB5205">
              <w:t>($6,548)</w:t>
            </w:r>
          </w:p>
        </w:tc>
        <w:tc>
          <w:tcPr>
            <w:tcW w:w="1341" w:type="dxa"/>
            <w:vAlign w:val="center"/>
            <w:hideMark/>
          </w:tcPr>
          <w:p w:rsidRPr="00DB5205" w:rsidR="007253C8" w:rsidP="00301BD8" w:rsidRDefault="007253C8" w14:paraId="67D71751" w14:textId="77777777">
            <w:pPr>
              <w:pStyle w:val="TableText"/>
            </w:pPr>
            <w:r w:rsidRPr="00DB5205">
              <w:t>-</w:t>
            </w:r>
          </w:p>
        </w:tc>
        <w:tc>
          <w:tcPr>
            <w:tcW w:w="1044" w:type="dxa"/>
            <w:vAlign w:val="center"/>
            <w:hideMark/>
          </w:tcPr>
          <w:p w:rsidRPr="00DB5205" w:rsidR="007253C8" w:rsidP="00301BD8" w:rsidRDefault="007253C8" w14:paraId="41A662E8" w14:textId="77777777">
            <w:pPr>
              <w:pStyle w:val="TableText"/>
            </w:pPr>
            <w:r w:rsidRPr="00DB5205">
              <w:t>-</w:t>
            </w:r>
          </w:p>
        </w:tc>
        <w:tc>
          <w:tcPr>
            <w:tcW w:w="1406" w:type="dxa"/>
            <w:vAlign w:val="center"/>
            <w:hideMark/>
          </w:tcPr>
          <w:p w:rsidRPr="00DB5205" w:rsidR="007253C8" w:rsidP="00301BD8" w:rsidRDefault="007253C8" w14:paraId="272D2803" w14:textId="77777777">
            <w:pPr>
              <w:pStyle w:val="TableText"/>
            </w:pPr>
            <w:r w:rsidRPr="00DB5205">
              <w:t>-</w:t>
            </w:r>
          </w:p>
        </w:tc>
      </w:tr>
      <w:tr w:rsidRPr="00DB5205" w:rsidR="007253C8" w:rsidTr="00301BD8" w14:paraId="72816999" w14:textId="77777777">
        <w:trPr>
          <w:cantSplit/>
          <w:trHeight w:val="360"/>
        </w:trPr>
        <w:tc>
          <w:tcPr>
            <w:tcW w:w="2302" w:type="dxa"/>
            <w:vAlign w:val="center"/>
            <w:hideMark/>
          </w:tcPr>
          <w:p w:rsidRPr="00DB5205" w:rsidR="007253C8" w:rsidP="00301BD8" w:rsidRDefault="007253C8" w14:paraId="57C291B8" w14:textId="77777777">
            <w:pPr>
              <w:pStyle w:val="TableText"/>
            </w:pPr>
            <w:r w:rsidRPr="00DB5205">
              <w:t>Fire Science &amp; Climate Adaptation Dept.</w:t>
            </w:r>
          </w:p>
        </w:tc>
        <w:tc>
          <w:tcPr>
            <w:tcW w:w="1350" w:type="dxa"/>
            <w:vAlign w:val="center"/>
            <w:hideMark/>
          </w:tcPr>
          <w:p w:rsidRPr="00DB5205" w:rsidR="007253C8" w:rsidP="00301BD8" w:rsidRDefault="007253C8" w14:paraId="5E5D309C" w14:textId="77777777">
            <w:pPr>
              <w:pStyle w:val="TableText"/>
            </w:pPr>
            <w:r w:rsidRPr="00DB5205">
              <w:t>-</w:t>
            </w:r>
          </w:p>
        </w:tc>
        <w:tc>
          <w:tcPr>
            <w:tcW w:w="1052" w:type="dxa"/>
            <w:vAlign w:val="center"/>
            <w:hideMark/>
          </w:tcPr>
          <w:p w:rsidRPr="00DB5205" w:rsidR="007253C8" w:rsidP="00301BD8" w:rsidRDefault="007253C8" w14:paraId="381EB8AC" w14:textId="77777777">
            <w:pPr>
              <w:pStyle w:val="TableText"/>
            </w:pPr>
            <w:r w:rsidRPr="00DB5205">
              <w:t>-</w:t>
            </w:r>
          </w:p>
        </w:tc>
        <w:tc>
          <w:tcPr>
            <w:tcW w:w="1377" w:type="dxa"/>
            <w:vAlign w:val="center"/>
            <w:hideMark/>
          </w:tcPr>
          <w:p w:rsidRPr="00DB5205" w:rsidR="007253C8" w:rsidP="00301BD8" w:rsidRDefault="007253C8" w14:paraId="0D9F7CD3" w14:textId="77777777">
            <w:pPr>
              <w:pStyle w:val="TableText"/>
            </w:pPr>
            <w:r w:rsidRPr="00DB5205">
              <w:t>-</w:t>
            </w:r>
          </w:p>
        </w:tc>
        <w:tc>
          <w:tcPr>
            <w:tcW w:w="1341" w:type="dxa"/>
            <w:vAlign w:val="center"/>
            <w:hideMark/>
          </w:tcPr>
          <w:p w:rsidRPr="00DB5205" w:rsidR="007253C8" w:rsidP="00301BD8" w:rsidRDefault="007253C8" w14:paraId="3A845211" w14:textId="77777777">
            <w:pPr>
              <w:pStyle w:val="TableText"/>
            </w:pPr>
            <w:r w:rsidRPr="00DB5205">
              <w:t xml:space="preserve">$9,588 </w:t>
            </w:r>
          </w:p>
        </w:tc>
        <w:tc>
          <w:tcPr>
            <w:tcW w:w="1044" w:type="dxa"/>
            <w:vAlign w:val="center"/>
            <w:hideMark/>
          </w:tcPr>
          <w:p w:rsidRPr="00DB5205" w:rsidR="007253C8" w:rsidP="00301BD8" w:rsidRDefault="007253C8" w14:paraId="014D1E7C" w14:textId="77777777">
            <w:pPr>
              <w:pStyle w:val="TableText"/>
            </w:pPr>
            <w:r w:rsidRPr="00DB5205">
              <w:t xml:space="preserve">$11,442 </w:t>
            </w:r>
          </w:p>
        </w:tc>
        <w:tc>
          <w:tcPr>
            <w:tcW w:w="1406" w:type="dxa"/>
            <w:vAlign w:val="center"/>
            <w:hideMark/>
          </w:tcPr>
          <w:p w:rsidRPr="00DB5205" w:rsidR="007253C8" w:rsidP="00301BD8" w:rsidRDefault="007253C8" w14:paraId="06973964" w14:textId="77777777">
            <w:pPr>
              <w:pStyle w:val="TableText"/>
            </w:pPr>
            <w:r w:rsidRPr="00DB5205">
              <w:t xml:space="preserve">$1,854 </w:t>
            </w:r>
          </w:p>
        </w:tc>
      </w:tr>
      <w:tr w:rsidRPr="00DB5205" w:rsidR="007253C8" w:rsidTr="00301BD8" w14:paraId="7EFC1DF9" w14:textId="77777777">
        <w:trPr>
          <w:cantSplit/>
          <w:trHeight w:val="360"/>
        </w:trPr>
        <w:tc>
          <w:tcPr>
            <w:tcW w:w="2302" w:type="dxa"/>
            <w:vAlign w:val="center"/>
            <w:hideMark/>
          </w:tcPr>
          <w:p w:rsidRPr="00DB5205" w:rsidR="007253C8" w:rsidP="00301BD8" w:rsidRDefault="007253C8" w14:paraId="69BD07BA" w14:textId="77777777">
            <w:pPr>
              <w:pStyle w:val="TableText"/>
            </w:pPr>
            <w:r w:rsidRPr="00DB5205">
              <w:t>Fire Potential Index</w:t>
            </w:r>
          </w:p>
        </w:tc>
        <w:tc>
          <w:tcPr>
            <w:tcW w:w="1350" w:type="dxa"/>
            <w:vAlign w:val="center"/>
            <w:hideMark/>
          </w:tcPr>
          <w:p w:rsidRPr="00DB5205" w:rsidR="007253C8" w:rsidP="00301BD8" w:rsidRDefault="007253C8" w14:paraId="13DE4FCD" w14:textId="77777777">
            <w:pPr>
              <w:pStyle w:val="TableText"/>
            </w:pPr>
            <w:r w:rsidRPr="00DB5205">
              <w:t>-</w:t>
            </w:r>
          </w:p>
        </w:tc>
        <w:tc>
          <w:tcPr>
            <w:tcW w:w="1052" w:type="dxa"/>
            <w:vAlign w:val="center"/>
            <w:hideMark/>
          </w:tcPr>
          <w:p w:rsidRPr="00DB5205" w:rsidR="007253C8" w:rsidP="00301BD8" w:rsidRDefault="007253C8" w14:paraId="52A82E28" w14:textId="77777777">
            <w:pPr>
              <w:pStyle w:val="TableText"/>
            </w:pPr>
            <w:r w:rsidRPr="00DB5205">
              <w:t xml:space="preserve">$4,539 </w:t>
            </w:r>
          </w:p>
        </w:tc>
        <w:tc>
          <w:tcPr>
            <w:tcW w:w="1377" w:type="dxa"/>
            <w:vAlign w:val="center"/>
            <w:hideMark/>
          </w:tcPr>
          <w:p w:rsidRPr="00DB5205" w:rsidR="007253C8" w:rsidP="00301BD8" w:rsidRDefault="007253C8" w14:paraId="18FFA7B3" w14:textId="77777777">
            <w:pPr>
              <w:pStyle w:val="TableText"/>
            </w:pPr>
            <w:r w:rsidRPr="00DB5205">
              <w:t xml:space="preserve">$4,539 </w:t>
            </w:r>
          </w:p>
        </w:tc>
        <w:tc>
          <w:tcPr>
            <w:tcW w:w="1341" w:type="dxa"/>
            <w:vAlign w:val="center"/>
            <w:hideMark/>
          </w:tcPr>
          <w:p w:rsidRPr="00DB5205" w:rsidR="007253C8" w:rsidP="00301BD8" w:rsidRDefault="007253C8" w14:paraId="22D13879" w14:textId="77777777">
            <w:pPr>
              <w:pStyle w:val="TableText"/>
            </w:pPr>
            <w:r w:rsidRPr="00DB5205">
              <w:t>-</w:t>
            </w:r>
          </w:p>
        </w:tc>
        <w:tc>
          <w:tcPr>
            <w:tcW w:w="1044" w:type="dxa"/>
            <w:vAlign w:val="center"/>
            <w:hideMark/>
          </w:tcPr>
          <w:p w:rsidRPr="00DB5205" w:rsidR="007253C8" w:rsidP="00301BD8" w:rsidRDefault="007253C8" w14:paraId="4F704782" w14:textId="77777777">
            <w:pPr>
              <w:pStyle w:val="TableText"/>
            </w:pPr>
            <w:r w:rsidRPr="00DB5205">
              <w:t>-</w:t>
            </w:r>
          </w:p>
        </w:tc>
        <w:tc>
          <w:tcPr>
            <w:tcW w:w="1406" w:type="dxa"/>
            <w:vAlign w:val="center"/>
            <w:hideMark/>
          </w:tcPr>
          <w:p w:rsidRPr="00DB5205" w:rsidR="007253C8" w:rsidP="00301BD8" w:rsidRDefault="007253C8" w14:paraId="21741FFE" w14:textId="77777777">
            <w:pPr>
              <w:pStyle w:val="TableText"/>
            </w:pPr>
            <w:r w:rsidRPr="00DB5205">
              <w:t>-</w:t>
            </w:r>
          </w:p>
        </w:tc>
      </w:tr>
      <w:tr w:rsidRPr="00DB5205" w:rsidR="007253C8" w:rsidTr="00301BD8" w14:paraId="7349CB05" w14:textId="77777777">
        <w:trPr>
          <w:cantSplit/>
          <w:trHeight w:val="360"/>
        </w:trPr>
        <w:tc>
          <w:tcPr>
            <w:tcW w:w="2302" w:type="dxa"/>
            <w:vAlign w:val="center"/>
            <w:hideMark/>
          </w:tcPr>
          <w:p w:rsidRPr="00DB5205" w:rsidR="007253C8" w:rsidP="00301BD8" w:rsidRDefault="007253C8" w14:paraId="2916DD55" w14:textId="77777777">
            <w:pPr>
              <w:pStyle w:val="TableText"/>
            </w:pPr>
            <w:r w:rsidRPr="00DB5205">
              <w:t>High Performance Computing Infrastructure</w:t>
            </w:r>
          </w:p>
        </w:tc>
        <w:tc>
          <w:tcPr>
            <w:tcW w:w="1350" w:type="dxa"/>
            <w:vAlign w:val="center"/>
            <w:hideMark/>
          </w:tcPr>
          <w:p w:rsidRPr="00DB5205" w:rsidR="007253C8" w:rsidP="00301BD8" w:rsidRDefault="007253C8" w14:paraId="6D35D3BA" w14:textId="77777777">
            <w:pPr>
              <w:pStyle w:val="TableText"/>
            </w:pPr>
            <w:r w:rsidRPr="00DB5205">
              <w:t>-</w:t>
            </w:r>
          </w:p>
        </w:tc>
        <w:tc>
          <w:tcPr>
            <w:tcW w:w="1052" w:type="dxa"/>
            <w:vAlign w:val="center"/>
            <w:hideMark/>
          </w:tcPr>
          <w:p w:rsidRPr="00DB5205" w:rsidR="007253C8" w:rsidP="00301BD8" w:rsidRDefault="007253C8" w14:paraId="45087C35" w14:textId="77777777">
            <w:pPr>
              <w:pStyle w:val="TableText"/>
            </w:pPr>
            <w:r w:rsidRPr="00DB5205">
              <w:t xml:space="preserve">$5,240 </w:t>
            </w:r>
          </w:p>
        </w:tc>
        <w:tc>
          <w:tcPr>
            <w:tcW w:w="1377" w:type="dxa"/>
            <w:vAlign w:val="center"/>
            <w:hideMark/>
          </w:tcPr>
          <w:p w:rsidRPr="00DB5205" w:rsidR="007253C8" w:rsidP="00301BD8" w:rsidRDefault="007253C8" w14:paraId="7191DDFC" w14:textId="77777777">
            <w:pPr>
              <w:pStyle w:val="TableText"/>
            </w:pPr>
            <w:r w:rsidRPr="00DB5205">
              <w:t xml:space="preserve">$5,240 </w:t>
            </w:r>
          </w:p>
        </w:tc>
        <w:tc>
          <w:tcPr>
            <w:tcW w:w="1341" w:type="dxa"/>
            <w:vAlign w:val="center"/>
            <w:hideMark/>
          </w:tcPr>
          <w:p w:rsidRPr="00DB5205" w:rsidR="007253C8" w:rsidP="00301BD8" w:rsidRDefault="007253C8" w14:paraId="03FDF97F" w14:textId="77777777">
            <w:pPr>
              <w:pStyle w:val="TableText"/>
            </w:pPr>
            <w:r w:rsidRPr="00DB5205">
              <w:t>-</w:t>
            </w:r>
          </w:p>
        </w:tc>
        <w:tc>
          <w:tcPr>
            <w:tcW w:w="1044" w:type="dxa"/>
            <w:vAlign w:val="center"/>
            <w:hideMark/>
          </w:tcPr>
          <w:p w:rsidRPr="00DB5205" w:rsidR="007253C8" w:rsidP="00301BD8" w:rsidRDefault="007253C8" w14:paraId="415934CF" w14:textId="77777777">
            <w:pPr>
              <w:pStyle w:val="TableText"/>
            </w:pPr>
            <w:r w:rsidRPr="00DB5205">
              <w:t>-</w:t>
            </w:r>
          </w:p>
        </w:tc>
        <w:tc>
          <w:tcPr>
            <w:tcW w:w="1406" w:type="dxa"/>
            <w:vAlign w:val="center"/>
            <w:hideMark/>
          </w:tcPr>
          <w:p w:rsidRPr="00DB5205" w:rsidR="007253C8" w:rsidP="00301BD8" w:rsidRDefault="007253C8" w14:paraId="164BC178" w14:textId="77777777">
            <w:pPr>
              <w:pStyle w:val="TableText"/>
            </w:pPr>
            <w:r w:rsidRPr="00DB5205">
              <w:t>-</w:t>
            </w:r>
          </w:p>
        </w:tc>
      </w:tr>
      <w:tr w:rsidRPr="00DB5205" w:rsidR="007253C8" w:rsidTr="00301BD8" w14:paraId="4736FD7B" w14:textId="77777777">
        <w:trPr>
          <w:cantSplit/>
          <w:trHeight w:val="360"/>
        </w:trPr>
        <w:tc>
          <w:tcPr>
            <w:tcW w:w="2302" w:type="dxa"/>
            <w:vAlign w:val="center"/>
          </w:tcPr>
          <w:p w:rsidRPr="00DB5205" w:rsidR="007253C8" w:rsidP="00301BD8" w:rsidRDefault="007253C8" w14:paraId="70FE6205" w14:textId="77777777">
            <w:pPr>
              <w:pStyle w:val="TableText"/>
              <w:rPr>
                <w:i/>
              </w:rPr>
            </w:pPr>
            <w:r>
              <w:rPr>
                <w:i/>
              </w:rPr>
              <w:t>T</w:t>
            </w:r>
            <w:r w:rsidRPr="00DB5205">
              <w:rPr>
                <w:i/>
              </w:rPr>
              <w:t>otal</w:t>
            </w:r>
          </w:p>
        </w:tc>
        <w:tc>
          <w:tcPr>
            <w:tcW w:w="1350" w:type="dxa"/>
            <w:vAlign w:val="center"/>
          </w:tcPr>
          <w:p w:rsidRPr="00DB5205" w:rsidR="007253C8" w:rsidP="00301BD8" w:rsidRDefault="007253C8" w14:paraId="6A034689" w14:textId="77777777">
            <w:pPr>
              <w:pStyle w:val="TableText"/>
              <w:rPr>
                <w:i/>
              </w:rPr>
            </w:pPr>
            <w:r w:rsidRPr="00DB5205">
              <w:rPr>
                <w:i/>
              </w:rPr>
              <w:t>$12,987</w:t>
            </w:r>
          </w:p>
        </w:tc>
        <w:tc>
          <w:tcPr>
            <w:tcW w:w="1052" w:type="dxa"/>
            <w:vAlign w:val="center"/>
          </w:tcPr>
          <w:p w:rsidRPr="00DB5205" w:rsidR="007253C8" w:rsidP="00301BD8" w:rsidRDefault="007253C8" w14:paraId="1AB5E531" w14:textId="77777777">
            <w:pPr>
              <w:pStyle w:val="TableText"/>
              <w:rPr>
                <w:i/>
              </w:rPr>
            </w:pPr>
            <w:r w:rsidRPr="00DB5205">
              <w:rPr>
                <w:i/>
              </w:rPr>
              <w:t>$15,997</w:t>
            </w:r>
          </w:p>
        </w:tc>
        <w:tc>
          <w:tcPr>
            <w:tcW w:w="1377" w:type="dxa"/>
            <w:vAlign w:val="center"/>
          </w:tcPr>
          <w:p w:rsidRPr="00DB5205" w:rsidR="007253C8" w:rsidP="00301BD8" w:rsidRDefault="007253C8" w14:paraId="4F264019" w14:textId="38391EBC">
            <w:pPr>
              <w:pStyle w:val="TableText"/>
              <w:rPr>
                <w:i/>
              </w:rPr>
            </w:pPr>
            <w:r w:rsidRPr="00DB5205">
              <w:rPr>
                <w:i/>
              </w:rPr>
              <w:t>$3,010</w:t>
            </w:r>
          </w:p>
        </w:tc>
        <w:tc>
          <w:tcPr>
            <w:tcW w:w="1341" w:type="dxa"/>
            <w:vAlign w:val="center"/>
          </w:tcPr>
          <w:p w:rsidRPr="00DB5205" w:rsidR="007253C8" w:rsidP="00301BD8" w:rsidRDefault="007253C8" w14:paraId="0975DADF" w14:textId="77777777">
            <w:pPr>
              <w:pStyle w:val="TableText"/>
              <w:rPr>
                <w:i/>
              </w:rPr>
            </w:pPr>
            <w:r w:rsidRPr="00DB5205">
              <w:rPr>
                <w:i/>
              </w:rPr>
              <w:t>$9,588</w:t>
            </w:r>
          </w:p>
        </w:tc>
        <w:tc>
          <w:tcPr>
            <w:tcW w:w="1044" w:type="dxa"/>
            <w:vAlign w:val="center"/>
          </w:tcPr>
          <w:p w:rsidRPr="00DB5205" w:rsidR="007253C8" w:rsidP="00301BD8" w:rsidRDefault="007253C8" w14:paraId="095A640C" w14:textId="77777777">
            <w:pPr>
              <w:pStyle w:val="TableText"/>
              <w:rPr>
                <w:i/>
              </w:rPr>
            </w:pPr>
            <w:r w:rsidRPr="00DB5205">
              <w:rPr>
                <w:i/>
              </w:rPr>
              <w:t>$11,442</w:t>
            </w:r>
          </w:p>
        </w:tc>
        <w:tc>
          <w:tcPr>
            <w:tcW w:w="1406" w:type="dxa"/>
            <w:vAlign w:val="center"/>
          </w:tcPr>
          <w:p w:rsidRPr="00DB5205" w:rsidR="007253C8" w:rsidP="00301BD8" w:rsidRDefault="007253C8" w14:paraId="6BBCDB53" w14:textId="025CDAE8">
            <w:pPr>
              <w:pStyle w:val="TableText"/>
              <w:rPr>
                <w:i/>
              </w:rPr>
            </w:pPr>
            <w:r w:rsidRPr="00DB5205">
              <w:rPr>
                <w:i/>
              </w:rPr>
              <w:t>$1,854</w:t>
            </w:r>
          </w:p>
        </w:tc>
      </w:tr>
    </w:tbl>
    <w:p w:rsidR="007253C8" w:rsidP="007253C8" w:rsidRDefault="007253C8" w14:paraId="23A73B1E" w14:textId="77777777">
      <w:pPr>
        <w:pStyle w:val="Standard"/>
      </w:pPr>
    </w:p>
    <w:p w:rsidRPr="00026D28" w:rsidR="007253C8" w:rsidP="007253C8" w:rsidRDefault="007253C8" w14:paraId="6193A2CC" w14:textId="77777777">
      <w:pPr>
        <w:pStyle w:val="Standard"/>
      </w:pPr>
      <w:r w:rsidRPr="00026D28">
        <w:lastRenderedPageBreak/>
        <w:t xml:space="preserve">Similar to Emergency Planning &amp; Preparedness, the </w:t>
      </w:r>
      <w:r>
        <w:t>2019 Wildfire Legislation</w:t>
      </w:r>
      <w:r w:rsidRPr="00026D28">
        <w:t xml:space="preserve"> altered the regulations imposed upon the electric utilities to such an extent that the </w:t>
      </w:r>
      <w:bookmarkStart w:name="_Hlk193880393" w:id="59"/>
      <w:r w:rsidRPr="00026D28">
        <w:t>budget categories used after 2018 are not readily comparable to those used before 2018. </w:t>
      </w:r>
      <w:bookmarkEnd w:id="59"/>
      <w:r w:rsidRPr="007650F2">
        <w:t xml:space="preserve">The authorizations, if any, underlying </w:t>
      </w:r>
      <w:r w:rsidRPr="00026D28">
        <w:t xml:space="preserve">SDG&amp;E’s </w:t>
      </w:r>
      <w:r w:rsidRPr="007650F2">
        <w:t>2019</w:t>
      </w:r>
      <w:r>
        <w:t>–2022</w:t>
      </w:r>
      <w:r w:rsidRPr="007650F2">
        <w:t xml:space="preserve"> S</w:t>
      </w:r>
      <w:r w:rsidRPr="00026D28">
        <w:t>A</w:t>
      </w:r>
      <w:r w:rsidRPr="007650F2">
        <w:t>&amp;F</w:t>
      </w:r>
      <w:r w:rsidRPr="00026D28">
        <w:t xml:space="preserve"> </w:t>
      </w:r>
      <w:r w:rsidRPr="007650F2">
        <w:t xml:space="preserve">costs </w:t>
      </w:r>
      <w:r w:rsidRPr="00026D28">
        <w:t xml:space="preserve">from </w:t>
      </w:r>
      <w:r w:rsidRPr="007650F2">
        <w:t>SDG&amp;E’s Test Year 2019 GRC</w:t>
      </w:r>
      <w:r w:rsidRPr="00026D28">
        <w:t xml:space="preserve"> are shown in Table </w:t>
      </w:r>
      <w:r>
        <w:t>6.</w:t>
      </w:r>
    </w:p>
    <w:p w:rsidR="007253C8" w:rsidP="007253C8" w:rsidRDefault="007253C8" w14:paraId="77D94F16" w14:textId="77777777">
      <w:pPr>
        <w:pStyle w:val="Standard"/>
      </w:pPr>
      <w:r>
        <w:t xml:space="preserve">Some average unit costs for SA&amp;F activities declined in 2021–2022 compared to </w:t>
      </w:r>
      <w:r w:rsidRPr="0088037B">
        <w:t>2019</w:t>
      </w:r>
      <w:r>
        <w:t>–20</w:t>
      </w:r>
      <w:r w:rsidRPr="0088037B">
        <w:t>20. </w:t>
      </w:r>
      <w:r>
        <w:t xml:space="preserve">For example, that is the case for the capital expenditure for installing 139 weather stations under the </w:t>
      </w:r>
      <w:r w:rsidRPr="00026D28">
        <w:t>Advanced Weather Monitoring &amp; Weather Stations initiative</w:t>
      </w:r>
      <w:r>
        <w:t xml:space="preserve"> during the 2019–2022 period.</w:t>
      </w:r>
    </w:p>
    <w:p w:rsidR="007253C8" w:rsidP="007253C8" w:rsidRDefault="007253C8" w14:paraId="66BBFD2B" w14:textId="77777777">
      <w:pPr>
        <w:pStyle w:val="Standard"/>
      </w:pPr>
      <w:r w:rsidRPr="001915EE">
        <w:t>PCF opposes full cost recovery for SDG&amp;E’s requested SA&amp;F costs because PCF argues that SDG&amp;E included no quantification of ignitions reduced or avoided or any other risk reduction data that would enable an assessment of the  program’s cost-effectiveness.</w:t>
      </w:r>
      <w:r w:rsidRPr="001915EE">
        <w:rPr>
          <w:vertAlign w:val="superscript"/>
        </w:rPr>
        <w:footnoteReference w:id="202"/>
      </w:r>
      <w:r w:rsidRPr="001915EE">
        <w:t xml:space="preserve"> However, PCF </w:t>
      </w:r>
      <w:r>
        <w:t>does not</w:t>
      </w:r>
      <w:r w:rsidRPr="001915EE">
        <w:t xml:space="preserve"> acknowledge the benefit of any SA&amp;F activity that would reasonably be necessary to gather data needed to conduct operations and forecast critical activities. Nor does PCF recommend reasonable reductions or a methodology for determining any such reductions. No other intervenor comments on or contests SDG&amp;E</w:t>
      </w:r>
      <w:r w:rsidRPr="007650F2">
        <w:t>’</w:t>
      </w:r>
      <w:r w:rsidRPr="001915EE">
        <w:t>s SA&amp;F costs for which SDG&amp;E requests recovery.</w:t>
      </w:r>
    </w:p>
    <w:p w:rsidRPr="00D3305D" w:rsidR="007253C8" w:rsidP="007253C8" w:rsidRDefault="007253C8" w14:paraId="54EC5654" w14:textId="55C886E1">
      <w:pPr>
        <w:pStyle w:val="Standard"/>
      </w:pPr>
      <w:r>
        <w:t xml:space="preserve">Although the </w:t>
      </w:r>
      <w:r w:rsidRPr="00ED0375">
        <w:t xml:space="preserve">budget categories used after 2018 are </w:t>
      </w:r>
      <w:r>
        <w:t xml:space="preserve">difficult to compare with those used </w:t>
      </w:r>
      <w:r w:rsidRPr="00ED0375">
        <w:t>before 2018</w:t>
      </w:r>
      <w:r>
        <w:t xml:space="preserve">, SDG&amp;E was able to identify amounts authorized for capital and O&amp;M SA&amp;F costs in the last GRC. The Commission recognizes that the need to develop the Fire Potential Index, develop the High-Performance SA&amp;F Computing Infrastructure, and expand the Fire Science and Climate Adaption Department </w:t>
      </w:r>
      <w:r w:rsidRPr="00D3305D">
        <w:t xml:space="preserve">arose since the last GRC </w:t>
      </w:r>
      <w:r>
        <w:t>(</w:t>
      </w:r>
      <w:r w:rsidRPr="00D3305D">
        <w:t xml:space="preserve">in response to the catastrophic </w:t>
      </w:r>
      <w:r w:rsidRPr="00D3305D">
        <w:lastRenderedPageBreak/>
        <w:t>California wildfires of 2017 and 2018</w:t>
      </w:r>
      <w:r w:rsidR="009A7B10">
        <w:t>,</w:t>
      </w:r>
      <w:r w:rsidRPr="00D3305D">
        <w:t xml:space="preserve"> and the </w:t>
      </w:r>
      <w:r>
        <w:t>2019 Wildfire Legislation).</w:t>
      </w:r>
      <w:r w:rsidRPr="00D3305D">
        <w:t xml:space="preserve"> Therefore, the Commission finds th</w:t>
      </w:r>
      <w:r>
        <w:t xml:space="preserve">ese </w:t>
      </w:r>
      <w:r w:rsidRPr="00D3305D">
        <w:t xml:space="preserve">requested </w:t>
      </w:r>
      <w:r>
        <w:t xml:space="preserve">additional </w:t>
      </w:r>
      <w:r w:rsidRPr="00D3305D">
        <w:t>cost</w:t>
      </w:r>
      <w:r>
        <w:t>s</w:t>
      </w:r>
      <w:r w:rsidRPr="00D3305D">
        <w:t xml:space="preserve"> to be incremental.</w:t>
      </w:r>
    </w:p>
    <w:p w:rsidR="007253C8" w:rsidP="007253C8" w:rsidRDefault="007253C8" w14:paraId="09B8AA16" w14:textId="5EFCE77D">
      <w:pPr>
        <w:pStyle w:val="Standard"/>
      </w:pPr>
      <w:r w:rsidRPr="00D3305D">
        <w:t xml:space="preserve">In light of the new legislative requirements for </w:t>
      </w:r>
      <w:r>
        <w:t xml:space="preserve">Situational Awareness </w:t>
      </w:r>
      <w:r w:rsidRPr="00D3305D">
        <w:t>specific to wildfire</w:t>
      </w:r>
      <w:r>
        <w:t xml:space="preserve"> mitigation, </w:t>
      </w:r>
      <w:r w:rsidRPr="00D3305D">
        <w:t>the Commission also finds SDG&amp;E</w:t>
      </w:r>
      <w:r w:rsidRPr="007650F2">
        <w:t>’</w:t>
      </w:r>
      <w:r w:rsidRPr="00D3305D">
        <w:t xml:space="preserve">s increase in </w:t>
      </w:r>
      <w:r>
        <w:t xml:space="preserve">costs documented above to be prudent and reasonable. PCF recommends reducing recovery of SA&amp;F costs because there is no link between these costs and avoided ignitions. This recommendation is </w:t>
      </w:r>
      <w:r w:rsidRPr="00D3305D">
        <w:t xml:space="preserve">without merit since </w:t>
      </w:r>
      <w:r>
        <w:t>SA&amp;F</w:t>
      </w:r>
      <w:r w:rsidRPr="00D3305D">
        <w:t xml:space="preserve"> activities </w:t>
      </w:r>
      <w:r w:rsidR="00DD4CE3">
        <w:t xml:space="preserve">that </w:t>
      </w:r>
      <w:r w:rsidRPr="00D3305D" w:rsidR="00DD4CE3">
        <w:t xml:space="preserve">concern post-ignition events </w:t>
      </w:r>
      <w:r w:rsidRPr="00D3305D">
        <w:t xml:space="preserve">are inherently future-oriented and are meant to mitigate the consequences </w:t>
      </w:r>
      <w:r>
        <w:t>after</w:t>
      </w:r>
      <w:r w:rsidRPr="00D3305D">
        <w:t xml:space="preserve"> a wildfire rather than prevent one. In other words, ignitions avoided have no bearing on </w:t>
      </w:r>
      <w:r>
        <w:t>SA&amp;F</w:t>
      </w:r>
      <w:r w:rsidRPr="00D3305D">
        <w:t>.</w:t>
      </w:r>
      <w:r w:rsidRPr="00D3305D">
        <w:rPr>
          <w:vertAlign w:val="superscript"/>
        </w:rPr>
        <w:footnoteReference w:id="203"/>
      </w:r>
      <w:r w:rsidRPr="00D3305D">
        <w:t xml:space="preserve"> Accordingly, the Commission approves cost recover</w:t>
      </w:r>
      <w:r>
        <w:t>y</w:t>
      </w:r>
      <w:r w:rsidRPr="00D3305D">
        <w:t xml:space="preserve"> for SDG&amp;E </w:t>
      </w:r>
      <w:r>
        <w:t xml:space="preserve">SA&amp;F </w:t>
      </w:r>
      <w:r w:rsidRPr="00D3305D">
        <w:t xml:space="preserve">in the amounts of </w:t>
      </w:r>
      <w:r w:rsidR="002247B2">
        <w:t>$</w:t>
      </w:r>
      <w:r w:rsidR="00F76AAE">
        <w:t>3.010</w:t>
      </w:r>
      <w:r w:rsidRPr="00D3305D">
        <w:t xml:space="preserve"> million for capital expenditures and </w:t>
      </w:r>
      <w:r w:rsidR="00F76AAE">
        <w:t>$1.854</w:t>
      </w:r>
      <w:r w:rsidRPr="00D3305D">
        <w:t xml:space="preserve"> million for O&amp;M costs</w:t>
      </w:r>
      <w:r>
        <w:t xml:space="preserve"> subject to direct cost reductions described in Section 13.</w:t>
      </w:r>
    </w:p>
    <w:p w:rsidR="007253C8" w:rsidP="00835392" w:rsidRDefault="007253C8" w14:paraId="0C61D21B" w14:textId="77777777">
      <w:pPr>
        <w:pStyle w:val="Heading1"/>
      </w:pPr>
      <w:bookmarkStart w:name="_Toc213312278" w:id="60"/>
      <w:r w:rsidRPr="009F3AAA">
        <w:t>Asset</w:t>
      </w:r>
      <w:r>
        <w:t xml:space="preserve"> </w:t>
      </w:r>
      <w:r w:rsidRPr="00142911">
        <w:t>Management</w:t>
      </w:r>
      <w:r>
        <w:t xml:space="preserve"> and Inspections</w:t>
      </w:r>
      <w:bookmarkEnd w:id="60"/>
    </w:p>
    <w:p w:rsidRPr="00C4647D" w:rsidR="007253C8" w:rsidP="007253C8" w:rsidRDefault="007253C8" w14:paraId="1FC60D8F" w14:textId="77777777">
      <w:pPr>
        <w:pStyle w:val="Standard"/>
      </w:pPr>
      <w:r w:rsidRPr="00C4647D">
        <w:t>SDG&amp;E’s asset management and inspection programs comprehensively inspect SDG&amp;E’s transmission and distribution electric lines</w:t>
      </w:r>
      <w:r>
        <w:t>.</w:t>
      </w:r>
      <w:r w:rsidRPr="00C4647D">
        <w:t xml:space="preserve"> These programs consist of separate programs for detailed inspections, visual patrols, infrared inspections, and other various specialty patrols, inspections, and assessments. Some inspections </w:t>
      </w:r>
      <w:r>
        <w:t xml:space="preserve">are required by General Order (GO) 95 while </w:t>
      </w:r>
      <w:r w:rsidRPr="00C4647D">
        <w:t>others</w:t>
      </w:r>
      <w:r w:rsidRPr="00C4647D" w:rsidDel="005466C9">
        <w:t xml:space="preserve"> </w:t>
      </w:r>
      <w:r>
        <w:t xml:space="preserve">inspect </w:t>
      </w:r>
      <w:r w:rsidRPr="00C4647D">
        <w:t>structures, attachments, and conductor spans</w:t>
      </w:r>
      <w:r w:rsidRPr="00C4647D" w:rsidDel="005466C9">
        <w:t xml:space="preserve"> </w:t>
      </w:r>
      <w:r w:rsidRPr="00C4647D">
        <w:t>to identify facilities and equipment that may not meet regulatory requirements</w:t>
      </w:r>
      <w:r w:rsidRPr="00C4647D" w:rsidDel="005466C9">
        <w:t>.</w:t>
      </w:r>
      <w:r w:rsidRPr="00C4647D">
        <w:rPr>
          <w:vertAlign w:val="superscript"/>
        </w:rPr>
        <w:footnoteReference w:id="204"/>
      </w:r>
      <w:r w:rsidRPr="00C4647D">
        <w:t xml:space="preserve"> The cost categories below include </w:t>
      </w:r>
      <w:r w:rsidRPr="00C4647D">
        <w:lastRenderedPageBreak/>
        <w:t xml:space="preserve">the costs of </w:t>
      </w:r>
      <w:r>
        <w:t xml:space="preserve">inspections as well as </w:t>
      </w:r>
      <w:r w:rsidRPr="00C4647D">
        <w:t>corrective work, such as pole replacements, resulting from each inspection program.</w:t>
      </w:r>
    </w:p>
    <w:p w:rsidRPr="00C4647D" w:rsidR="007253C8" w:rsidP="007253C8" w:rsidRDefault="007253C8" w14:paraId="0C02DFD3" w14:textId="77777777">
      <w:pPr>
        <w:pStyle w:val="Standard"/>
      </w:pPr>
      <w:r w:rsidRPr="00C4647D">
        <w:t>The Asset Management &amp; Inspections (</w:t>
      </w:r>
      <w:r>
        <w:t>AM&amp;I</w:t>
      </w:r>
      <w:r w:rsidRPr="00C4647D">
        <w:t xml:space="preserve">) budget category </w:t>
      </w:r>
      <w:r>
        <w:t>includes</w:t>
      </w:r>
      <w:r w:rsidRPr="00C4647D">
        <w:t xml:space="preserve"> eight initiatives:</w:t>
      </w:r>
    </w:p>
    <w:p w:rsidRPr="00C4647D" w:rsidR="007253C8" w:rsidP="00835392" w:rsidRDefault="007253C8" w14:paraId="65514FF5" w14:textId="77777777">
      <w:pPr>
        <w:pStyle w:val="ListNum"/>
        <w:ind w:right="2160"/>
      </w:pPr>
      <w:r w:rsidRPr="00C4647D">
        <w:t>Detailed Inspections of Distribution Equipment</w:t>
      </w:r>
      <w:r>
        <w:t xml:space="preserve"> </w:t>
      </w:r>
      <w:r w:rsidRPr="00C4647D">
        <w:t>(DIDE),</w:t>
      </w:r>
    </w:p>
    <w:p w:rsidRPr="00C4647D" w:rsidR="007253C8" w:rsidP="00835392" w:rsidRDefault="007253C8" w14:paraId="7B754D95" w14:textId="77777777">
      <w:pPr>
        <w:pStyle w:val="ListNum"/>
        <w:ind w:right="2160"/>
      </w:pPr>
      <w:r w:rsidRPr="00C4647D">
        <w:t xml:space="preserve">Detailed Inspections of Transmission Equipment (Distribution </w:t>
      </w:r>
      <w:proofErr w:type="spellStart"/>
      <w:r w:rsidRPr="00C4647D">
        <w:t>Underbuild</w:t>
      </w:r>
      <w:proofErr w:type="spellEnd"/>
      <w:r w:rsidRPr="00C4647D">
        <w:t>),</w:t>
      </w:r>
    </w:p>
    <w:p w:rsidRPr="00C4647D" w:rsidR="007253C8" w:rsidP="00835392" w:rsidRDefault="007253C8" w14:paraId="5E2E3654" w14:textId="77777777">
      <w:pPr>
        <w:pStyle w:val="ListNum"/>
        <w:ind w:right="2160"/>
      </w:pPr>
      <w:r w:rsidRPr="00C4647D">
        <w:t>Infrared Inspections of Distribution Infrastructure,</w:t>
      </w:r>
    </w:p>
    <w:p w:rsidRPr="00C4647D" w:rsidR="007253C8" w:rsidP="00835392" w:rsidRDefault="007253C8" w14:paraId="2DE70F41" w14:textId="77777777">
      <w:pPr>
        <w:pStyle w:val="ListNum"/>
        <w:ind w:right="2160"/>
      </w:pPr>
      <w:r w:rsidRPr="00C4647D">
        <w:t>Intrusive Pole Inspections,</w:t>
      </w:r>
    </w:p>
    <w:p w:rsidRPr="00C4647D" w:rsidR="007253C8" w:rsidP="00835392" w:rsidRDefault="007253C8" w14:paraId="1441092E" w14:textId="77777777">
      <w:pPr>
        <w:pStyle w:val="ListNum"/>
        <w:ind w:right="2160"/>
      </w:pPr>
      <w:r w:rsidRPr="00C4647D">
        <w:t>HFTD Tier 3 Inspections,</w:t>
      </w:r>
    </w:p>
    <w:p w:rsidRPr="00C4647D" w:rsidR="007253C8" w:rsidP="00835392" w:rsidRDefault="007253C8" w14:paraId="1E09F803" w14:textId="77777777">
      <w:pPr>
        <w:pStyle w:val="ListNum"/>
        <w:ind w:right="2160"/>
      </w:pPr>
      <w:r w:rsidRPr="00C4647D">
        <w:t>Drone Assessments of Distribution Infrastructure,</w:t>
      </w:r>
    </w:p>
    <w:p w:rsidRPr="00C4647D" w:rsidR="007253C8" w:rsidP="00835392" w:rsidRDefault="007253C8" w14:paraId="7F7C5DCF" w14:textId="77777777">
      <w:pPr>
        <w:pStyle w:val="ListNum"/>
        <w:ind w:right="2160"/>
      </w:pPr>
      <w:r w:rsidRPr="00C4647D">
        <w:t>Circuit Ownership, and</w:t>
      </w:r>
    </w:p>
    <w:p w:rsidRPr="00C4647D" w:rsidR="007253C8" w:rsidP="00835392" w:rsidRDefault="007253C8" w14:paraId="6127BC6B" w14:textId="77777777">
      <w:pPr>
        <w:pStyle w:val="ListNum"/>
        <w:ind w:right="2160"/>
      </w:pPr>
      <w:r w:rsidRPr="00C4647D">
        <w:t>Patrol Inspections of Distribution Equipment.</w:t>
      </w:r>
    </w:p>
    <w:p w:rsidR="007253C8" w:rsidP="007253C8" w:rsidRDefault="007253C8" w14:paraId="4C743634" w14:textId="77777777">
      <w:pPr>
        <w:pStyle w:val="Standard"/>
      </w:pPr>
      <w:r w:rsidRPr="00C4647D">
        <w:t>The Commission addresses individual programs in separate sections below, but as an overview we note that when SDG&amp;E initially imputed AM&amp;I capital authorization, it combined the imputed values for Patrol Inspections of Distribution Equipment, Intrusive Pole Inspections, and HFTD Tier 3 Inspections in the value provided for Detailed Inspections of Distribution Equipment. Later, in response to an ALJ ruling, SDG&amp;E provided separate values for imputed capital authorizations for the above categories, which the Commission finds to be reasonable and are shown in the table below.</w:t>
      </w:r>
      <w:r w:rsidRPr="00C4647D">
        <w:rPr>
          <w:vertAlign w:val="superscript"/>
        </w:rPr>
        <w:footnoteReference w:id="205"/>
      </w:r>
      <w:r w:rsidRPr="00C4647D">
        <w:t xml:space="preserve"> The total capital authorization among these </w:t>
      </w:r>
      <w:r>
        <w:t xml:space="preserve">three </w:t>
      </w:r>
      <w:r w:rsidRPr="00C4647D">
        <w:t>AM&amp;I initiatives remain</w:t>
      </w:r>
      <w:r>
        <w:t>ed</w:t>
      </w:r>
      <w:r w:rsidRPr="00C4647D">
        <w:t xml:space="preserve"> unchanged.</w:t>
      </w:r>
    </w:p>
    <w:p w:rsidRPr="00C4647D" w:rsidR="007253C8" w:rsidP="007253C8" w:rsidRDefault="007253C8" w14:paraId="215040DC" w14:textId="77777777">
      <w:pPr>
        <w:pStyle w:val="Standard"/>
      </w:pPr>
      <w:r>
        <w:t xml:space="preserve"> </w:t>
      </w:r>
      <w:r w:rsidRPr="00C4647D">
        <w:t xml:space="preserve">The updated authorizations, actual recorded costs, the differential cost for capital expenditures, and O&amp;M for each AM&amp;I cost is shown in the table below, </w:t>
      </w:r>
      <w:r>
        <w:lastRenderedPageBreak/>
        <w:t>(</w:t>
      </w:r>
      <w:r w:rsidRPr="00C4647D">
        <w:t>including O&amp;M authorizations for which there is no change</w:t>
      </w:r>
      <w:r>
        <w:t>) in order to provide necessary background before exploring individual initiatives</w:t>
      </w:r>
      <w:r w:rsidRPr="00C4647D">
        <w:t>.</w:t>
      </w:r>
      <w:r w:rsidRPr="00C4647D">
        <w:rPr>
          <w:vertAlign w:val="superscript"/>
        </w:rPr>
        <w:footnoteReference w:id="206"/>
      </w:r>
    </w:p>
    <w:p w:rsidRPr="00316906" w:rsidR="007253C8" w:rsidP="007253C8" w:rsidRDefault="007253C8" w14:paraId="6AC1A96E" w14:textId="77777777">
      <w:pPr>
        <w:pStyle w:val="Standard"/>
        <w:ind w:firstLine="0"/>
        <w:jc w:val="center"/>
        <w:rPr>
          <w:b/>
          <w:bCs/>
        </w:rPr>
      </w:pPr>
      <w:r w:rsidRPr="00316906">
        <w:rPr>
          <w:b/>
        </w:rPr>
        <w:t>Table 7.B.</w:t>
      </w:r>
    </w:p>
    <w:p w:rsidRPr="00316906" w:rsidR="007253C8" w:rsidP="007253C8" w:rsidRDefault="007253C8" w14:paraId="228DCC2F" w14:textId="77777777">
      <w:pPr>
        <w:pStyle w:val="Standard"/>
        <w:ind w:firstLine="0"/>
        <w:jc w:val="center"/>
        <w:rPr>
          <w:b/>
        </w:rPr>
      </w:pPr>
      <w:r w:rsidRPr="00316906">
        <w:rPr>
          <w:b/>
        </w:rPr>
        <w:t>Asset Management and Inspections Costs 2019–2022 Totals ($000)</w:t>
      </w:r>
    </w:p>
    <w:tbl>
      <w:tblPr>
        <w:tblW w:w="5131" w:type="pct"/>
        <w:tblInd w:w="-185" w:type="dxa"/>
        <w:tblLook w:val="04A0" w:firstRow="1" w:lastRow="0" w:firstColumn="1" w:lastColumn="0" w:noHBand="0" w:noVBand="1"/>
      </w:tblPr>
      <w:tblGrid>
        <w:gridCol w:w="1654"/>
        <w:gridCol w:w="1414"/>
        <w:gridCol w:w="1096"/>
        <w:gridCol w:w="1404"/>
        <w:gridCol w:w="1413"/>
        <w:gridCol w:w="1210"/>
        <w:gridCol w:w="1404"/>
      </w:tblGrid>
      <w:tr w:rsidRPr="000D4234" w:rsidR="007253C8" w:rsidTr="009F3AAA" w14:paraId="173F7873" w14:textId="77777777">
        <w:trPr>
          <w:trHeight w:val="360"/>
          <w:tblHeader/>
        </w:trPr>
        <w:tc>
          <w:tcPr>
            <w:tcW w:w="1759" w:type="dxa"/>
            <w:tcBorders>
              <w:top w:val="single" w:color="auto" w:sz="4" w:space="0"/>
              <w:left w:val="single" w:color="auto" w:sz="4" w:space="0"/>
              <w:bottom w:val="single" w:color="auto" w:sz="4" w:space="0"/>
              <w:right w:val="single" w:color="auto" w:sz="4" w:space="0"/>
            </w:tcBorders>
            <w:vAlign w:val="center"/>
            <w:hideMark/>
          </w:tcPr>
          <w:p w:rsidRPr="000D4234" w:rsidR="007253C8" w:rsidP="00301BD8" w:rsidRDefault="007253C8" w14:paraId="34DEFE24" w14:textId="77777777">
            <w:pPr>
              <w:pStyle w:val="TableText"/>
            </w:pPr>
            <w:r w:rsidRPr="000D4234">
              <w:t>Initiative</w:t>
            </w:r>
          </w:p>
        </w:tc>
        <w:tc>
          <w:tcPr>
            <w:tcW w:w="1503" w:type="dxa"/>
            <w:tcBorders>
              <w:top w:val="single" w:color="auto" w:sz="4" w:space="0"/>
              <w:left w:val="nil"/>
              <w:bottom w:val="single" w:color="auto" w:sz="4" w:space="0"/>
              <w:right w:val="single" w:color="auto" w:sz="4" w:space="0"/>
            </w:tcBorders>
            <w:vAlign w:val="center"/>
            <w:hideMark/>
          </w:tcPr>
          <w:p w:rsidRPr="000D4234" w:rsidR="007253C8" w:rsidP="00301BD8" w:rsidRDefault="007253C8" w14:paraId="69C88776" w14:textId="77777777">
            <w:pPr>
              <w:pStyle w:val="TableText"/>
            </w:pPr>
            <w:r w:rsidRPr="000D4234">
              <w:t>Authorized Capital</w:t>
            </w:r>
          </w:p>
        </w:tc>
        <w:tc>
          <w:tcPr>
            <w:tcW w:w="1164" w:type="dxa"/>
            <w:tcBorders>
              <w:top w:val="single" w:color="auto" w:sz="4" w:space="0"/>
              <w:left w:val="nil"/>
              <w:bottom w:val="single" w:color="auto" w:sz="4" w:space="0"/>
              <w:right w:val="single" w:color="auto" w:sz="4" w:space="0"/>
            </w:tcBorders>
            <w:vAlign w:val="center"/>
            <w:hideMark/>
          </w:tcPr>
          <w:p w:rsidRPr="000D4234" w:rsidR="007253C8" w:rsidP="00301BD8" w:rsidRDefault="007253C8" w14:paraId="4D01B8A5" w14:textId="77777777">
            <w:pPr>
              <w:pStyle w:val="TableText"/>
            </w:pPr>
            <w:r w:rsidRPr="000D4234">
              <w:t>Actual Capital</w:t>
            </w:r>
          </w:p>
        </w:tc>
        <w:tc>
          <w:tcPr>
            <w:tcW w:w="1493" w:type="dxa"/>
            <w:tcBorders>
              <w:top w:val="single" w:color="auto" w:sz="4" w:space="0"/>
              <w:left w:val="single" w:color="auto" w:sz="4" w:space="0"/>
              <w:bottom w:val="single" w:color="auto" w:sz="4" w:space="0"/>
              <w:right w:val="nil"/>
            </w:tcBorders>
            <w:vAlign w:val="center"/>
            <w:hideMark/>
          </w:tcPr>
          <w:p w:rsidRPr="000D4234" w:rsidR="007253C8" w:rsidP="00301BD8" w:rsidRDefault="007253C8" w14:paraId="561578AB" w14:textId="77777777">
            <w:pPr>
              <w:pStyle w:val="TableText"/>
            </w:pPr>
            <w:r w:rsidRPr="000D4234">
              <w:t>Differential Capital</w:t>
            </w:r>
          </w:p>
        </w:tc>
        <w:tc>
          <w:tcPr>
            <w:tcW w:w="1503" w:type="dxa"/>
            <w:tcBorders>
              <w:top w:val="single" w:color="auto" w:sz="4" w:space="0"/>
              <w:left w:val="double" w:color="auto" w:sz="6" w:space="0"/>
              <w:bottom w:val="single" w:color="auto" w:sz="4" w:space="0"/>
              <w:right w:val="single" w:color="auto" w:sz="4" w:space="0"/>
            </w:tcBorders>
            <w:vAlign w:val="center"/>
            <w:hideMark/>
          </w:tcPr>
          <w:p w:rsidRPr="000D4234" w:rsidR="007253C8" w:rsidP="00301BD8" w:rsidRDefault="007253C8" w14:paraId="10C31316" w14:textId="77777777">
            <w:pPr>
              <w:pStyle w:val="TableText"/>
            </w:pPr>
            <w:r w:rsidRPr="000D4234">
              <w:t>Authorized O&amp;M</w:t>
            </w:r>
          </w:p>
        </w:tc>
        <w:tc>
          <w:tcPr>
            <w:tcW w:w="1419" w:type="dxa"/>
            <w:tcBorders>
              <w:top w:val="single" w:color="auto" w:sz="4" w:space="0"/>
              <w:left w:val="nil"/>
              <w:bottom w:val="single" w:color="auto" w:sz="4" w:space="0"/>
              <w:right w:val="single" w:color="auto" w:sz="4" w:space="0"/>
            </w:tcBorders>
            <w:vAlign w:val="center"/>
            <w:hideMark/>
          </w:tcPr>
          <w:p w:rsidRPr="000D4234" w:rsidR="007253C8" w:rsidP="00301BD8" w:rsidRDefault="007253C8" w14:paraId="26BFFA1A" w14:textId="77777777">
            <w:pPr>
              <w:pStyle w:val="TableText"/>
            </w:pPr>
            <w:r w:rsidRPr="000D4234">
              <w:t>Actual O&amp;M</w:t>
            </w:r>
          </w:p>
        </w:tc>
        <w:tc>
          <w:tcPr>
            <w:tcW w:w="1493" w:type="dxa"/>
            <w:tcBorders>
              <w:top w:val="single" w:color="auto" w:sz="4" w:space="0"/>
              <w:left w:val="nil"/>
              <w:bottom w:val="single" w:color="auto" w:sz="4" w:space="0"/>
              <w:right w:val="single" w:color="auto" w:sz="4" w:space="0"/>
            </w:tcBorders>
            <w:vAlign w:val="center"/>
            <w:hideMark/>
          </w:tcPr>
          <w:p w:rsidRPr="000D4234" w:rsidR="007253C8" w:rsidP="00301BD8" w:rsidRDefault="007253C8" w14:paraId="2DEA7962" w14:textId="77777777">
            <w:pPr>
              <w:pStyle w:val="TableText"/>
            </w:pPr>
            <w:r w:rsidRPr="000D4234">
              <w:t>Differential O&amp;M</w:t>
            </w:r>
          </w:p>
        </w:tc>
      </w:tr>
      <w:tr w:rsidRPr="000D4234" w:rsidR="007253C8" w:rsidTr="009F3AAA" w14:paraId="6F55D44F" w14:textId="77777777">
        <w:trPr>
          <w:trHeight w:val="360"/>
        </w:trPr>
        <w:tc>
          <w:tcPr>
            <w:tcW w:w="1759" w:type="dxa"/>
            <w:tcBorders>
              <w:top w:val="nil"/>
              <w:left w:val="single" w:color="auto" w:sz="4" w:space="0"/>
              <w:bottom w:val="single" w:color="auto" w:sz="4" w:space="0"/>
              <w:right w:val="single" w:color="auto" w:sz="4" w:space="0"/>
            </w:tcBorders>
            <w:vAlign w:val="center"/>
            <w:hideMark/>
          </w:tcPr>
          <w:p w:rsidRPr="000D4234" w:rsidR="007253C8" w:rsidP="00301BD8" w:rsidRDefault="007253C8" w14:paraId="78FC9111" w14:textId="77777777">
            <w:pPr>
              <w:pStyle w:val="TableText"/>
            </w:pPr>
            <w:r w:rsidRPr="000D4234">
              <w:t>Detailed Inspections of Distribution Equipment</w:t>
            </w:r>
          </w:p>
        </w:tc>
        <w:tc>
          <w:tcPr>
            <w:tcW w:w="1503" w:type="dxa"/>
            <w:tcBorders>
              <w:top w:val="nil"/>
              <w:left w:val="nil"/>
              <w:bottom w:val="single" w:color="auto" w:sz="4" w:space="0"/>
              <w:right w:val="single" w:color="auto" w:sz="4" w:space="0"/>
            </w:tcBorders>
            <w:vAlign w:val="center"/>
            <w:hideMark/>
          </w:tcPr>
          <w:p w:rsidRPr="000D4234" w:rsidR="007253C8" w:rsidP="00301BD8" w:rsidRDefault="007253C8" w14:paraId="0C562959" w14:textId="77777777">
            <w:pPr>
              <w:pStyle w:val="TableText"/>
            </w:pPr>
            <w:r w:rsidRPr="000D4234">
              <w:t xml:space="preserve">$30,757 </w:t>
            </w:r>
          </w:p>
        </w:tc>
        <w:tc>
          <w:tcPr>
            <w:tcW w:w="1164" w:type="dxa"/>
            <w:tcBorders>
              <w:top w:val="nil"/>
              <w:left w:val="nil"/>
              <w:bottom w:val="single" w:color="auto" w:sz="4" w:space="0"/>
              <w:right w:val="single" w:color="auto" w:sz="4" w:space="0"/>
            </w:tcBorders>
            <w:vAlign w:val="center"/>
            <w:hideMark/>
          </w:tcPr>
          <w:p w:rsidRPr="000D4234" w:rsidR="007253C8" w:rsidP="00301BD8" w:rsidRDefault="007253C8" w14:paraId="607CEBA9" w14:textId="77777777">
            <w:pPr>
              <w:pStyle w:val="TableText"/>
            </w:pPr>
            <w:r w:rsidRPr="000D4234">
              <w:t xml:space="preserve">$37,139 </w:t>
            </w:r>
          </w:p>
        </w:tc>
        <w:tc>
          <w:tcPr>
            <w:tcW w:w="1493" w:type="dxa"/>
            <w:tcBorders>
              <w:top w:val="nil"/>
              <w:left w:val="single" w:color="auto" w:sz="4" w:space="0"/>
              <w:bottom w:val="single" w:color="auto" w:sz="4" w:space="0"/>
              <w:right w:val="nil"/>
            </w:tcBorders>
            <w:vAlign w:val="center"/>
            <w:hideMark/>
          </w:tcPr>
          <w:p w:rsidRPr="000D4234" w:rsidR="007253C8" w:rsidP="00301BD8" w:rsidRDefault="007253C8" w14:paraId="3369924E" w14:textId="77777777">
            <w:pPr>
              <w:pStyle w:val="TableText"/>
            </w:pPr>
            <w:r w:rsidRPr="000D4234">
              <w:t>$6,383</w:t>
            </w:r>
          </w:p>
        </w:tc>
        <w:tc>
          <w:tcPr>
            <w:tcW w:w="1503" w:type="dxa"/>
            <w:tcBorders>
              <w:top w:val="nil"/>
              <w:left w:val="double" w:color="auto" w:sz="6" w:space="0"/>
              <w:bottom w:val="single" w:color="auto" w:sz="4" w:space="0"/>
              <w:right w:val="single" w:color="auto" w:sz="4" w:space="0"/>
            </w:tcBorders>
            <w:vAlign w:val="center"/>
            <w:hideMark/>
          </w:tcPr>
          <w:p w:rsidRPr="000D4234" w:rsidR="007253C8" w:rsidP="00301BD8" w:rsidRDefault="007253C8" w14:paraId="741E80FE" w14:textId="77777777">
            <w:pPr>
              <w:pStyle w:val="TableText"/>
            </w:pPr>
            <w:r w:rsidRPr="000D4234">
              <w:t xml:space="preserve">$50,628 </w:t>
            </w:r>
          </w:p>
        </w:tc>
        <w:tc>
          <w:tcPr>
            <w:tcW w:w="1419" w:type="dxa"/>
            <w:tcBorders>
              <w:top w:val="nil"/>
              <w:left w:val="nil"/>
              <w:bottom w:val="single" w:color="auto" w:sz="4" w:space="0"/>
              <w:right w:val="single" w:color="auto" w:sz="4" w:space="0"/>
            </w:tcBorders>
            <w:vAlign w:val="center"/>
            <w:hideMark/>
          </w:tcPr>
          <w:p w:rsidRPr="000D4234" w:rsidR="007253C8" w:rsidP="00301BD8" w:rsidRDefault="007253C8" w14:paraId="51477520" w14:textId="77777777">
            <w:pPr>
              <w:pStyle w:val="TableText"/>
            </w:pPr>
            <w:r w:rsidRPr="000D4234">
              <w:t xml:space="preserve">$4,630 </w:t>
            </w:r>
          </w:p>
        </w:tc>
        <w:tc>
          <w:tcPr>
            <w:tcW w:w="1493" w:type="dxa"/>
            <w:tcBorders>
              <w:top w:val="nil"/>
              <w:left w:val="nil"/>
              <w:bottom w:val="single" w:color="auto" w:sz="4" w:space="0"/>
              <w:right w:val="single" w:color="auto" w:sz="4" w:space="0"/>
            </w:tcBorders>
            <w:vAlign w:val="center"/>
            <w:hideMark/>
          </w:tcPr>
          <w:p w:rsidRPr="000D4234" w:rsidR="007253C8" w:rsidP="00301BD8" w:rsidRDefault="007253C8" w14:paraId="3D653959" w14:textId="77777777">
            <w:pPr>
              <w:pStyle w:val="TableText"/>
            </w:pPr>
            <w:r w:rsidRPr="000D4234">
              <w:t>($45,998)</w:t>
            </w:r>
          </w:p>
        </w:tc>
      </w:tr>
      <w:tr w:rsidRPr="000D4234" w:rsidR="007253C8" w:rsidTr="009F3AAA" w14:paraId="7E27CCBC" w14:textId="77777777">
        <w:trPr>
          <w:trHeight w:val="360"/>
        </w:trPr>
        <w:tc>
          <w:tcPr>
            <w:tcW w:w="1759" w:type="dxa"/>
            <w:tcBorders>
              <w:top w:val="nil"/>
              <w:left w:val="single" w:color="auto" w:sz="4" w:space="0"/>
              <w:bottom w:val="single" w:color="auto" w:sz="4" w:space="0"/>
              <w:right w:val="single" w:color="auto" w:sz="4" w:space="0"/>
            </w:tcBorders>
            <w:vAlign w:val="center"/>
            <w:hideMark/>
          </w:tcPr>
          <w:p w:rsidRPr="000D4234" w:rsidR="007253C8" w:rsidP="00301BD8" w:rsidRDefault="007253C8" w14:paraId="4ABED7C1" w14:textId="77777777">
            <w:pPr>
              <w:pStyle w:val="TableText"/>
            </w:pPr>
            <w:r w:rsidRPr="000D4234">
              <w:t xml:space="preserve">Detailed Inspections of Transmission Equipment (Distribution </w:t>
            </w:r>
            <w:proofErr w:type="spellStart"/>
            <w:r w:rsidRPr="000D4234">
              <w:t>Underbuild</w:t>
            </w:r>
            <w:proofErr w:type="spellEnd"/>
            <w:r w:rsidRPr="000D4234">
              <w:t>)</w:t>
            </w:r>
          </w:p>
        </w:tc>
        <w:tc>
          <w:tcPr>
            <w:tcW w:w="1503" w:type="dxa"/>
            <w:tcBorders>
              <w:top w:val="nil"/>
              <w:left w:val="nil"/>
              <w:bottom w:val="single" w:color="auto" w:sz="4" w:space="0"/>
              <w:right w:val="single" w:color="auto" w:sz="4" w:space="0"/>
            </w:tcBorders>
            <w:vAlign w:val="center"/>
            <w:hideMark/>
          </w:tcPr>
          <w:p w:rsidRPr="000D4234" w:rsidR="007253C8" w:rsidP="00301BD8" w:rsidRDefault="007253C8" w14:paraId="1667E719" w14:textId="77777777">
            <w:pPr>
              <w:pStyle w:val="TableText"/>
            </w:pPr>
            <w:r w:rsidRPr="000D4234">
              <w:t xml:space="preserve">$2,369 </w:t>
            </w:r>
          </w:p>
        </w:tc>
        <w:tc>
          <w:tcPr>
            <w:tcW w:w="1164" w:type="dxa"/>
            <w:tcBorders>
              <w:top w:val="nil"/>
              <w:left w:val="nil"/>
              <w:bottom w:val="single" w:color="auto" w:sz="4" w:space="0"/>
              <w:right w:val="single" w:color="auto" w:sz="4" w:space="0"/>
            </w:tcBorders>
            <w:vAlign w:val="center"/>
            <w:hideMark/>
          </w:tcPr>
          <w:p w:rsidRPr="000D4234" w:rsidR="007253C8" w:rsidP="00301BD8" w:rsidRDefault="007253C8" w14:paraId="2B1977B6" w14:textId="77777777">
            <w:pPr>
              <w:pStyle w:val="TableText"/>
            </w:pPr>
            <w:r w:rsidRPr="000D4234">
              <w:rPr>
                <w:color w:val="000000" w:themeColor="text1"/>
              </w:rPr>
              <w:t xml:space="preserve">$2,594 </w:t>
            </w:r>
          </w:p>
        </w:tc>
        <w:tc>
          <w:tcPr>
            <w:tcW w:w="1493" w:type="dxa"/>
            <w:tcBorders>
              <w:top w:val="nil"/>
              <w:left w:val="single" w:color="auto" w:sz="4" w:space="0"/>
              <w:bottom w:val="single" w:color="auto" w:sz="4" w:space="0"/>
              <w:right w:val="nil"/>
            </w:tcBorders>
            <w:vAlign w:val="center"/>
            <w:hideMark/>
          </w:tcPr>
          <w:p w:rsidRPr="000D4234" w:rsidR="007253C8" w:rsidP="00301BD8" w:rsidRDefault="007253C8" w14:paraId="0B123B7D" w14:textId="77777777">
            <w:pPr>
              <w:pStyle w:val="TableText"/>
            </w:pPr>
            <w:r w:rsidRPr="000D4234">
              <w:t xml:space="preserve">$225 </w:t>
            </w:r>
          </w:p>
        </w:tc>
        <w:tc>
          <w:tcPr>
            <w:tcW w:w="1503" w:type="dxa"/>
            <w:tcBorders>
              <w:top w:val="nil"/>
              <w:left w:val="double" w:color="auto" w:sz="6" w:space="0"/>
              <w:bottom w:val="single" w:color="auto" w:sz="4" w:space="0"/>
              <w:right w:val="single" w:color="auto" w:sz="4" w:space="0"/>
            </w:tcBorders>
            <w:vAlign w:val="center"/>
            <w:hideMark/>
          </w:tcPr>
          <w:p w:rsidRPr="000D4234" w:rsidR="007253C8" w:rsidP="00301BD8" w:rsidRDefault="007253C8" w14:paraId="5580F0FE" w14:textId="77777777">
            <w:pPr>
              <w:pStyle w:val="TableText"/>
            </w:pPr>
            <w:r w:rsidRPr="000D4234">
              <w:t>-</w:t>
            </w:r>
          </w:p>
        </w:tc>
        <w:tc>
          <w:tcPr>
            <w:tcW w:w="1419" w:type="dxa"/>
            <w:tcBorders>
              <w:top w:val="nil"/>
              <w:left w:val="nil"/>
              <w:bottom w:val="single" w:color="auto" w:sz="4" w:space="0"/>
              <w:right w:val="single" w:color="auto" w:sz="4" w:space="0"/>
            </w:tcBorders>
            <w:vAlign w:val="center"/>
            <w:hideMark/>
          </w:tcPr>
          <w:p w:rsidRPr="000D4234" w:rsidR="007253C8" w:rsidP="00301BD8" w:rsidRDefault="007253C8" w14:paraId="4EAA1E28" w14:textId="77777777">
            <w:pPr>
              <w:pStyle w:val="TableText"/>
            </w:pPr>
            <w:r w:rsidRPr="000D4234">
              <w:t>-</w:t>
            </w:r>
          </w:p>
        </w:tc>
        <w:tc>
          <w:tcPr>
            <w:tcW w:w="1493" w:type="dxa"/>
            <w:tcBorders>
              <w:top w:val="nil"/>
              <w:left w:val="nil"/>
              <w:bottom w:val="single" w:color="auto" w:sz="4" w:space="0"/>
              <w:right w:val="single" w:color="auto" w:sz="4" w:space="0"/>
            </w:tcBorders>
            <w:vAlign w:val="center"/>
            <w:hideMark/>
          </w:tcPr>
          <w:p w:rsidRPr="000D4234" w:rsidR="007253C8" w:rsidP="00301BD8" w:rsidRDefault="007253C8" w14:paraId="6F53D539" w14:textId="77777777">
            <w:pPr>
              <w:pStyle w:val="TableText"/>
            </w:pPr>
            <w:r w:rsidRPr="000D4234">
              <w:t>-</w:t>
            </w:r>
          </w:p>
        </w:tc>
      </w:tr>
      <w:tr w:rsidRPr="000D4234" w:rsidR="007253C8" w:rsidTr="009F3AAA" w14:paraId="61AF0B6B" w14:textId="77777777">
        <w:trPr>
          <w:trHeight w:val="360"/>
        </w:trPr>
        <w:tc>
          <w:tcPr>
            <w:tcW w:w="1759" w:type="dxa"/>
            <w:tcBorders>
              <w:top w:val="nil"/>
              <w:left w:val="single" w:color="auto" w:sz="4" w:space="0"/>
              <w:bottom w:val="single" w:color="auto" w:sz="4" w:space="0"/>
              <w:right w:val="single" w:color="auto" w:sz="4" w:space="0"/>
            </w:tcBorders>
            <w:vAlign w:val="center"/>
            <w:hideMark/>
          </w:tcPr>
          <w:p w:rsidRPr="000D4234" w:rsidR="007253C8" w:rsidP="00301BD8" w:rsidRDefault="007253C8" w14:paraId="57E65131" w14:textId="77777777">
            <w:pPr>
              <w:pStyle w:val="TableText"/>
            </w:pPr>
            <w:r w:rsidRPr="000D4234">
              <w:t>Infrared Inspections of Distribution Infrastructure</w:t>
            </w:r>
          </w:p>
        </w:tc>
        <w:tc>
          <w:tcPr>
            <w:tcW w:w="1503" w:type="dxa"/>
            <w:tcBorders>
              <w:top w:val="nil"/>
              <w:left w:val="nil"/>
              <w:bottom w:val="single" w:color="auto" w:sz="4" w:space="0"/>
              <w:right w:val="single" w:color="auto" w:sz="4" w:space="0"/>
            </w:tcBorders>
            <w:vAlign w:val="center"/>
            <w:hideMark/>
          </w:tcPr>
          <w:p w:rsidRPr="000D4234" w:rsidR="007253C8" w:rsidP="00301BD8" w:rsidRDefault="007253C8" w14:paraId="39C5993F" w14:textId="77777777">
            <w:pPr>
              <w:pStyle w:val="TableText"/>
            </w:pPr>
            <w:r w:rsidRPr="000D4234">
              <w:t>-</w:t>
            </w:r>
          </w:p>
        </w:tc>
        <w:tc>
          <w:tcPr>
            <w:tcW w:w="1164" w:type="dxa"/>
            <w:tcBorders>
              <w:top w:val="nil"/>
              <w:left w:val="nil"/>
              <w:bottom w:val="single" w:color="auto" w:sz="4" w:space="0"/>
              <w:right w:val="single" w:color="auto" w:sz="4" w:space="0"/>
            </w:tcBorders>
            <w:vAlign w:val="center"/>
            <w:hideMark/>
          </w:tcPr>
          <w:p w:rsidRPr="000D4234" w:rsidR="007253C8" w:rsidP="00301BD8" w:rsidRDefault="007253C8" w14:paraId="6C94D48F" w14:textId="77777777">
            <w:pPr>
              <w:pStyle w:val="TableText"/>
            </w:pPr>
            <w:r w:rsidRPr="000D4234">
              <w:t>-</w:t>
            </w:r>
          </w:p>
        </w:tc>
        <w:tc>
          <w:tcPr>
            <w:tcW w:w="1493" w:type="dxa"/>
            <w:tcBorders>
              <w:top w:val="nil"/>
              <w:left w:val="single" w:color="auto" w:sz="4" w:space="0"/>
              <w:bottom w:val="single" w:color="auto" w:sz="4" w:space="0"/>
              <w:right w:val="nil"/>
            </w:tcBorders>
            <w:vAlign w:val="center"/>
            <w:hideMark/>
          </w:tcPr>
          <w:p w:rsidRPr="000D4234" w:rsidR="007253C8" w:rsidP="00301BD8" w:rsidRDefault="007253C8" w14:paraId="24AB6784" w14:textId="77777777">
            <w:pPr>
              <w:pStyle w:val="TableText"/>
            </w:pPr>
            <w:r w:rsidRPr="000D4234">
              <w:t>-</w:t>
            </w:r>
          </w:p>
        </w:tc>
        <w:tc>
          <w:tcPr>
            <w:tcW w:w="1503" w:type="dxa"/>
            <w:tcBorders>
              <w:top w:val="nil"/>
              <w:left w:val="double" w:color="auto" w:sz="6" w:space="0"/>
              <w:bottom w:val="single" w:color="auto" w:sz="4" w:space="0"/>
              <w:right w:val="single" w:color="auto" w:sz="4" w:space="0"/>
            </w:tcBorders>
            <w:vAlign w:val="center"/>
            <w:hideMark/>
          </w:tcPr>
          <w:p w:rsidRPr="000D4234" w:rsidR="007253C8" w:rsidP="00301BD8" w:rsidRDefault="007253C8" w14:paraId="5EAEE647" w14:textId="77777777">
            <w:pPr>
              <w:pStyle w:val="TableText"/>
            </w:pPr>
            <w:r w:rsidRPr="000D4234">
              <w:t>-</w:t>
            </w:r>
          </w:p>
        </w:tc>
        <w:tc>
          <w:tcPr>
            <w:tcW w:w="1419" w:type="dxa"/>
            <w:tcBorders>
              <w:top w:val="nil"/>
              <w:left w:val="nil"/>
              <w:bottom w:val="single" w:color="auto" w:sz="4" w:space="0"/>
              <w:right w:val="single" w:color="auto" w:sz="4" w:space="0"/>
            </w:tcBorders>
            <w:vAlign w:val="center"/>
            <w:hideMark/>
          </w:tcPr>
          <w:p w:rsidRPr="000D4234" w:rsidR="007253C8" w:rsidP="00301BD8" w:rsidRDefault="007253C8" w14:paraId="76C51BE3" w14:textId="77777777">
            <w:pPr>
              <w:pStyle w:val="TableText"/>
            </w:pPr>
            <w:r w:rsidRPr="000D4234">
              <w:t xml:space="preserve">$577 </w:t>
            </w:r>
          </w:p>
        </w:tc>
        <w:tc>
          <w:tcPr>
            <w:tcW w:w="1493" w:type="dxa"/>
            <w:tcBorders>
              <w:top w:val="nil"/>
              <w:left w:val="nil"/>
              <w:bottom w:val="single" w:color="auto" w:sz="4" w:space="0"/>
              <w:right w:val="single" w:color="auto" w:sz="4" w:space="0"/>
            </w:tcBorders>
            <w:vAlign w:val="center"/>
            <w:hideMark/>
          </w:tcPr>
          <w:p w:rsidRPr="000D4234" w:rsidR="007253C8" w:rsidP="00301BD8" w:rsidRDefault="007253C8" w14:paraId="02CBDB77" w14:textId="77777777">
            <w:pPr>
              <w:pStyle w:val="TableText"/>
            </w:pPr>
            <w:r w:rsidRPr="000D4234">
              <w:t xml:space="preserve">$577 </w:t>
            </w:r>
          </w:p>
        </w:tc>
      </w:tr>
      <w:tr w:rsidRPr="000D4234" w:rsidR="007253C8" w:rsidTr="009F3AAA" w14:paraId="470E3E3C" w14:textId="77777777">
        <w:trPr>
          <w:trHeight w:val="360"/>
        </w:trPr>
        <w:tc>
          <w:tcPr>
            <w:tcW w:w="1759" w:type="dxa"/>
            <w:tcBorders>
              <w:top w:val="nil"/>
              <w:left w:val="single" w:color="auto" w:sz="4" w:space="0"/>
              <w:bottom w:val="single" w:color="auto" w:sz="4" w:space="0"/>
              <w:right w:val="single" w:color="auto" w:sz="4" w:space="0"/>
            </w:tcBorders>
            <w:vAlign w:val="center"/>
            <w:hideMark/>
          </w:tcPr>
          <w:p w:rsidRPr="000D4234" w:rsidR="007253C8" w:rsidP="00301BD8" w:rsidRDefault="007253C8" w14:paraId="1355E1A4" w14:textId="77777777">
            <w:pPr>
              <w:pStyle w:val="TableText"/>
            </w:pPr>
            <w:r w:rsidRPr="000D4234">
              <w:t>Intrusive Pole Inspections</w:t>
            </w:r>
          </w:p>
        </w:tc>
        <w:tc>
          <w:tcPr>
            <w:tcW w:w="1503" w:type="dxa"/>
            <w:tcBorders>
              <w:top w:val="nil"/>
              <w:left w:val="nil"/>
              <w:bottom w:val="single" w:color="auto" w:sz="4" w:space="0"/>
              <w:right w:val="single" w:color="auto" w:sz="4" w:space="0"/>
            </w:tcBorders>
            <w:vAlign w:val="center"/>
            <w:hideMark/>
          </w:tcPr>
          <w:p w:rsidRPr="000D4234" w:rsidR="007253C8" w:rsidP="00301BD8" w:rsidRDefault="007253C8" w14:paraId="60BE0BEB" w14:textId="77777777">
            <w:pPr>
              <w:pStyle w:val="TableText"/>
            </w:pPr>
            <w:r w:rsidRPr="000D4234">
              <w:t>$3,028</w:t>
            </w:r>
          </w:p>
        </w:tc>
        <w:tc>
          <w:tcPr>
            <w:tcW w:w="1164" w:type="dxa"/>
            <w:tcBorders>
              <w:top w:val="nil"/>
              <w:left w:val="nil"/>
              <w:bottom w:val="single" w:color="auto" w:sz="4" w:space="0"/>
              <w:right w:val="single" w:color="auto" w:sz="4" w:space="0"/>
            </w:tcBorders>
            <w:vAlign w:val="center"/>
            <w:hideMark/>
          </w:tcPr>
          <w:p w:rsidRPr="000D4234" w:rsidR="007253C8" w:rsidP="00301BD8" w:rsidRDefault="007253C8" w14:paraId="75DC312D" w14:textId="77777777">
            <w:pPr>
              <w:pStyle w:val="TableText"/>
            </w:pPr>
            <w:r w:rsidRPr="000D4234">
              <w:t xml:space="preserve">$5,092 </w:t>
            </w:r>
          </w:p>
        </w:tc>
        <w:tc>
          <w:tcPr>
            <w:tcW w:w="1493" w:type="dxa"/>
            <w:tcBorders>
              <w:top w:val="nil"/>
              <w:left w:val="single" w:color="auto" w:sz="4" w:space="0"/>
              <w:bottom w:val="single" w:color="auto" w:sz="4" w:space="0"/>
              <w:right w:val="nil"/>
            </w:tcBorders>
            <w:vAlign w:val="center"/>
            <w:hideMark/>
          </w:tcPr>
          <w:p w:rsidRPr="000D4234" w:rsidR="007253C8" w:rsidP="00301BD8" w:rsidRDefault="007253C8" w14:paraId="1B578063" w14:textId="77777777">
            <w:pPr>
              <w:pStyle w:val="TableText"/>
            </w:pPr>
            <w:r w:rsidRPr="000D4234">
              <w:t xml:space="preserve">$2,064 </w:t>
            </w:r>
          </w:p>
        </w:tc>
        <w:tc>
          <w:tcPr>
            <w:tcW w:w="1503" w:type="dxa"/>
            <w:tcBorders>
              <w:top w:val="nil"/>
              <w:left w:val="double" w:color="auto" w:sz="6" w:space="0"/>
              <w:bottom w:val="single" w:color="auto" w:sz="4" w:space="0"/>
              <w:right w:val="single" w:color="auto" w:sz="4" w:space="0"/>
            </w:tcBorders>
            <w:vAlign w:val="center"/>
            <w:hideMark/>
          </w:tcPr>
          <w:p w:rsidRPr="000D4234" w:rsidR="007253C8" w:rsidP="00301BD8" w:rsidRDefault="007253C8" w14:paraId="06E52551" w14:textId="77777777">
            <w:pPr>
              <w:pStyle w:val="TableText"/>
            </w:pPr>
            <w:r w:rsidRPr="000D4234">
              <w:t>-</w:t>
            </w:r>
          </w:p>
        </w:tc>
        <w:tc>
          <w:tcPr>
            <w:tcW w:w="1419" w:type="dxa"/>
            <w:tcBorders>
              <w:top w:val="nil"/>
              <w:left w:val="nil"/>
              <w:bottom w:val="single" w:color="auto" w:sz="4" w:space="0"/>
              <w:right w:val="single" w:color="auto" w:sz="4" w:space="0"/>
            </w:tcBorders>
            <w:vAlign w:val="center"/>
            <w:hideMark/>
          </w:tcPr>
          <w:p w:rsidRPr="000D4234" w:rsidR="007253C8" w:rsidP="00301BD8" w:rsidRDefault="007253C8" w14:paraId="1FD5559E" w14:textId="77777777">
            <w:pPr>
              <w:pStyle w:val="TableText"/>
            </w:pPr>
            <w:r w:rsidRPr="000D4234">
              <w:t xml:space="preserve">$2,987 </w:t>
            </w:r>
          </w:p>
        </w:tc>
        <w:tc>
          <w:tcPr>
            <w:tcW w:w="1493" w:type="dxa"/>
            <w:tcBorders>
              <w:top w:val="nil"/>
              <w:left w:val="nil"/>
              <w:bottom w:val="single" w:color="auto" w:sz="4" w:space="0"/>
              <w:right w:val="single" w:color="auto" w:sz="4" w:space="0"/>
            </w:tcBorders>
            <w:vAlign w:val="center"/>
            <w:hideMark/>
          </w:tcPr>
          <w:p w:rsidRPr="000D4234" w:rsidR="007253C8" w:rsidP="00301BD8" w:rsidRDefault="007253C8" w14:paraId="564242EC" w14:textId="77777777">
            <w:pPr>
              <w:pStyle w:val="TableText"/>
            </w:pPr>
            <w:r w:rsidRPr="000D4234">
              <w:t xml:space="preserve">$2,987 </w:t>
            </w:r>
          </w:p>
        </w:tc>
      </w:tr>
      <w:tr w:rsidRPr="000D4234" w:rsidR="007253C8" w:rsidTr="009F3AAA" w14:paraId="24811799" w14:textId="77777777">
        <w:trPr>
          <w:trHeight w:val="360"/>
        </w:trPr>
        <w:tc>
          <w:tcPr>
            <w:tcW w:w="1759" w:type="dxa"/>
            <w:tcBorders>
              <w:top w:val="nil"/>
              <w:left w:val="single" w:color="auto" w:sz="4" w:space="0"/>
              <w:bottom w:val="single" w:color="auto" w:sz="4" w:space="0"/>
              <w:right w:val="single" w:color="auto" w:sz="4" w:space="0"/>
            </w:tcBorders>
            <w:vAlign w:val="center"/>
            <w:hideMark/>
          </w:tcPr>
          <w:p w:rsidRPr="000D4234" w:rsidR="007253C8" w:rsidP="00301BD8" w:rsidRDefault="007253C8" w14:paraId="08767039" w14:textId="77777777">
            <w:pPr>
              <w:pStyle w:val="TableText"/>
            </w:pPr>
            <w:r w:rsidRPr="000D4234">
              <w:t>HFTD Tier 3 Inspections</w:t>
            </w:r>
          </w:p>
        </w:tc>
        <w:tc>
          <w:tcPr>
            <w:tcW w:w="1503" w:type="dxa"/>
            <w:tcBorders>
              <w:top w:val="nil"/>
              <w:left w:val="nil"/>
              <w:bottom w:val="single" w:color="auto" w:sz="4" w:space="0"/>
              <w:right w:val="single" w:color="auto" w:sz="4" w:space="0"/>
            </w:tcBorders>
            <w:vAlign w:val="center"/>
            <w:hideMark/>
          </w:tcPr>
          <w:p w:rsidRPr="000D4234" w:rsidR="007253C8" w:rsidP="00301BD8" w:rsidRDefault="007253C8" w14:paraId="42BBE7D0" w14:textId="77777777">
            <w:pPr>
              <w:pStyle w:val="TableText"/>
            </w:pPr>
            <w:r w:rsidRPr="000D4234">
              <w:t>$5,848</w:t>
            </w:r>
          </w:p>
        </w:tc>
        <w:tc>
          <w:tcPr>
            <w:tcW w:w="1164" w:type="dxa"/>
            <w:tcBorders>
              <w:top w:val="nil"/>
              <w:left w:val="nil"/>
              <w:bottom w:val="single" w:color="auto" w:sz="4" w:space="0"/>
              <w:right w:val="single" w:color="auto" w:sz="4" w:space="0"/>
            </w:tcBorders>
            <w:vAlign w:val="center"/>
            <w:hideMark/>
          </w:tcPr>
          <w:p w:rsidRPr="000D4234" w:rsidR="007253C8" w:rsidP="00301BD8" w:rsidRDefault="007253C8" w14:paraId="3DB8FDBD" w14:textId="77777777">
            <w:pPr>
              <w:pStyle w:val="TableText"/>
            </w:pPr>
            <w:r w:rsidRPr="000D4234">
              <w:t xml:space="preserve">$8,959 </w:t>
            </w:r>
          </w:p>
        </w:tc>
        <w:tc>
          <w:tcPr>
            <w:tcW w:w="1493" w:type="dxa"/>
            <w:tcBorders>
              <w:top w:val="nil"/>
              <w:left w:val="single" w:color="auto" w:sz="4" w:space="0"/>
              <w:bottom w:val="single" w:color="auto" w:sz="4" w:space="0"/>
              <w:right w:val="nil"/>
            </w:tcBorders>
            <w:vAlign w:val="center"/>
            <w:hideMark/>
          </w:tcPr>
          <w:p w:rsidRPr="000D4234" w:rsidR="007253C8" w:rsidP="00301BD8" w:rsidRDefault="007253C8" w14:paraId="7CEB1A11" w14:textId="77777777">
            <w:pPr>
              <w:pStyle w:val="TableText"/>
            </w:pPr>
            <w:r w:rsidRPr="000D4234">
              <w:t xml:space="preserve">$3,111 </w:t>
            </w:r>
          </w:p>
        </w:tc>
        <w:tc>
          <w:tcPr>
            <w:tcW w:w="1503" w:type="dxa"/>
            <w:tcBorders>
              <w:top w:val="nil"/>
              <w:left w:val="double" w:color="auto" w:sz="6" w:space="0"/>
              <w:bottom w:val="single" w:color="auto" w:sz="4" w:space="0"/>
              <w:right w:val="single" w:color="auto" w:sz="4" w:space="0"/>
            </w:tcBorders>
            <w:vAlign w:val="center"/>
            <w:hideMark/>
          </w:tcPr>
          <w:p w:rsidRPr="000D4234" w:rsidR="007253C8" w:rsidP="00301BD8" w:rsidRDefault="007253C8" w14:paraId="6253F948" w14:textId="77777777">
            <w:pPr>
              <w:pStyle w:val="TableText"/>
            </w:pPr>
            <w:r w:rsidRPr="000D4234">
              <w:t>-</w:t>
            </w:r>
          </w:p>
        </w:tc>
        <w:tc>
          <w:tcPr>
            <w:tcW w:w="1419" w:type="dxa"/>
            <w:tcBorders>
              <w:top w:val="nil"/>
              <w:left w:val="nil"/>
              <w:bottom w:val="single" w:color="auto" w:sz="4" w:space="0"/>
              <w:right w:val="single" w:color="auto" w:sz="4" w:space="0"/>
            </w:tcBorders>
            <w:vAlign w:val="center"/>
            <w:hideMark/>
          </w:tcPr>
          <w:p w:rsidRPr="000D4234" w:rsidR="007253C8" w:rsidP="00301BD8" w:rsidRDefault="007253C8" w14:paraId="4A8F29C7" w14:textId="77777777">
            <w:pPr>
              <w:pStyle w:val="TableText"/>
            </w:pPr>
            <w:r w:rsidRPr="000D4234">
              <w:t>-</w:t>
            </w:r>
          </w:p>
        </w:tc>
        <w:tc>
          <w:tcPr>
            <w:tcW w:w="1493" w:type="dxa"/>
            <w:tcBorders>
              <w:top w:val="nil"/>
              <w:left w:val="nil"/>
              <w:bottom w:val="single" w:color="auto" w:sz="4" w:space="0"/>
              <w:right w:val="single" w:color="auto" w:sz="4" w:space="0"/>
            </w:tcBorders>
            <w:vAlign w:val="center"/>
            <w:hideMark/>
          </w:tcPr>
          <w:p w:rsidRPr="000D4234" w:rsidR="007253C8" w:rsidP="00301BD8" w:rsidRDefault="007253C8" w14:paraId="7142A356" w14:textId="77777777">
            <w:pPr>
              <w:pStyle w:val="TableText"/>
            </w:pPr>
            <w:r w:rsidRPr="000D4234">
              <w:t>-</w:t>
            </w:r>
          </w:p>
        </w:tc>
      </w:tr>
      <w:tr w:rsidRPr="000D4234" w:rsidR="007253C8" w:rsidTr="009F3AAA" w14:paraId="050CC722" w14:textId="77777777">
        <w:trPr>
          <w:trHeight w:val="360"/>
        </w:trPr>
        <w:tc>
          <w:tcPr>
            <w:tcW w:w="1759" w:type="dxa"/>
            <w:tcBorders>
              <w:top w:val="nil"/>
              <w:left w:val="single" w:color="auto" w:sz="4" w:space="0"/>
              <w:bottom w:val="single" w:color="auto" w:sz="4" w:space="0"/>
              <w:right w:val="single" w:color="auto" w:sz="4" w:space="0"/>
            </w:tcBorders>
            <w:vAlign w:val="center"/>
            <w:hideMark/>
          </w:tcPr>
          <w:p w:rsidRPr="000D4234" w:rsidR="007253C8" w:rsidP="00301BD8" w:rsidRDefault="007253C8" w14:paraId="07731E14" w14:textId="77777777">
            <w:pPr>
              <w:pStyle w:val="TableText"/>
            </w:pPr>
            <w:r w:rsidRPr="000D4234">
              <w:t>Drone Assessments of Distribution Infrastructure</w:t>
            </w:r>
          </w:p>
        </w:tc>
        <w:tc>
          <w:tcPr>
            <w:tcW w:w="1503" w:type="dxa"/>
            <w:tcBorders>
              <w:top w:val="nil"/>
              <w:left w:val="nil"/>
              <w:bottom w:val="single" w:color="auto" w:sz="4" w:space="0"/>
              <w:right w:val="single" w:color="auto" w:sz="4" w:space="0"/>
            </w:tcBorders>
            <w:vAlign w:val="center"/>
            <w:hideMark/>
          </w:tcPr>
          <w:p w:rsidRPr="000D4234" w:rsidR="007253C8" w:rsidP="00301BD8" w:rsidRDefault="007253C8" w14:paraId="6655A268" w14:textId="77777777">
            <w:pPr>
              <w:pStyle w:val="TableText"/>
            </w:pPr>
            <w:r w:rsidRPr="000D4234">
              <w:t>-</w:t>
            </w:r>
          </w:p>
        </w:tc>
        <w:tc>
          <w:tcPr>
            <w:tcW w:w="1164" w:type="dxa"/>
            <w:tcBorders>
              <w:top w:val="nil"/>
              <w:left w:val="nil"/>
              <w:bottom w:val="single" w:color="auto" w:sz="4" w:space="0"/>
              <w:right w:val="single" w:color="auto" w:sz="4" w:space="0"/>
            </w:tcBorders>
            <w:vAlign w:val="center"/>
            <w:hideMark/>
          </w:tcPr>
          <w:p w:rsidRPr="000D4234" w:rsidR="007253C8" w:rsidP="00301BD8" w:rsidRDefault="007253C8" w14:paraId="7E445202" w14:textId="77777777">
            <w:pPr>
              <w:pStyle w:val="TableText"/>
            </w:pPr>
            <w:r w:rsidRPr="000D4234">
              <w:t xml:space="preserve">$80,809 </w:t>
            </w:r>
          </w:p>
        </w:tc>
        <w:tc>
          <w:tcPr>
            <w:tcW w:w="1493" w:type="dxa"/>
            <w:tcBorders>
              <w:top w:val="nil"/>
              <w:left w:val="single" w:color="auto" w:sz="4" w:space="0"/>
              <w:bottom w:val="single" w:color="auto" w:sz="4" w:space="0"/>
              <w:right w:val="nil"/>
            </w:tcBorders>
            <w:vAlign w:val="center"/>
            <w:hideMark/>
          </w:tcPr>
          <w:p w:rsidRPr="000D4234" w:rsidR="007253C8" w:rsidP="00301BD8" w:rsidRDefault="007253C8" w14:paraId="1E0B1BF4" w14:textId="77777777">
            <w:pPr>
              <w:pStyle w:val="TableText"/>
            </w:pPr>
            <w:r w:rsidRPr="000D4234">
              <w:t xml:space="preserve">$80,809 </w:t>
            </w:r>
          </w:p>
        </w:tc>
        <w:tc>
          <w:tcPr>
            <w:tcW w:w="1503" w:type="dxa"/>
            <w:tcBorders>
              <w:top w:val="nil"/>
              <w:left w:val="double" w:color="auto" w:sz="6" w:space="0"/>
              <w:bottom w:val="single" w:color="auto" w:sz="4" w:space="0"/>
              <w:right w:val="single" w:color="auto" w:sz="4" w:space="0"/>
            </w:tcBorders>
            <w:vAlign w:val="center"/>
            <w:hideMark/>
          </w:tcPr>
          <w:p w:rsidRPr="000D4234" w:rsidR="007253C8" w:rsidP="00301BD8" w:rsidRDefault="007253C8" w14:paraId="2B3C119F" w14:textId="77777777">
            <w:pPr>
              <w:pStyle w:val="TableText"/>
            </w:pPr>
            <w:r w:rsidRPr="000D4234">
              <w:t>-</w:t>
            </w:r>
          </w:p>
        </w:tc>
        <w:tc>
          <w:tcPr>
            <w:tcW w:w="1419" w:type="dxa"/>
            <w:tcBorders>
              <w:top w:val="nil"/>
              <w:left w:val="nil"/>
              <w:bottom w:val="single" w:color="auto" w:sz="4" w:space="0"/>
              <w:right w:val="single" w:color="auto" w:sz="4" w:space="0"/>
            </w:tcBorders>
            <w:vAlign w:val="center"/>
            <w:hideMark/>
          </w:tcPr>
          <w:p w:rsidRPr="000D4234" w:rsidR="007253C8" w:rsidP="00301BD8" w:rsidRDefault="007253C8" w14:paraId="3A7CBA28" w14:textId="77777777">
            <w:pPr>
              <w:pStyle w:val="TableText"/>
            </w:pPr>
            <w:r w:rsidRPr="000D4234">
              <w:t xml:space="preserve">$137,446 </w:t>
            </w:r>
          </w:p>
        </w:tc>
        <w:tc>
          <w:tcPr>
            <w:tcW w:w="1493" w:type="dxa"/>
            <w:tcBorders>
              <w:top w:val="nil"/>
              <w:left w:val="nil"/>
              <w:bottom w:val="single" w:color="auto" w:sz="4" w:space="0"/>
              <w:right w:val="single" w:color="auto" w:sz="4" w:space="0"/>
            </w:tcBorders>
            <w:vAlign w:val="center"/>
            <w:hideMark/>
          </w:tcPr>
          <w:p w:rsidRPr="000D4234" w:rsidR="007253C8" w:rsidP="00301BD8" w:rsidRDefault="007253C8" w14:paraId="5DFE6F9D" w14:textId="77777777">
            <w:pPr>
              <w:pStyle w:val="TableText"/>
            </w:pPr>
            <w:r w:rsidRPr="000D4234">
              <w:t xml:space="preserve">$137,446 </w:t>
            </w:r>
          </w:p>
        </w:tc>
      </w:tr>
      <w:tr w:rsidRPr="000D4234" w:rsidR="007253C8" w:rsidTr="009F3AAA" w14:paraId="692327CD" w14:textId="77777777">
        <w:trPr>
          <w:trHeight w:val="360"/>
        </w:trPr>
        <w:tc>
          <w:tcPr>
            <w:tcW w:w="1759" w:type="dxa"/>
            <w:tcBorders>
              <w:top w:val="nil"/>
              <w:left w:val="single" w:color="auto" w:sz="4" w:space="0"/>
              <w:bottom w:val="single" w:color="auto" w:sz="4" w:space="0"/>
              <w:right w:val="single" w:color="auto" w:sz="4" w:space="0"/>
            </w:tcBorders>
            <w:vAlign w:val="center"/>
            <w:hideMark/>
          </w:tcPr>
          <w:p w:rsidRPr="000D4234" w:rsidR="007253C8" w:rsidP="00301BD8" w:rsidRDefault="007253C8" w14:paraId="564028CF" w14:textId="77777777">
            <w:pPr>
              <w:pStyle w:val="TableText"/>
            </w:pPr>
            <w:r w:rsidRPr="000D4234">
              <w:t>Circuit Ownership</w:t>
            </w:r>
          </w:p>
        </w:tc>
        <w:tc>
          <w:tcPr>
            <w:tcW w:w="1503" w:type="dxa"/>
            <w:tcBorders>
              <w:top w:val="nil"/>
              <w:left w:val="nil"/>
              <w:bottom w:val="single" w:color="auto" w:sz="4" w:space="0"/>
              <w:right w:val="single" w:color="auto" w:sz="4" w:space="0"/>
            </w:tcBorders>
            <w:vAlign w:val="center"/>
            <w:hideMark/>
          </w:tcPr>
          <w:p w:rsidRPr="000D4234" w:rsidR="007253C8" w:rsidP="00301BD8" w:rsidRDefault="007253C8" w14:paraId="766A75A5" w14:textId="77777777">
            <w:pPr>
              <w:pStyle w:val="TableText"/>
            </w:pPr>
            <w:r w:rsidRPr="000D4234">
              <w:t>-</w:t>
            </w:r>
          </w:p>
        </w:tc>
        <w:tc>
          <w:tcPr>
            <w:tcW w:w="1164" w:type="dxa"/>
            <w:tcBorders>
              <w:top w:val="nil"/>
              <w:left w:val="nil"/>
              <w:bottom w:val="single" w:color="auto" w:sz="4" w:space="0"/>
              <w:right w:val="single" w:color="auto" w:sz="4" w:space="0"/>
            </w:tcBorders>
            <w:vAlign w:val="center"/>
            <w:hideMark/>
          </w:tcPr>
          <w:p w:rsidRPr="000D4234" w:rsidR="007253C8" w:rsidP="00301BD8" w:rsidRDefault="007253C8" w14:paraId="6D304315" w14:textId="77777777">
            <w:pPr>
              <w:pStyle w:val="TableText"/>
            </w:pPr>
            <w:r w:rsidRPr="000D4234">
              <w:t xml:space="preserve">$713 </w:t>
            </w:r>
          </w:p>
        </w:tc>
        <w:tc>
          <w:tcPr>
            <w:tcW w:w="1493" w:type="dxa"/>
            <w:tcBorders>
              <w:top w:val="nil"/>
              <w:left w:val="single" w:color="auto" w:sz="4" w:space="0"/>
              <w:bottom w:val="single" w:color="auto" w:sz="4" w:space="0"/>
              <w:right w:val="nil"/>
            </w:tcBorders>
            <w:vAlign w:val="center"/>
            <w:hideMark/>
          </w:tcPr>
          <w:p w:rsidRPr="000D4234" w:rsidR="007253C8" w:rsidP="00301BD8" w:rsidRDefault="007253C8" w14:paraId="6F8A7E7A" w14:textId="77777777">
            <w:pPr>
              <w:pStyle w:val="TableText"/>
            </w:pPr>
            <w:r w:rsidRPr="000D4234">
              <w:t xml:space="preserve">$713 </w:t>
            </w:r>
          </w:p>
        </w:tc>
        <w:tc>
          <w:tcPr>
            <w:tcW w:w="1503" w:type="dxa"/>
            <w:tcBorders>
              <w:top w:val="nil"/>
              <w:left w:val="double" w:color="auto" w:sz="6" w:space="0"/>
              <w:bottom w:val="single" w:color="auto" w:sz="4" w:space="0"/>
              <w:right w:val="single" w:color="auto" w:sz="4" w:space="0"/>
            </w:tcBorders>
            <w:vAlign w:val="center"/>
            <w:hideMark/>
          </w:tcPr>
          <w:p w:rsidRPr="000D4234" w:rsidR="007253C8" w:rsidP="00301BD8" w:rsidRDefault="007253C8" w14:paraId="2F230648" w14:textId="77777777">
            <w:pPr>
              <w:pStyle w:val="TableText"/>
            </w:pPr>
            <w:r w:rsidRPr="000D4234">
              <w:t>-</w:t>
            </w:r>
          </w:p>
        </w:tc>
        <w:tc>
          <w:tcPr>
            <w:tcW w:w="1419" w:type="dxa"/>
            <w:tcBorders>
              <w:top w:val="nil"/>
              <w:left w:val="nil"/>
              <w:bottom w:val="single" w:color="auto" w:sz="4" w:space="0"/>
              <w:right w:val="single" w:color="auto" w:sz="4" w:space="0"/>
            </w:tcBorders>
            <w:vAlign w:val="center"/>
            <w:hideMark/>
          </w:tcPr>
          <w:p w:rsidRPr="000D4234" w:rsidR="007253C8" w:rsidP="00301BD8" w:rsidRDefault="007253C8" w14:paraId="6DB4CAA6" w14:textId="77777777">
            <w:pPr>
              <w:pStyle w:val="TableText"/>
            </w:pPr>
            <w:r w:rsidRPr="000D4234">
              <w:t>-</w:t>
            </w:r>
          </w:p>
        </w:tc>
        <w:tc>
          <w:tcPr>
            <w:tcW w:w="1493" w:type="dxa"/>
            <w:tcBorders>
              <w:top w:val="nil"/>
              <w:left w:val="nil"/>
              <w:bottom w:val="single" w:color="auto" w:sz="4" w:space="0"/>
              <w:right w:val="single" w:color="auto" w:sz="4" w:space="0"/>
            </w:tcBorders>
            <w:vAlign w:val="center"/>
            <w:hideMark/>
          </w:tcPr>
          <w:p w:rsidRPr="000D4234" w:rsidR="007253C8" w:rsidP="00301BD8" w:rsidRDefault="007253C8" w14:paraId="4BCF41FB" w14:textId="77777777">
            <w:pPr>
              <w:pStyle w:val="TableText"/>
            </w:pPr>
            <w:r w:rsidRPr="000D4234">
              <w:t>-</w:t>
            </w:r>
          </w:p>
        </w:tc>
      </w:tr>
      <w:tr w:rsidRPr="000D4234" w:rsidR="007253C8" w:rsidTr="009F3AAA" w14:paraId="677520EA" w14:textId="77777777">
        <w:trPr>
          <w:trHeight w:val="360"/>
        </w:trPr>
        <w:tc>
          <w:tcPr>
            <w:tcW w:w="1759" w:type="dxa"/>
            <w:tcBorders>
              <w:top w:val="single" w:color="auto" w:sz="4" w:space="0"/>
              <w:left w:val="single" w:color="auto" w:sz="4" w:space="0"/>
              <w:bottom w:val="single" w:color="auto" w:sz="4" w:space="0"/>
              <w:right w:val="single" w:color="auto" w:sz="4" w:space="0"/>
            </w:tcBorders>
            <w:vAlign w:val="center"/>
            <w:hideMark/>
          </w:tcPr>
          <w:p w:rsidRPr="000D4234" w:rsidR="007253C8" w:rsidP="00301BD8" w:rsidRDefault="007253C8" w14:paraId="04BAD9B7" w14:textId="77777777">
            <w:pPr>
              <w:pStyle w:val="TableText"/>
            </w:pPr>
            <w:r w:rsidRPr="000D4234">
              <w:t>Patrol Inspections of Distribution Equipment</w:t>
            </w:r>
          </w:p>
        </w:tc>
        <w:tc>
          <w:tcPr>
            <w:tcW w:w="1503" w:type="dxa"/>
            <w:tcBorders>
              <w:top w:val="single" w:color="auto" w:sz="4" w:space="0"/>
              <w:left w:val="nil"/>
              <w:bottom w:val="single" w:color="auto" w:sz="4" w:space="0"/>
              <w:right w:val="single" w:color="auto" w:sz="4" w:space="0"/>
            </w:tcBorders>
            <w:vAlign w:val="center"/>
            <w:hideMark/>
          </w:tcPr>
          <w:p w:rsidRPr="000D4234" w:rsidR="007253C8" w:rsidP="00301BD8" w:rsidRDefault="007253C8" w14:paraId="0F3EE6B9" w14:textId="77777777">
            <w:pPr>
              <w:pStyle w:val="TableText"/>
            </w:pPr>
            <w:r w:rsidRPr="000D4234">
              <w:t>$3,103</w:t>
            </w:r>
          </w:p>
        </w:tc>
        <w:tc>
          <w:tcPr>
            <w:tcW w:w="1164" w:type="dxa"/>
            <w:tcBorders>
              <w:top w:val="single" w:color="auto" w:sz="4" w:space="0"/>
              <w:left w:val="nil"/>
              <w:bottom w:val="single" w:color="auto" w:sz="4" w:space="0"/>
              <w:right w:val="single" w:color="auto" w:sz="4" w:space="0"/>
            </w:tcBorders>
            <w:vAlign w:val="center"/>
            <w:hideMark/>
          </w:tcPr>
          <w:p w:rsidRPr="000D4234" w:rsidR="007253C8" w:rsidP="00301BD8" w:rsidRDefault="007253C8" w14:paraId="7B26053F" w14:textId="77777777">
            <w:pPr>
              <w:pStyle w:val="TableText"/>
            </w:pPr>
            <w:r w:rsidRPr="000D4234">
              <w:t xml:space="preserve">$4,030 </w:t>
            </w:r>
          </w:p>
        </w:tc>
        <w:tc>
          <w:tcPr>
            <w:tcW w:w="1493" w:type="dxa"/>
            <w:tcBorders>
              <w:top w:val="single" w:color="auto" w:sz="4" w:space="0"/>
              <w:left w:val="single" w:color="auto" w:sz="4" w:space="0"/>
              <w:bottom w:val="single" w:color="auto" w:sz="4" w:space="0"/>
              <w:right w:val="nil"/>
            </w:tcBorders>
            <w:vAlign w:val="center"/>
            <w:hideMark/>
          </w:tcPr>
          <w:p w:rsidRPr="000D4234" w:rsidR="007253C8" w:rsidP="00301BD8" w:rsidRDefault="007253C8" w14:paraId="7CA42B02" w14:textId="77777777">
            <w:pPr>
              <w:pStyle w:val="TableText"/>
            </w:pPr>
            <w:r w:rsidRPr="000D4234">
              <w:t xml:space="preserve">$927 </w:t>
            </w:r>
          </w:p>
        </w:tc>
        <w:tc>
          <w:tcPr>
            <w:tcW w:w="1503" w:type="dxa"/>
            <w:tcBorders>
              <w:top w:val="single" w:color="auto" w:sz="4" w:space="0"/>
              <w:left w:val="double" w:color="auto" w:sz="6" w:space="0"/>
              <w:bottom w:val="single" w:color="auto" w:sz="4" w:space="0"/>
              <w:right w:val="single" w:color="auto" w:sz="4" w:space="0"/>
            </w:tcBorders>
            <w:vAlign w:val="center"/>
            <w:hideMark/>
          </w:tcPr>
          <w:p w:rsidRPr="000D4234" w:rsidR="007253C8" w:rsidP="00301BD8" w:rsidRDefault="007253C8" w14:paraId="4112E5EF" w14:textId="77777777">
            <w:pPr>
              <w:pStyle w:val="TableText"/>
            </w:pPr>
            <w:r w:rsidRPr="000D4234">
              <w:t>-</w:t>
            </w:r>
          </w:p>
        </w:tc>
        <w:tc>
          <w:tcPr>
            <w:tcW w:w="1419" w:type="dxa"/>
            <w:tcBorders>
              <w:top w:val="single" w:color="auto" w:sz="4" w:space="0"/>
              <w:left w:val="nil"/>
              <w:bottom w:val="single" w:color="auto" w:sz="4" w:space="0"/>
              <w:right w:val="single" w:color="auto" w:sz="4" w:space="0"/>
            </w:tcBorders>
            <w:vAlign w:val="center"/>
            <w:hideMark/>
          </w:tcPr>
          <w:p w:rsidRPr="000D4234" w:rsidR="007253C8" w:rsidP="00301BD8" w:rsidRDefault="007253C8" w14:paraId="0D0BE58F" w14:textId="77777777">
            <w:pPr>
              <w:pStyle w:val="TableText"/>
            </w:pPr>
            <w:r w:rsidRPr="000D4234">
              <w:t>-</w:t>
            </w:r>
          </w:p>
        </w:tc>
        <w:tc>
          <w:tcPr>
            <w:tcW w:w="1493" w:type="dxa"/>
            <w:tcBorders>
              <w:top w:val="single" w:color="auto" w:sz="4" w:space="0"/>
              <w:left w:val="nil"/>
              <w:bottom w:val="single" w:color="auto" w:sz="4" w:space="0"/>
              <w:right w:val="single" w:color="auto" w:sz="4" w:space="0"/>
            </w:tcBorders>
            <w:vAlign w:val="center"/>
            <w:hideMark/>
          </w:tcPr>
          <w:p w:rsidRPr="000D4234" w:rsidR="007253C8" w:rsidP="00301BD8" w:rsidRDefault="007253C8" w14:paraId="1C72495C" w14:textId="77777777">
            <w:pPr>
              <w:pStyle w:val="TableText"/>
            </w:pPr>
            <w:r w:rsidRPr="000D4234">
              <w:t>-</w:t>
            </w:r>
          </w:p>
        </w:tc>
      </w:tr>
      <w:tr w:rsidRPr="000D4234" w:rsidR="007253C8" w:rsidTr="009F3AAA" w14:paraId="24B8F694" w14:textId="77777777">
        <w:trPr>
          <w:trHeight w:val="360"/>
        </w:trPr>
        <w:tc>
          <w:tcPr>
            <w:tcW w:w="1759" w:type="dxa"/>
            <w:tcBorders>
              <w:top w:val="nil"/>
              <w:left w:val="single" w:color="auto" w:sz="4" w:space="0"/>
              <w:bottom w:val="single" w:color="auto" w:sz="4" w:space="0"/>
              <w:right w:val="single" w:color="auto" w:sz="4" w:space="0"/>
            </w:tcBorders>
            <w:vAlign w:val="center"/>
            <w:hideMark/>
          </w:tcPr>
          <w:p w:rsidRPr="000D4234" w:rsidR="007253C8" w:rsidP="00301BD8" w:rsidRDefault="007253C8" w14:paraId="137CB0B0" w14:textId="77777777">
            <w:pPr>
              <w:pStyle w:val="TableText"/>
              <w:rPr>
                <w:i/>
              </w:rPr>
            </w:pPr>
            <w:r w:rsidRPr="1DA857FC">
              <w:rPr>
                <w:i/>
                <w:iCs/>
              </w:rPr>
              <w:t>Total</w:t>
            </w:r>
          </w:p>
        </w:tc>
        <w:tc>
          <w:tcPr>
            <w:tcW w:w="1503" w:type="dxa"/>
            <w:tcBorders>
              <w:top w:val="nil"/>
              <w:left w:val="nil"/>
              <w:bottom w:val="single" w:color="auto" w:sz="4" w:space="0"/>
              <w:right w:val="single" w:color="auto" w:sz="4" w:space="0"/>
            </w:tcBorders>
            <w:vAlign w:val="center"/>
            <w:hideMark/>
          </w:tcPr>
          <w:p w:rsidRPr="000D4234" w:rsidR="007253C8" w:rsidP="00301BD8" w:rsidRDefault="007253C8" w14:paraId="31931732" w14:textId="77777777">
            <w:pPr>
              <w:pStyle w:val="TableText"/>
              <w:rPr>
                <w:i/>
              </w:rPr>
            </w:pPr>
            <w:r w:rsidRPr="000D4234">
              <w:rPr>
                <w:i/>
              </w:rPr>
              <w:t xml:space="preserve">$45,105 </w:t>
            </w:r>
          </w:p>
        </w:tc>
        <w:tc>
          <w:tcPr>
            <w:tcW w:w="1164" w:type="dxa"/>
            <w:tcBorders>
              <w:top w:val="nil"/>
              <w:left w:val="nil"/>
              <w:bottom w:val="single" w:color="auto" w:sz="4" w:space="0"/>
              <w:right w:val="single" w:color="auto" w:sz="4" w:space="0"/>
            </w:tcBorders>
            <w:vAlign w:val="center"/>
            <w:hideMark/>
          </w:tcPr>
          <w:p w:rsidRPr="000D4234" w:rsidR="007253C8" w:rsidP="00301BD8" w:rsidRDefault="007253C8" w14:paraId="72EDA909" w14:textId="77777777">
            <w:pPr>
              <w:pStyle w:val="TableText"/>
              <w:rPr>
                <w:i/>
              </w:rPr>
            </w:pPr>
            <w:r w:rsidRPr="000D4234">
              <w:rPr>
                <w:i/>
              </w:rPr>
              <w:t xml:space="preserve">$139,338 </w:t>
            </w:r>
          </w:p>
        </w:tc>
        <w:tc>
          <w:tcPr>
            <w:tcW w:w="1493" w:type="dxa"/>
            <w:tcBorders>
              <w:top w:val="nil"/>
              <w:left w:val="single" w:color="auto" w:sz="4" w:space="0"/>
              <w:bottom w:val="single" w:color="auto" w:sz="4" w:space="0"/>
              <w:right w:val="nil"/>
            </w:tcBorders>
            <w:vAlign w:val="center"/>
            <w:hideMark/>
          </w:tcPr>
          <w:p w:rsidRPr="000D4234" w:rsidR="007253C8" w:rsidP="00301BD8" w:rsidRDefault="007253C8" w14:paraId="227AB03D" w14:textId="77777777">
            <w:pPr>
              <w:pStyle w:val="TableText"/>
              <w:rPr>
                <w:i/>
              </w:rPr>
            </w:pPr>
            <w:r w:rsidRPr="000D4234">
              <w:rPr>
                <w:i/>
              </w:rPr>
              <w:t xml:space="preserve">$94,233 </w:t>
            </w:r>
          </w:p>
        </w:tc>
        <w:tc>
          <w:tcPr>
            <w:tcW w:w="1503" w:type="dxa"/>
            <w:tcBorders>
              <w:top w:val="nil"/>
              <w:left w:val="double" w:color="auto" w:sz="6" w:space="0"/>
              <w:bottom w:val="single" w:color="auto" w:sz="4" w:space="0"/>
              <w:right w:val="single" w:color="auto" w:sz="4" w:space="0"/>
            </w:tcBorders>
            <w:vAlign w:val="center"/>
            <w:hideMark/>
          </w:tcPr>
          <w:p w:rsidRPr="000D4234" w:rsidR="007253C8" w:rsidP="00301BD8" w:rsidRDefault="007253C8" w14:paraId="57C7D246" w14:textId="77777777">
            <w:pPr>
              <w:pStyle w:val="TableText"/>
              <w:rPr>
                <w:i/>
              </w:rPr>
            </w:pPr>
            <w:r w:rsidRPr="000D4234">
              <w:rPr>
                <w:i/>
              </w:rPr>
              <w:t xml:space="preserve">$50,628 </w:t>
            </w:r>
          </w:p>
        </w:tc>
        <w:tc>
          <w:tcPr>
            <w:tcW w:w="1419" w:type="dxa"/>
            <w:tcBorders>
              <w:top w:val="nil"/>
              <w:left w:val="nil"/>
              <w:bottom w:val="single" w:color="auto" w:sz="4" w:space="0"/>
              <w:right w:val="single" w:color="auto" w:sz="4" w:space="0"/>
            </w:tcBorders>
            <w:vAlign w:val="center"/>
            <w:hideMark/>
          </w:tcPr>
          <w:p w:rsidRPr="000D4234" w:rsidR="007253C8" w:rsidP="00301BD8" w:rsidRDefault="007253C8" w14:paraId="27DAB786" w14:textId="77777777">
            <w:pPr>
              <w:pStyle w:val="TableText"/>
              <w:rPr>
                <w:i/>
              </w:rPr>
            </w:pPr>
            <w:r w:rsidRPr="000D4234">
              <w:rPr>
                <w:i/>
              </w:rPr>
              <w:t xml:space="preserve">$145,641 </w:t>
            </w:r>
          </w:p>
        </w:tc>
        <w:tc>
          <w:tcPr>
            <w:tcW w:w="1493" w:type="dxa"/>
            <w:tcBorders>
              <w:top w:val="nil"/>
              <w:left w:val="nil"/>
              <w:bottom w:val="single" w:color="auto" w:sz="4" w:space="0"/>
              <w:right w:val="single" w:color="auto" w:sz="4" w:space="0"/>
            </w:tcBorders>
            <w:vAlign w:val="center"/>
            <w:hideMark/>
          </w:tcPr>
          <w:p w:rsidRPr="000D4234" w:rsidR="007253C8" w:rsidP="00301BD8" w:rsidRDefault="007253C8" w14:paraId="0CBF5F55" w14:textId="6F290AAF">
            <w:pPr>
              <w:pStyle w:val="TableText"/>
              <w:rPr>
                <w:i/>
              </w:rPr>
            </w:pPr>
            <w:r w:rsidRPr="000D4234">
              <w:rPr>
                <w:i/>
              </w:rPr>
              <w:t xml:space="preserve">$95,013 </w:t>
            </w:r>
          </w:p>
        </w:tc>
      </w:tr>
    </w:tbl>
    <w:p w:rsidRPr="00C4647D" w:rsidR="007253C8" w:rsidP="007253C8" w:rsidRDefault="007253C8" w14:paraId="66D8562B" w14:textId="77777777">
      <w:pPr>
        <w:pStyle w:val="Standard"/>
      </w:pPr>
    </w:p>
    <w:p w:rsidR="00142911" w:rsidP="00EB33A9" w:rsidRDefault="007253C8" w14:paraId="301C37F8" w14:textId="2749923C">
      <w:pPr>
        <w:pStyle w:val="standard0"/>
      </w:pPr>
      <w:r>
        <w:lastRenderedPageBreak/>
        <w:t xml:space="preserve">SDG&amp;E’s Asset Management &amp; Inspections </w:t>
      </w:r>
      <w:r w:rsidR="00192197">
        <w:t xml:space="preserve">direct </w:t>
      </w:r>
      <w:r>
        <w:t>cost recovery request is for $94.233 million in capital and $95.013 million in O&amp;M for a total of $189.246 million. The average or unit cost of each inspection program is shown below.</w:t>
      </w:r>
    </w:p>
    <w:p w:rsidRPr="00316906" w:rsidR="007253C8" w:rsidP="007253C8" w:rsidRDefault="007253C8" w14:paraId="71BB8D18" w14:textId="77777777">
      <w:pPr>
        <w:pStyle w:val="Standard"/>
        <w:ind w:firstLine="0"/>
        <w:jc w:val="center"/>
        <w:rPr>
          <w:b/>
          <w:bCs/>
        </w:rPr>
      </w:pPr>
      <w:r w:rsidRPr="00316906">
        <w:rPr>
          <w:b/>
        </w:rPr>
        <w:t>Table 7.C</w:t>
      </w:r>
    </w:p>
    <w:p w:rsidRPr="00316906" w:rsidR="007253C8" w:rsidP="007253C8" w:rsidRDefault="007253C8" w14:paraId="4320C5DC" w14:textId="77777777">
      <w:pPr>
        <w:pStyle w:val="Standard"/>
        <w:ind w:firstLine="0"/>
        <w:jc w:val="center"/>
        <w:rPr>
          <w:b/>
        </w:rPr>
      </w:pPr>
      <w:r w:rsidRPr="00316906">
        <w:rPr>
          <w:b/>
        </w:rPr>
        <w:t>Asset Management and Inspections Unit Costs ($000)</w:t>
      </w:r>
    </w:p>
    <w:tbl>
      <w:tblPr>
        <w:tblW w:w="9923" w:type="dxa"/>
        <w:tblInd w:w="-95" w:type="dxa"/>
        <w:tblLayout w:type="fixed"/>
        <w:tblLook w:val="04A0" w:firstRow="1" w:lastRow="0" w:firstColumn="1" w:lastColumn="0" w:noHBand="0" w:noVBand="1"/>
      </w:tblPr>
      <w:tblGrid>
        <w:gridCol w:w="2969"/>
        <w:gridCol w:w="1436"/>
        <w:gridCol w:w="990"/>
        <w:gridCol w:w="870"/>
        <w:gridCol w:w="1245"/>
        <w:gridCol w:w="1157"/>
        <w:gridCol w:w="1256"/>
      </w:tblGrid>
      <w:tr w:rsidR="007253C8" w:rsidTr="009F3AAA" w14:paraId="298CBE3E" w14:textId="77777777">
        <w:trPr>
          <w:cantSplit/>
          <w:trHeight w:val="1335"/>
          <w:tblHeader/>
        </w:trPr>
        <w:tc>
          <w:tcPr>
            <w:tcW w:w="2969" w:type="dxa"/>
            <w:tcBorders>
              <w:top w:val="single" w:color="auto" w:sz="4" w:space="0"/>
              <w:left w:val="single" w:color="auto" w:sz="4" w:space="0"/>
              <w:bottom w:val="single" w:color="auto" w:sz="4" w:space="0"/>
              <w:right w:val="single" w:color="auto" w:sz="4" w:space="0"/>
            </w:tcBorders>
            <w:vAlign w:val="center"/>
            <w:hideMark/>
          </w:tcPr>
          <w:p w:rsidR="007253C8" w:rsidP="00301BD8" w:rsidRDefault="007253C8" w14:paraId="5B535160" w14:textId="77777777">
            <w:pPr>
              <w:pStyle w:val="TableText"/>
            </w:pPr>
            <w:r>
              <w:t>Initiative</w:t>
            </w:r>
          </w:p>
        </w:tc>
        <w:tc>
          <w:tcPr>
            <w:tcW w:w="1436" w:type="dxa"/>
            <w:tcBorders>
              <w:top w:val="single" w:color="auto" w:sz="4" w:space="0"/>
              <w:left w:val="nil"/>
              <w:bottom w:val="single" w:color="auto" w:sz="4" w:space="0"/>
              <w:right w:val="single" w:color="auto" w:sz="4" w:space="0"/>
            </w:tcBorders>
            <w:vAlign w:val="center"/>
            <w:hideMark/>
          </w:tcPr>
          <w:p w:rsidR="007253C8" w:rsidP="00301BD8" w:rsidRDefault="007253C8" w14:paraId="2665C284" w14:textId="77777777">
            <w:pPr>
              <w:pStyle w:val="TableText"/>
            </w:pPr>
            <w:r>
              <w:t>Inspections</w:t>
            </w:r>
          </w:p>
        </w:tc>
        <w:tc>
          <w:tcPr>
            <w:tcW w:w="990" w:type="dxa"/>
            <w:tcBorders>
              <w:top w:val="single" w:color="auto" w:sz="4" w:space="0"/>
              <w:left w:val="nil"/>
              <w:bottom w:val="single" w:color="auto" w:sz="4" w:space="0"/>
              <w:right w:val="single" w:color="auto" w:sz="4" w:space="0"/>
            </w:tcBorders>
            <w:vAlign w:val="center"/>
            <w:hideMark/>
          </w:tcPr>
          <w:p w:rsidR="007253C8" w:rsidP="00301BD8" w:rsidRDefault="007253C8" w14:paraId="28E41859" w14:textId="77777777">
            <w:pPr>
              <w:pStyle w:val="TableText"/>
            </w:pPr>
            <w:r>
              <w:t>Unit Cost 2019</w:t>
            </w:r>
          </w:p>
        </w:tc>
        <w:tc>
          <w:tcPr>
            <w:tcW w:w="870" w:type="dxa"/>
            <w:tcBorders>
              <w:top w:val="single" w:color="auto" w:sz="4" w:space="0"/>
              <w:left w:val="nil"/>
              <w:bottom w:val="single" w:color="auto" w:sz="4" w:space="0"/>
              <w:right w:val="single" w:color="auto" w:sz="4" w:space="0"/>
            </w:tcBorders>
            <w:vAlign w:val="center"/>
            <w:hideMark/>
          </w:tcPr>
          <w:p w:rsidR="007253C8" w:rsidP="00301BD8" w:rsidRDefault="007253C8" w14:paraId="5186D25E" w14:textId="77777777">
            <w:pPr>
              <w:pStyle w:val="TableText"/>
            </w:pPr>
            <w:r>
              <w:t>Unit Cost 2020</w:t>
            </w:r>
          </w:p>
        </w:tc>
        <w:tc>
          <w:tcPr>
            <w:tcW w:w="1245" w:type="dxa"/>
            <w:tcBorders>
              <w:top w:val="single" w:color="auto" w:sz="4" w:space="0"/>
              <w:left w:val="nil"/>
              <w:bottom w:val="single" w:color="auto" w:sz="4" w:space="0"/>
              <w:right w:val="single" w:color="auto" w:sz="4" w:space="0"/>
            </w:tcBorders>
            <w:vAlign w:val="center"/>
            <w:hideMark/>
          </w:tcPr>
          <w:p w:rsidR="007253C8" w:rsidP="00301BD8" w:rsidRDefault="007253C8" w14:paraId="3C41374A" w14:textId="77777777">
            <w:pPr>
              <w:pStyle w:val="TableText"/>
            </w:pPr>
            <w:r>
              <w:t>Unit Cost 2021</w:t>
            </w:r>
          </w:p>
        </w:tc>
        <w:tc>
          <w:tcPr>
            <w:tcW w:w="1157" w:type="dxa"/>
            <w:tcBorders>
              <w:top w:val="single" w:color="auto" w:sz="4" w:space="0"/>
              <w:left w:val="nil"/>
              <w:bottom w:val="single" w:color="auto" w:sz="4" w:space="0"/>
              <w:right w:val="single" w:color="auto" w:sz="4" w:space="0"/>
            </w:tcBorders>
            <w:vAlign w:val="center"/>
            <w:hideMark/>
          </w:tcPr>
          <w:p w:rsidR="007253C8" w:rsidP="00301BD8" w:rsidRDefault="007253C8" w14:paraId="2CF2F53D" w14:textId="77777777">
            <w:pPr>
              <w:pStyle w:val="TableText"/>
            </w:pPr>
            <w:r>
              <w:t>Unit Cost 2022</w:t>
            </w:r>
          </w:p>
        </w:tc>
        <w:tc>
          <w:tcPr>
            <w:tcW w:w="1256" w:type="dxa"/>
            <w:tcBorders>
              <w:top w:val="single" w:color="auto" w:sz="4" w:space="0"/>
              <w:left w:val="nil"/>
              <w:bottom w:val="single" w:color="auto" w:sz="4" w:space="0"/>
              <w:right w:val="single" w:color="auto" w:sz="4" w:space="0"/>
            </w:tcBorders>
            <w:vAlign w:val="center"/>
            <w:hideMark/>
          </w:tcPr>
          <w:p w:rsidR="007253C8" w:rsidP="00301BD8" w:rsidRDefault="007253C8" w14:paraId="7FB6F973" w14:textId="77777777">
            <w:pPr>
              <w:pStyle w:val="TableText"/>
            </w:pPr>
            <w:r>
              <w:t>Unit Cost Average</w:t>
            </w:r>
          </w:p>
        </w:tc>
      </w:tr>
      <w:tr w:rsidR="007253C8" w:rsidTr="009F3AAA" w14:paraId="0957BC80" w14:textId="77777777">
        <w:trPr>
          <w:cantSplit/>
          <w:trHeight w:val="320"/>
          <w:tblHeader/>
        </w:trPr>
        <w:tc>
          <w:tcPr>
            <w:tcW w:w="2969" w:type="dxa"/>
            <w:tcBorders>
              <w:top w:val="nil"/>
              <w:left w:val="single" w:color="auto" w:sz="4" w:space="0"/>
              <w:bottom w:val="single" w:color="auto" w:sz="4" w:space="0"/>
              <w:right w:val="single" w:color="auto" w:sz="4" w:space="0"/>
            </w:tcBorders>
            <w:noWrap/>
            <w:hideMark/>
          </w:tcPr>
          <w:p w:rsidR="007253C8" w:rsidP="00301BD8" w:rsidRDefault="007253C8" w14:paraId="176B27F8" w14:textId="77777777">
            <w:pPr>
              <w:pStyle w:val="TableText"/>
            </w:pPr>
            <w:r>
              <w:t>Drone Assessments of Dist. Infrastructure</w:t>
            </w:r>
          </w:p>
        </w:tc>
        <w:tc>
          <w:tcPr>
            <w:tcW w:w="1436" w:type="dxa"/>
            <w:tcBorders>
              <w:top w:val="nil"/>
              <w:left w:val="nil"/>
              <w:bottom w:val="single" w:color="auto" w:sz="4" w:space="0"/>
              <w:right w:val="single" w:color="auto" w:sz="4" w:space="0"/>
            </w:tcBorders>
            <w:noWrap/>
            <w:hideMark/>
          </w:tcPr>
          <w:p w:rsidR="007253C8" w:rsidP="00301BD8" w:rsidRDefault="007253C8" w14:paraId="04E90799" w14:textId="77777777">
            <w:pPr>
              <w:pStyle w:val="TableText"/>
            </w:pPr>
            <w:r>
              <w:t xml:space="preserve">110,774 </w:t>
            </w:r>
          </w:p>
        </w:tc>
        <w:tc>
          <w:tcPr>
            <w:tcW w:w="990" w:type="dxa"/>
            <w:tcBorders>
              <w:top w:val="nil"/>
              <w:left w:val="nil"/>
              <w:bottom w:val="single" w:color="auto" w:sz="4" w:space="0"/>
              <w:right w:val="single" w:color="auto" w:sz="4" w:space="0"/>
            </w:tcBorders>
            <w:noWrap/>
            <w:hideMark/>
          </w:tcPr>
          <w:p w:rsidR="007253C8" w:rsidP="00301BD8" w:rsidRDefault="007253C8" w14:paraId="7AD53C64" w14:textId="77777777">
            <w:pPr>
              <w:pStyle w:val="TableText"/>
            </w:pPr>
            <w:r>
              <w:t xml:space="preserve">$371 </w:t>
            </w:r>
          </w:p>
        </w:tc>
        <w:tc>
          <w:tcPr>
            <w:tcW w:w="870" w:type="dxa"/>
            <w:tcBorders>
              <w:top w:val="nil"/>
              <w:left w:val="nil"/>
              <w:bottom w:val="single" w:color="auto" w:sz="4" w:space="0"/>
              <w:right w:val="single" w:color="auto" w:sz="4" w:space="0"/>
            </w:tcBorders>
            <w:noWrap/>
            <w:hideMark/>
          </w:tcPr>
          <w:p w:rsidRPr="004D40A2" w:rsidR="007253C8" w:rsidP="00301BD8" w:rsidRDefault="007253C8" w14:paraId="617AB0ED" w14:textId="77777777">
            <w:pPr>
              <w:pStyle w:val="TableText"/>
              <w:rPr>
                <w:color w:val="FF0000"/>
              </w:rPr>
            </w:pPr>
            <w:r w:rsidRPr="18124A6B">
              <w:t>$2,900</w:t>
            </w:r>
            <w:r w:rsidRPr="004D40A2">
              <w:rPr>
                <w:color w:val="FF0000"/>
              </w:rPr>
              <w:t xml:space="preserve"> </w:t>
            </w:r>
          </w:p>
        </w:tc>
        <w:tc>
          <w:tcPr>
            <w:tcW w:w="1245" w:type="dxa"/>
            <w:tcBorders>
              <w:top w:val="nil"/>
              <w:left w:val="nil"/>
              <w:bottom w:val="single" w:color="auto" w:sz="4" w:space="0"/>
              <w:right w:val="single" w:color="auto" w:sz="4" w:space="0"/>
            </w:tcBorders>
            <w:noWrap/>
            <w:hideMark/>
          </w:tcPr>
          <w:p w:rsidRPr="004D40A2" w:rsidR="007253C8" w:rsidP="00301BD8" w:rsidRDefault="007253C8" w14:paraId="3AE263D1" w14:textId="77777777">
            <w:pPr>
              <w:pStyle w:val="TableText"/>
              <w:rPr>
                <w:color w:val="FF0000"/>
              </w:rPr>
            </w:pPr>
            <w:r w:rsidRPr="18124A6B">
              <w:t>$2,094</w:t>
            </w:r>
            <w:r w:rsidRPr="004D40A2">
              <w:rPr>
                <w:color w:val="FF0000"/>
              </w:rPr>
              <w:t xml:space="preserve"> </w:t>
            </w:r>
          </w:p>
        </w:tc>
        <w:tc>
          <w:tcPr>
            <w:tcW w:w="1157" w:type="dxa"/>
            <w:tcBorders>
              <w:top w:val="nil"/>
              <w:left w:val="nil"/>
              <w:bottom w:val="single" w:color="auto" w:sz="4" w:space="0"/>
              <w:right w:val="single" w:color="auto" w:sz="4" w:space="0"/>
            </w:tcBorders>
            <w:noWrap/>
            <w:hideMark/>
          </w:tcPr>
          <w:p w:rsidRPr="004D40A2" w:rsidR="007253C8" w:rsidP="00301BD8" w:rsidRDefault="007253C8" w14:paraId="1A1C1C19" w14:textId="77777777">
            <w:pPr>
              <w:pStyle w:val="TableText"/>
              <w:rPr>
                <w:color w:val="FF0000"/>
              </w:rPr>
            </w:pPr>
            <w:r w:rsidRPr="18124A6B">
              <w:t>$3,203</w:t>
            </w:r>
            <w:r w:rsidRPr="004D40A2">
              <w:rPr>
                <w:color w:val="FF0000"/>
              </w:rPr>
              <w:t xml:space="preserve"> </w:t>
            </w:r>
          </w:p>
        </w:tc>
        <w:tc>
          <w:tcPr>
            <w:tcW w:w="1256" w:type="dxa"/>
            <w:tcBorders>
              <w:top w:val="nil"/>
              <w:left w:val="nil"/>
              <w:bottom w:val="single" w:color="auto" w:sz="4" w:space="0"/>
              <w:right w:val="single" w:color="auto" w:sz="4" w:space="0"/>
            </w:tcBorders>
            <w:noWrap/>
            <w:hideMark/>
          </w:tcPr>
          <w:p w:rsidRPr="004D40A2" w:rsidR="007253C8" w:rsidP="00301BD8" w:rsidRDefault="007253C8" w14:paraId="436EB663" w14:textId="77777777">
            <w:pPr>
              <w:pStyle w:val="TableText"/>
              <w:rPr>
                <w:color w:val="FF0000"/>
              </w:rPr>
            </w:pPr>
            <w:r w:rsidRPr="18124A6B">
              <w:t>$1,970</w:t>
            </w:r>
            <w:r w:rsidRPr="004D40A2">
              <w:rPr>
                <w:color w:val="FF0000"/>
              </w:rPr>
              <w:t xml:space="preserve"> </w:t>
            </w:r>
          </w:p>
        </w:tc>
      </w:tr>
      <w:tr w:rsidR="007253C8" w:rsidTr="009F3AAA" w14:paraId="66B3A7C1" w14:textId="77777777">
        <w:trPr>
          <w:cantSplit/>
          <w:trHeight w:val="320"/>
          <w:tblHeader/>
        </w:trPr>
        <w:tc>
          <w:tcPr>
            <w:tcW w:w="2969" w:type="dxa"/>
            <w:tcBorders>
              <w:top w:val="single" w:color="auto" w:sz="4" w:space="0"/>
              <w:left w:val="single" w:color="auto" w:sz="4" w:space="0"/>
              <w:bottom w:val="single" w:color="auto" w:sz="4" w:space="0"/>
              <w:right w:val="single" w:color="auto" w:sz="4" w:space="0"/>
            </w:tcBorders>
            <w:noWrap/>
            <w:hideMark/>
          </w:tcPr>
          <w:p w:rsidR="007253C8" w:rsidP="00301BD8" w:rsidRDefault="007253C8" w14:paraId="05E72763" w14:textId="77777777">
            <w:pPr>
              <w:pStyle w:val="TableText"/>
            </w:pPr>
            <w:r>
              <w:t>Detailed Inspections of Dist. Equip.</w:t>
            </w:r>
          </w:p>
        </w:tc>
        <w:tc>
          <w:tcPr>
            <w:tcW w:w="1436" w:type="dxa"/>
            <w:tcBorders>
              <w:top w:val="single" w:color="auto" w:sz="4" w:space="0"/>
              <w:left w:val="nil"/>
              <w:bottom w:val="single" w:color="auto" w:sz="4" w:space="0"/>
              <w:right w:val="single" w:color="auto" w:sz="4" w:space="0"/>
            </w:tcBorders>
            <w:noWrap/>
            <w:hideMark/>
          </w:tcPr>
          <w:p w:rsidR="007253C8" w:rsidP="00301BD8" w:rsidRDefault="007253C8" w14:paraId="0FDEACE0" w14:textId="77777777">
            <w:pPr>
              <w:pStyle w:val="TableText"/>
            </w:pPr>
            <w:r>
              <w:t xml:space="preserve">74,595 </w:t>
            </w:r>
          </w:p>
        </w:tc>
        <w:tc>
          <w:tcPr>
            <w:tcW w:w="990" w:type="dxa"/>
            <w:tcBorders>
              <w:top w:val="single" w:color="auto" w:sz="4" w:space="0"/>
              <w:left w:val="nil"/>
              <w:bottom w:val="single" w:color="auto" w:sz="4" w:space="0"/>
              <w:right w:val="single" w:color="auto" w:sz="4" w:space="0"/>
            </w:tcBorders>
            <w:noWrap/>
            <w:hideMark/>
          </w:tcPr>
          <w:p w:rsidR="007253C8" w:rsidP="00301BD8" w:rsidRDefault="007253C8" w14:paraId="6C9AD1C8" w14:textId="77777777">
            <w:pPr>
              <w:pStyle w:val="TableText"/>
            </w:pPr>
            <w:r>
              <w:t xml:space="preserve">$608 </w:t>
            </w:r>
          </w:p>
        </w:tc>
        <w:tc>
          <w:tcPr>
            <w:tcW w:w="870" w:type="dxa"/>
            <w:tcBorders>
              <w:top w:val="single" w:color="auto" w:sz="4" w:space="0"/>
              <w:left w:val="nil"/>
              <w:bottom w:val="single" w:color="auto" w:sz="4" w:space="0"/>
              <w:right w:val="single" w:color="auto" w:sz="4" w:space="0"/>
            </w:tcBorders>
            <w:noWrap/>
            <w:hideMark/>
          </w:tcPr>
          <w:p w:rsidR="007253C8" w:rsidP="00301BD8" w:rsidRDefault="007253C8" w14:paraId="0A6EDFA5" w14:textId="77777777">
            <w:pPr>
              <w:pStyle w:val="TableText"/>
            </w:pPr>
            <w:r>
              <w:t xml:space="preserve">$540 </w:t>
            </w:r>
          </w:p>
        </w:tc>
        <w:tc>
          <w:tcPr>
            <w:tcW w:w="1245" w:type="dxa"/>
            <w:tcBorders>
              <w:top w:val="single" w:color="auto" w:sz="4" w:space="0"/>
              <w:left w:val="nil"/>
              <w:bottom w:val="single" w:color="auto" w:sz="4" w:space="0"/>
              <w:right w:val="single" w:color="auto" w:sz="4" w:space="0"/>
            </w:tcBorders>
            <w:noWrap/>
            <w:hideMark/>
          </w:tcPr>
          <w:p w:rsidR="007253C8" w:rsidP="00301BD8" w:rsidRDefault="007253C8" w14:paraId="5A866554" w14:textId="77777777">
            <w:pPr>
              <w:pStyle w:val="TableText"/>
            </w:pPr>
            <w:r>
              <w:t xml:space="preserve">$520 </w:t>
            </w:r>
          </w:p>
        </w:tc>
        <w:tc>
          <w:tcPr>
            <w:tcW w:w="1157" w:type="dxa"/>
            <w:tcBorders>
              <w:top w:val="single" w:color="auto" w:sz="4" w:space="0"/>
              <w:left w:val="nil"/>
              <w:bottom w:val="single" w:color="auto" w:sz="4" w:space="0"/>
              <w:right w:val="single" w:color="auto" w:sz="4" w:space="0"/>
            </w:tcBorders>
            <w:noWrap/>
            <w:hideMark/>
          </w:tcPr>
          <w:p w:rsidR="007253C8" w:rsidP="00301BD8" w:rsidRDefault="007253C8" w14:paraId="70EA1DAE" w14:textId="77777777">
            <w:pPr>
              <w:pStyle w:val="TableText"/>
            </w:pPr>
            <w:r>
              <w:t xml:space="preserve">$586 </w:t>
            </w:r>
          </w:p>
        </w:tc>
        <w:tc>
          <w:tcPr>
            <w:tcW w:w="1256" w:type="dxa"/>
            <w:tcBorders>
              <w:top w:val="single" w:color="auto" w:sz="4" w:space="0"/>
              <w:left w:val="nil"/>
              <w:bottom w:val="single" w:color="auto" w:sz="4" w:space="0"/>
              <w:right w:val="single" w:color="auto" w:sz="4" w:space="0"/>
            </w:tcBorders>
            <w:noWrap/>
            <w:hideMark/>
          </w:tcPr>
          <w:p w:rsidR="007253C8" w:rsidP="00301BD8" w:rsidRDefault="007253C8" w14:paraId="60819811" w14:textId="77777777">
            <w:pPr>
              <w:pStyle w:val="TableText"/>
            </w:pPr>
            <w:r>
              <w:t xml:space="preserve">$560 </w:t>
            </w:r>
          </w:p>
        </w:tc>
      </w:tr>
      <w:tr w:rsidR="007253C8" w:rsidTr="009F3AAA" w14:paraId="5CE536CE" w14:textId="77777777">
        <w:trPr>
          <w:cantSplit/>
          <w:trHeight w:val="320"/>
          <w:tblHeader/>
        </w:trPr>
        <w:tc>
          <w:tcPr>
            <w:tcW w:w="2969" w:type="dxa"/>
            <w:tcBorders>
              <w:top w:val="nil"/>
              <w:left w:val="single" w:color="auto" w:sz="4" w:space="0"/>
              <w:bottom w:val="single" w:color="auto" w:sz="4" w:space="0"/>
              <w:right w:val="single" w:color="auto" w:sz="4" w:space="0"/>
            </w:tcBorders>
            <w:noWrap/>
            <w:hideMark/>
          </w:tcPr>
          <w:p w:rsidR="007253C8" w:rsidP="00301BD8" w:rsidRDefault="007253C8" w14:paraId="15378051" w14:textId="77777777">
            <w:pPr>
              <w:pStyle w:val="TableText"/>
            </w:pPr>
            <w:r>
              <w:t xml:space="preserve">Detailed Inspections of Dist. </w:t>
            </w:r>
            <w:proofErr w:type="spellStart"/>
            <w:r>
              <w:t>Underbuild</w:t>
            </w:r>
            <w:proofErr w:type="spellEnd"/>
          </w:p>
        </w:tc>
        <w:tc>
          <w:tcPr>
            <w:tcW w:w="1436" w:type="dxa"/>
            <w:tcBorders>
              <w:top w:val="nil"/>
              <w:left w:val="nil"/>
              <w:bottom w:val="single" w:color="auto" w:sz="4" w:space="0"/>
              <w:right w:val="single" w:color="auto" w:sz="4" w:space="0"/>
            </w:tcBorders>
            <w:noWrap/>
            <w:hideMark/>
          </w:tcPr>
          <w:p w:rsidR="007253C8" w:rsidP="00301BD8" w:rsidRDefault="007253C8" w14:paraId="0D4257CE" w14:textId="77777777">
            <w:pPr>
              <w:pStyle w:val="TableText"/>
            </w:pPr>
            <w:r>
              <w:t xml:space="preserve">6,959 </w:t>
            </w:r>
          </w:p>
        </w:tc>
        <w:tc>
          <w:tcPr>
            <w:tcW w:w="990" w:type="dxa"/>
            <w:tcBorders>
              <w:top w:val="nil"/>
              <w:left w:val="nil"/>
              <w:bottom w:val="single" w:color="auto" w:sz="4" w:space="0"/>
              <w:right w:val="single" w:color="auto" w:sz="4" w:space="0"/>
            </w:tcBorders>
            <w:noWrap/>
            <w:hideMark/>
          </w:tcPr>
          <w:p w:rsidR="007253C8" w:rsidP="00301BD8" w:rsidRDefault="007253C8" w14:paraId="452F2C0A" w14:textId="77777777">
            <w:pPr>
              <w:pStyle w:val="TableText"/>
            </w:pPr>
            <w:r>
              <w:t>n/a</w:t>
            </w:r>
          </w:p>
        </w:tc>
        <w:tc>
          <w:tcPr>
            <w:tcW w:w="870" w:type="dxa"/>
            <w:tcBorders>
              <w:top w:val="nil"/>
              <w:left w:val="nil"/>
              <w:bottom w:val="single" w:color="auto" w:sz="4" w:space="0"/>
              <w:right w:val="single" w:color="auto" w:sz="4" w:space="0"/>
            </w:tcBorders>
            <w:noWrap/>
            <w:hideMark/>
          </w:tcPr>
          <w:p w:rsidR="007253C8" w:rsidP="00301BD8" w:rsidRDefault="007253C8" w14:paraId="3DB949EF" w14:textId="77777777">
            <w:pPr>
              <w:pStyle w:val="TableText"/>
            </w:pPr>
            <w:r>
              <w:t xml:space="preserve">$359 </w:t>
            </w:r>
          </w:p>
        </w:tc>
        <w:tc>
          <w:tcPr>
            <w:tcW w:w="1245" w:type="dxa"/>
            <w:tcBorders>
              <w:top w:val="nil"/>
              <w:left w:val="nil"/>
              <w:bottom w:val="single" w:color="auto" w:sz="4" w:space="0"/>
              <w:right w:val="single" w:color="auto" w:sz="4" w:space="0"/>
            </w:tcBorders>
            <w:noWrap/>
            <w:hideMark/>
          </w:tcPr>
          <w:p w:rsidR="007253C8" w:rsidP="00301BD8" w:rsidRDefault="007253C8" w14:paraId="0856288C" w14:textId="77777777">
            <w:pPr>
              <w:pStyle w:val="TableText"/>
            </w:pPr>
            <w:r>
              <w:t xml:space="preserve">$234 </w:t>
            </w:r>
          </w:p>
        </w:tc>
        <w:tc>
          <w:tcPr>
            <w:tcW w:w="1157" w:type="dxa"/>
            <w:tcBorders>
              <w:top w:val="nil"/>
              <w:left w:val="nil"/>
              <w:bottom w:val="single" w:color="auto" w:sz="4" w:space="0"/>
              <w:right w:val="single" w:color="auto" w:sz="4" w:space="0"/>
            </w:tcBorders>
            <w:noWrap/>
            <w:hideMark/>
          </w:tcPr>
          <w:p w:rsidR="007253C8" w:rsidP="00301BD8" w:rsidRDefault="007253C8" w14:paraId="6C5E4AB7" w14:textId="77777777">
            <w:pPr>
              <w:pStyle w:val="TableText"/>
            </w:pPr>
            <w:r>
              <w:t xml:space="preserve">$314 </w:t>
            </w:r>
          </w:p>
        </w:tc>
        <w:tc>
          <w:tcPr>
            <w:tcW w:w="1256" w:type="dxa"/>
            <w:tcBorders>
              <w:top w:val="nil"/>
              <w:left w:val="nil"/>
              <w:bottom w:val="single" w:color="auto" w:sz="4" w:space="0"/>
              <w:right w:val="single" w:color="auto" w:sz="4" w:space="0"/>
            </w:tcBorders>
            <w:noWrap/>
            <w:hideMark/>
          </w:tcPr>
          <w:p w:rsidR="007253C8" w:rsidP="00301BD8" w:rsidRDefault="007253C8" w14:paraId="78652FBC" w14:textId="77777777">
            <w:pPr>
              <w:pStyle w:val="TableText"/>
            </w:pPr>
            <w:r>
              <w:t>$309</w:t>
            </w:r>
          </w:p>
        </w:tc>
      </w:tr>
      <w:tr w:rsidR="007253C8" w:rsidTr="009F3AAA" w14:paraId="22E417D2" w14:textId="77777777">
        <w:trPr>
          <w:cantSplit/>
          <w:trHeight w:val="320"/>
          <w:tblHeader/>
        </w:trPr>
        <w:tc>
          <w:tcPr>
            <w:tcW w:w="2969" w:type="dxa"/>
            <w:tcBorders>
              <w:top w:val="nil"/>
              <w:left w:val="single" w:color="auto" w:sz="4" w:space="0"/>
              <w:bottom w:val="single" w:color="auto" w:sz="4" w:space="0"/>
              <w:right w:val="single" w:color="auto" w:sz="4" w:space="0"/>
            </w:tcBorders>
            <w:noWrap/>
            <w:hideMark/>
          </w:tcPr>
          <w:p w:rsidR="007253C8" w:rsidP="00301BD8" w:rsidRDefault="007253C8" w14:paraId="6074723F" w14:textId="77777777">
            <w:pPr>
              <w:pStyle w:val="TableText"/>
            </w:pPr>
            <w:r>
              <w:t>HFTD Tier 3 Inspections</w:t>
            </w:r>
          </w:p>
        </w:tc>
        <w:tc>
          <w:tcPr>
            <w:tcW w:w="1436" w:type="dxa"/>
            <w:tcBorders>
              <w:top w:val="nil"/>
              <w:left w:val="nil"/>
              <w:bottom w:val="single" w:color="auto" w:sz="4" w:space="0"/>
              <w:right w:val="single" w:color="auto" w:sz="4" w:space="0"/>
            </w:tcBorders>
            <w:noWrap/>
            <w:hideMark/>
          </w:tcPr>
          <w:p w:rsidR="007253C8" w:rsidP="00301BD8" w:rsidRDefault="007253C8" w14:paraId="6E4FCCED" w14:textId="77777777">
            <w:pPr>
              <w:pStyle w:val="TableText"/>
            </w:pPr>
            <w:r>
              <w:t xml:space="preserve">47,930 </w:t>
            </w:r>
          </w:p>
        </w:tc>
        <w:tc>
          <w:tcPr>
            <w:tcW w:w="990" w:type="dxa"/>
            <w:tcBorders>
              <w:top w:val="nil"/>
              <w:left w:val="nil"/>
              <w:bottom w:val="single" w:color="auto" w:sz="4" w:space="0"/>
              <w:right w:val="single" w:color="auto" w:sz="4" w:space="0"/>
            </w:tcBorders>
            <w:noWrap/>
            <w:hideMark/>
          </w:tcPr>
          <w:p w:rsidR="007253C8" w:rsidP="00301BD8" w:rsidRDefault="007253C8" w14:paraId="06758B79" w14:textId="77777777">
            <w:pPr>
              <w:pStyle w:val="TableText"/>
            </w:pPr>
            <w:r>
              <w:t xml:space="preserve">$118 </w:t>
            </w:r>
          </w:p>
        </w:tc>
        <w:tc>
          <w:tcPr>
            <w:tcW w:w="870" w:type="dxa"/>
            <w:tcBorders>
              <w:top w:val="nil"/>
              <w:left w:val="nil"/>
              <w:bottom w:val="single" w:color="auto" w:sz="4" w:space="0"/>
              <w:right w:val="single" w:color="auto" w:sz="4" w:space="0"/>
            </w:tcBorders>
            <w:noWrap/>
            <w:hideMark/>
          </w:tcPr>
          <w:p w:rsidR="007253C8" w:rsidP="00301BD8" w:rsidRDefault="007253C8" w14:paraId="66745FAC" w14:textId="77777777">
            <w:pPr>
              <w:pStyle w:val="TableText"/>
            </w:pPr>
            <w:r>
              <w:t xml:space="preserve">$115 </w:t>
            </w:r>
          </w:p>
        </w:tc>
        <w:tc>
          <w:tcPr>
            <w:tcW w:w="1245" w:type="dxa"/>
            <w:tcBorders>
              <w:top w:val="nil"/>
              <w:left w:val="nil"/>
              <w:bottom w:val="single" w:color="auto" w:sz="4" w:space="0"/>
              <w:right w:val="single" w:color="auto" w:sz="4" w:space="0"/>
            </w:tcBorders>
            <w:noWrap/>
            <w:hideMark/>
          </w:tcPr>
          <w:p w:rsidR="007253C8" w:rsidP="00301BD8" w:rsidRDefault="007253C8" w14:paraId="1987249A" w14:textId="77777777">
            <w:pPr>
              <w:pStyle w:val="TableText"/>
            </w:pPr>
            <w:r>
              <w:t xml:space="preserve">$265 </w:t>
            </w:r>
          </w:p>
        </w:tc>
        <w:tc>
          <w:tcPr>
            <w:tcW w:w="1157" w:type="dxa"/>
            <w:tcBorders>
              <w:top w:val="nil"/>
              <w:left w:val="nil"/>
              <w:bottom w:val="single" w:color="auto" w:sz="4" w:space="0"/>
              <w:right w:val="single" w:color="auto" w:sz="4" w:space="0"/>
            </w:tcBorders>
            <w:noWrap/>
            <w:hideMark/>
          </w:tcPr>
          <w:p w:rsidR="007253C8" w:rsidP="00301BD8" w:rsidRDefault="007253C8" w14:paraId="7093D69F" w14:textId="77777777">
            <w:pPr>
              <w:pStyle w:val="TableText"/>
            </w:pPr>
            <w:r>
              <w:t xml:space="preserve">$243 </w:t>
            </w:r>
          </w:p>
        </w:tc>
        <w:tc>
          <w:tcPr>
            <w:tcW w:w="1256" w:type="dxa"/>
            <w:tcBorders>
              <w:top w:val="nil"/>
              <w:left w:val="nil"/>
              <w:bottom w:val="single" w:color="auto" w:sz="4" w:space="0"/>
              <w:right w:val="single" w:color="auto" w:sz="4" w:space="0"/>
            </w:tcBorders>
            <w:noWrap/>
            <w:hideMark/>
          </w:tcPr>
          <w:p w:rsidR="007253C8" w:rsidP="00301BD8" w:rsidRDefault="007253C8" w14:paraId="729D982E" w14:textId="77777777">
            <w:pPr>
              <w:pStyle w:val="TableText"/>
            </w:pPr>
            <w:r>
              <w:t xml:space="preserve">$187 </w:t>
            </w:r>
          </w:p>
        </w:tc>
      </w:tr>
      <w:tr w:rsidR="007253C8" w:rsidTr="009F3AAA" w14:paraId="1443DDC8" w14:textId="77777777">
        <w:trPr>
          <w:cantSplit/>
          <w:trHeight w:val="340"/>
          <w:tblHeader/>
        </w:trPr>
        <w:tc>
          <w:tcPr>
            <w:tcW w:w="2969" w:type="dxa"/>
            <w:tcBorders>
              <w:top w:val="nil"/>
              <w:left w:val="single" w:color="auto" w:sz="4" w:space="0"/>
              <w:bottom w:val="single" w:color="auto" w:sz="4" w:space="0"/>
              <w:right w:val="single" w:color="auto" w:sz="4" w:space="0"/>
            </w:tcBorders>
            <w:noWrap/>
            <w:hideMark/>
          </w:tcPr>
          <w:p w:rsidR="007253C8" w:rsidP="00301BD8" w:rsidRDefault="007253C8" w14:paraId="2372978D" w14:textId="77777777">
            <w:pPr>
              <w:pStyle w:val="TableText"/>
            </w:pPr>
            <w:r>
              <w:t>Intrusive Pole Inspections</w:t>
            </w:r>
          </w:p>
        </w:tc>
        <w:tc>
          <w:tcPr>
            <w:tcW w:w="1436" w:type="dxa"/>
            <w:tcBorders>
              <w:top w:val="nil"/>
              <w:left w:val="nil"/>
              <w:bottom w:val="single" w:color="auto" w:sz="4" w:space="0"/>
              <w:right w:val="single" w:color="auto" w:sz="4" w:space="0"/>
            </w:tcBorders>
            <w:noWrap/>
            <w:hideMark/>
          </w:tcPr>
          <w:p w:rsidR="007253C8" w:rsidP="00301BD8" w:rsidRDefault="007253C8" w14:paraId="7E2CC1E7" w14:textId="77777777">
            <w:pPr>
              <w:pStyle w:val="TableText"/>
            </w:pPr>
            <w:r>
              <w:t xml:space="preserve">43,867 </w:t>
            </w:r>
          </w:p>
        </w:tc>
        <w:tc>
          <w:tcPr>
            <w:tcW w:w="990" w:type="dxa"/>
            <w:tcBorders>
              <w:top w:val="nil"/>
              <w:left w:val="nil"/>
              <w:bottom w:val="single" w:color="auto" w:sz="4" w:space="0"/>
              <w:right w:val="single" w:color="auto" w:sz="4" w:space="0"/>
            </w:tcBorders>
            <w:noWrap/>
            <w:hideMark/>
          </w:tcPr>
          <w:p w:rsidR="007253C8" w:rsidP="00301BD8" w:rsidRDefault="007253C8" w14:paraId="1617B847" w14:textId="77777777">
            <w:pPr>
              <w:pStyle w:val="TableText"/>
            </w:pPr>
            <w:r>
              <w:t xml:space="preserve">$96 </w:t>
            </w:r>
          </w:p>
        </w:tc>
        <w:tc>
          <w:tcPr>
            <w:tcW w:w="870" w:type="dxa"/>
            <w:tcBorders>
              <w:top w:val="nil"/>
              <w:left w:val="nil"/>
              <w:bottom w:val="single" w:color="auto" w:sz="4" w:space="0"/>
              <w:right w:val="single" w:color="auto" w:sz="4" w:space="0"/>
            </w:tcBorders>
            <w:noWrap/>
            <w:hideMark/>
          </w:tcPr>
          <w:p w:rsidR="007253C8" w:rsidP="00301BD8" w:rsidRDefault="007253C8" w14:paraId="27052AED" w14:textId="77777777">
            <w:pPr>
              <w:pStyle w:val="TableText"/>
            </w:pPr>
            <w:r>
              <w:t xml:space="preserve">$103 </w:t>
            </w:r>
          </w:p>
        </w:tc>
        <w:tc>
          <w:tcPr>
            <w:tcW w:w="1245" w:type="dxa"/>
            <w:tcBorders>
              <w:top w:val="nil"/>
              <w:left w:val="nil"/>
              <w:bottom w:val="single" w:color="auto" w:sz="4" w:space="0"/>
              <w:right w:val="single" w:color="auto" w:sz="4" w:space="0"/>
            </w:tcBorders>
            <w:noWrap/>
            <w:hideMark/>
          </w:tcPr>
          <w:p w:rsidRPr="00923A40" w:rsidR="007253C8" w:rsidP="00301BD8" w:rsidRDefault="007253C8" w14:paraId="0C4C833E" w14:textId="77777777">
            <w:pPr>
              <w:pStyle w:val="TableText"/>
            </w:pPr>
            <w:r w:rsidRPr="00923A40">
              <w:t xml:space="preserve">$323 </w:t>
            </w:r>
          </w:p>
        </w:tc>
        <w:tc>
          <w:tcPr>
            <w:tcW w:w="1157" w:type="dxa"/>
            <w:tcBorders>
              <w:top w:val="nil"/>
              <w:left w:val="nil"/>
              <w:bottom w:val="single" w:color="auto" w:sz="4" w:space="0"/>
              <w:right w:val="single" w:color="auto" w:sz="4" w:space="0"/>
            </w:tcBorders>
            <w:noWrap/>
            <w:hideMark/>
          </w:tcPr>
          <w:p w:rsidR="007253C8" w:rsidP="00301BD8" w:rsidRDefault="007253C8" w14:paraId="6E539D63" w14:textId="77777777">
            <w:pPr>
              <w:pStyle w:val="TableText"/>
              <w:rPr>
                <w:color w:val="FF0000"/>
              </w:rPr>
            </w:pPr>
            <w:r w:rsidRPr="18124A6B">
              <w:t>$1,949</w:t>
            </w:r>
            <w:r>
              <w:rPr>
                <w:color w:val="FF0000"/>
              </w:rPr>
              <w:t xml:space="preserve"> </w:t>
            </w:r>
          </w:p>
        </w:tc>
        <w:tc>
          <w:tcPr>
            <w:tcW w:w="1256" w:type="dxa"/>
            <w:tcBorders>
              <w:top w:val="nil"/>
              <w:left w:val="nil"/>
              <w:bottom w:val="single" w:color="auto" w:sz="4" w:space="0"/>
              <w:right w:val="single" w:color="auto" w:sz="4" w:space="0"/>
            </w:tcBorders>
            <w:noWrap/>
            <w:hideMark/>
          </w:tcPr>
          <w:p w:rsidR="007253C8" w:rsidP="00301BD8" w:rsidRDefault="007253C8" w14:paraId="18C9E431" w14:textId="77777777">
            <w:pPr>
              <w:pStyle w:val="TableText"/>
            </w:pPr>
            <w:r>
              <w:t xml:space="preserve">$184 </w:t>
            </w:r>
          </w:p>
        </w:tc>
      </w:tr>
      <w:tr w:rsidR="007253C8" w:rsidTr="009F3AAA" w14:paraId="428B241F" w14:textId="77777777">
        <w:trPr>
          <w:cantSplit/>
          <w:trHeight w:val="320"/>
          <w:tblHeader/>
        </w:trPr>
        <w:tc>
          <w:tcPr>
            <w:tcW w:w="2969" w:type="dxa"/>
            <w:tcBorders>
              <w:top w:val="nil"/>
              <w:left w:val="single" w:color="auto" w:sz="4" w:space="0"/>
              <w:bottom w:val="single" w:color="auto" w:sz="4" w:space="0"/>
              <w:right w:val="single" w:color="auto" w:sz="4" w:space="0"/>
            </w:tcBorders>
            <w:noWrap/>
            <w:hideMark/>
          </w:tcPr>
          <w:p w:rsidR="007253C8" w:rsidP="00301BD8" w:rsidRDefault="007253C8" w14:paraId="0A9FFB0E" w14:textId="77777777">
            <w:pPr>
              <w:pStyle w:val="TableText"/>
            </w:pPr>
            <w:r>
              <w:t>IR Inspections of Dist. Infrastructure</w:t>
            </w:r>
          </w:p>
        </w:tc>
        <w:tc>
          <w:tcPr>
            <w:tcW w:w="1436" w:type="dxa"/>
            <w:tcBorders>
              <w:top w:val="nil"/>
              <w:left w:val="nil"/>
              <w:bottom w:val="single" w:color="auto" w:sz="4" w:space="0"/>
              <w:right w:val="single" w:color="auto" w:sz="4" w:space="0"/>
            </w:tcBorders>
            <w:noWrap/>
            <w:hideMark/>
          </w:tcPr>
          <w:p w:rsidR="007253C8" w:rsidP="00301BD8" w:rsidRDefault="007253C8" w14:paraId="366F00CF" w14:textId="77777777">
            <w:pPr>
              <w:pStyle w:val="TableText"/>
            </w:pPr>
            <w:r>
              <w:t xml:space="preserve">42,409 </w:t>
            </w:r>
          </w:p>
        </w:tc>
        <w:tc>
          <w:tcPr>
            <w:tcW w:w="990" w:type="dxa"/>
            <w:tcBorders>
              <w:top w:val="nil"/>
              <w:left w:val="nil"/>
              <w:bottom w:val="single" w:color="auto" w:sz="4" w:space="0"/>
              <w:right w:val="single" w:color="auto" w:sz="4" w:space="0"/>
            </w:tcBorders>
            <w:noWrap/>
            <w:hideMark/>
          </w:tcPr>
          <w:p w:rsidR="007253C8" w:rsidP="00301BD8" w:rsidRDefault="007253C8" w14:paraId="5B7ECBEE" w14:textId="77777777">
            <w:pPr>
              <w:pStyle w:val="TableText"/>
            </w:pPr>
            <w:r>
              <w:t>n/a</w:t>
            </w:r>
          </w:p>
        </w:tc>
        <w:tc>
          <w:tcPr>
            <w:tcW w:w="870" w:type="dxa"/>
            <w:tcBorders>
              <w:top w:val="nil"/>
              <w:left w:val="nil"/>
              <w:bottom w:val="single" w:color="auto" w:sz="4" w:space="0"/>
              <w:right w:val="single" w:color="auto" w:sz="4" w:space="0"/>
            </w:tcBorders>
            <w:noWrap/>
            <w:hideMark/>
          </w:tcPr>
          <w:p w:rsidR="007253C8" w:rsidP="00301BD8" w:rsidRDefault="007253C8" w14:paraId="2A625549" w14:textId="77777777">
            <w:pPr>
              <w:pStyle w:val="TableText"/>
            </w:pPr>
            <w:r>
              <w:t xml:space="preserve">$13 </w:t>
            </w:r>
          </w:p>
        </w:tc>
        <w:tc>
          <w:tcPr>
            <w:tcW w:w="1245" w:type="dxa"/>
            <w:tcBorders>
              <w:top w:val="nil"/>
              <w:left w:val="nil"/>
              <w:bottom w:val="single" w:color="auto" w:sz="4" w:space="0"/>
              <w:right w:val="single" w:color="auto" w:sz="4" w:space="0"/>
            </w:tcBorders>
            <w:noWrap/>
            <w:hideMark/>
          </w:tcPr>
          <w:p w:rsidR="007253C8" w:rsidP="00301BD8" w:rsidRDefault="007253C8" w14:paraId="196E939C" w14:textId="77777777">
            <w:pPr>
              <w:pStyle w:val="TableText"/>
            </w:pPr>
            <w:r>
              <w:t xml:space="preserve">$9 </w:t>
            </w:r>
          </w:p>
        </w:tc>
        <w:tc>
          <w:tcPr>
            <w:tcW w:w="1157" w:type="dxa"/>
            <w:tcBorders>
              <w:top w:val="nil"/>
              <w:left w:val="nil"/>
              <w:bottom w:val="single" w:color="auto" w:sz="4" w:space="0"/>
              <w:right w:val="single" w:color="auto" w:sz="4" w:space="0"/>
            </w:tcBorders>
            <w:noWrap/>
            <w:hideMark/>
          </w:tcPr>
          <w:p w:rsidR="007253C8" w:rsidP="00301BD8" w:rsidRDefault="007253C8" w14:paraId="42218317" w14:textId="77777777">
            <w:pPr>
              <w:pStyle w:val="TableText"/>
            </w:pPr>
            <w:r>
              <w:t xml:space="preserve">$13 </w:t>
            </w:r>
          </w:p>
        </w:tc>
        <w:tc>
          <w:tcPr>
            <w:tcW w:w="1256" w:type="dxa"/>
            <w:tcBorders>
              <w:top w:val="nil"/>
              <w:left w:val="nil"/>
              <w:bottom w:val="single" w:color="auto" w:sz="4" w:space="0"/>
              <w:right w:val="single" w:color="auto" w:sz="4" w:space="0"/>
            </w:tcBorders>
            <w:noWrap/>
            <w:hideMark/>
          </w:tcPr>
          <w:p w:rsidR="007253C8" w:rsidP="00301BD8" w:rsidRDefault="007253C8" w14:paraId="1AAEE4C5" w14:textId="77777777">
            <w:pPr>
              <w:pStyle w:val="TableText"/>
            </w:pPr>
            <w:r>
              <w:t xml:space="preserve">$14 </w:t>
            </w:r>
          </w:p>
        </w:tc>
      </w:tr>
      <w:tr w:rsidR="007253C8" w:rsidTr="009F3AAA" w14:paraId="2FB40B43" w14:textId="77777777">
        <w:trPr>
          <w:cantSplit/>
          <w:trHeight w:val="320"/>
          <w:tblHeader/>
        </w:trPr>
        <w:tc>
          <w:tcPr>
            <w:tcW w:w="2969" w:type="dxa"/>
            <w:tcBorders>
              <w:top w:val="single" w:color="auto" w:sz="4" w:space="0"/>
              <w:left w:val="single" w:color="auto" w:sz="4" w:space="0"/>
              <w:bottom w:val="single" w:color="auto" w:sz="4" w:space="0"/>
              <w:right w:val="single" w:color="auto" w:sz="4" w:space="0"/>
            </w:tcBorders>
            <w:noWrap/>
            <w:hideMark/>
          </w:tcPr>
          <w:p w:rsidR="007253C8" w:rsidP="00301BD8" w:rsidRDefault="007253C8" w14:paraId="6EF588D5" w14:textId="77777777">
            <w:pPr>
              <w:pStyle w:val="TableText"/>
            </w:pPr>
            <w:r>
              <w:t>Patrol Inspections of Dist. Equip.</w:t>
            </w:r>
          </w:p>
        </w:tc>
        <w:tc>
          <w:tcPr>
            <w:tcW w:w="1436" w:type="dxa"/>
            <w:tcBorders>
              <w:top w:val="single" w:color="auto" w:sz="4" w:space="0"/>
              <w:left w:val="nil"/>
              <w:bottom w:val="single" w:color="auto" w:sz="4" w:space="0"/>
              <w:right w:val="single" w:color="auto" w:sz="4" w:space="0"/>
            </w:tcBorders>
            <w:noWrap/>
            <w:hideMark/>
          </w:tcPr>
          <w:p w:rsidRPr="00923A40" w:rsidR="007253C8" w:rsidP="00301BD8" w:rsidRDefault="007253C8" w14:paraId="5C8F4FD5" w14:textId="77777777">
            <w:pPr>
              <w:pStyle w:val="TableText"/>
              <w:rPr>
                <w:b/>
              </w:rPr>
            </w:pPr>
            <w:r w:rsidRPr="18124A6B">
              <w:rPr>
                <w:color w:val="000000" w:themeColor="text1"/>
              </w:rPr>
              <w:t>345,876</w:t>
            </w:r>
            <w:r w:rsidRPr="18124A6B">
              <w:rPr>
                <w:b/>
                <w:color w:val="000000" w:themeColor="text1"/>
              </w:rPr>
              <w:t xml:space="preserve"> </w:t>
            </w:r>
          </w:p>
        </w:tc>
        <w:tc>
          <w:tcPr>
            <w:tcW w:w="990" w:type="dxa"/>
            <w:tcBorders>
              <w:top w:val="single" w:color="auto" w:sz="4" w:space="0"/>
              <w:left w:val="nil"/>
              <w:bottom w:val="single" w:color="auto" w:sz="4" w:space="0"/>
              <w:right w:val="single" w:color="auto" w:sz="4" w:space="0"/>
            </w:tcBorders>
            <w:noWrap/>
            <w:hideMark/>
          </w:tcPr>
          <w:p w:rsidR="007253C8" w:rsidP="00301BD8" w:rsidRDefault="007253C8" w14:paraId="00F69359" w14:textId="77777777">
            <w:pPr>
              <w:pStyle w:val="TableText"/>
            </w:pPr>
            <w:r>
              <w:t xml:space="preserve">$10 </w:t>
            </w:r>
          </w:p>
        </w:tc>
        <w:tc>
          <w:tcPr>
            <w:tcW w:w="870" w:type="dxa"/>
            <w:tcBorders>
              <w:top w:val="single" w:color="auto" w:sz="4" w:space="0"/>
              <w:left w:val="nil"/>
              <w:bottom w:val="single" w:color="auto" w:sz="4" w:space="0"/>
              <w:right w:val="single" w:color="auto" w:sz="4" w:space="0"/>
            </w:tcBorders>
            <w:noWrap/>
            <w:hideMark/>
          </w:tcPr>
          <w:p w:rsidR="007253C8" w:rsidP="00301BD8" w:rsidRDefault="007253C8" w14:paraId="0E7F5F34" w14:textId="77777777">
            <w:pPr>
              <w:pStyle w:val="TableText"/>
            </w:pPr>
            <w:r>
              <w:t xml:space="preserve">$10 </w:t>
            </w:r>
          </w:p>
        </w:tc>
        <w:tc>
          <w:tcPr>
            <w:tcW w:w="1245" w:type="dxa"/>
            <w:tcBorders>
              <w:top w:val="single" w:color="auto" w:sz="4" w:space="0"/>
              <w:left w:val="nil"/>
              <w:bottom w:val="single" w:color="auto" w:sz="4" w:space="0"/>
              <w:right w:val="single" w:color="auto" w:sz="4" w:space="0"/>
            </w:tcBorders>
            <w:noWrap/>
            <w:hideMark/>
          </w:tcPr>
          <w:p w:rsidR="007253C8" w:rsidP="00301BD8" w:rsidRDefault="007253C8" w14:paraId="47740544" w14:textId="77777777">
            <w:pPr>
              <w:pStyle w:val="TableText"/>
            </w:pPr>
            <w:r>
              <w:t xml:space="preserve">$14 </w:t>
            </w:r>
          </w:p>
        </w:tc>
        <w:tc>
          <w:tcPr>
            <w:tcW w:w="1157" w:type="dxa"/>
            <w:tcBorders>
              <w:top w:val="single" w:color="auto" w:sz="4" w:space="0"/>
              <w:left w:val="nil"/>
              <w:bottom w:val="single" w:color="auto" w:sz="4" w:space="0"/>
              <w:right w:val="single" w:color="auto" w:sz="4" w:space="0"/>
            </w:tcBorders>
            <w:noWrap/>
            <w:hideMark/>
          </w:tcPr>
          <w:p w:rsidR="007253C8" w:rsidP="00301BD8" w:rsidRDefault="007253C8" w14:paraId="48FAC999" w14:textId="77777777">
            <w:pPr>
              <w:pStyle w:val="TableText"/>
            </w:pPr>
            <w:r>
              <w:t xml:space="preserve">$13 </w:t>
            </w:r>
          </w:p>
        </w:tc>
        <w:tc>
          <w:tcPr>
            <w:tcW w:w="1256" w:type="dxa"/>
            <w:tcBorders>
              <w:top w:val="single" w:color="auto" w:sz="4" w:space="0"/>
              <w:left w:val="nil"/>
              <w:bottom w:val="single" w:color="auto" w:sz="4" w:space="0"/>
              <w:right w:val="single" w:color="auto" w:sz="4" w:space="0"/>
            </w:tcBorders>
            <w:noWrap/>
            <w:hideMark/>
          </w:tcPr>
          <w:p w:rsidR="007253C8" w:rsidP="00301BD8" w:rsidRDefault="007253C8" w14:paraId="5814C41A" w14:textId="77777777">
            <w:pPr>
              <w:pStyle w:val="TableText"/>
            </w:pPr>
            <w:r>
              <w:t xml:space="preserve">$12 </w:t>
            </w:r>
          </w:p>
        </w:tc>
      </w:tr>
    </w:tbl>
    <w:p w:rsidR="007253C8" w:rsidP="007253C8" w:rsidRDefault="007253C8" w14:paraId="2920DFCF" w14:textId="77777777">
      <w:pPr>
        <w:pStyle w:val="Standard"/>
      </w:pPr>
    </w:p>
    <w:p w:rsidR="007253C8" w:rsidP="007253C8" w:rsidRDefault="007253C8" w14:paraId="6D36D333" w14:textId="065AEC2F">
      <w:pPr>
        <w:pStyle w:val="Standard"/>
      </w:pPr>
      <w:r w:rsidRPr="00C4647D">
        <w:t>The only AM&amp;I initiative identified by PCF to lack reported data on ignitions reduced or avoided is the Circuit Ownership initiative. Each of the remaining seven Asset Management &amp; Inspections initiatives was identified by PCF to possess a relatively high cost per inspection or cost per ignition reduced or avoided.</w:t>
      </w:r>
      <w:r w:rsidRPr="00C4647D">
        <w:rPr>
          <w:vertAlign w:val="superscript"/>
        </w:rPr>
        <w:footnoteReference w:id="207"/>
      </w:r>
      <w:r w:rsidRPr="00C4647D">
        <w:t xml:space="preserve"> SDG&amp;E has performed Detailed Inspections of Distribution Equipment, Detailed Inspections of Distribution </w:t>
      </w:r>
      <w:proofErr w:type="spellStart"/>
      <w:r w:rsidRPr="00C4647D">
        <w:t>Underbuild</w:t>
      </w:r>
      <w:proofErr w:type="spellEnd"/>
      <w:r w:rsidRPr="00C4647D">
        <w:t xml:space="preserve">, Intrusive Pole Inspections, and Patrol Inspections of Distribution Equipment since 1997 as </w:t>
      </w:r>
      <w:r w:rsidRPr="00C4647D">
        <w:lastRenderedPageBreak/>
        <w:t>required by GO 165.</w:t>
      </w:r>
      <w:r w:rsidRPr="00C4647D">
        <w:rPr>
          <w:vertAlign w:val="superscript"/>
        </w:rPr>
        <w:footnoteReference w:id="208"/>
      </w:r>
      <w:r w:rsidRPr="00C4647D">
        <w:t xml:space="preserve"> SDG&amp;E bundles them together under the title Compliance Maintenance Program aka Corrective Maintenance Program (CMP), which helps mitigate wildfire risk by providing additional information about the condition of the electric distribution system, including the HFTD. These four programs, which SDG&amp;E includes in its WMPs,</w:t>
      </w:r>
      <w:r w:rsidRPr="00C4647D">
        <w:rPr>
          <w:vertAlign w:val="superscript"/>
        </w:rPr>
        <w:footnoteReference w:id="209"/>
      </w:r>
      <w:r w:rsidRPr="00C4647D">
        <w:t xml:space="preserve"> are addressed here first.</w:t>
      </w:r>
    </w:p>
    <w:p w:rsidRPr="00DC7539" w:rsidR="007253C8" w:rsidP="00A447AD" w:rsidRDefault="007253C8" w14:paraId="6B5144E9" w14:textId="6C14CC71">
      <w:pPr>
        <w:pStyle w:val="Heading2"/>
        <w:numPr>
          <w:ilvl w:val="1"/>
          <w:numId w:val="18"/>
        </w:numPr>
      </w:pPr>
      <w:bookmarkStart w:name="_Toc213312279" w:id="61"/>
      <w:r w:rsidRPr="00DC7539">
        <w:t>Detailed Inspections of Distribution Equipment</w:t>
      </w:r>
      <w:bookmarkEnd w:id="61"/>
    </w:p>
    <w:p w:rsidRPr="00C4647D" w:rsidR="007253C8" w:rsidP="007253C8" w:rsidRDefault="007253C8" w14:paraId="27CD8260" w14:textId="3B4E6A49">
      <w:pPr>
        <w:pStyle w:val="Standard"/>
      </w:pPr>
      <w:r w:rsidRPr="00C4647D">
        <w:t>General Order 165 requires SDG&amp;E to perform a service territory</w:t>
      </w:r>
      <w:r w:rsidRPr="00C4647D">
        <w:rPr>
          <w:rFonts w:ascii="Cambria Math" w:hAnsi="Cambria Math" w:cs="Cambria Math"/>
        </w:rPr>
        <w:t>‐</w:t>
      </w:r>
      <w:r w:rsidRPr="00C4647D">
        <w:t xml:space="preserve">wide inspection of its electric distribution system. With this information, potential infractions can be addressed before they develop into issues or failures that may result in ignition. </w:t>
      </w:r>
      <w:r>
        <w:t>GO</w:t>
      </w:r>
      <w:r w:rsidRPr="00C4647D">
        <w:t xml:space="preserve"> 165 requires utilities to conduct detailed inspections at a minimum of every 5 years for overhead structures. </w:t>
      </w:r>
      <w:r>
        <w:t>This requirement predates the 2019 Wildfire Legislation</w:t>
      </w:r>
      <w:r w:rsidR="00E70838">
        <w:t>,</w:t>
      </w:r>
      <w:r>
        <w:t xml:space="preserve"> and costs for this work prior to 2019 have been included in rates.</w:t>
      </w:r>
    </w:p>
    <w:p w:rsidRPr="00C4647D" w:rsidR="007253C8" w:rsidP="007253C8" w:rsidRDefault="007253C8" w14:paraId="120F6DBA" w14:textId="77777777">
      <w:pPr>
        <w:pStyle w:val="Standard"/>
      </w:pPr>
      <w:r w:rsidRPr="00C4647D">
        <w:t>Additionally, SDG&amp;E prioritizes detailed inspections in the HFTD prior to fire season. For 2019</w:t>
      </w:r>
      <w:r>
        <w:t>–20</w:t>
      </w:r>
      <w:r w:rsidRPr="00C4647D">
        <w:t>22, an estimated 5.44 ignitions would have occurred if inspections and repairs had not been completed in the prescribed timeframes as part of the 5-year detailed distribution inspection program.</w:t>
      </w:r>
      <w:r w:rsidRPr="00A97C89">
        <w:rPr>
          <w:vertAlign w:val="superscript"/>
        </w:rPr>
        <w:footnoteReference w:id="210"/>
      </w:r>
    </w:p>
    <w:p w:rsidRPr="00C4647D" w:rsidR="007253C8" w:rsidP="007253C8" w:rsidRDefault="007253C8" w14:paraId="74F12BAB" w14:textId="45B49119">
      <w:pPr>
        <w:pStyle w:val="Standard"/>
      </w:pPr>
      <w:r>
        <w:t xml:space="preserve">For Detailed Inspections of Distribution Equipment for the 2019-2022 period, SDG&amp;E seeks direct cost recovery of </w:t>
      </w:r>
      <w:r w:rsidR="0087245C">
        <w:t>$6.383</w:t>
      </w:r>
      <w:r>
        <w:t xml:space="preserve"> million in capital expenditures and underspending of O</w:t>
      </w:r>
      <w:r w:rsidR="00E70838">
        <w:t>&amp;M</w:t>
      </w:r>
      <w:r>
        <w:t xml:space="preserve"> </w:t>
      </w:r>
      <w:r w:rsidR="00E70838">
        <w:t>e</w:t>
      </w:r>
      <w:r>
        <w:t>xpenses of $45.998 million.</w:t>
      </w:r>
      <w:r>
        <w:rPr>
          <w:rStyle w:val="FootnoteReference"/>
        </w:rPr>
        <w:footnoteReference w:id="211"/>
      </w:r>
    </w:p>
    <w:p w:rsidRPr="00C4647D" w:rsidR="007253C8" w:rsidP="007253C8" w:rsidRDefault="007253C8" w14:paraId="63253AAD" w14:textId="403D832F">
      <w:pPr>
        <w:pStyle w:val="Standard"/>
      </w:pPr>
      <w:r w:rsidRPr="00C4647D">
        <w:lastRenderedPageBreak/>
        <w:t>SDG&amp;E bases its request for cost recovery for DIDE on imputed authorizations.</w:t>
      </w:r>
      <w:r w:rsidRPr="523FD6F4">
        <w:rPr>
          <w:rStyle w:val="FootnoteReference"/>
        </w:rPr>
        <w:footnoteReference w:id="212"/>
      </w:r>
      <w:r w:rsidRPr="00C4647D">
        <w:t xml:space="preserve"> The Commission finds the imputed authorizations in Table 7.B </w:t>
      </w:r>
      <w:r>
        <w:t xml:space="preserve">to be reasonable based on the values updated by SDG&amp;E. </w:t>
      </w:r>
      <w:r w:rsidRPr="00C4647D">
        <w:t xml:space="preserve">As shown in the table above, for </w:t>
      </w:r>
      <w:r>
        <w:t>DIDE,</w:t>
      </w:r>
      <w:r w:rsidRPr="00C4647D">
        <w:t xml:space="preserve"> SDG&amp;E overspent the capital authorization by 21 percent and underspent the O&amp;M authorization</w:t>
      </w:r>
      <w:r w:rsidRPr="00C4647D" w:rsidDel="00A97C89">
        <w:t>.</w:t>
      </w:r>
      <w:r w:rsidRPr="00C4647D">
        <w:t xml:space="preserve"> For 2019</w:t>
      </w:r>
      <w:r>
        <w:t>–</w:t>
      </w:r>
      <w:r w:rsidR="00E70838">
        <w:t>20</w:t>
      </w:r>
      <w:r w:rsidRPr="00C4647D">
        <w:t xml:space="preserve">22, SDG&amp;E performed 74,595 detailed inspections at an average unit cost of $560 per inspection at a decreasing rate (2019 unit cost was $608; 2022 unit cost was $586). Based on this increase in efficiency for this required uncontested cost, the Commission finds </w:t>
      </w:r>
      <w:r>
        <w:t xml:space="preserve">direct </w:t>
      </w:r>
      <w:r w:rsidRPr="00C4647D">
        <w:t>cost recovery in the amount of $6.382 million in capital</w:t>
      </w:r>
      <w:r w:rsidRPr="00C4647D" w:rsidDel="00A97C89">
        <w:t xml:space="preserve"> </w:t>
      </w:r>
      <w:r w:rsidRPr="00C4647D">
        <w:t xml:space="preserve">for </w:t>
      </w:r>
      <w:r>
        <w:t>DIDE</w:t>
      </w:r>
      <w:r w:rsidRPr="00C4647D">
        <w:t xml:space="preserve"> to be reasonable and adopts it</w:t>
      </w:r>
      <w:r>
        <w:t xml:space="preserve"> as an initial authorization subject to direct cost reductions in Section 13.</w:t>
      </w:r>
    </w:p>
    <w:p w:rsidRPr="00DC7539" w:rsidR="007253C8" w:rsidP="00645333" w:rsidRDefault="00C11D4D" w14:paraId="2648ECEB" w14:textId="692BF297">
      <w:pPr>
        <w:pStyle w:val="Heading2"/>
      </w:pPr>
      <w:bookmarkStart w:name="_Toc213312195" w:id="62"/>
      <w:bookmarkStart w:name="_Toc213312280" w:id="63"/>
      <w:bookmarkStart w:name="_Toc213312281" w:id="64"/>
      <w:bookmarkEnd w:id="62"/>
      <w:bookmarkEnd w:id="63"/>
      <w:r>
        <w:t xml:space="preserve">Detailed Inspections of Transmission Equipment </w:t>
      </w:r>
      <w:r w:rsidRPr="00DC7539" w:rsidR="007253C8">
        <w:t xml:space="preserve">(Distribution </w:t>
      </w:r>
      <w:proofErr w:type="spellStart"/>
      <w:r w:rsidRPr="00DC7539" w:rsidR="007253C8">
        <w:t>Underbuild</w:t>
      </w:r>
      <w:proofErr w:type="spellEnd"/>
      <w:r w:rsidRPr="00DC7539" w:rsidR="007253C8">
        <w:t>)</w:t>
      </w:r>
      <w:bookmarkEnd w:id="64"/>
    </w:p>
    <w:p w:rsidRPr="00C4647D" w:rsidR="007253C8" w:rsidP="00C11D4D" w:rsidRDefault="007253C8" w14:paraId="56B5C6B1" w14:textId="21CB0A1B">
      <w:pPr>
        <w:pStyle w:val="Standard"/>
        <w:rPr>
          <w:b/>
          <w:i/>
        </w:rPr>
      </w:pPr>
      <w:r w:rsidRPr="00C11D4D">
        <w:t>GO</w:t>
      </w:r>
      <w:r w:rsidRPr="00C4647D">
        <w:t xml:space="preserve"> 165 requires SDG&amp;E to perform a service territory</w:t>
      </w:r>
      <w:r w:rsidRPr="00C4647D">
        <w:rPr>
          <w:rFonts w:ascii="Cambria Math" w:hAnsi="Cambria Math" w:cs="Cambria Math"/>
        </w:rPr>
        <w:t>‐</w:t>
      </w:r>
      <w:r w:rsidRPr="00C4647D">
        <w:t>wide inspection of its electric transmission system, including within the HFTD. The costs associated with this initiative include any related distribution equipment located near or associated with the transmission system</w:t>
      </w:r>
      <w:r w:rsidRPr="00C4647D">
        <w:rPr>
          <w:vertAlign w:val="superscript"/>
        </w:rPr>
        <w:footnoteReference w:id="213"/>
      </w:r>
      <w:r w:rsidRPr="00C4647D">
        <w:t xml:space="preserve"> </w:t>
      </w:r>
      <w:r>
        <w:t>(</w:t>
      </w:r>
      <w:r w:rsidRPr="00C4647D">
        <w:t xml:space="preserve">known as Distribution </w:t>
      </w:r>
      <w:proofErr w:type="spellStart"/>
      <w:r w:rsidRPr="00C4647D">
        <w:t>Underbui</w:t>
      </w:r>
      <w:r w:rsidR="00A231FD">
        <w:t>ld</w:t>
      </w:r>
      <w:proofErr w:type="spellEnd"/>
      <w:r>
        <w:t>)</w:t>
      </w:r>
      <w:r w:rsidRPr="69D97568">
        <w:rPr>
          <w:b/>
          <w:bCs/>
          <w:i/>
          <w:iCs/>
        </w:rPr>
        <w:t xml:space="preserve"> </w:t>
      </w:r>
      <w:r w:rsidRPr="00C4647D">
        <w:t>and any related corrective work resulting from the detailed inspections. For 2019</w:t>
      </w:r>
      <w:r>
        <w:t>–20</w:t>
      </w:r>
      <w:r w:rsidRPr="00C4647D">
        <w:t xml:space="preserve">22, an estimated 5.08 ignitions would have occurred if inspections and repairs had not been completed in the prescribed timeframe as part of the </w:t>
      </w:r>
      <w:r w:rsidR="00E20A80">
        <w:t>D</w:t>
      </w:r>
      <w:r w:rsidRPr="00C4647D">
        <w:t xml:space="preserve">istribution </w:t>
      </w:r>
      <w:proofErr w:type="spellStart"/>
      <w:r w:rsidR="00E20A80">
        <w:t>U</w:t>
      </w:r>
      <w:r w:rsidRPr="00C4647D">
        <w:t>nderbuild</w:t>
      </w:r>
      <w:proofErr w:type="spellEnd"/>
      <w:r w:rsidRPr="00C4647D">
        <w:t xml:space="preserve"> detailed inspection program.</w:t>
      </w:r>
    </w:p>
    <w:p w:rsidRPr="00C4647D" w:rsidR="007253C8" w:rsidP="007253C8" w:rsidRDefault="007253C8" w14:paraId="16944D8B" w14:textId="5A4F9A31">
      <w:pPr>
        <w:pStyle w:val="Standard"/>
      </w:pPr>
      <w:bookmarkStart w:name="_Hlk194502391" w:id="65"/>
      <w:r w:rsidRPr="00C4647D">
        <w:t>For the 2019</w:t>
      </w:r>
      <w:r>
        <w:t>–20</w:t>
      </w:r>
      <w:r w:rsidRPr="00C4647D">
        <w:t>22 period, SDG&amp;E requests recovery of the $0.225 million in capital expenditures</w:t>
      </w:r>
      <w:r w:rsidR="006B1040">
        <w:t>,</w:t>
      </w:r>
      <w:r>
        <w:t xml:space="preserve"> </w:t>
      </w:r>
      <w:r w:rsidR="006B1040">
        <w:t xml:space="preserve">which </w:t>
      </w:r>
      <w:r>
        <w:t xml:space="preserve">is the incremental amount </w:t>
      </w:r>
      <w:r w:rsidR="006B1040">
        <w:t xml:space="preserve">resulting from the </w:t>
      </w:r>
      <w:r w:rsidR="006B1040">
        <w:lastRenderedPageBreak/>
        <w:t xml:space="preserve">difference between recorded </w:t>
      </w:r>
      <w:r w:rsidR="004D19A9">
        <w:t xml:space="preserve">direct </w:t>
      </w:r>
      <w:r w:rsidR="006B1040">
        <w:t xml:space="preserve">costs of $2.594 million and </w:t>
      </w:r>
      <w:r w:rsidRPr="00C4647D">
        <w:t>the $2.369 million in capital expenditures authorized in the last GRC.</w:t>
      </w:r>
      <w:r>
        <w:rPr>
          <w:rStyle w:val="FootnoteReference"/>
        </w:rPr>
        <w:footnoteReference w:id="214"/>
      </w:r>
    </w:p>
    <w:p w:rsidRPr="00C4647D" w:rsidR="007253C8" w:rsidP="007253C8" w:rsidRDefault="007253C8" w14:paraId="526F8DC9" w14:textId="1D559A88">
      <w:pPr>
        <w:pStyle w:val="Standard"/>
      </w:pPr>
      <w:r w:rsidRPr="00C4647D">
        <w:t>For 2020</w:t>
      </w:r>
      <w:r w:rsidR="00040E37">
        <w:t>–</w:t>
      </w:r>
      <w:r>
        <w:t>2022</w:t>
      </w:r>
      <w:r w:rsidRPr="00C4647D">
        <w:t>,</w:t>
      </w:r>
      <w:r w:rsidRPr="00C4647D">
        <w:rPr>
          <w:vertAlign w:val="superscript"/>
        </w:rPr>
        <w:t>25</w:t>
      </w:r>
      <w:r w:rsidRPr="00C4647D">
        <w:t xml:space="preserve"> 6,959 inspections were performed at an average and downward</w:t>
      </w:r>
      <w:r w:rsidR="008F39DA">
        <w:t>-</w:t>
      </w:r>
      <w:r w:rsidRPr="00C4647D">
        <w:t xml:space="preserve">trending unit cost of $309 per inspection. Based on this increase in efficiency for this required uncontested cost, the Commission finds the inspection cost to be </w:t>
      </w:r>
      <w:r>
        <w:t xml:space="preserve">incremental, and </w:t>
      </w:r>
      <w:r w:rsidRPr="00C4647D">
        <w:t>reasonable.</w:t>
      </w:r>
    </w:p>
    <w:p w:rsidRPr="00C4647D" w:rsidR="007253C8" w:rsidP="007253C8" w:rsidRDefault="007253C8" w14:paraId="1C9F2C04" w14:textId="78162141">
      <w:pPr>
        <w:pStyle w:val="Standard"/>
      </w:pPr>
      <w:r w:rsidRPr="00C4647D">
        <w:t>However, SDG&amp;E has not demonstrated how performing such inspections is a capital cost</w:t>
      </w:r>
      <w:r>
        <w:t>.</w:t>
      </w:r>
      <w:r w:rsidRPr="00C4647D">
        <w:t xml:space="preserve"> Inspections necessarily incur </w:t>
      </w:r>
      <w:r>
        <w:t xml:space="preserve">labor </w:t>
      </w:r>
      <w:r w:rsidRPr="00C4647D">
        <w:t>O&amp;M costs</w:t>
      </w:r>
      <w:r>
        <w:t>, but would</w:t>
      </w:r>
      <w:r w:rsidRPr="00C4647D">
        <w:t xml:space="preserve"> incur capital expenditures only if the inspection led to corrective work requiring a capital expenditure (such as for new equipment). It is SDG&amp;E’s responsibility to clearly document</w:t>
      </w:r>
      <w:r w:rsidR="006D268C">
        <w:t>,</w:t>
      </w:r>
      <w:r w:rsidRPr="00C4647D">
        <w:t xml:space="preserve"> and report to the Commission</w:t>
      </w:r>
      <w:r w:rsidR="006D268C">
        <w:t>,</w:t>
      </w:r>
      <w:r w:rsidRPr="00C4647D">
        <w:t xml:space="preserve"> costs in terms of both capital expenditure and O&amp;M. </w:t>
      </w:r>
      <w:r>
        <w:t>SDG&amp;E fails</w:t>
      </w:r>
      <w:r w:rsidRPr="00C4647D">
        <w:t xml:space="preserve"> to </w:t>
      </w:r>
      <w:r>
        <w:t xml:space="preserve">explain </w:t>
      </w:r>
      <w:r w:rsidRPr="00C4647D">
        <w:t xml:space="preserve">clearly why </w:t>
      </w:r>
      <w:r w:rsidRPr="00C4647D">
        <w:rPr>
          <w:iCs/>
        </w:rPr>
        <w:t>all</w:t>
      </w:r>
      <w:r w:rsidRPr="00C4647D">
        <w:t xml:space="preserve"> of the costs sought for recovery in this instance are capital expenditures and </w:t>
      </w:r>
      <w:r w:rsidRPr="00C4647D">
        <w:rPr>
          <w:iCs/>
        </w:rPr>
        <w:t>none</w:t>
      </w:r>
      <w:r w:rsidRPr="00C4647D">
        <w:t xml:space="preserve"> are O&amp;M</w:t>
      </w:r>
      <w:r>
        <w:t>. Absent a clear explanation</w:t>
      </w:r>
      <w:r w:rsidRPr="00C4647D">
        <w:t>, the Commission finds the requested amount for this category to be reasonable only as an O&amp;M cost, not capital expenditures. In future requests for cost recovery, SDG&amp;E shall separately specify the O&amp;M costs for</w:t>
      </w:r>
      <w:r w:rsidRPr="00C4647D">
        <w:rPr>
          <w:b/>
          <w:i/>
        </w:rPr>
        <w:t xml:space="preserve"> </w:t>
      </w:r>
      <w:r w:rsidRPr="33F4185F">
        <w:t>all wildfire mitigation</w:t>
      </w:r>
      <w:r w:rsidRPr="00C4647D">
        <w:t xml:space="preserve"> inspections from the capital costs for repair or replacement of poles and other equipment.</w:t>
      </w:r>
    </w:p>
    <w:p w:rsidRPr="00C4647D" w:rsidR="007253C8" w:rsidP="00645333" w:rsidRDefault="007253C8" w14:paraId="216860AF" w14:textId="17C89158">
      <w:pPr>
        <w:pStyle w:val="Heading2"/>
      </w:pPr>
      <w:bookmarkStart w:name="_Toc213312282" w:id="66"/>
      <w:bookmarkEnd w:id="65"/>
      <w:r>
        <w:t>Wood Pole Intrusive Inspections</w:t>
      </w:r>
      <w:bookmarkEnd w:id="66"/>
    </w:p>
    <w:p w:rsidRPr="00C4647D" w:rsidR="007253C8" w:rsidP="007253C8" w:rsidRDefault="007253C8" w14:paraId="3C51DB23" w14:textId="77777777">
      <w:pPr>
        <w:pStyle w:val="Standard"/>
      </w:pPr>
      <w:r w:rsidRPr="00C4647D">
        <w:t>An intrusive inspection of a wood pole typically involves an excavation around the pole base and a boring into the pole at ground level. Depending on the severity of the deterioration, the pole either passes inspection or is replaced. This cost category includes the inspections and the replacement work.</w:t>
      </w:r>
      <w:r w:rsidRPr="00C4647D">
        <w:rPr>
          <w:vertAlign w:val="superscript"/>
        </w:rPr>
        <w:footnoteReference w:id="215"/>
      </w:r>
    </w:p>
    <w:p w:rsidRPr="00C4647D" w:rsidR="007253C8" w:rsidP="007253C8" w:rsidRDefault="007253C8" w14:paraId="2B50A515" w14:textId="77777777">
      <w:pPr>
        <w:pStyle w:val="Standard"/>
      </w:pPr>
      <w:r w:rsidRPr="00C4647D">
        <w:lastRenderedPageBreak/>
        <w:t>GO 165 requires all transmission wood poles over 15 years of age to be inspected intrusively within 10 years, and all poles which previously passed intrusive inspection to be inspected intrusively again on a 20</w:t>
      </w:r>
      <w:r w:rsidRPr="00C4647D">
        <w:rPr>
          <w:rFonts w:ascii="Cambria Math" w:hAnsi="Cambria Math" w:cs="Cambria Math"/>
        </w:rPr>
        <w:t>‐</w:t>
      </w:r>
      <w:r w:rsidRPr="00C4647D">
        <w:t>year cycle. Distribution wood pole intrusive inspections are performed on a 10</w:t>
      </w:r>
      <w:r w:rsidRPr="00C4647D">
        <w:rPr>
          <w:rFonts w:ascii="Cambria Math" w:hAnsi="Cambria Math" w:cs="Cambria Math"/>
        </w:rPr>
        <w:t>‐</w:t>
      </w:r>
      <w:r w:rsidRPr="00C4647D">
        <w:t>year cycle. For 2019</w:t>
      </w:r>
      <w:r>
        <w:t>–20</w:t>
      </w:r>
      <w:r w:rsidRPr="00C4647D">
        <w:t>22, an estimated 1.2 ignitions would have occurred if inspections and repairs had not been completed as part of the wood pole intrusive inspection program.</w:t>
      </w:r>
      <w:r w:rsidRPr="00C4647D">
        <w:rPr>
          <w:vertAlign w:val="superscript"/>
        </w:rPr>
        <w:footnoteReference w:id="216"/>
      </w:r>
    </w:p>
    <w:p w:rsidR="007253C8" w:rsidP="007253C8" w:rsidRDefault="007253C8" w14:paraId="4FD9E886" w14:textId="22FC98CE">
      <w:pPr>
        <w:pStyle w:val="Standard"/>
      </w:pPr>
      <w:r>
        <w:t xml:space="preserve">For the 2019–2022 period, SDG&amp;E requests recovery of the </w:t>
      </w:r>
      <w:r w:rsidR="00242AD1">
        <w:t xml:space="preserve">direct </w:t>
      </w:r>
      <w:r>
        <w:t xml:space="preserve">costs related to this activity in the amount of </w:t>
      </w:r>
      <w:r w:rsidR="00242AD1">
        <w:t>$2.064</w:t>
      </w:r>
      <w:r w:rsidDel="002B24E8">
        <w:t xml:space="preserve"> </w:t>
      </w:r>
      <w:r>
        <w:t>million for capital expenditures and $2.987 in O&amp;M costs.</w:t>
      </w:r>
      <w:r>
        <w:rPr>
          <w:rStyle w:val="FootnoteReference"/>
        </w:rPr>
        <w:footnoteReference w:id="217"/>
      </w:r>
      <w:r>
        <w:t xml:space="preserve"> Based on SDG&amp;E’s updated data, the Commission finds the imputation of $3.028 million in </w:t>
      </w:r>
      <w:r w:rsidR="003E02A9">
        <w:t xml:space="preserve">authorized </w:t>
      </w:r>
      <w:r>
        <w:t>capital to be reasonable. For 2019–</w:t>
      </w:r>
      <w:r w:rsidR="006B1040">
        <w:t>20</w:t>
      </w:r>
      <w:r>
        <w:t>22, SDG&amp;E performed 43,867 inspections including pole replacements and other corrective work at an increasing rate and at an increasing unit cost as shown below.</w:t>
      </w:r>
      <w:r w:rsidR="00EB33A9">
        <w:br/>
      </w:r>
    </w:p>
    <w:p w:rsidR="00B839CC" w:rsidP="007253C8" w:rsidRDefault="00B839CC" w14:paraId="1524EA34" w14:textId="77777777">
      <w:pPr>
        <w:pStyle w:val="Standard"/>
      </w:pPr>
    </w:p>
    <w:p w:rsidR="00B839CC" w:rsidP="007253C8" w:rsidRDefault="00B839CC" w14:paraId="783E7FB4" w14:textId="77777777">
      <w:pPr>
        <w:pStyle w:val="Standard"/>
      </w:pPr>
    </w:p>
    <w:p w:rsidR="00B839CC" w:rsidP="007253C8" w:rsidRDefault="00B839CC" w14:paraId="61FEEF74" w14:textId="77777777">
      <w:pPr>
        <w:pStyle w:val="Standard"/>
      </w:pPr>
    </w:p>
    <w:p w:rsidR="00B839CC" w:rsidP="007253C8" w:rsidRDefault="00B839CC" w14:paraId="6C98D4DC" w14:textId="77777777">
      <w:pPr>
        <w:pStyle w:val="Standard"/>
      </w:pPr>
    </w:p>
    <w:p w:rsidR="00B839CC" w:rsidP="007253C8" w:rsidRDefault="00B839CC" w14:paraId="0C290874" w14:textId="77777777">
      <w:pPr>
        <w:pStyle w:val="Standard"/>
      </w:pPr>
    </w:p>
    <w:p w:rsidR="00B839CC" w:rsidP="007253C8" w:rsidRDefault="00B839CC" w14:paraId="080D44C7" w14:textId="77777777">
      <w:pPr>
        <w:pStyle w:val="Standard"/>
      </w:pPr>
    </w:p>
    <w:p w:rsidR="00B839CC" w:rsidP="007253C8" w:rsidRDefault="00B839CC" w14:paraId="5AC47582" w14:textId="77777777">
      <w:pPr>
        <w:pStyle w:val="Standard"/>
      </w:pPr>
    </w:p>
    <w:p w:rsidRPr="00C4647D" w:rsidR="00B839CC" w:rsidP="007253C8" w:rsidRDefault="00B839CC" w14:paraId="2FC3FFF7" w14:textId="77777777">
      <w:pPr>
        <w:pStyle w:val="Standard"/>
      </w:pPr>
    </w:p>
    <w:p w:rsidRPr="008F7A2B" w:rsidR="007253C8" w:rsidP="007253C8" w:rsidRDefault="007253C8" w14:paraId="75BA4AF9" w14:textId="77777777">
      <w:pPr>
        <w:pStyle w:val="Standard"/>
        <w:ind w:firstLine="0"/>
        <w:jc w:val="center"/>
        <w:rPr>
          <w:b/>
        </w:rPr>
      </w:pPr>
      <w:r w:rsidRPr="008F7A2B">
        <w:rPr>
          <w:b/>
        </w:rPr>
        <w:lastRenderedPageBreak/>
        <w:t>Figure 2</w:t>
      </w:r>
    </w:p>
    <w:p w:rsidRPr="00C4647D" w:rsidR="007253C8" w:rsidP="007253C8" w:rsidRDefault="007253C8" w14:paraId="06DB1AB0" w14:textId="77777777">
      <w:pPr>
        <w:pStyle w:val="standard0"/>
        <w:ind w:firstLine="0"/>
      </w:pPr>
      <w:r>
        <w:rPr>
          <w:noProof/>
        </w:rPr>
        <w:drawing>
          <wp:inline distT="0" distB="0" distL="0" distR="0" wp14:anchorId="22AE45BC" wp14:editId="12B5FFFC">
            <wp:extent cx="5943600" cy="4307459"/>
            <wp:effectExtent l="0" t="0" r="12700" b="10795"/>
            <wp:docPr id="1627933847" name="Chart 1">
              <a:extLst xmlns:a="http://schemas.openxmlformats.org/drawingml/2006/main">
                <a:ext uri="{FF2B5EF4-FFF2-40B4-BE49-F238E27FC236}">
                  <a16:creationId xmlns:a16="http://schemas.microsoft.com/office/drawing/2014/main" id="{021891C6-38FC-A7C8-0071-9295B882AD5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C4647D" w:rsidR="007253C8" w:rsidP="007253C8" w:rsidRDefault="007253C8" w14:paraId="4D6B9B6C" w14:textId="77777777">
      <w:pPr>
        <w:pStyle w:val="Standard"/>
      </w:pPr>
      <w:r w:rsidRPr="00C4647D">
        <w:t xml:space="preserve">SDG&amp;E’s 2022 RSAR data shows that </w:t>
      </w:r>
      <w:r>
        <w:t xml:space="preserve">the </w:t>
      </w:r>
      <w:r w:rsidRPr="00C4647D">
        <w:t>driver of this cost increase is an increase in corrective work resulting from the inspections, rather than the inspections themselves.</w:t>
      </w:r>
      <w:r w:rsidRPr="00C4647D">
        <w:rPr>
          <w:vertAlign w:val="superscript"/>
        </w:rPr>
        <w:footnoteReference w:id="218"/>
      </w:r>
    </w:p>
    <w:p w:rsidRPr="00C4647D" w:rsidR="007253C8" w:rsidP="007253C8" w:rsidRDefault="007253C8" w14:paraId="343669E8" w14:textId="5F0E57C0">
      <w:pPr>
        <w:pStyle w:val="Standard"/>
      </w:pPr>
      <w:r w:rsidRPr="00C4647D">
        <w:t>As shown above, in 2019 and 2020, the approximate capital cost per replaced pole is $1,250 and $1,100, respectively; the same metric increases to approximately $2,800 and $2,200 for years 2021 and 2022, respectively</w:t>
      </w:r>
      <w:r w:rsidRPr="00C4647D" w:rsidDel="00137343">
        <w:t xml:space="preserve">. </w:t>
      </w:r>
      <w:r w:rsidRPr="00C4647D">
        <w:t xml:space="preserve">SDG&amp;E explains that the variances for both dollars and units are due to </w:t>
      </w:r>
      <w:r w:rsidR="006B1040">
        <w:t xml:space="preserve">a </w:t>
      </w:r>
      <w:r w:rsidRPr="00C4647D">
        <w:t xml:space="preserve">higher than planned average number of jobs and an overall increase in pole replacement </w:t>
      </w:r>
      <w:r w:rsidRPr="00C4647D">
        <w:lastRenderedPageBreak/>
        <w:t>labor and material costs over time, due partly to supply chain disruptions caused by the COVID-19 pandemic.</w:t>
      </w:r>
      <w:r w:rsidRPr="00C4647D">
        <w:rPr>
          <w:vertAlign w:val="superscript"/>
        </w:rPr>
        <w:footnoteReference w:id="219"/>
      </w:r>
    </w:p>
    <w:p w:rsidRPr="00C4647D" w:rsidR="007253C8" w:rsidP="007253C8" w:rsidRDefault="007253C8" w14:paraId="2689C3CC" w14:textId="3C54EAF4">
      <w:pPr>
        <w:pStyle w:val="Standard"/>
      </w:pPr>
      <w:r w:rsidRPr="00C4647D">
        <w:t>The Commission finds this explanation to be reasonable and approves the imputed capital cost and O&amp;M cost as needed corrective measure</w:t>
      </w:r>
      <w:r>
        <w:t>s</w:t>
      </w:r>
      <w:r w:rsidRPr="00C4647D">
        <w:t xml:space="preserve"> for safety and reliability purposes. As a result, </w:t>
      </w:r>
      <w:r w:rsidRPr="00C4647D" w:rsidDel="5985D031">
        <w:t xml:space="preserve">the </w:t>
      </w:r>
      <w:r w:rsidRPr="00C4647D">
        <w:t xml:space="preserve">Commission finds </w:t>
      </w:r>
      <w:r>
        <w:t xml:space="preserve">direct </w:t>
      </w:r>
      <w:r w:rsidRPr="00C4647D">
        <w:t>cost recovery in the amount of $</w:t>
      </w:r>
      <w:r>
        <w:t>2.064</w:t>
      </w:r>
      <w:r w:rsidRPr="00C4647D">
        <w:t xml:space="preserve"> million in </w:t>
      </w:r>
      <w:r>
        <w:t xml:space="preserve">capital expenditures </w:t>
      </w:r>
      <w:r w:rsidRPr="00C4647D">
        <w:t xml:space="preserve">and $2.987 </w:t>
      </w:r>
      <w:r>
        <w:t xml:space="preserve">million </w:t>
      </w:r>
      <w:r w:rsidRPr="00C4647D">
        <w:t xml:space="preserve">in </w:t>
      </w:r>
      <w:r>
        <w:t xml:space="preserve">O&amp;M </w:t>
      </w:r>
      <w:r w:rsidRPr="00C4647D">
        <w:t>to be reasonable and adopts it</w:t>
      </w:r>
      <w:r>
        <w:t xml:space="preserve"> as an initial authorization subject to direct cost reductions </w:t>
      </w:r>
      <w:r w:rsidR="00AF42D6">
        <w:t xml:space="preserve">in Section 13 </w:t>
      </w:r>
      <w:r>
        <w:t>(with indirect costs remaining to be adjusted and authorized)</w:t>
      </w:r>
      <w:r w:rsidRPr="00C4647D">
        <w:t>.</w:t>
      </w:r>
    </w:p>
    <w:p w:rsidRPr="00C4647D" w:rsidR="007253C8" w:rsidP="007253C8" w:rsidRDefault="007253C8" w14:paraId="0E292CC6" w14:textId="77777777">
      <w:pPr>
        <w:pStyle w:val="Standard"/>
      </w:pPr>
      <w:r>
        <w:t>GO 165 has required wood pole intrusion inspections since 1997. The relevant costs have been requested and authorized in rates. The Commission needs additional information, however, in future requests for cost recovery to adequately judge what costs are just and reasonable. As such, the Commission requires that SDG&amp;E shall</w:t>
      </w:r>
      <w:r w:rsidDel="00A97C89">
        <w:t xml:space="preserve"> </w:t>
      </w:r>
      <w:r>
        <w:t>specify the O&amp;M costs for inspections separately from the capital costs for repair or replacement of poles and other equipment and the number of poles being replaced. SDG&amp;E shall also demonstrate how such costs are incremental to other authorized pole replacement programs and how SDG&amp;E is coordinating and optimizing pole inspection and replacement programs to avoid redundancies. In addition, in the next GRC, SDG&amp;E shall perform cost-benefit analyses to compare the costs and benefits of the use of wood poles compared to metal poles (with the additional data for the 2019–2022 period that was not reviewed in D.19-05-039), and to demonstrate how SDG&amp;E has accounted for savings in using metal poles instead of wood poles.</w:t>
      </w:r>
    </w:p>
    <w:p w:rsidRPr="00A97C89" w:rsidR="007253C8" w:rsidP="00645333" w:rsidRDefault="007253C8" w14:paraId="5CA75C3A" w14:textId="67A13BF3">
      <w:pPr>
        <w:pStyle w:val="Heading2"/>
      </w:pPr>
      <w:bookmarkStart w:name="_Toc213312283" w:id="67"/>
      <w:r w:rsidRPr="00A97C89">
        <w:lastRenderedPageBreak/>
        <w:t xml:space="preserve">Patrol </w:t>
      </w:r>
      <w:r w:rsidRPr="00142911">
        <w:t>Inspections</w:t>
      </w:r>
      <w:r w:rsidRPr="00A97C89">
        <w:t xml:space="preserve"> of Distribution Equipment</w:t>
      </w:r>
      <w:bookmarkEnd w:id="67"/>
    </w:p>
    <w:p w:rsidRPr="00C4647D" w:rsidR="007253C8" w:rsidP="007253C8" w:rsidRDefault="007253C8" w14:paraId="1B8A1508" w14:textId="77777777">
      <w:pPr>
        <w:pStyle w:val="Standard"/>
      </w:pPr>
      <w:r>
        <w:t>GO 165 requires SDG&amp;E to patrol their electrical systems 1) once a year in urban areas, 2) once a year in Tiers 2 and 3 of HFTDs, and 3) every two years in rural areas outside of the HFTD.</w:t>
      </w:r>
    </w:p>
    <w:p w:rsidRPr="00C4647D" w:rsidR="007253C8" w:rsidP="007253C8" w:rsidRDefault="007253C8" w14:paraId="1B55A654" w14:textId="1CC4FE94">
      <w:pPr>
        <w:pStyle w:val="Standard"/>
      </w:pPr>
      <w:r w:rsidRPr="00C4647D">
        <w:t xml:space="preserve"> GO 165 defines patrol inspections as simple visual inspections of applicable utility equipment and structures. These inspections are intended to identify obvious structural problems and hazards</w:t>
      </w:r>
      <w:r>
        <w:t>,</w:t>
      </w:r>
      <w:r w:rsidRPr="00C4647D">
        <w:t xml:space="preserve"> for which the remediation work can be carried out in the course of other company business. Both the patrol inspections themselves and the corrective work are included in this initiative.</w:t>
      </w:r>
      <w:r w:rsidRPr="00C4647D">
        <w:rPr>
          <w:vertAlign w:val="superscript"/>
        </w:rPr>
        <w:footnoteReference w:id="220"/>
      </w:r>
      <w:r w:rsidRPr="00C4647D">
        <w:t xml:space="preserve"> However, as a long</w:t>
      </w:r>
      <w:r w:rsidRPr="00C4647D">
        <w:rPr>
          <w:rFonts w:ascii="Cambria Math" w:hAnsi="Cambria Math" w:cs="Cambria Math"/>
        </w:rPr>
        <w:t>‐</w:t>
      </w:r>
      <w:r w:rsidRPr="00C4647D">
        <w:t xml:space="preserve">standing practice SDG&amp;E performs patrol inspections in all areas on an annual basis. Patrol inspections have been performed on all distribution structures potentially affected by a PSPS event prior to and after the PSPS event, and patrols are prioritized in the HFTD prior to wildfire season, typically by April of each year. </w:t>
      </w:r>
      <w:r>
        <w:t>SDG&amp;E performed 86,075 Patrol Inspections in 2019 and at a similar rate each year through 2022 for a total of 345,876 patrol inspections performed over the 2019–</w:t>
      </w:r>
      <w:r w:rsidR="00DA3D1A">
        <w:t>20</w:t>
      </w:r>
      <w:r>
        <w:t>22 period at an average unit cost of $12 per inspection.</w:t>
      </w:r>
      <w:r w:rsidRPr="523FD6F4">
        <w:rPr>
          <w:vertAlign w:val="superscript"/>
        </w:rPr>
        <w:footnoteReference w:id="221"/>
      </w:r>
    </w:p>
    <w:p w:rsidRPr="00C4647D" w:rsidR="007253C8" w:rsidP="007253C8" w:rsidRDefault="007253C8" w14:paraId="3FDAB6DD" w14:textId="77777777">
      <w:pPr>
        <w:pStyle w:val="Standard"/>
      </w:pPr>
      <w:r>
        <w:t>For this cost category for the 2019–2022 period, SDG&amp;E seeks recovery of $0.927 million in capital expenditures and no O&amp;M expenditures (and the associated indirect costs).</w:t>
      </w:r>
    </w:p>
    <w:p w:rsidRPr="00C4647D" w:rsidR="007253C8" w:rsidP="007253C8" w:rsidRDefault="007253C8" w14:paraId="44A607AA" w14:textId="77777777">
      <w:pPr>
        <w:pStyle w:val="Standard"/>
      </w:pPr>
      <w:r>
        <w:t xml:space="preserve">Neither GO 165 nor SDG&amp;E’s WMPs specify the cost of patrol inspections, the extent of patrol inspections in terms of personnel and equipment, or how their costs should be accounted for to avoid overlap. Patrol inspections of </w:t>
      </w:r>
      <w:r>
        <w:lastRenderedPageBreak/>
        <w:t>distribution structures could be a drive-by inspection or they could be performed with trucks, drones, or other special equipment, involving different levels of staff and other O&amp;M expenses. GO 165 specifically states that patrol inspections may be carried out in the course of other company business, thereby avoiding separate O&amp;M expenses.</w:t>
      </w:r>
    </w:p>
    <w:p w:rsidRPr="00C4647D" w:rsidR="007253C8" w:rsidP="007253C8" w:rsidRDefault="007253C8" w14:paraId="3080D442" w14:textId="198561F6">
      <w:pPr>
        <w:pStyle w:val="Standard"/>
      </w:pPr>
      <w:r w:rsidRPr="00C4647D">
        <w:t>Given that SDG&amp;E’s patrol inspection costs are performed with the least unit cost compared to other programs and are mandated</w:t>
      </w:r>
      <w:r>
        <w:t xml:space="preserve"> by GO 165</w:t>
      </w:r>
      <w:r w:rsidRPr="00C4647D">
        <w:t>, the Commission finds them to be reasonable. However, SDG&amp;E has not demonstrated how work performed by staff performing inspections is a capital cost</w:t>
      </w:r>
      <w:r>
        <w:t>,</w:t>
      </w:r>
      <w:r w:rsidRPr="00C4647D">
        <w:t xml:space="preserve"> </w:t>
      </w:r>
      <w:r>
        <w:t>n</w:t>
      </w:r>
      <w:r w:rsidRPr="00C4647D">
        <w:t>or accounted for the nature of the capital cost. As a result, the Commission finds imputed authorization and the requested recovery for this cost to be reasonable only as O&amp;M costs, not capital costs. Accordingly, the Commission approves recovery of $</w:t>
      </w:r>
      <w:r>
        <w:t xml:space="preserve">0.927 million </w:t>
      </w:r>
      <w:r w:rsidR="001765D1">
        <w:t xml:space="preserve">in O&amp;M </w:t>
      </w:r>
      <w:r>
        <w:t xml:space="preserve">to be just, reasonable, and incremental (i.e., </w:t>
      </w:r>
      <w:r w:rsidR="0036361D">
        <w:t xml:space="preserve">costs of </w:t>
      </w:r>
      <w:r>
        <w:t>$</w:t>
      </w:r>
      <w:r w:rsidRPr="00C4647D">
        <w:t>4.030 million minus the authorization of $3.103 million equal</w:t>
      </w:r>
      <w:r w:rsidR="00F873ED">
        <w:t>s</w:t>
      </w:r>
      <w:r w:rsidRPr="00C4647D">
        <w:t xml:space="preserve"> $0.927 million</w:t>
      </w:r>
      <w:r>
        <w:t xml:space="preserve">) subject to direct cost reductions </w:t>
      </w:r>
      <w:r w:rsidR="00203E1E">
        <w:t xml:space="preserve">in Section 13 </w:t>
      </w:r>
      <w:r>
        <w:t>(with indirect costs remaining to be adjusted and authorized).</w:t>
      </w:r>
    </w:p>
    <w:p w:rsidRPr="00C4647D" w:rsidR="007253C8" w:rsidP="007253C8" w:rsidRDefault="007253C8" w14:paraId="595BB71A" w14:textId="77777777">
      <w:pPr>
        <w:pStyle w:val="Standard"/>
      </w:pPr>
      <w:r w:rsidRPr="00C4647D">
        <w:t>In future applications for recovery of these costs, SDG&amp;E shall provide evidence regarding how inspection programs are coordinated to avoid or account for overlapping activity</w:t>
      </w:r>
      <w:r>
        <w:t>,</w:t>
      </w:r>
      <w:r w:rsidRPr="00C4647D">
        <w:t xml:space="preserve"> associated O&amp;M</w:t>
      </w:r>
      <w:r>
        <w:t>,</w:t>
      </w:r>
      <w:r w:rsidRPr="00C4647D">
        <w:t xml:space="preserve"> and capital costs</w:t>
      </w:r>
      <w:r>
        <w:t>, if any.</w:t>
      </w:r>
      <w:r w:rsidRPr="00C4647D">
        <w:t xml:space="preserve"> SDG&amp;E shall also separately specify the O&amp;M costs for inspections from the capital costs for repair or replacement of poles and other equipment.</w:t>
      </w:r>
    </w:p>
    <w:p w:rsidRPr="00AD02DC" w:rsidR="007253C8" w:rsidP="00645333" w:rsidRDefault="007253C8" w14:paraId="2E8C3318" w14:textId="0C9048D1">
      <w:pPr>
        <w:pStyle w:val="Heading2"/>
      </w:pPr>
      <w:bookmarkStart w:name="_Toc213312284" w:id="68"/>
      <w:r w:rsidRPr="00AD02DC">
        <w:t xml:space="preserve">HFTD Tier 3 </w:t>
      </w:r>
      <w:r w:rsidRPr="009F3AAA">
        <w:t>Distribution</w:t>
      </w:r>
      <w:r w:rsidRPr="00AD02DC">
        <w:t xml:space="preserve"> Pole Inspections</w:t>
      </w:r>
      <w:bookmarkEnd w:id="68"/>
    </w:p>
    <w:p w:rsidRPr="00C4647D" w:rsidR="007253C8" w:rsidP="007253C8" w:rsidRDefault="007253C8" w14:paraId="5390E09B" w14:textId="2D0BE572">
      <w:pPr>
        <w:pStyle w:val="Standard"/>
      </w:pPr>
      <w:r>
        <w:t>In accordance with a settlement approved in D.10-04-047 after the 2007 Witch fire, SDG&amp;E increased the frequency of inspections of poles in Tier 3 HFTDs from every five years to every three. This results in the inspection of an additional 11,000 poles annually on average, which is about one</w:t>
      </w:r>
      <w:r w:rsidRPr="73E4AAD3">
        <w:rPr>
          <w:rFonts w:ascii="Cambria Math" w:hAnsi="Cambria Math" w:cs="Cambria Math"/>
        </w:rPr>
        <w:t>‐</w:t>
      </w:r>
      <w:r>
        <w:t xml:space="preserve">third of the </w:t>
      </w:r>
      <w:r>
        <w:lastRenderedPageBreak/>
        <w:t>distribution poles in the Tier 3 HFTDs. More specifically, SDG&amp;E performed 11,864 extra distribution pole inspections in Tier 3 HFTDs in 2019 and at a similar rate each year through 2022. Including the extra inspections, over the period 2019–2022, SDG&amp;E performed 47,930 inspections at an average unit cost of $187 per inspection. SDG&amp;E estimates that 2.37 ignitions would have occurred over 2019</w:t>
      </w:r>
      <w:r w:rsidR="00CE1DFC">
        <w:t>–</w:t>
      </w:r>
      <w:r>
        <w:t>2022 if inspections and repairs had not been completed as part of the HFTD Tier 3 inspection program.</w:t>
      </w:r>
    </w:p>
    <w:p w:rsidRPr="00C4647D" w:rsidR="007253C8" w:rsidP="007253C8" w:rsidRDefault="007253C8" w14:paraId="78057FAF" w14:textId="6B495C7B">
      <w:pPr>
        <w:pStyle w:val="Standard"/>
      </w:pPr>
      <w:r>
        <w:t>For this activity, SDG&amp;E seeks recovery of $3.111 million in capital expenditures and no O&amp;M expenditures for the 2019–2022 period (plus the associated indirect costs). The Commission is not persuaded.</w:t>
      </w:r>
    </w:p>
    <w:p w:rsidRPr="00C4647D" w:rsidR="007253C8" w:rsidP="007253C8" w:rsidRDefault="007253C8" w14:paraId="06005390" w14:textId="2CFA12FF">
      <w:pPr>
        <w:pStyle w:val="Standard"/>
      </w:pPr>
      <w:r w:rsidRPr="00C4647D">
        <w:t xml:space="preserve">SDG&amp;E has </w:t>
      </w:r>
      <w:r w:rsidR="00541B61">
        <w:t>neither</w:t>
      </w:r>
      <w:r w:rsidRPr="00C4647D" w:rsidR="00541B61">
        <w:t xml:space="preserve"> </w:t>
      </w:r>
      <w:r w:rsidRPr="00C4647D">
        <w:t xml:space="preserve">demonstrated how work performed by staff performing such inspections is a capital cost </w:t>
      </w:r>
      <w:r>
        <w:t>n</w:t>
      </w:r>
      <w:r w:rsidRPr="00C4647D">
        <w:t xml:space="preserve">or accounted for the nature of the capital cost. Inspections necessarily incur O&amp;M costs due to labor, but incur capital expenditures only if the inspection led to corrective work requiring a capital expenditure (such as for new equipment). It is SDG&amp;E’s responsibility to document and report </w:t>
      </w:r>
      <w:r>
        <w:t xml:space="preserve">costs clearly </w:t>
      </w:r>
      <w:r w:rsidRPr="00C4647D">
        <w:t>to the Commission</w:t>
      </w:r>
      <w:r>
        <w:t>,</w:t>
      </w:r>
      <w:r w:rsidRPr="00C4647D">
        <w:t xml:space="preserve"> </w:t>
      </w:r>
      <w:r>
        <w:t xml:space="preserve">both </w:t>
      </w:r>
      <w:r w:rsidRPr="00C4647D">
        <w:t xml:space="preserve">in terms of capital expenditure and O&amp;M. As a result of SDG&amp;E’s failure to </w:t>
      </w:r>
      <w:r>
        <w:t xml:space="preserve">explain </w:t>
      </w:r>
      <w:r w:rsidRPr="00C4647D">
        <w:t>clearly why all of the costs sought for recovery in this instance are capital expenditures and none are O&amp;M, the Commission finds the above amount for this category to be reasonable only as an O&amp;M cost, not capital expenditures.</w:t>
      </w:r>
      <w:r>
        <w:t xml:space="preserve"> The Commission finds the uncontested amount of $3.111 million for this required activity during the 2019–2022 time period to be reasonable and approves its cost recovery </w:t>
      </w:r>
      <w:r w:rsidR="00E33631">
        <w:t xml:space="preserve">as O&amp;M and </w:t>
      </w:r>
      <w:r>
        <w:t xml:space="preserve">subject to direct cost reductions </w:t>
      </w:r>
      <w:r w:rsidR="002F3BEE">
        <w:t xml:space="preserve">inn Section 13 </w:t>
      </w:r>
      <w:r>
        <w:t>(with indirect costs remaining to be adjusted and authorized).</w:t>
      </w:r>
    </w:p>
    <w:p w:rsidRPr="00C4647D" w:rsidR="007253C8" w:rsidP="007253C8" w:rsidRDefault="007253C8" w14:paraId="55927FDF" w14:textId="10B77EE8">
      <w:pPr>
        <w:pStyle w:val="Standard"/>
      </w:pPr>
      <w:r w:rsidRPr="00C4647D">
        <w:lastRenderedPageBreak/>
        <w:t xml:space="preserve">In addition, in </w:t>
      </w:r>
      <w:r w:rsidRPr="00C4647D" w:rsidR="002350FB">
        <w:t xml:space="preserve">all </w:t>
      </w:r>
      <w:r w:rsidRPr="00C4647D">
        <w:t>future requests for pole inspections that may involve pole replacement, SDG&amp;E shall separately specify the O&amp;M costs for inspections from the capital costs for repair or replacement of poles and other equipment.</w:t>
      </w:r>
    </w:p>
    <w:p w:rsidRPr="00C4647D" w:rsidR="007253C8" w:rsidP="00645333" w:rsidRDefault="007253C8" w14:paraId="70406F91" w14:textId="1724AAEA">
      <w:pPr>
        <w:pStyle w:val="Heading2"/>
      </w:pPr>
      <w:bookmarkStart w:name="_Toc213312285" w:id="69"/>
      <w:r>
        <w:t>Drone Assessments of Distribution Infrastructure</w:t>
      </w:r>
      <w:bookmarkEnd w:id="69"/>
    </w:p>
    <w:p w:rsidRPr="00C4647D" w:rsidR="007253C8" w:rsidP="007253C8" w:rsidRDefault="007253C8" w14:paraId="7304FA8B" w14:textId="20D6B0E7">
      <w:pPr>
        <w:pStyle w:val="Standard"/>
      </w:pPr>
      <w:r w:rsidRPr="00C4647D">
        <w:t xml:space="preserve">In 2019, SDG&amp;E started a Drone </w:t>
      </w:r>
      <w:r w:rsidR="00B12F06">
        <w:t xml:space="preserve">Assessments of Distribution Infrastructure </w:t>
      </w:r>
      <w:r w:rsidRPr="00C4647D">
        <w:t>pilot program to determine whether the use of drone technology could identify potential fire hazards on distribution facilities in the Tier 3 HFTD that could not be identified</w:t>
      </w:r>
      <w:r>
        <w:t>,</w:t>
      </w:r>
      <w:r w:rsidRPr="00C4647D">
        <w:t xml:space="preserve"> or were difficult to identify</w:t>
      </w:r>
      <w:r>
        <w:t>,</w:t>
      </w:r>
      <w:r w:rsidRPr="00C4647D">
        <w:t xml:space="preserve"> from the ground during traditional inspections.</w:t>
      </w:r>
      <w:r w:rsidRPr="00C4647D">
        <w:rPr>
          <w:vertAlign w:val="superscript"/>
        </w:rPr>
        <w:footnoteReference w:id="222"/>
      </w:r>
      <w:r w:rsidRPr="00C4647D">
        <w:t xml:space="preserve"> SDG</w:t>
      </w:r>
      <w:r>
        <w:t>&amp;</w:t>
      </w:r>
      <w:r w:rsidRPr="00C4647D">
        <w:t>E’s analysis of the data collected by the drone program concluded that through the enhanced view of infrastructure, especially in hard to reach or difficult terrain,</w:t>
      </w:r>
      <w:r w:rsidRPr="00C4647D">
        <w:rPr>
          <w:vertAlign w:val="superscript"/>
        </w:rPr>
        <w:footnoteReference w:id="223"/>
      </w:r>
      <w:r w:rsidRPr="00C4647D">
        <w:t xml:space="preserve"> the program found a higher percentage of total issues than traditional ground inspection programs. By drone, SDG&amp;E found more damaged arrestors, damaged insulators, issues with pole tops, issues with armor rods, crossarm or pole top damage, exposed connections, loose hardware, improper splices, damaged conductors, damaged transformers, and issues with Communication Infrastructure Provider (CIP) connections.</w:t>
      </w:r>
      <w:r w:rsidRPr="00C4647D">
        <w:rPr>
          <w:vertAlign w:val="superscript"/>
        </w:rPr>
        <w:footnoteReference w:id="224"/>
      </w:r>
      <w:r w:rsidRPr="00C4647D">
        <w:t xml:space="preserve"> The DIAR program found a higher percentage of issues by: 1) providing a view of the top of the pole, 2) using high-resolution imagery that allowed inspectors to zoom, enhance contrast, and manipulate the images to better identify damages that could otherwise be difficult or impossible to see from the ground, and 3)</w:t>
      </w:r>
      <w:r w:rsidR="00EB33A9">
        <w:t> </w:t>
      </w:r>
      <w:r w:rsidRPr="00C4647D">
        <w:t>using a dedicated inspection team to enhance consistency and quality.</w:t>
      </w:r>
      <w:r w:rsidRPr="00C4647D">
        <w:rPr>
          <w:vertAlign w:val="superscript"/>
        </w:rPr>
        <w:footnoteReference w:id="225"/>
      </w:r>
      <w:r w:rsidRPr="00C4647D">
        <w:t xml:space="preserve"> As a result, SDG&amp;E prioritized drone inspections within the HFTD starting with Tier </w:t>
      </w:r>
      <w:r w:rsidRPr="00C4647D">
        <w:lastRenderedPageBreak/>
        <w:t>3 in 2020 and moving into Tier 2 in 2021 and 2022, with the goal of completing inspections for all HFTD structures within the 2019</w:t>
      </w:r>
      <w:r>
        <w:t>–20</w:t>
      </w:r>
      <w:r w:rsidRPr="00C4647D">
        <w:t>22 period. For that period, SDG&amp;E estimated that 45.9 ignitions would have occurred if inspections and repairs had not been completed as part of this inspection program.</w:t>
      </w:r>
      <w:r w:rsidRPr="00C4647D">
        <w:rPr>
          <w:vertAlign w:val="superscript"/>
        </w:rPr>
        <w:footnoteReference w:id="226"/>
      </w:r>
    </w:p>
    <w:p w:rsidRPr="00C4647D" w:rsidR="007253C8" w:rsidP="007253C8" w:rsidRDefault="007253C8" w14:paraId="210CA3DA" w14:textId="1A6AEA83">
      <w:pPr>
        <w:pStyle w:val="Standard"/>
      </w:pPr>
      <w:r w:rsidRPr="00C4647D">
        <w:t xml:space="preserve">As shown in the table above, SDG&amp;E spent over five times as much on Drone Assessments of Distribution Infrastructure </w:t>
      </w:r>
      <w:r w:rsidR="00C979FA">
        <w:t>as</w:t>
      </w:r>
      <w:r w:rsidRPr="00C4647D" w:rsidR="00C979FA">
        <w:t xml:space="preserve"> </w:t>
      </w:r>
      <w:r>
        <w:t xml:space="preserve">it spent on five of six </w:t>
      </w:r>
      <w:r w:rsidRPr="00C4647D">
        <w:t>other inspection program</w:t>
      </w:r>
      <w:r>
        <w:t>s</w:t>
      </w:r>
      <w:r w:rsidRPr="00C4647D">
        <w:t>. The utility’s cost recovery request</w:t>
      </w:r>
      <w:r w:rsidR="00FE3062">
        <w:t>s</w:t>
      </w:r>
      <w:r w:rsidRPr="00C4647D">
        <w:t xml:space="preserve"> for this activity are shown in the table below</w:t>
      </w:r>
      <w:r>
        <w:t>:</w:t>
      </w:r>
      <w:r w:rsidRPr="00C4647D">
        <w:rPr>
          <w:vertAlign w:val="superscript"/>
        </w:rPr>
        <w:footnoteReference w:id="227"/>
      </w:r>
    </w:p>
    <w:p w:rsidRPr="00316906" w:rsidR="007253C8" w:rsidP="007253C8" w:rsidRDefault="007253C8" w14:paraId="7CF6B7AF" w14:textId="77777777">
      <w:pPr>
        <w:pStyle w:val="Standard"/>
        <w:ind w:firstLine="0"/>
        <w:jc w:val="center"/>
        <w:rPr>
          <w:b/>
          <w:bCs/>
        </w:rPr>
      </w:pPr>
      <w:r w:rsidRPr="18124A6B">
        <w:rPr>
          <w:b/>
          <w:bCs/>
        </w:rPr>
        <w:t>Table 7.6A</w:t>
      </w:r>
    </w:p>
    <w:p w:rsidR="007253C8" w:rsidP="007253C8" w:rsidRDefault="007253C8" w14:paraId="1FF1BE72" w14:textId="77777777">
      <w:pPr>
        <w:pStyle w:val="Standard"/>
        <w:ind w:firstLine="0"/>
        <w:jc w:val="center"/>
        <w:rPr>
          <w:b/>
          <w:bCs/>
        </w:rPr>
      </w:pPr>
      <w:r w:rsidRPr="18124A6B">
        <w:rPr>
          <w:b/>
          <w:bCs/>
        </w:rPr>
        <w:t xml:space="preserve"> Drone Assessments of Distribution Infrastructure</w:t>
      </w:r>
    </w:p>
    <w:p w:rsidR="007253C8" w:rsidP="007253C8" w:rsidRDefault="007253C8" w14:paraId="1823D749" w14:textId="77777777">
      <w:pPr>
        <w:pStyle w:val="Standard"/>
        <w:ind w:firstLine="0"/>
        <w:jc w:val="center"/>
        <w:rPr>
          <w:b/>
          <w:bCs/>
        </w:rPr>
      </w:pPr>
      <w:r w:rsidRPr="18124A6B">
        <w:rPr>
          <w:b/>
          <w:bCs/>
        </w:rPr>
        <w:t>Authorizations and Costs 2019-2022 ($000)</w:t>
      </w:r>
    </w:p>
    <w:tbl>
      <w:tblPr>
        <w:tblW w:w="9954" w:type="dxa"/>
        <w:tblLook w:val="04A0" w:firstRow="1" w:lastRow="0" w:firstColumn="1" w:lastColumn="0" w:noHBand="0" w:noVBand="1"/>
      </w:tblPr>
      <w:tblGrid>
        <w:gridCol w:w="735"/>
        <w:gridCol w:w="1490"/>
        <w:gridCol w:w="1400"/>
        <w:gridCol w:w="995"/>
        <w:gridCol w:w="1412"/>
        <w:gridCol w:w="1341"/>
        <w:gridCol w:w="1161"/>
        <w:gridCol w:w="1420"/>
      </w:tblGrid>
      <w:tr w:rsidRPr="00A81CC0" w:rsidR="007253C8" w:rsidTr="00301BD8" w14:paraId="4408069E" w14:textId="77777777">
        <w:trPr>
          <w:trHeight w:val="1020"/>
        </w:trPr>
        <w:tc>
          <w:tcPr>
            <w:tcW w:w="737" w:type="dxa"/>
            <w:tcBorders>
              <w:top w:val="single" w:color="auto" w:sz="4" w:space="0"/>
              <w:left w:val="single" w:color="auto" w:sz="4" w:space="0"/>
              <w:bottom w:val="single" w:color="auto" w:sz="4" w:space="0"/>
              <w:right w:val="single" w:color="auto" w:sz="4" w:space="0"/>
            </w:tcBorders>
            <w:hideMark/>
          </w:tcPr>
          <w:p w:rsidRPr="00A81CC0" w:rsidR="007253C8" w:rsidP="00301BD8" w:rsidRDefault="007253C8" w14:paraId="3206C404" w14:textId="77777777">
            <w:pPr>
              <w:pStyle w:val="TableText"/>
            </w:pPr>
            <w:r w:rsidRPr="00A81CC0">
              <w:t>Year</w:t>
            </w:r>
          </w:p>
        </w:tc>
        <w:tc>
          <w:tcPr>
            <w:tcW w:w="1495" w:type="dxa"/>
            <w:tcBorders>
              <w:top w:val="single" w:color="auto" w:sz="4" w:space="0"/>
              <w:left w:val="nil"/>
              <w:bottom w:val="single" w:color="auto" w:sz="4" w:space="0"/>
              <w:right w:val="single" w:color="auto" w:sz="4" w:space="0"/>
            </w:tcBorders>
            <w:hideMark/>
          </w:tcPr>
          <w:p w:rsidRPr="00A81CC0" w:rsidR="007253C8" w:rsidP="00301BD8" w:rsidRDefault="007253C8" w14:paraId="489AA5A5" w14:textId="77777777">
            <w:pPr>
              <w:pStyle w:val="TableText"/>
            </w:pPr>
            <w:r w:rsidRPr="00A81CC0">
              <w:t>Units (inspections)</w:t>
            </w:r>
          </w:p>
        </w:tc>
        <w:tc>
          <w:tcPr>
            <w:tcW w:w="1410" w:type="dxa"/>
            <w:tcBorders>
              <w:top w:val="single" w:color="auto" w:sz="4" w:space="0"/>
              <w:left w:val="nil"/>
              <w:bottom w:val="single" w:color="auto" w:sz="4" w:space="0"/>
              <w:right w:val="single" w:color="auto" w:sz="4" w:space="0"/>
            </w:tcBorders>
            <w:hideMark/>
          </w:tcPr>
          <w:p w:rsidRPr="00A81CC0" w:rsidR="007253C8" w:rsidP="00301BD8" w:rsidRDefault="007253C8" w14:paraId="6FD17CC3" w14:textId="77777777">
            <w:pPr>
              <w:pStyle w:val="TableText"/>
            </w:pPr>
            <w:r w:rsidRPr="18124A6B">
              <w:rPr>
                <w:color w:val="000000" w:themeColor="text1"/>
              </w:rPr>
              <w:t>Authorized Capital</w:t>
            </w:r>
          </w:p>
        </w:tc>
        <w:tc>
          <w:tcPr>
            <w:tcW w:w="1005" w:type="dxa"/>
            <w:tcBorders>
              <w:top w:val="single" w:color="auto" w:sz="4" w:space="0"/>
              <w:left w:val="nil"/>
              <w:bottom w:val="single" w:color="auto" w:sz="4" w:space="0"/>
              <w:right w:val="single" w:color="auto" w:sz="4" w:space="0"/>
            </w:tcBorders>
            <w:hideMark/>
          </w:tcPr>
          <w:p w:rsidRPr="00A81CC0" w:rsidR="007253C8" w:rsidP="00301BD8" w:rsidRDefault="007253C8" w14:paraId="52AC2C2A" w14:textId="77777777">
            <w:pPr>
              <w:pStyle w:val="TableText"/>
            </w:pPr>
            <w:r w:rsidRPr="00A81CC0">
              <w:t>Actual Capital</w:t>
            </w:r>
          </w:p>
        </w:tc>
        <w:tc>
          <w:tcPr>
            <w:tcW w:w="1425" w:type="dxa"/>
            <w:tcBorders>
              <w:top w:val="single" w:color="auto" w:sz="4" w:space="0"/>
              <w:left w:val="single" w:color="auto" w:sz="4" w:space="0"/>
              <w:bottom w:val="single" w:color="auto" w:sz="4" w:space="0"/>
              <w:right w:val="nil"/>
            </w:tcBorders>
            <w:hideMark/>
          </w:tcPr>
          <w:p w:rsidRPr="00A81CC0" w:rsidR="007253C8" w:rsidP="00301BD8" w:rsidRDefault="007253C8" w14:paraId="322733AE" w14:textId="77777777">
            <w:pPr>
              <w:pStyle w:val="TableText"/>
            </w:pPr>
            <w:r w:rsidRPr="00A81CC0">
              <w:t>Differential Capital</w:t>
            </w:r>
          </w:p>
        </w:tc>
        <w:tc>
          <w:tcPr>
            <w:tcW w:w="1268" w:type="dxa"/>
            <w:tcBorders>
              <w:top w:val="single" w:color="auto" w:sz="4" w:space="0"/>
              <w:left w:val="double" w:color="auto" w:sz="6" w:space="0"/>
              <w:bottom w:val="single" w:color="auto" w:sz="4" w:space="0"/>
              <w:right w:val="single" w:color="auto" w:sz="4" w:space="0"/>
            </w:tcBorders>
            <w:hideMark/>
          </w:tcPr>
          <w:p w:rsidRPr="00A81CC0" w:rsidR="007253C8" w:rsidP="00301BD8" w:rsidRDefault="007253C8" w14:paraId="24F66DAF" w14:textId="77777777">
            <w:pPr>
              <w:pStyle w:val="TableText"/>
            </w:pPr>
            <w:r w:rsidRPr="18124A6B">
              <w:rPr>
                <w:color w:val="000000" w:themeColor="text1"/>
              </w:rPr>
              <w:t>Authorized O&amp;M</w:t>
            </w:r>
          </w:p>
        </w:tc>
        <w:tc>
          <w:tcPr>
            <w:tcW w:w="1180" w:type="dxa"/>
            <w:tcBorders>
              <w:top w:val="single" w:color="auto" w:sz="4" w:space="0"/>
              <w:left w:val="nil"/>
              <w:bottom w:val="single" w:color="auto" w:sz="4" w:space="0"/>
              <w:right w:val="single" w:color="auto" w:sz="4" w:space="0"/>
            </w:tcBorders>
            <w:hideMark/>
          </w:tcPr>
          <w:p w:rsidRPr="00A81CC0" w:rsidR="007253C8" w:rsidP="00301BD8" w:rsidRDefault="007253C8" w14:paraId="1CDA9364" w14:textId="77777777">
            <w:pPr>
              <w:pStyle w:val="TableText"/>
            </w:pPr>
            <w:r w:rsidRPr="00A81CC0">
              <w:t>Actual O&amp;M</w:t>
            </w:r>
          </w:p>
        </w:tc>
        <w:tc>
          <w:tcPr>
            <w:tcW w:w="1434" w:type="dxa"/>
            <w:tcBorders>
              <w:top w:val="single" w:color="auto" w:sz="4" w:space="0"/>
              <w:left w:val="nil"/>
              <w:bottom w:val="single" w:color="auto" w:sz="4" w:space="0"/>
              <w:right w:val="single" w:color="auto" w:sz="4" w:space="0"/>
            </w:tcBorders>
            <w:hideMark/>
          </w:tcPr>
          <w:p w:rsidRPr="00A81CC0" w:rsidR="007253C8" w:rsidP="00301BD8" w:rsidRDefault="007253C8" w14:paraId="08551B61" w14:textId="77777777">
            <w:pPr>
              <w:pStyle w:val="TableText"/>
            </w:pPr>
            <w:r w:rsidRPr="00A81CC0">
              <w:t>Differential O&amp;M</w:t>
            </w:r>
          </w:p>
        </w:tc>
      </w:tr>
      <w:tr w:rsidRPr="00A81CC0" w:rsidR="007253C8" w:rsidTr="00301BD8" w14:paraId="025DA0FC" w14:textId="77777777">
        <w:trPr>
          <w:trHeight w:val="340"/>
        </w:trPr>
        <w:tc>
          <w:tcPr>
            <w:tcW w:w="737" w:type="dxa"/>
            <w:tcBorders>
              <w:top w:val="nil"/>
              <w:left w:val="single" w:color="auto" w:sz="4" w:space="0"/>
              <w:bottom w:val="single" w:color="auto" w:sz="4" w:space="0"/>
              <w:right w:val="single" w:color="auto" w:sz="4" w:space="0"/>
            </w:tcBorders>
            <w:hideMark/>
          </w:tcPr>
          <w:p w:rsidRPr="00A81CC0" w:rsidR="007253C8" w:rsidP="00301BD8" w:rsidRDefault="007253C8" w14:paraId="02F2C5F3" w14:textId="77777777">
            <w:pPr>
              <w:pStyle w:val="TableText"/>
            </w:pPr>
            <w:r w:rsidRPr="00A81CC0">
              <w:t>2019</w:t>
            </w:r>
          </w:p>
        </w:tc>
        <w:tc>
          <w:tcPr>
            <w:tcW w:w="1495" w:type="dxa"/>
            <w:tcBorders>
              <w:top w:val="nil"/>
              <w:left w:val="nil"/>
              <w:bottom w:val="single" w:color="auto" w:sz="4" w:space="0"/>
              <w:right w:val="single" w:color="auto" w:sz="4" w:space="0"/>
            </w:tcBorders>
            <w:hideMark/>
          </w:tcPr>
          <w:p w:rsidRPr="00A81CC0" w:rsidR="007253C8" w:rsidP="00301BD8" w:rsidRDefault="007253C8" w14:paraId="36A0B9FE" w14:textId="77777777">
            <w:pPr>
              <w:pStyle w:val="TableText"/>
            </w:pPr>
            <w:r w:rsidRPr="00A81CC0">
              <w:t xml:space="preserve">37,310 </w:t>
            </w:r>
          </w:p>
        </w:tc>
        <w:tc>
          <w:tcPr>
            <w:tcW w:w="1410" w:type="dxa"/>
            <w:tcBorders>
              <w:top w:val="nil"/>
              <w:left w:val="nil"/>
              <w:bottom w:val="single" w:color="auto" w:sz="4" w:space="0"/>
              <w:right w:val="single" w:color="auto" w:sz="4" w:space="0"/>
            </w:tcBorders>
            <w:hideMark/>
          </w:tcPr>
          <w:p w:rsidRPr="00A81CC0" w:rsidR="007253C8" w:rsidP="00301BD8" w:rsidRDefault="007253C8" w14:paraId="4F0C2063" w14:textId="77777777">
            <w:pPr>
              <w:pStyle w:val="TableText"/>
            </w:pPr>
            <w:r w:rsidRPr="00A81CC0">
              <w:t>-</w:t>
            </w:r>
          </w:p>
        </w:tc>
        <w:tc>
          <w:tcPr>
            <w:tcW w:w="1005" w:type="dxa"/>
            <w:tcBorders>
              <w:top w:val="nil"/>
              <w:left w:val="nil"/>
              <w:bottom w:val="single" w:color="auto" w:sz="4" w:space="0"/>
              <w:right w:val="single" w:color="auto" w:sz="4" w:space="0"/>
            </w:tcBorders>
            <w:hideMark/>
          </w:tcPr>
          <w:p w:rsidRPr="00A81CC0" w:rsidR="007253C8" w:rsidP="00301BD8" w:rsidRDefault="007253C8" w14:paraId="1F436204" w14:textId="77777777">
            <w:pPr>
              <w:pStyle w:val="TableText"/>
            </w:pPr>
            <w:r w:rsidRPr="00A81CC0">
              <w:t xml:space="preserve">$274 </w:t>
            </w:r>
          </w:p>
        </w:tc>
        <w:tc>
          <w:tcPr>
            <w:tcW w:w="1425" w:type="dxa"/>
            <w:tcBorders>
              <w:top w:val="nil"/>
              <w:left w:val="single" w:color="auto" w:sz="4" w:space="0"/>
              <w:bottom w:val="single" w:color="auto" w:sz="4" w:space="0"/>
              <w:right w:val="nil"/>
            </w:tcBorders>
            <w:hideMark/>
          </w:tcPr>
          <w:p w:rsidRPr="00A81CC0" w:rsidR="007253C8" w:rsidP="00301BD8" w:rsidRDefault="007253C8" w14:paraId="7713E414" w14:textId="77777777">
            <w:pPr>
              <w:pStyle w:val="TableText"/>
            </w:pPr>
            <w:r w:rsidRPr="00A81CC0">
              <w:t xml:space="preserve">$274 </w:t>
            </w:r>
          </w:p>
        </w:tc>
        <w:tc>
          <w:tcPr>
            <w:tcW w:w="1268" w:type="dxa"/>
            <w:tcBorders>
              <w:top w:val="nil"/>
              <w:left w:val="double" w:color="auto" w:sz="6" w:space="0"/>
              <w:bottom w:val="single" w:color="auto" w:sz="4" w:space="0"/>
              <w:right w:val="single" w:color="auto" w:sz="4" w:space="0"/>
            </w:tcBorders>
            <w:hideMark/>
          </w:tcPr>
          <w:p w:rsidRPr="00A81CC0" w:rsidR="007253C8" w:rsidP="00301BD8" w:rsidRDefault="007253C8" w14:paraId="5121CF0C" w14:textId="77777777">
            <w:pPr>
              <w:pStyle w:val="TableText"/>
            </w:pPr>
            <w:r w:rsidRPr="00A81CC0">
              <w:t>-</w:t>
            </w:r>
          </w:p>
        </w:tc>
        <w:tc>
          <w:tcPr>
            <w:tcW w:w="1180" w:type="dxa"/>
            <w:tcBorders>
              <w:top w:val="nil"/>
              <w:left w:val="nil"/>
              <w:bottom w:val="single" w:color="auto" w:sz="4" w:space="0"/>
              <w:right w:val="single" w:color="auto" w:sz="4" w:space="0"/>
            </w:tcBorders>
            <w:hideMark/>
          </w:tcPr>
          <w:p w:rsidRPr="00A81CC0" w:rsidR="007253C8" w:rsidP="00301BD8" w:rsidRDefault="007253C8" w14:paraId="1910DBE6" w14:textId="77777777">
            <w:pPr>
              <w:pStyle w:val="TableText"/>
            </w:pPr>
            <w:r w:rsidRPr="00A81CC0">
              <w:t xml:space="preserve">$13,557 </w:t>
            </w:r>
          </w:p>
        </w:tc>
        <w:tc>
          <w:tcPr>
            <w:tcW w:w="1434" w:type="dxa"/>
            <w:tcBorders>
              <w:top w:val="nil"/>
              <w:left w:val="nil"/>
              <w:bottom w:val="single" w:color="auto" w:sz="4" w:space="0"/>
              <w:right w:val="single" w:color="auto" w:sz="4" w:space="0"/>
            </w:tcBorders>
            <w:hideMark/>
          </w:tcPr>
          <w:p w:rsidRPr="00A81CC0" w:rsidR="007253C8" w:rsidP="00301BD8" w:rsidRDefault="007253C8" w14:paraId="36D0C68B" w14:textId="77777777">
            <w:pPr>
              <w:pStyle w:val="TableText"/>
            </w:pPr>
            <w:r w:rsidRPr="00A81CC0">
              <w:t xml:space="preserve">$13,557 </w:t>
            </w:r>
          </w:p>
        </w:tc>
      </w:tr>
      <w:tr w:rsidRPr="00A81CC0" w:rsidR="007253C8" w:rsidTr="00301BD8" w14:paraId="51F98F6F" w14:textId="77777777">
        <w:trPr>
          <w:trHeight w:val="340"/>
        </w:trPr>
        <w:tc>
          <w:tcPr>
            <w:tcW w:w="737" w:type="dxa"/>
            <w:tcBorders>
              <w:top w:val="nil"/>
              <w:left w:val="single" w:color="auto" w:sz="4" w:space="0"/>
              <w:bottom w:val="single" w:color="auto" w:sz="4" w:space="0"/>
              <w:right w:val="single" w:color="auto" w:sz="4" w:space="0"/>
            </w:tcBorders>
            <w:hideMark/>
          </w:tcPr>
          <w:p w:rsidRPr="00A81CC0" w:rsidR="007253C8" w:rsidP="00301BD8" w:rsidRDefault="007253C8" w14:paraId="5CF598E5" w14:textId="77777777">
            <w:pPr>
              <w:pStyle w:val="TableText"/>
            </w:pPr>
            <w:r w:rsidRPr="00A81CC0">
              <w:t>2020</w:t>
            </w:r>
          </w:p>
        </w:tc>
        <w:tc>
          <w:tcPr>
            <w:tcW w:w="1495" w:type="dxa"/>
            <w:tcBorders>
              <w:top w:val="nil"/>
              <w:left w:val="nil"/>
              <w:bottom w:val="single" w:color="auto" w:sz="4" w:space="0"/>
              <w:right w:val="single" w:color="auto" w:sz="4" w:space="0"/>
            </w:tcBorders>
            <w:hideMark/>
          </w:tcPr>
          <w:p w:rsidRPr="00A81CC0" w:rsidR="007253C8" w:rsidP="00301BD8" w:rsidRDefault="007253C8" w14:paraId="54F76F9F" w14:textId="77777777">
            <w:pPr>
              <w:pStyle w:val="TableText"/>
            </w:pPr>
            <w:r w:rsidRPr="00A81CC0">
              <w:t xml:space="preserve">21,420 </w:t>
            </w:r>
          </w:p>
        </w:tc>
        <w:tc>
          <w:tcPr>
            <w:tcW w:w="1410" w:type="dxa"/>
            <w:tcBorders>
              <w:top w:val="nil"/>
              <w:left w:val="nil"/>
              <w:bottom w:val="single" w:color="auto" w:sz="4" w:space="0"/>
              <w:right w:val="single" w:color="auto" w:sz="4" w:space="0"/>
            </w:tcBorders>
            <w:hideMark/>
          </w:tcPr>
          <w:p w:rsidRPr="00A81CC0" w:rsidR="007253C8" w:rsidP="00301BD8" w:rsidRDefault="007253C8" w14:paraId="3381FCDB" w14:textId="77777777">
            <w:pPr>
              <w:pStyle w:val="TableText"/>
            </w:pPr>
            <w:r w:rsidRPr="00A81CC0">
              <w:t>-</w:t>
            </w:r>
          </w:p>
        </w:tc>
        <w:tc>
          <w:tcPr>
            <w:tcW w:w="1005" w:type="dxa"/>
            <w:tcBorders>
              <w:top w:val="nil"/>
              <w:left w:val="nil"/>
              <w:bottom w:val="single" w:color="auto" w:sz="4" w:space="0"/>
              <w:right w:val="single" w:color="auto" w:sz="4" w:space="0"/>
            </w:tcBorders>
            <w:hideMark/>
          </w:tcPr>
          <w:p w:rsidRPr="00A81CC0" w:rsidR="007253C8" w:rsidP="00301BD8" w:rsidRDefault="007253C8" w14:paraId="1CCE2C16" w14:textId="77777777">
            <w:pPr>
              <w:pStyle w:val="TableText"/>
            </w:pPr>
            <w:r w:rsidRPr="00A81CC0">
              <w:t xml:space="preserve">$16,145 </w:t>
            </w:r>
          </w:p>
        </w:tc>
        <w:tc>
          <w:tcPr>
            <w:tcW w:w="1425" w:type="dxa"/>
            <w:tcBorders>
              <w:top w:val="nil"/>
              <w:left w:val="single" w:color="auto" w:sz="4" w:space="0"/>
              <w:bottom w:val="single" w:color="auto" w:sz="4" w:space="0"/>
              <w:right w:val="nil"/>
            </w:tcBorders>
            <w:hideMark/>
          </w:tcPr>
          <w:p w:rsidRPr="00A81CC0" w:rsidR="007253C8" w:rsidP="00301BD8" w:rsidRDefault="007253C8" w14:paraId="2C7E0942" w14:textId="77777777">
            <w:pPr>
              <w:pStyle w:val="TableText"/>
            </w:pPr>
            <w:r w:rsidRPr="00A81CC0">
              <w:t xml:space="preserve">$16,145 </w:t>
            </w:r>
          </w:p>
        </w:tc>
        <w:tc>
          <w:tcPr>
            <w:tcW w:w="1268" w:type="dxa"/>
            <w:tcBorders>
              <w:top w:val="nil"/>
              <w:left w:val="double" w:color="auto" w:sz="6" w:space="0"/>
              <w:bottom w:val="single" w:color="auto" w:sz="4" w:space="0"/>
              <w:right w:val="single" w:color="auto" w:sz="4" w:space="0"/>
            </w:tcBorders>
            <w:hideMark/>
          </w:tcPr>
          <w:p w:rsidRPr="00A81CC0" w:rsidR="007253C8" w:rsidP="00301BD8" w:rsidRDefault="007253C8" w14:paraId="7A35E477" w14:textId="77777777">
            <w:pPr>
              <w:pStyle w:val="TableText"/>
            </w:pPr>
            <w:r w:rsidRPr="00A81CC0">
              <w:t>-</w:t>
            </w:r>
          </w:p>
        </w:tc>
        <w:tc>
          <w:tcPr>
            <w:tcW w:w="1180" w:type="dxa"/>
            <w:tcBorders>
              <w:top w:val="nil"/>
              <w:left w:val="nil"/>
              <w:bottom w:val="single" w:color="auto" w:sz="4" w:space="0"/>
              <w:right w:val="single" w:color="auto" w:sz="4" w:space="0"/>
            </w:tcBorders>
            <w:hideMark/>
          </w:tcPr>
          <w:p w:rsidRPr="00A81CC0" w:rsidR="007253C8" w:rsidP="00301BD8" w:rsidRDefault="007253C8" w14:paraId="008AB1FB" w14:textId="77777777">
            <w:pPr>
              <w:pStyle w:val="TableText"/>
            </w:pPr>
            <w:r w:rsidRPr="00A81CC0">
              <w:t xml:space="preserve">$45,964 </w:t>
            </w:r>
          </w:p>
        </w:tc>
        <w:tc>
          <w:tcPr>
            <w:tcW w:w="1434" w:type="dxa"/>
            <w:tcBorders>
              <w:top w:val="nil"/>
              <w:left w:val="nil"/>
              <w:bottom w:val="single" w:color="auto" w:sz="4" w:space="0"/>
              <w:right w:val="single" w:color="auto" w:sz="4" w:space="0"/>
            </w:tcBorders>
            <w:hideMark/>
          </w:tcPr>
          <w:p w:rsidRPr="00A81CC0" w:rsidR="007253C8" w:rsidP="00301BD8" w:rsidRDefault="007253C8" w14:paraId="63DA8A53" w14:textId="77777777">
            <w:pPr>
              <w:pStyle w:val="TableText"/>
            </w:pPr>
            <w:r w:rsidRPr="00A81CC0">
              <w:t xml:space="preserve">$45,964 </w:t>
            </w:r>
          </w:p>
        </w:tc>
      </w:tr>
      <w:tr w:rsidRPr="00A81CC0" w:rsidR="007253C8" w:rsidTr="00301BD8" w14:paraId="3ABA7DE2" w14:textId="77777777">
        <w:trPr>
          <w:trHeight w:val="340"/>
        </w:trPr>
        <w:tc>
          <w:tcPr>
            <w:tcW w:w="737" w:type="dxa"/>
            <w:tcBorders>
              <w:top w:val="nil"/>
              <w:left w:val="single" w:color="auto" w:sz="4" w:space="0"/>
              <w:bottom w:val="single" w:color="auto" w:sz="4" w:space="0"/>
              <w:right w:val="single" w:color="auto" w:sz="4" w:space="0"/>
            </w:tcBorders>
            <w:hideMark/>
          </w:tcPr>
          <w:p w:rsidRPr="00A81CC0" w:rsidR="007253C8" w:rsidP="00301BD8" w:rsidRDefault="007253C8" w14:paraId="6E006F3C" w14:textId="77777777">
            <w:pPr>
              <w:pStyle w:val="TableText"/>
            </w:pPr>
            <w:r w:rsidRPr="00A81CC0">
              <w:t>2021</w:t>
            </w:r>
          </w:p>
        </w:tc>
        <w:tc>
          <w:tcPr>
            <w:tcW w:w="1495" w:type="dxa"/>
            <w:tcBorders>
              <w:top w:val="nil"/>
              <w:left w:val="nil"/>
              <w:bottom w:val="single" w:color="auto" w:sz="4" w:space="0"/>
              <w:right w:val="single" w:color="auto" w:sz="4" w:space="0"/>
            </w:tcBorders>
            <w:hideMark/>
          </w:tcPr>
          <w:p w:rsidRPr="00A81CC0" w:rsidR="007253C8" w:rsidP="00301BD8" w:rsidRDefault="007253C8" w14:paraId="21B84FCD" w14:textId="77777777">
            <w:pPr>
              <w:pStyle w:val="TableText"/>
            </w:pPr>
            <w:r w:rsidRPr="00A81CC0">
              <w:t xml:space="preserve">22,000 </w:t>
            </w:r>
          </w:p>
        </w:tc>
        <w:tc>
          <w:tcPr>
            <w:tcW w:w="1410" w:type="dxa"/>
            <w:tcBorders>
              <w:top w:val="nil"/>
              <w:left w:val="nil"/>
              <w:bottom w:val="single" w:color="auto" w:sz="4" w:space="0"/>
              <w:right w:val="single" w:color="auto" w:sz="4" w:space="0"/>
            </w:tcBorders>
            <w:hideMark/>
          </w:tcPr>
          <w:p w:rsidRPr="00A81CC0" w:rsidR="007253C8" w:rsidP="00301BD8" w:rsidRDefault="007253C8" w14:paraId="36DA40D1" w14:textId="77777777">
            <w:pPr>
              <w:pStyle w:val="TableText"/>
            </w:pPr>
            <w:r w:rsidRPr="00A81CC0">
              <w:t>-</w:t>
            </w:r>
          </w:p>
        </w:tc>
        <w:tc>
          <w:tcPr>
            <w:tcW w:w="1005" w:type="dxa"/>
            <w:tcBorders>
              <w:top w:val="nil"/>
              <w:left w:val="nil"/>
              <w:bottom w:val="single" w:color="auto" w:sz="4" w:space="0"/>
              <w:right w:val="single" w:color="auto" w:sz="4" w:space="0"/>
            </w:tcBorders>
            <w:hideMark/>
          </w:tcPr>
          <w:p w:rsidRPr="00A81CC0" w:rsidR="007253C8" w:rsidP="00301BD8" w:rsidRDefault="007253C8" w14:paraId="6DF5677E" w14:textId="77777777">
            <w:pPr>
              <w:pStyle w:val="TableText"/>
            </w:pPr>
            <w:r w:rsidRPr="00A81CC0">
              <w:t xml:space="preserve">$12,903 </w:t>
            </w:r>
          </w:p>
        </w:tc>
        <w:tc>
          <w:tcPr>
            <w:tcW w:w="1425" w:type="dxa"/>
            <w:tcBorders>
              <w:top w:val="nil"/>
              <w:left w:val="single" w:color="auto" w:sz="4" w:space="0"/>
              <w:bottom w:val="single" w:color="auto" w:sz="4" w:space="0"/>
              <w:right w:val="nil"/>
            </w:tcBorders>
            <w:hideMark/>
          </w:tcPr>
          <w:p w:rsidRPr="00A81CC0" w:rsidR="007253C8" w:rsidP="00301BD8" w:rsidRDefault="007253C8" w14:paraId="7A90373E" w14:textId="77777777">
            <w:pPr>
              <w:pStyle w:val="TableText"/>
            </w:pPr>
            <w:r w:rsidRPr="00A81CC0">
              <w:t xml:space="preserve">$12,903 </w:t>
            </w:r>
          </w:p>
        </w:tc>
        <w:tc>
          <w:tcPr>
            <w:tcW w:w="1268" w:type="dxa"/>
            <w:tcBorders>
              <w:top w:val="nil"/>
              <w:left w:val="double" w:color="auto" w:sz="6" w:space="0"/>
              <w:bottom w:val="single" w:color="auto" w:sz="4" w:space="0"/>
              <w:right w:val="single" w:color="auto" w:sz="4" w:space="0"/>
            </w:tcBorders>
            <w:hideMark/>
          </w:tcPr>
          <w:p w:rsidRPr="00A81CC0" w:rsidR="007253C8" w:rsidP="00301BD8" w:rsidRDefault="007253C8" w14:paraId="09A44A13" w14:textId="77777777">
            <w:pPr>
              <w:pStyle w:val="TableText"/>
            </w:pPr>
            <w:r w:rsidRPr="00A81CC0">
              <w:t>-</w:t>
            </w:r>
          </w:p>
        </w:tc>
        <w:tc>
          <w:tcPr>
            <w:tcW w:w="1180" w:type="dxa"/>
            <w:tcBorders>
              <w:top w:val="nil"/>
              <w:left w:val="nil"/>
              <w:bottom w:val="single" w:color="auto" w:sz="4" w:space="0"/>
              <w:right w:val="single" w:color="auto" w:sz="4" w:space="0"/>
            </w:tcBorders>
            <w:hideMark/>
          </w:tcPr>
          <w:p w:rsidRPr="00A81CC0" w:rsidR="007253C8" w:rsidP="00301BD8" w:rsidRDefault="007253C8" w14:paraId="7EBA7AD0" w14:textId="77777777">
            <w:pPr>
              <w:pStyle w:val="TableText"/>
            </w:pPr>
            <w:r w:rsidRPr="00A81CC0">
              <w:t xml:space="preserve">$33,170 </w:t>
            </w:r>
          </w:p>
        </w:tc>
        <w:tc>
          <w:tcPr>
            <w:tcW w:w="1434" w:type="dxa"/>
            <w:tcBorders>
              <w:top w:val="nil"/>
              <w:left w:val="nil"/>
              <w:bottom w:val="single" w:color="auto" w:sz="4" w:space="0"/>
              <w:right w:val="single" w:color="auto" w:sz="4" w:space="0"/>
            </w:tcBorders>
            <w:hideMark/>
          </w:tcPr>
          <w:p w:rsidRPr="00A81CC0" w:rsidR="007253C8" w:rsidP="00301BD8" w:rsidRDefault="007253C8" w14:paraId="53067B71" w14:textId="77777777">
            <w:pPr>
              <w:pStyle w:val="TableText"/>
            </w:pPr>
            <w:r w:rsidRPr="00A81CC0">
              <w:t xml:space="preserve">$33,170 </w:t>
            </w:r>
          </w:p>
        </w:tc>
      </w:tr>
      <w:tr w:rsidRPr="00A81CC0" w:rsidR="007253C8" w:rsidTr="00301BD8" w14:paraId="236EC572" w14:textId="77777777">
        <w:trPr>
          <w:trHeight w:val="340"/>
        </w:trPr>
        <w:tc>
          <w:tcPr>
            <w:tcW w:w="737" w:type="dxa"/>
            <w:tcBorders>
              <w:top w:val="nil"/>
              <w:left w:val="single" w:color="auto" w:sz="4" w:space="0"/>
              <w:bottom w:val="single" w:color="auto" w:sz="4" w:space="0"/>
              <w:right w:val="single" w:color="auto" w:sz="4" w:space="0"/>
            </w:tcBorders>
            <w:hideMark/>
          </w:tcPr>
          <w:p w:rsidRPr="00A81CC0" w:rsidR="007253C8" w:rsidP="00301BD8" w:rsidRDefault="007253C8" w14:paraId="1F7C2D28" w14:textId="77777777">
            <w:pPr>
              <w:pStyle w:val="TableText"/>
            </w:pPr>
            <w:r w:rsidRPr="00A81CC0">
              <w:t>2022</w:t>
            </w:r>
          </w:p>
        </w:tc>
        <w:tc>
          <w:tcPr>
            <w:tcW w:w="1495" w:type="dxa"/>
            <w:tcBorders>
              <w:top w:val="nil"/>
              <w:left w:val="nil"/>
              <w:bottom w:val="single" w:color="auto" w:sz="4" w:space="0"/>
              <w:right w:val="single" w:color="auto" w:sz="4" w:space="0"/>
            </w:tcBorders>
            <w:hideMark/>
          </w:tcPr>
          <w:p w:rsidRPr="00A81CC0" w:rsidR="007253C8" w:rsidP="00301BD8" w:rsidRDefault="007253C8" w14:paraId="79DD1A24" w14:textId="77777777">
            <w:pPr>
              <w:pStyle w:val="TableText"/>
            </w:pPr>
            <w:r w:rsidRPr="00A81CC0">
              <w:t xml:space="preserve">30,044 </w:t>
            </w:r>
          </w:p>
        </w:tc>
        <w:tc>
          <w:tcPr>
            <w:tcW w:w="1410" w:type="dxa"/>
            <w:tcBorders>
              <w:top w:val="nil"/>
              <w:left w:val="nil"/>
              <w:bottom w:val="single" w:color="auto" w:sz="4" w:space="0"/>
              <w:right w:val="single" w:color="auto" w:sz="4" w:space="0"/>
            </w:tcBorders>
            <w:hideMark/>
          </w:tcPr>
          <w:p w:rsidRPr="00A81CC0" w:rsidR="007253C8" w:rsidP="00301BD8" w:rsidRDefault="007253C8" w14:paraId="3240C347" w14:textId="77777777">
            <w:pPr>
              <w:pStyle w:val="TableText"/>
            </w:pPr>
            <w:r w:rsidRPr="00A81CC0">
              <w:t>-</w:t>
            </w:r>
          </w:p>
        </w:tc>
        <w:tc>
          <w:tcPr>
            <w:tcW w:w="1005" w:type="dxa"/>
            <w:tcBorders>
              <w:top w:val="nil"/>
              <w:left w:val="nil"/>
              <w:bottom w:val="single" w:color="auto" w:sz="4" w:space="0"/>
              <w:right w:val="single" w:color="auto" w:sz="4" w:space="0"/>
            </w:tcBorders>
            <w:hideMark/>
          </w:tcPr>
          <w:p w:rsidRPr="00A81CC0" w:rsidR="007253C8" w:rsidP="00301BD8" w:rsidRDefault="007253C8" w14:paraId="7990395B" w14:textId="77777777">
            <w:pPr>
              <w:pStyle w:val="TableText"/>
            </w:pPr>
            <w:r w:rsidRPr="00A81CC0">
              <w:t xml:space="preserve">$51,488 </w:t>
            </w:r>
          </w:p>
        </w:tc>
        <w:tc>
          <w:tcPr>
            <w:tcW w:w="1425" w:type="dxa"/>
            <w:tcBorders>
              <w:top w:val="nil"/>
              <w:left w:val="single" w:color="auto" w:sz="4" w:space="0"/>
              <w:bottom w:val="single" w:color="auto" w:sz="4" w:space="0"/>
              <w:right w:val="nil"/>
            </w:tcBorders>
            <w:hideMark/>
          </w:tcPr>
          <w:p w:rsidRPr="00A81CC0" w:rsidR="007253C8" w:rsidP="00301BD8" w:rsidRDefault="007253C8" w14:paraId="2CF54B99" w14:textId="77777777">
            <w:pPr>
              <w:pStyle w:val="TableText"/>
            </w:pPr>
            <w:r w:rsidRPr="00A81CC0">
              <w:t xml:space="preserve">$51,488 </w:t>
            </w:r>
          </w:p>
        </w:tc>
        <w:tc>
          <w:tcPr>
            <w:tcW w:w="1268" w:type="dxa"/>
            <w:tcBorders>
              <w:top w:val="nil"/>
              <w:left w:val="double" w:color="auto" w:sz="6" w:space="0"/>
              <w:bottom w:val="single" w:color="auto" w:sz="4" w:space="0"/>
              <w:right w:val="single" w:color="auto" w:sz="4" w:space="0"/>
            </w:tcBorders>
            <w:hideMark/>
          </w:tcPr>
          <w:p w:rsidRPr="00A81CC0" w:rsidR="007253C8" w:rsidP="00301BD8" w:rsidRDefault="007253C8" w14:paraId="59620A04" w14:textId="77777777">
            <w:pPr>
              <w:pStyle w:val="TableText"/>
            </w:pPr>
            <w:r w:rsidRPr="00A81CC0">
              <w:t>-</w:t>
            </w:r>
          </w:p>
        </w:tc>
        <w:tc>
          <w:tcPr>
            <w:tcW w:w="1180" w:type="dxa"/>
            <w:tcBorders>
              <w:top w:val="nil"/>
              <w:left w:val="nil"/>
              <w:bottom w:val="single" w:color="auto" w:sz="4" w:space="0"/>
              <w:right w:val="single" w:color="auto" w:sz="4" w:space="0"/>
            </w:tcBorders>
            <w:hideMark/>
          </w:tcPr>
          <w:p w:rsidRPr="00A81CC0" w:rsidR="007253C8" w:rsidP="00301BD8" w:rsidRDefault="007253C8" w14:paraId="212728B3" w14:textId="77777777">
            <w:pPr>
              <w:pStyle w:val="TableText"/>
            </w:pPr>
            <w:r w:rsidRPr="00A81CC0">
              <w:t xml:space="preserve">$44,755 </w:t>
            </w:r>
          </w:p>
        </w:tc>
        <w:tc>
          <w:tcPr>
            <w:tcW w:w="1434" w:type="dxa"/>
            <w:tcBorders>
              <w:top w:val="nil"/>
              <w:left w:val="nil"/>
              <w:bottom w:val="single" w:color="auto" w:sz="4" w:space="0"/>
              <w:right w:val="single" w:color="auto" w:sz="4" w:space="0"/>
            </w:tcBorders>
            <w:hideMark/>
          </w:tcPr>
          <w:p w:rsidRPr="00A81CC0" w:rsidR="007253C8" w:rsidP="00301BD8" w:rsidRDefault="007253C8" w14:paraId="76512E6B" w14:textId="77777777">
            <w:pPr>
              <w:pStyle w:val="TableText"/>
            </w:pPr>
            <w:r w:rsidRPr="00A81CC0">
              <w:t xml:space="preserve">$44,755 </w:t>
            </w:r>
          </w:p>
        </w:tc>
      </w:tr>
      <w:tr w:rsidRPr="00A81CC0" w:rsidR="007253C8" w:rsidTr="00301BD8" w14:paraId="22409095" w14:textId="77777777">
        <w:trPr>
          <w:trHeight w:val="340"/>
        </w:trPr>
        <w:tc>
          <w:tcPr>
            <w:tcW w:w="737" w:type="dxa"/>
            <w:tcBorders>
              <w:top w:val="nil"/>
              <w:left w:val="single" w:color="auto" w:sz="4" w:space="0"/>
              <w:bottom w:val="single" w:color="auto" w:sz="4" w:space="0"/>
              <w:right w:val="single" w:color="auto" w:sz="4" w:space="0"/>
            </w:tcBorders>
            <w:hideMark/>
          </w:tcPr>
          <w:p w:rsidRPr="00A81CC0" w:rsidR="007253C8" w:rsidP="00301BD8" w:rsidRDefault="007253C8" w14:paraId="6B996294" w14:textId="77777777">
            <w:pPr>
              <w:pStyle w:val="TableText"/>
            </w:pPr>
            <w:r w:rsidRPr="00A81CC0">
              <w:t>Total</w:t>
            </w:r>
          </w:p>
        </w:tc>
        <w:tc>
          <w:tcPr>
            <w:tcW w:w="1495" w:type="dxa"/>
            <w:tcBorders>
              <w:top w:val="nil"/>
              <w:left w:val="nil"/>
              <w:bottom w:val="single" w:color="auto" w:sz="4" w:space="0"/>
              <w:right w:val="single" w:color="auto" w:sz="4" w:space="0"/>
            </w:tcBorders>
            <w:hideMark/>
          </w:tcPr>
          <w:p w:rsidRPr="00A81CC0" w:rsidR="007253C8" w:rsidP="00301BD8" w:rsidRDefault="007253C8" w14:paraId="7667C27F" w14:textId="77777777">
            <w:pPr>
              <w:pStyle w:val="TableText"/>
            </w:pPr>
            <w:r w:rsidRPr="00A81CC0">
              <w:t xml:space="preserve">110,774 </w:t>
            </w:r>
          </w:p>
        </w:tc>
        <w:tc>
          <w:tcPr>
            <w:tcW w:w="1410" w:type="dxa"/>
            <w:tcBorders>
              <w:top w:val="nil"/>
              <w:left w:val="nil"/>
              <w:bottom w:val="single" w:color="auto" w:sz="4" w:space="0"/>
              <w:right w:val="single" w:color="auto" w:sz="4" w:space="0"/>
            </w:tcBorders>
            <w:hideMark/>
          </w:tcPr>
          <w:p w:rsidRPr="00A81CC0" w:rsidR="007253C8" w:rsidP="00301BD8" w:rsidRDefault="007253C8" w14:paraId="059D705C" w14:textId="77777777">
            <w:pPr>
              <w:pStyle w:val="TableText"/>
            </w:pPr>
            <w:r w:rsidRPr="00A81CC0">
              <w:t>-</w:t>
            </w:r>
          </w:p>
        </w:tc>
        <w:tc>
          <w:tcPr>
            <w:tcW w:w="1005" w:type="dxa"/>
            <w:tcBorders>
              <w:top w:val="nil"/>
              <w:left w:val="nil"/>
              <w:bottom w:val="single" w:color="auto" w:sz="4" w:space="0"/>
              <w:right w:val="single" w:color="auto" w:sz="4" w:space="0"/>
            </w:tcBorders>
            <w:hideMark/>
          </w:tcPr>
          <w:p w:rsidRPr="00A81CC0" w:rsidR="007253C8" w:rsidP="00301BD8" w:rsidRDefault="007253C8" w14:paraId="03EC3465" w14:textId="77777777">
            <w:pPr>
              <w:pStyle w:val="TableText"/>
            </w:pPr>
            <w:r w:rsidRPr="00A81CC0">
              <w:t xml:space="preserve">$80,809 </w:t>
            </w:r>
          </w:p>
        </w:tc>
        <w:tc>
          <w:tcPr>
            <w:tcW w:w="1425" w:type="dxa"/>
            <w:tcBorders>
              <w:top w:val="nil"/>
              <w:left w:val="single" w:color="auto" w:sz="4" w:space="0"/>
              <w:bottom w:val="single" w:color="auto" w:sz="4" w:space="0"/>
              <w:right w:val="nil"/>
            </w:tcBorders>
            <w:hideMark/>
          </w:tcPr>
          <w:p w:rsidRPr="00A81CC0" w:rsidR="007253C8" w:rsidP="00301BD8" w:rsidRDefault="007253C8" w14:paraId="17A2B84C" w14:textId="24CF3889">
            <w:pPr>
              <w:pStyle w:val="TableText"/>
              <w:rPr>
                <w:b/>
              </w:rPr>
            </w:pPr>
            <w:r w:rsidRPr="00A81CC0">
              <w:rPr>
                <w:b/>
              </w:rPr>
              <w:t xml:space="preserve">$80,809 </w:t>
            </w:r>
          </w:p>
        </w:tc>
        <w:tc>
          <w:tcPr>
            <w:tcW w:w="1268" w:type="dxa"/>
            <w:tcBorders>
              <w:top w:val="nil"/>
              <w:left w:val="double" w:color="auto" w:sz="6" w:space="0"/>
              <w:bottom w:val="single" w:color="auto" w:sz="4" w:space="0"/>
              <w:right w:val="single" w:color="auto" w:sz="4" w:space="0"/>
            </w:tcBorders>
            <w:hideMark/>
          </w:tcPr>
          <w:p w:rsidRPr="00A81CC0" w:rsidR="007253C8" w:rsidP="00301BD8" w:rsidRDefault="007253C8" w14:paraId="5884F886" w14:textId="77777777">
            <w:pPr>
              <w:pStyle w:val="TableText"/>
            </w:pPr>
            <w:r w:rsidRPr="00A81CC0">
              <w:t>-</w:t>
            </w:r>
          </w:p>
        </w:tc>
        <w:tc>
          <w:tcPr>
            <w:tcW w:w="1180" w:type="dxa"/>
            <w:tcBorders>
              <w:top w:val="nil"/>
              <w:left w:val="nil"/>
              <w:bottom w:val="single" w:color="auto" w:sz="4" w:space="0"/>
              <w:right w:val="single" w:color="auto" w:sz="4" w:space="0"/>
            </w:tcBorders>
            <w:hideMark/>
          </w:tcPr>
          <w:p w:rsidRPr="00A81CC0" w:rsidR="007253C8" w:rsidP="00301BD8" w:rsidRDefault="007253C8" w14:paraId="003F2060" w14:textId="77777777">
            <w:pPr>
              <w:pStyle w:val="TableText"/>
            </w:pPr>
            <w:r w:rsidRPr="00A81CC0">
              <w:t xml:space="preserve">$137,446 </w:t>
            </w:r>
          </w:p>
        </w:tc>
        <w:tc>
          <w:tcPr>
            <w:tcW w:w="1434" w:type="dxa"/>
            <w:tcBorders>
              <w:top w:val="nil"/>
              <w:left w:val="nil"/>
              <w:bottom w:val="single" w:color="auto" w:sz="4" w:space="0"/>
              <w:right w:val="single" w:color="auto" w:sz="4" w:space="0"/>
            </w:tcBorders>
            <w:hideMark/>
          </w:tcPr>
          <w:p w:rsidRPr="00A81CC0" w:rsidR="007253C8" w:rsidP="00301BD8" w:rsidRDefault="007253C8" w14:paraId="10C9A160" w14:textId="3CB8B689">
            <w:pPr>
              <w:pStyle w:val="TableText"/>
              <w:rPr>
                <w:b/>
              </w:rPr>
            </w:pPr>
            <w:r w:rsidRPr="00A81CC0">
              <w:rPr>
                <w:b/>
              </w:rPr>
              <w:t xml:space="preserve">$137,446 </w:t>
            </w:r>
          </w:p>
        </w:tc>
      </w:tr>
    </w:tbl>
    <w:p w:rsidR="007253C8" w:rsidP="007253C8" w:rsidRDefault="007253C8" w14:paraId="21F76886" w14:textId="77777777">
      <w:pPr>
        <w:pStyle w:val="standard0"/>
      </w:pPr>
    </w:p>
    <w:p w:rsidRPr="00C4647D" w:rsidR="007253C8" w:rsidP="007253C8" w:rsidRDefault="007253C8" w14:paraId="2B7191CE" w14:textId="12B36262">
      <w:pPr>
        <w:pStyle w:val="Standard"/>
      </w:pPr>
      <w:r>
        <w:t>The Commission did not authorize funds for Drone Assessments of Distribution Infrastructure in the last GRC. However, for this activity SDG&amp;E recorded capital expenditures of $80.809 million (2019–</w:t>
      </w:r>
      <w:r w:rsidR="00FE3062">
        <w:t>20</w:t>
      </w:r>
      <w:r>
        <w:t>22), and O&amp;M expenses of $137.446 million (2019–</w:t>
      </w:r>
      <w:r w:rsidR="00FE3062">
        <w:t>20</w:t>
      </w:r>
      <w:r>
        <w:t xml:space="preserve">22). During this time, SDG&amp;E performed 110,774 inspections at an average unit cost of $1,970 per inspection. Unlike patrol inspections and distribution pole inspections in Tier 3 HFTDs, SDG&amp;E’s 2019 </w:t>
      </w:r>
      <w:r>
        <w:lastRenderedPageBreak/>
        <w:t>costs are lower than other years. The average cost of inspections by drones is also over 3.5 times that of the next costliest initiative (Detailed Inspections of Distribution Equipment) by unit costs as shown above in Table 7.C.</w:t>
      </w:r>
    </w:p>
    <w:p w:rsidRPr="00C4647D" w:rsidR="007253C8" w:rsidP="007253C8" w:rsidRDefault="007253C8" w14:paraId="3EF35D5C" w14:textId="4A2EFD79">
      <w:pPr>
        <w:pStyle w:val="Standard"/>
      </w:pPr>
      <w:r w:rsidRPr="00C4647D">
        <w:t xml:space="preserve">PCF argues that SDG&amp;E has not demonstrated how its more costly drone inspections were cost-effective </w:t>
      </w:r>
      <w:r>
        <w:t>nor</w:t>
      </w:r>
      <w:r w:rsidRPr="00C4647D">
        <w:t xml:space="preserve"> that it was reasonable to prioritize drone inspections over less-costly inspection alternatives.</w:t>
      </w:r>
      <w:r w:rsidRPr="00C4647D">
        <w:rPr>
          <w:vertAlign w:val="superscript"/>
        </w:rPr>
        <w:footnoteReference w:id="228"/>
      </w:r>
      <w:r w:rsidRPr="00C4647D">
        <w:t xml:space="preserve"> PCF bases this on the following: 1) PCF contends that SDG&amp;E’s estimates of ignitions avoided is not credible due to the difference between current estimates and those reported in WMPs without explanation;</w:t>
      </w:r>
      <w:r w:rsidRPr="00C4647D">
        <w:rPr>
          <w:vertAlign w:val="superscript"/>
        </w:rPr>
        <w:footnoteReference w:id="229"/>
      </w:r>
      <w:r w:rsidRPr="00C4647D">
        <w:t xml:space="preserve"> 2) SDG&amp;E provides no information on how much duplication there is between drone inspections and manual inspections; 3) manual inspectors can see most of the hardware from the ground (except the top surfaces at the top of the poles) and inspectors can inspect the surfaces not visible from the ground as necessary via truck</w:t>
      </w:r>
      <w:r>
        <w:t>-</w:t>
      </w:r>
      <w:r w:rsidRPr="00C4647D">
        <w:t>mounted lift baskets or their own handheld drones; and 4) SDG&amp;E provides no evidence that its drone inspections and patrol inspections are coordinated to optimize efficiencies and avoid redundancies.</w:t>
      </w:r>
      <w:r w:rsidRPr="00C4647D">
        <w:rPr>
          <w:vertAlign w:val="superscript"/>
        </w:rPr>
        <w:footnoteReference w:id="230"/>
      </w:r>
    </w:p>
    <w:p w:rsidRPr="00C4647D" w:rsidR="007253C8" w:rsidP="007253C8" w:rsidRDefault="007253C8" w14:paraId="19515DE1" w14:textId="77777777">
      <w:pPr>
        <w:pStyle w:val="Standard"/>
      </w:pPr>
      <w:r w:rsidRPr="00C4647D">
        <w:t xml:space="preserve">In reply, SDG&amp;E provides additional explanation for its increased estimation of ignitions avoided and how they changed over time. SDG&amp;E also states that manual inspectors cannot inspect poles using mounted lift baskets or their own handheld drones because they don’t carry them and poles are often inaccessible by lift basket trucks—particularly in SDG&amp;E’s rural backcountry. As </w:t>
      </w:r>
      <w:r w:rsidRPr="00C4647D">
        <w:lastRenderedPageBreak/>
        <w:t>a result, SDG&amp;E argues that it is not reasonable to compare the effectiveness of drone inspections with manual inspection programs.</w:t>
      </w:r>
      <w:r w:rsidRPr="00C4647D">
        <w:rPr>
          <w:vertAlign w:val="superscript"/>
        </w:rPr>
        <w:footnoteReference w:id="231"/>
      </w:r>
    </w:p>
    <w:p w:rsidRPr="00C4647D" w:rsidR="007253C8" w:rsidP="007253C8" w:rsidRDefault="007253C8" w14:paraId="618B30D7" w14:textId="1433829E">
      <w:pPr>
        <w:pStyle w:val="Standard"/>
      </w:pPr>
      <w:r w:rsidRPr="00C4647D">
        <w:t>SDG&amp;E began its drone program by learning from the programs of other utilities, including SCE and PG&amp;E.</w:t>
      </w:r>
      <w:r w:rsidRPr="00C4647D">
        <w:rPr>
          <w:vertAlign w:val="superscript"/>
        </w:rPr>
        <w:footnoteReference w:id="232"/>
      </w:r>
      <w:r w:rsidRPr="00C4647D">
        <w:t xml:space="preserve"> In 2019, SDG&amp;E’s drone inspection unit costs </w:t>
      </w:r>
      <w:bookmarkStart w:name="_Hlk218702726" w:id="70"/>
      <w:r w:rsidRPr="00C4647D">
        <w:t xml:space="preserve">were </w:t>
      </w:r>
      <w:r w:rsidR="00B509AE">
        <w:t>$371 per inspection</w:t>
      </w:r>
      <w:bookmarkEnd w:id="70"/>
      <w:r w:rsidR="00B509AE">
        <w:t>.</w:t>
      </w:r>
      <w:r w:rsidR="00B509AE">
        <w:rPr>
          <w:rStyle w:val="FootnoteReference"/>
        </w:rPr>
        <w:footnoteReference w:id="233"/>
      </w:r>
      <w:r w:rsidR="00B509AE">
        <w:t xml:space="preserve"> </w:t>
      </w:r>
      <w:r w:rsidRPr="00C4647D">
        <w:t xml:space="preserve"> However, starting in 2020 and continuing through 2022 S</w:t>
      </w:r>
      <w:r w:rsidR="00192F8A">
        <w:t xml:space="preserve">DG&amp;E’s </w:t>
      </w:r>
      <w:r w:rsidRPr="00C4647D">
        <w:t>unit costs skyrocketed</w:t>
      </w:r>
      <w:r w:rsidR="00B509AE">
        <w:t xml:space="preserve"> as shown in the table below.</w:t>
      </w:r>
    </w:p>
    <w:p w:rsidRPr="00316906" w:rsidR="007253C8" w:rsidP="007253C8" w:rsidRDefault="007253C8" w14:paraId="33DD9979" w14:textId="77777777">
      <w:pPr>
        <w:pStyle w:val="Standard"/>
        <w:ind w:firstLine="0"/>
        <w:jc w:val="center"/>
        <w:rPr>
          <w:b/>
          <w:bCs/>
        </w:rPr>
      </w:pPr>
      <w:r w:rsidRPr="00316906">
        <w:rPr>
          <w:b/>
        </w:rPr>
        <w:t>Table 7.6B</w:t>
      </w:r>
    </w:p>
    <w:p w:rsidRPr="00316906" w:rsidR="007253C8" w:rsidP="007253C8" w:rsidRDefault="00B47E2F" w14:paraId="575589FA" w14:textId="7570083B">
      <w:pPr>
        <w:pStyle w:val="Standard"/>
        <w:ind w:firstLine="0"/>
        <w:jc w:val="center"/>
        <w:rPr>
          <w:b/>
        </w:rPr>
      </w:pPr>
      <w:r>
        <w:rPr>
          <w:b/>
        </w:rPr>
        <w:t xml:space="preserve">SDG&amp;E </w:t>
      </w:r>
      <w:r w:rsidRPr="00316906" w:rsidR="007253C8">
        <w:rPr>
          <w:b/>
        </w:rPr>
        <w:t>Drone Assessment Unit Costs</w:t>
      </w:r>
    </w:p>
    <w:tbl>
      <w:tblPr>
        <w:tblStyle w:val="TableGrid"/>
        <w:tblW w:w="5000" w:type="pct"/>
        <w:tblLook w:val="04A0" w:firstRow="1" w:lastRow="0" w:firstColumn="1" w:lastColumn="0" w:noHBand="0" w:noVBand="1"/>
      </w:tblPr>
      <w:tblGrid>
        <w:gridCol w:w="1632"/>
        <w:gridCol w:w="1795"/>
        <w:gridCol w:w="1715"/>
        <w:gridCol w:w="4208"/>
      </w:tblGrid>
      <w:tr w:rsidR="007253C8" w:rsidTr="00301BD8" w14:paraId="08370962" w14:textId="77777777">
        <w:tc>
          <w:tcPr>
            <w:tcW w:w="873" w:type="pct"/>
            <w:tcBorders>
              <w:bottom w:val="single" w:color="auto" w:sz="4" w:space="0"/>
            </w:tcBorders>
          </w:tcPr>
          <w:p w:rsidR="007253C8" w:rsidP="00301BD8" w:rsidRDefault="007253C8" w14:paraId="079B1F8E" w14:textId="1726B04E">
            <w:pPr>
              <w:pStyle w:val="TableText"/>
            </w:pPr>
          </w:p>
        </w:tc>
        <w:tc>
          <w:tcPr>
            <w:tcW w:w="960" w:type="pct"/>
            <w:tcBorders>
              <w:bottom w:val="single" w:color="auto" w:sz="4" w:space="0"/>
            </w:tcBorders>
          </w:tcPr>
          <w:p w:rsidR="007253C8" w:rsidP="00301BD8" w:rsidRDefault="007253C8" w14:paraId="651634FE" w14:textId="77777777">
            <w:pPr>
              <w:pStyle w:val="TableText"/>
            </w:pPr>
            <w:r>
              <w:t>Year</w:t>
            </w:r>
          </w:p>
        </w:tc>
        <w:tc>
          <w:tcPr>
            <w:tcW w:w="917" w:type="pct"/>
            <w:tcBorders>
              <w:bottom w:val="single" w:color="auto" w:sz="4" w:space="0"/>
            </w:tcBorders>
          </w:tcPr>
          <w:p w:rsidR="007253C8" w:rsidP="00301BD8" w:rsidRDefault="007253C8" w14:paraId="1FFBED23" w14:textId="77777777">
            <w:pPr>
              <w:pStyle w:val="TableText"/>
            </w:pPr>
            <w:r>
              <w:t>Inspections</w:t>
            </w:r>
          </w:p>
        </w:tc>
        <w:tc>
          <w:tcPr>
            <w:tcW w:w="2250" w:type="pct"/>
            <w:tcBorders>
              <w:bottom w:val="single" w:color="auto" w:sz="4" w:space="0"/>
            </w:tcBorders>
          </w:tcPr>
          <w:p w:rsidR="007253C8" w:rsidP="00301BD8" w:rsidRDefault="007253C8" w14:paraId="1EC50AAB" w14:textId="77777777">
            <w:pPr>
              <w:pStyle w:val="TableText"/>
            </w:pPr>
            <w:r>
              <w:t>Unit Cost</w:t>
            </w:r>
          </w:p>
        </w:tc>
      </w:tr>
      <w:tr w:rsidR="007253C8" w:rsidTr="00301BD8" w14:paraId="450CAF06" w14:textId="77777777">
        <w:tc>
          <w:tcPr>
            <w:tcW w:w="873" w:type="pct"/>
            <w:tcBorders>
              <w:bottom w:val="double" w:color="auto" w:sz="4" w:space="0"/>
            </w:tcBorders>
          </w:tcPr>
          <w:p w:rsidR="007253C8" w:rsidP="00301BD8" w:rsidRDefault="007253C8" w14:paraId="426F9E1D" w14:textId="4246700F">
            <w:pPr>
              <w:pStyle w:val="TableText"/>
            </w:pPr>
          </w:p>
        </w:tc>
        <w:tc>
          <w:tcPr>
            <w:tcW w:w="960" w:type="pct"/>
            <w:tcBorders>
              <w:bottom w:val="double" w:color="auto" w:sz="4" w:space="0"/>
            </w:tcBorders>
          </w:tcPr>
          <w:p w:rsidR="007253C8" w:rsidP="00301BD8" w:rsidRDefault="007253C8" w14:paraId="4F118A23" w14:textId="2345D37B">
            <w:pPr>
              <w:pStyle w:val="TableText"/>
            </w:pPr>
          </w:p>
        </w:tc>
        <w:tc>
          <w:tcPr>
            <w:tcW w:w="917" w:type="pct"/>
            <w:tcBorders>
              <w:bottom w:val="double" w:color="auto" w:sz="4" w:space="0"/>
            </w:tcBorders>
          </w:tcPr>
          <w:p w:rsidR="007253C8" w:rsidP="00301BD8" w:rsidRDefault="007253C8" w14:paraId="6EED451E" w14:textId="48CEDBF7">
            <w:pPr>
              <w:pStyle w:val="TableText"/>
            </w:pPr>
          </w:p>
        </w:tc>
        <w:tc>
          <w:tcPr>
            <w:tcW w:w="2250" w:type="pct"/>
            <w:tcBorders>
              <w:bottom w:val="double" w:color="auto" w:sz="4" w:space="0"/>
            </w:tcBorders>
          </w:tcPr>
          <w:p w:rsidR="007253C8" w:rsidP="00301BD8" w:rsidRDefault="007253C8" w14:paraId="1F817906" w14:textId="2C5495A0">
            <w:pPr>
              <w:pStyle w:val="TableText"/>
            </w:pPr>
          </w:p>
        </w:tc>
      </w:tr>
      <w:tr w:rsidR="007253C8" w:rsidTr="00301BD8" w14:paraId="4D804E1E" w14:textId="77777777">
        <w:tc>
          <w:tcPr>
            <w:tcW w:w="873" w:type="pct"/>
            <w:tcBorders>
              <w:top w:val="double" w:color="auto" w:sz="4" w:space="0"/>
            </w:tcBorders>
          </w:tcPr>
          <w:p w:rsidR="007253C8" w:rsidP="00301BD8" w:rsidRDefault="007253C8" w14:paraId="12A35CD6" w14:textId="43FCD44C">
            <w:pPr>
              <w:pStyle w:val="TableText"/>
            </w:pPr>
          </w:p>
        </w:tc>
        <w:tc>
          <w:tcPr>
            <w:tcW w:w="960" w:type="pct"/>
            <w:tcBorders>
              <w:top w:val="double" w:color="auto" w:sz="4" w:space="0"/>
            </w:tcBorders>
          </w:tcPr>
          <w:p w:rsidR="007253C8" w:rsidP="00301BD8" w:rsidRDefault="007253C8" w14:paraId="202D478C" w14:textId="77777777">
            <w:pPr>
              <w:pStyle w:val="TableText"/>
            </w:pPr>
            <w:r>
              <w:t>2019</w:t>
            </w:r>
          </w:p>
        </w:tc>
        <w:tc>
          <w:tcPr>
            <w:tcW w:w="917" w:type="pct"/>
            <w:tcBorders>
              <w:top w:val="double" w:color="auto" w:sz="4" w:space="0"/>
            </w:tcBorders>
          </w:tcPr>
          <w:p w:rsidR="007253C8" w:rsidP="00301BD8" w:rsidRDefault="007253C8" w14:paraId="041E9C7B" w14:textId="77777777">
            <w:pPr>
              <w:pStyle w:val="TableText"/>
            </w:pPr>
            <w:r>
              <w:t>37,310</w:t>
            </w:r>
          </w:p>
        </w:tc>
        <w:tc>
          <w:tcPr>
            <w:tcW w:w="2250" w:type="pct"/>
            <w:tcBorders>
              <w:top w:val="double" w:color="auto" w:sz="4" w:space="0"/>
            </w:tcBorders>
          </w:tcPr>
          <w:p w:rsidR="007253C8" w:rsidP="00301BD8" w:rsidRDefault="007253C8" w14:paraId="2565CD43" w14:textId="77777777">
            <w:pPr>
              <w:pStyle w:val="TableText"/>
            </w:pPr>
            <w:r>
              <w:t>$371 per inspection</w:t>
            </w:r>
          </w:p>
        </w:tc>
      </w:tr>
      <w:tr w:rsidR="007253C8" w:rsidTr="00301BD8" w14:paraId="0C997867" w14:textId="77777777">
        <w:tc>
          <w:tcPr>
            <w:tcW w:w="873" w:type="pct"/>
          </w:tcPr>
          <w:p w:rsidR="007253C8" w:rsidP="00301BD8" w:rsidRDefault="007253C8" w14:paraId="4E41B960" w14:textId="556931CA">
            <w:pPr>
              <w:pStyle w:val="TableText"/>
            </w:pPr>
          </w:p>
        </w:tc>
        <w:tc>
          <w:tcPr>
            <w:tcW w:w="960" w:type="pct"/>
          </w:tcPr>
          <w:p w:rsidR="007253C8" w:rsidP="00301BD8" w:rsidRDefault="007253C8" w14:paraId="4A7187F8" w14:textId="77777777">
            <w:pPr>
              <w:pStyle w:val="TableText"/>
            </w:pPr>
            <w:r>
              <w:t>2020</w:t>
            </w:r>
          </w:p>
        </w:tc>
        <w:tc>
          <w:tcPr>
            <w:tcW w:w="917" w:type="pct"/>
          </w:tcPr>
          <w:p w:rsidR="007253C8" w:rsidP="00301BD8" w:rsidRDefault="007253C8" w14:paraId="007A04BF" w14:textId="77777777">
            <w:pPr>
              <w:pStyle w:val="TableText"/>
            </w:pPr>
            <w:r>
              <w:t>21,420</w:t>
            </w:r>
          </w:p>
        </w:tc>
        <w:tc>
          <w:tcPr>
            <w:tcW w:w="2250" w:type="pct"/>
          </w:tcPr>
          <w:p w:rsidR="007253C8" w:rsidP="00301BD8" w:rsidRDefault="007253C8" w14:paraId="6414CA15" w14:textId="77777777">
            <w:pPr>
              <w:pStyle w:val="TableText"/>
            </w:pPr>
            <w:r>
              <w:t>$2,900 per inspection</w:t>
            </w:r>
          </w:p>
        </w:tc>
      </w:tr>
      <w:tr w:rsidR="007253C8" w:rsidTr="00301BD8" w14:paraId="62DC01EC" w14:textId="77777777">
        <w:tc>
          <w:tcPr>
            <w:tcW w:w="873" w:type="pct"/>
          </w:tcPr>
          <w:p w:rsidR="007253C8" w:rsidP="00301BD8" w:rsidRDefault="007253C8" w14:paraId="76ACAE27" w14:textId="3FA7E57B">
            <w:pPr>
              <w:pStyle w:val="TableText"/>
            </w:pPr>
          </w:p>
        </w:tc>
        <w:tc>
          <w:tcPr>
            <w:tcW w:w="960" w:type="pct"/>
          </w:tcPr>
          <w:p w:rsidR="007253C8" w:rsidP="00301BD8" w:rsidRDefault="007253C8" w14:paraId="59A20AD9" w14:textId="77777777">
            <w:pPr>
              <w:pStyle w:val="TableText"/>
            </w:pPr>
            <w:r>
              <w:t>2021</w:t>
            </w:r>
          </w:p>
        </w:tc>
        <w:tc>
          <w:tcPr>
            <w:tcW w:w="917" w:type="pct"/>
          </w:tcPr>
          <w:p w:rsidR="007253C8" w:rsidP="00301BD8" w:rsidRDefault="007253C8" w14:paraId="38870A43" w14:textId="77777777">
            <w:pPr>
              <w:pStyle w:val="TableText"/>
            </w:pPr>
            <w:r>
              <w:t>22,000</w:t>
            </w:r>
          </w:p>
        </w:tc>
        <w:tc>
          <w:tcPr>
            <w:tcW w:w="2250" w:type="pct"/>
          </w:tcPr>
          <w:p w:rsidR="007253C8" w:rsidP="00301BD8" w:rsidRDefault="007253C8" w14:paraId="2FA1879B" w14:textId="77777777">
            <w:pPr>
              <w:pStyle w:val="TableText"/>
            </w:pPr>
            <w:r>
              <w:t>$2,094 per inspection</w:t>
            </w:r>
          </w:p>
        </w:tc>
      </w:tr>
      <w:tr w:rsidR="007253C8" w:rsidTr="00301BD8" w14:paraId="1014856B" w14:textId="77777777">
        <w:tc>
          <w:tcPr>
            <w:tcW w:w="873" w:type="pct"/>
          </w:tcPr>
          <w:p w:rsidR="007253C8" w:rsidP="00301BD8" w:rsidRDefault="007253C8" w14:paraId="2D42B8EA" w14:textId="271B6405">
            <w:pPr>
              <w:pStyle w:val="TableText"/>
            </w:pPr>
          </w:p>
        </w:tc>
        <w:tc>
          <w:tcPr>
            <w:tcW w:w="960" w:type="pct"/>
          </w:tcPr>
          <w:p w:rsidR="007253C8" w:rsidP="00301BD8" w:rsidRDefault="007253C8" w14:paraId="73BCBE59" w14:textId="77777777">
            <w:pPr>
              <w:pStyle w:val="TableText"/>
            </w:pPr>
            <w:r>
              <w:t>2022</w:t>
            </w:r>
          </w:p>
        </w:tc>
        <w:tc>
          <w:tcPr>
            <w:tcW w:w="917" w:type="pct"/>
          </w:tcPr>
          <w:p w:rsidR="007253C8" w:rsidP="00301BD8" w:rsidRDefault="007253C8" w14:paraId="2ADF5844" w14:textId="77777777">
            <w:pPr>
              <w:pStyle w:val="TableText"/>
            </w:pPr>
            <w:r>
              <w:t>30,044</w:t>
            </w:r>
          </w:p>
        </w:tc>
        <w:tc>
          <w:tcPr>
            <w:tcW w:w="2250" w:type="pct"/>
          </w:tcPr>
          <w:p w:rsidR="007253C8" w:rsidP="00301BD8" w:rsidRDefault="007253C8" w14:paraId="5549ECF6" w14:textId="77777777">
            <w:pPr>
              <w:pStyle w:val="TableText"/>
            </w:pPr>
            <w:r>
              <w:t>$3,203 per inspection</w:t>
            </w:r>
          </w:p>
        </w:tc>
      </w:tr>
      <w:tr w:rsidR="007253C8" w:rsidTr="00301BD8" w14:paraId="40FD0B56" w14:textId="77777777">
        <w:tc>
          <w:tcPr>
            <w:tcW w:w="873" w:type="pct"/>
          </w:tcPr>
          <w:p w:rsidRPr="00496A3A" w:rsidR="007253C8" w:rsidP="00301BD8" w:rsidRDefault="007253C8" w14:paraId="7E4F0A7F" w14:textId="7B282E76">
            <w:pPr>
              <w:pStyle w:val="TableText"/>
              <w:rPr>
                <w:i/>
                <w:iCs/>
              </w:rPr>
            </w:pPr>
          </w:p>
        </w:tc>
        <w:tc>
          <w:tcPr>
            <w:tcW w:w="960" w:type="pct"/>
          </w:tcPr>
          <w:p w:rsidRPr="00496A3A" w:rsidR="007253C8" w:rsidP="00301BD8" w:rsidRDefault="007253C8" w14:paraId="3952A5EB" w14:textId="77777777">
            <w:pPr>
              <w:pStyle w:val="TableText"/>
              <w:rPr>
                <w:i/>
                <w:iCs/>
              </w:rPr>
            </w:pPr>
            <w:r w:rsidRPr="00496A3A">
              <w:rPr>
                <w:i/>
                <w:iCs/>
              </w:rPr>
              <w:t>2019-22</w:t>
            </w:r>
          </w:p>
        </w:tc>
        <w:tc>
          <w:tcPr>
            <w:tcW w:w="917" w:type="pct"/>
          </w:tcPr>
          <w:p w:rsidRPr="00496A3A" w:rsidR="007253C8" w:rsidP="00301BD8" w:rsidRDefault="007253C8" w14:paraId="32B404E9" w14:textId="77777777">
            <w:pPr>
              <w:pStyle w:val="TableText"/>
              <w:rPr>
                <w:i/>
                <w:iCs/>
              </w:rPr>
            </w:pPr>
            <w:r w:rsidRPr="00496A3A">
              <w:rPr>
                <w:i/>
                <w:iCs/>
              </w:rPr>
              <w:t>110,774</w:t>
            </w:r>
          </w:p>
        </w:tc>
        <w:tc>
          <w:tcPr>
            <w:tcW w:w="2250" w:type="pct"/>
          </w:tcPr>
          <w:p w:rsidRPr="00496A3A" w:rsidR="007253C8" w:rsidP="00301BD8" w:rsidRDefault="007253C8" w14:paraId="3F2D1EA2" w14:textId="77777777">
            <w:pPr>
              <w:pStyle w:val="TableText"/>
              <w:rPr>
                <w:i/>
                <w:iCs/>
              </w:rPr>
            </w:pPr>
            <w:r>
              <w:rPr>
                <w:i/>
                <w:iCs/>
              </w:rPr>
              <w:t>$1,970 per inspection</w:t>
            </w:r>
          </w:p>
        </w:tc>
      </w:tr>
    </w:tbl>
    <w:p w:rsidRPr="00C4647D" w:rsidR="007253C8" w:rsidP="007253C8" w:rsidRDefault="007253C8" w14:paraId="46A8BDF4" w14:textId="77777777">
      <w:pPr>
        <w:pStyle w:val="Standard"/>
      </w:pPr>
    </w:p>
    <w:p w:rsidR="007253C8" w:rsidP="007253C8" w:rsidRDefault="007253C8" w14:paraId="528C2011" w14:textId="77777777">
      <w:pPr>
        <w:pStyle w:val="Standard"/>
      </w:pPr>
      <w:r>
        <w:t xml:space="preserve"> SCE redesigned its drone inspection program by combining ground-based and aerial inspections to save money.</w:t>
      </w:r>
      <w:r w:rsidRPr="73E4AAD3">
        <w:rPr>
          <w:rStyle w:val="FootnoteReference"/>
        </w:rPr>
        <w:footnoteReference w:id="234"/>
      </w:r>
      <w:r>
        <w:t xml:space="preserve"> In contrast, a</w:t>
      </w:r>
      <w:r w:rsidRPr="00C4647D">
        <w:t>fter piloting its drone inspection program, SDG&amp;E decided to expand its drone program to complete Tier 2 of the HFTD in the following two years, as well as the portions of its transmission system within the HFTD.</w:t>
      </w:r>
      <w:r w:rsidRPr="00C4647D">
        <w:rPr>
          <w:vertAlign w:val="superscript"/>
        </w:rPr>
        <w:footnoteReference w:id="235"/>
      </w:r>
    </w:p>
    <w:p w:rsidRPr="004C4C2D" w:rsidR="004C4C2D" w:rsidP="004C4C2D" w:rsidRDefault="004C4C2D" w14:paraId="5876859E" w14:textId="3115FC45">
      <w:pPr>
        <w:pStyle w:val="Standard"/>
      </w:pPr>
      <w:r w:rsidRPr="004C4C2D">
        <w:lastRenderedPageBreak/>
        <w:t>In its Opening Comments on the Proposed Decision, SDG&amp;E claims that the Proposed Decision er</w:t>
      </w:r>
      <w:r>
        <w:t xml:space="preserve">red </w:t>
      </w:r>
      <w:r w:rsidRPr="004C4C2D">
        <w:t>in denying 100% of costs for SDG&amp;E’s Drone Investigation, Assessment and Repair (DIAR) program</w:t>
      </w:r>
      <w:r w:rsidR="001C014C">
        <w:t xml:space="preserve"> </w:t>
      </w:r>
      <w:r w:rsidR="00EE33F2">
        <w:t>because</w:t>
      </w:r>
      <w:r w:rsidR="00B47579">
        <w:t xml:space="preserve"> t</w:t>
      </w:r>
      <w:r w:rsidRPr="004C4C2D">
        <w:t xml:space="preserve">he </w:t>
      </w:r>
      <w:r w:rsidR="00B47579">
        <w:t>Proposed Decision</w:t>
      </w:r>
      <w:r w:rsidR="00EE33F2">
        <w:t>: 1)</w:t>
      </w:r>
      <w:r w:rsidR="00B47579">
        <w:t xml:space="preserve"> </w:t>
      </w:r>
      <w:r w:rsidRPr="004C4C2D">
        <w:t>contravenes applicable legal requirements because it disallows costs for programmatic inspections and repairs that were required to comply with regulatory requirements, approved by Energy Safety, an</w:t>
      </w:r>
      <w:r w:rsidR="001D582F">
        <w:t xml:space="preserve">d </w:t>
      </w:r>
      <w:r w:rsidRPr="004C4C2D">
        <w:t>highly effective and efficient</w:t>
      </w:r>
      <w:r w:rsidR="00B47579">
        <w:t>; 2)</w:t>
      </w:r>
      <w:r w:rsidRPr="004C4C2D">
        <w:t xml:space="preserve"> misapplies the prudent manager standard by requiring perfection rather than reasonableness</w:t>
      </w:r>
      <w:r w:rsidR="00B47579">
        <w:t xml:space="preserve">; 3) </w:t>
      </w:r>
      <w:r w:rsidRPr="004C4C2D">
        <w:t>irrational</w:t>
      </w:r>
      <w:r w:rsidR="00B47579">
        <w:t xml:space="preserve">ly </w:t>
      </w:r>
      <w:r w:rsidRPr="004C4C2D">
        <w:t>compa</w:t>
      </w:r>
      <w:r w:rsidR="00B47579">
        <w:t xml:space="preserve">res </w:t>
      </w:r>
      <w:r w:rsidR="00AE5CB0">
        <w:t xml:space="preserve">SDG&amp;E’s </w:t>
      </w:r>
      <w:r w:rsidR="00B47579">
        <w:t xml:space="preserve">costs </w:t>
      </w:r>
      <w:r w:rsidRPr="004C4C2D">
        <w:t>to PG&amp;E’s costs</w:t>
      </w:r>
      <w:r w:rsidR="001D582F">
        <w:t xml:space="preserve">; and 4) </w:t>
      </w:r>
      <w:r w:rsidR="001C014C">
        <w:t xml:space="preserve">erroneously </w:t>
      </w:r>
      <w:r w:rsidR="00D436B1">
        <w:t xml:space="preserve">disallows </w:t>
      </w:r>
      <w:r w:rsidR="00B00FE9">
        <w:t xml:space="preserve">100 percent of </w:t>
      </w:r>
      <w:r w:rsidR="001D582F">
        <w:t>the cost</w:t>
      </w:r>
      <w:r w:rsidR="00B00FE9">
        <w:t>s SDG&amp;E incurred to</w:t>
      </w:r>
      <w:r w:rsidR="00F4264E">
        <w:t xml:space="preserve"> repair risks identified through </w:t>
      </w:r>
      <w:r w:rsidR="00302602">
        <w:t xml:space="preserve">the </w:t>
      </w:r>
      <w:r w:rsidR="00F4264E">
        <w:t>drone inspections, including</w:t>
      </w:r>
      <w:r w:rsidR="001D582F">
        <w:t xml:space="preserve">  replacements and remediations </w:t>
      </w:r>
      <w:r w:rsidRPr="001D582F" w:rsidR="001D582F">
        <w:t>required to repair infrastructure presenting clear fire risk</w:t>
      </w:r>
      <w:r w:rsidRPr="004C4C2D">
        <w:t>.</w:t>
      </w:r>
      <w:r w:rsidR="00B47579">
        <w:rPr>
          <w:rStyle w:val="FootnoteReference"/>
        </w:rPr>
        <w:footnoteReference w:id="236"/>
      </w:r>
    </w:p>
    <w:p w:rsidR="00B62095" w:rsidP="009523CA" w:rsidRDefault="00DA3618" w14:paraId="4E40F057" w14:textId="2CDFC3E5">
      <w:pPr>
        <w:pStyle w:val="Standard"/>
      </w:pPr>
      <w:r>
        <w:t>t</w:t>
      </w:r>
      <w:r w:rsidRPr="00C4647D" w:rsidR="007253C8">
        <w:t>he Commission recognizes that drone inspections can provide an enhanced view of infrastructure and assist in inspecting infrastructure in hard-to-reach areas or rugged terrain</w:t>
      </w:r>
      <w:r w:rsidR="001E20D4">
        <w:t>.</w:t>
      </w:r>
      <w:r w:rsidR="000956B3">
        <w:t xml:space="preserve">  On the record presented, however, we cannot find the drone inspection costs to be reasonable </w:t>
      </w:r>
      <w:r w:rsidR="001B4F31">
        <w:t xml:space="preserve">due to </w:t>
      </w:r>
      <w:r w:rsidR="009A728B">
        <w:t xml:space="preserve">SDG&amp;E’s lack of analysis </w:t>
      </w:r>
      <w:r w:rsidR="006B5335">
        <w:t xml:space="preserve">and evidence supporting </w:t>
      </w:r>
      <w:r w:rsidR="009A728B">
        <w:t xml:space="preserve">the </w:t>
      </w:r>
      <w:r w:rsidR="00323511">
        <w:t xml:space="preserve">high </w:t>
      </w:r>
      <w:r w:rsidR="009A728B">
        <w:t>cost</w:t>
      </w:r>
      <w:r w:rsidR="00323511">
        <w:t>s</w:t>
      </w:r>
      <w:r w:rsidR="009A728B">
        <w:t xml:space="preserve"> </w:t>
      </w:r>
      <w:r w:rsidR="001B4F31">
        <w:t xml:space="preserve">incurred for </w:t>
      </w:r>
      <w:r w:rsidR="009A728B">
        <w:t>its drone inspection program.</w:t>
      </w:r>
      <w:r w:rsidR="001B4F31">
        <w:t xml:space="preserve"> We will further consider SDG&amp;E’s costs incurred for repairs undertaken as a result of the inspections in Track 3 of this proceeding, as detailed below.  </w:t>
      </w:r>
      <w:r w:rsidR="009A728B">
        <w:t xml:space="preserve"> </w:t>
      </w:r>
    </w:p>
    <w:p w:rsidR="001B4F31" w:rsidP="009523CA" w:rsidRDefault="001B4F31" w14:paraId="35883C2E" w14:textId="64555895">
      <w:pPr>
        <w:pStyle w:val="Standard"/>
      </w:pPr>
      <w:r>
        <w:t xml:space="preserve">We find SD&amp;E’s comments to the PD unpersuasive for several reasons.  </w:t>
      </w:r>
    </w:p>
    <w:p w:rsidR="00B62095" w:rsidP="009523CA" w:rsidRDefault="00B62095" w14:paraId="4A010E01" w14:textId="7C8C82F0">
      <w:pPr>
        <w:pStyle w:val="Standard"/>
      </w:pPr>
      <w:r>
        <w:t xml:space="preserve">First, </w:t>
      </w:r>
      <w:r w:rsidR="00D957CE">
        <w:t xml:space="preserve">the Commission applies the same </w:t>
      </w:r>
      <w:r w:rsidR="006B6099">
        <w:t xml:space="preserve">prudent manager </w:t>
      </w:r>
      <w:r w:rsidR="00D957CE">
        <w:t>standard a</w:t>
      </w:r>
      <w:r w:rsidR="008673C7">
        <w:t xml:space="preserve">s in </w:t>
      </w:r>
      <w:r w:rsidR="00D957CE">
        <w:t>previous SDG&amp;E reasonableness reviews.</w:t>
      </w:r>
      <w:r w:rsidR="00D957CE">
        <w:rPr>
          <w:rStyle w:val="FootnoteReference"/>
        </w:rPr>
        <w:footnoteReference w:id="237"/>
      </w:r>
      <w:r w:rsidR="006B6099">
        <w:t xml:space="preserve"> As stated fully in Section 2.2 above, </w:t>
      </w:r>
      <w:r w:rsidR="006B6099">
        <w:lastRenderedPageBreak/>
        <w:t xml:space="preserve">this standard has included the requirement of considering cost-effectiveness for years prior to the recording of costs in 2019. </w:t>
      </w:r>
    </w:p>
    <w:p w:rsidR="00B62095" w:rsidP="003D1B41" w:rsidRDefault="00B62095" w14:paraId="617E34BA" w14:textId="1F6AF2AC">
      <w:pPr>
        <w:pStyle w:val="Standard"/>
      </w:pPr>
      <w:r>
        <w:t>Second</w:t>
      </w:r>
      <w:r w:rsidR="009523CA">
        <w:t xml:space="preserve">, </w:t>
      </w:r>
      <w:r w:rsidRPr="009523CA" w:rsidR="009523CA">
        <w:t>S</w:t>
      </w:r>
      <w:r w:rsidR="009523CA">
        <w:t xml:space="preserve">DG&amp;E’s </w:t>
      </w:r>
      <w:r w:rsidRPr="009523CA" w:rsidR="009523CA">
        <w:t xml:space="preserve">arguments that the Commission must </w:t>
      </w:r>
      <w:r w:rsidR="00D309AC">
        <w:t xml:space="preserve">approve </w:t>
      </w:r>
      <w:r w:rsidR="00C22B63">
        <w:t>all</w:t>
      </w:r>
      <w:r w:rsidR="00D309AC">
        <w:t xml:space="preserve"> costs</w:t>
      </w:r>
      <w:r w:rsidR="004C12FD">
        <w:t xml:space="preserve"> because the activities are included in</w:t>
      </w:r>
      <w:r w:rsidR="009523CA">
        <w:t xml:space="preserve"> its </w:t>
      </w:r>
      <w:r w:rsidRPr="009523CA" w:rsidR="009523CA">
        <w:t>WMP filings d</w:t>
      </w:r>
      <w:r w:rsidR="009523CA">
        <w:t>o</w:t>
      </w:r>
      <w:r w:rsidR="0092640B">
        <w:t>es</w:t>
      </w:r>
      <w:r w:rsidRPr="009523CA" w:rsidR="009523CA">
        <w:t xml:space="preserve"> not </w:t>
      </w:r>
      <w:r w:rsidR="0092640B">
        <w:t xml:space="preserve">account for the </w:t>
      </w:r>
      <w:r w:rsidRPr="009523CA" w:rsidR="009523CA">
        <w:t xml:space="preserve">Commission’s duty to </w:t>
      </w:r>
      <w:r w:rsidR="00572226">
        <w:t xml:space="preserve">determine if </w:t>
      </w:r>
      <w:r w:rsidR="0092640B">
        <w:t xml:space="preserve">the </w:t>
      </w:r>
      <w:r w:rsidR="00572226">
        <w:t>requested</w:t>
      </w:r>
      <w:r w:rsidRPr="009523CA" w:rsidR="009523CA">
        <w:t xml:space="preserve"> </w:t>
      </w:r>
      <w:r w:rsidR="009523CA">
        <w:t>costs are reasonable</w:t>
      </w:r>
      <w:r w:rsidR="00FE5B33">
        <w:t>.</w:t>
      </w:r>
      <w:r w:rsidR="009523CA">
        <w:rPr>
          <w:rStyle w:val="FootnoteReference"/>
        </w:rPr>
        <w:footnoteReference w:id="238"/>
      </w:r>
      <w:r w:rsidR="00FE5B33">
        <w:t xml:space="preserve">  </w:t>
      </w:r>
    </w:p>
    <w:p w:rsidR="00DA3618" w:rsidP="00F74318" w:rsidRDefault="00B62095" w14:paraId="7DA424E2" w14:textId="75564C30">
      <w:pPr>
        <w:pStyle w:val="Standard"/>
      </w:pPr>
      <w:r>
        <w:t xml:space="preserve">Third, </w:t>
      </w:r>
      <w:r w:rsidR="00485EF1">
        <w:t xml:space="preserve">neither the Commission nor the intervenors </w:t>
      </w:r>
      <w:r w:rsidR="00FE5B33">
        <w:t xml:space="preserve">could  evaluate the cost of </w:t>
      </w:r>
      <w:r w:rsidR="00FA7A06">
        <w:t>SDG&amp;E’s</w:t>
      </w:r>
      <w:r w:rsidR="00FE5B33">
        <w:t xml:space="preserve"> drone inspection</w:t>
      </w:r>
      <w:r w:rsidR="00296B7F">
        <w:t>s alone</w:t>
      </w:r>
      <w:r w:rsidR="00042074">
        <w:t xml:space="preserve"> </w:t>
      </w:r>
      <w:r w:rsidR="00FE5B33">
        <w:t xml:space="preserve">because </w:t>
      </w:r>
      <w:r w:rsidR="00485EF1">
        <w:t>SDG&amp;</w:t>
      </w:r>
      <w:r w:rsidR="00042074">
        <w:t xml:space="preserve">E </w:t>
      </w:r>
      <w:r w:rsidR="00BB4491">
        <w:t>did</w:t>
      </w:r>
      <w:r w:rsidR="00FE5B33">
        <w:t xml:space="preserve"> not separate</w:t>
      </w:r>
      <w:r w:rsidR="00525374">
        <w:t xml:space="preserve">ly track </w:t>
      </w:r>
      <w:r w:rsidR="00FE5B33">
        <w:t>the cost of drone inspections from repair costs.</w:t>
      </w:r>
      <w:r w:rsidR="00F6548A">
        <w:t xml:space="preserve"> SDG&amp;E</w:t>
      </w:r>
      <w:r w:rsidR="004C642F">
        <w:t xml:space="preserve"> further</w:t>
      </w:r>
      <w:r w:rsidR="00F6548A">
        <w:t xml:space="preserve"> claims that t</w:t>
      </w:r>
      <w:r w:rsidRPr="00F6548A" w:rsidR="00F6548A">
        <w:t>raditional inspections of these assets were sometimes impossible or not cost-effective</w:t>
      </w:r>
      <w:r w:rsidR="006E30E7">
        <w:t xml:space="preserve">, and that </w:t>
      </w:r>
      <w:r w:rsidR="009F7CB8">
        <w:t>“manual inspectors do not carry drones”</w:t>
      </w:r>
      <w:r w:rsidR="00F6548A">
        <w:t>.</w:t>
      </w:r>
      <w:r w:rsidR="001D4D18">
        <w:rPr>
          <w:rStyle w:val="FootnoteReference"/>
        </w:rPr>
        <w:footnoteReference w:id="239"/>
      </w:r>
      <w:r w:rsidR="00F6548A">
        <w:t xml:space="preserve"> </w:t>
      </w:r>
      <w:r w:rsidR="001D4D18">
        <w:t xml:space="preserve">But </w:t>
      </w:r>
      <w:r w:rsidR="003318D6">
        <w:t xml:space="preserve">without any </w:t>
      </w:r>
      <w:r>
        <w:t xml:space="preserve">quantitative </w:t>
      </w:r>
      <w:r w:rsidR="00572226">
        <w:t>analysis of drone inspection costs</w:t>
      </w:r>
      <w:r w:rsidR="003318D6">
        <w:t>,</w:t>
      </w:r>
      <w:r w:rsidR="00A16714">
        <w:t xml:space="preserve"> as distinct from the costs SD&amp;E incurred to undertake repairs resulting from those inspections,</w:t>
      </w:r>
      <w:r w:rsidR="003318D6">
        <w:t xml:space="preserve"> SDG&amp;E has not provided</w:t>
      </w:r>
      <w:r w:rsidR="00A16714">
        <w:t xml:space="preserve"> evidence </w:t>
      </w:r>
      <w:r>
        <w:t xml:space="preserve">to support </w:t>
      </w:r>
      <w:r w:rsidR="003318D6">
        <w:t>finding the</w:t>
      </w:r>
      <w:r>
        <w:t xml:space="preserve"> </w:t>
      </w:r>
      <w:r w:rsidR="001D4D18">
        <w:t>drone inspection</w:t>
      </w:r>
      <w:r w:rsidR="003318D6">
        <w:t xml:space="preserve"> costs themselves to be reasonable</w:t>
      </w:r>
      <w:r w:rsidR="001D4D18">
        <w:t>.</w:t>
      </w:r>
      <w:r w:rsidR="004F5883">
        <w:t xml:space="preserve"> </w:t>
      </w:r>
    </w:p>
    <w:p w:rsidR="005A3E20" w:rsidP="005A3E20" w:rsidRDefault="00F74318" w14:paraId="5180E5D3" w14:textId="1B8388EE">
      <w:pPr>
        <w:pStyle w:val="Standard"/>
      </w:pPr>
      <w:r>
        <w:t>Fourth,</w:t>
      </w:r>
      <w:r w:rsidR="00AE0960">
        <w:t xml:space="preserve"> SDG&amp;E argues that </w:t>
      </w:r>
      <w:r w:rsidR="00C94010">
        <w:t>comparing their drone inspection costs with PG&amp;E’s is inapt for several reasons,</w:t>
      </w:r>
      <w:r w:rsidR="00C94010">
        <w:rPr>
          <w:rStyle w:val="FootnoteReference"/>
        </w:rPr>
        <w:footnoteReference w:id="240"/>
      </w:r>
      <w:r w:rsidR="00C94010">
        <w:t xml:space="preserve"> including that the comparisons are made to data outside the record. </w:t>
      </w:r>
      <w:r w:rsidR="00965C25">
        <w:t xml:space="preserve">We note, however, that </w:t>
      </w:r>
      <w:r w:rsidR="00C94010">
        <w:t>SDG&amp;E</w:t>
      </w:r>
      <w:r w:rsidR="00965C25">
        <w:t>’s comments</w:t>
      </w:r>
      <w:r w:rsidR="00145EEC">
        <w:t xml:space="preserve"> to the PD include</w:t>
      </w:r>
      <w:r w:rsidR="00C94010">
        <w:t xml:space="preserve"> estimates </w:t>
      </w:r>
      <w:r w:rsidR="00042074">
        <w:t xml:space="preserve">of </w:t>
      </w:r>
      <w:r w:rsidR="00C94010">
        <w:t xml:space="preserve">its </w:t>
      </w:r>
      <w:r w:rsidRPr="00C94010" w:rsidR="00C94010">
        <w:t>average inspection cost/pole</w:t>
      </w:r>
      <w:r w:rsidR="00C94010">
        <w:t xml:space="preserve"> </w:t>
      </w:r>
      <w:r w:rsidRPr="00C94010" w:rsidR="00C94010">
        <w:t>from 2019</w:t>
      </w:r>
      <w:r w:rsidR="00BE5DDB">
        <w:t>–</w:t>
      </w:r>
      <w:r w:rsidRPr="00C94010" w:rsidR="00C94010">
        <w:t>2022</w:t>
      </w:r>
      <w:r w:rsidR="00C94010">
        <w:t xml:space="preserve"> without any citation to the record.</w:t>
      </w:r>
      <w:r w:rsidR="00C94010">
        <w:rPr>
          <w:rStyle w:val="FootnoteReference"/>
        </w:rPr>
        <w:footnoteReference w:id="241"/>
      </w:r>
      <w:r w:rsidR="00A04AE7">
        <w:t xml:space="preserve"> </w:t>
      </w:r>
      <w:r w:rsidR="00EC1CCD">
        <w:t>Furthermore, while SDG&amp;E describes numerous potential benefits of the drone inspection program and claims it is cost-effective</w:t>
      </w:r>
      <w:r w:rsidR="000F1305">
        <w:t xml:space="preserve">, SDG&amp;E does not </w:t>
      </w:r>
      <w:r w:rsidR="00A322CA">
        <w:t xml:space="preserve">meaningfully analyze the </w:t>
      </w:r>
      <w:r w:rsidR="00EC1CCD">
        <w:t>cost</w:t>
      </w:r>
      <w:r w:rsidR="00A322CA">
        <w:t xml:space="preserve"> of the drone</w:t>
      </w:r>
      <w:r w:rsidR="00EC1CCD">
        <w:t xml:space="preserve"> </w:t>
      </w:r>
      <w:r w:rsidR="00A322CA">
        <w:t>program.</w:t>
      </w:r>
      <w:r w:rsidR="00EC1CCD">
        <w:rPr>
          <w:rStyle w:val="FootnoteReference"/>
        </w:rPr>
        <w:footnoteReference w:id="242"/>
      </w:r>
      <w:r w:rsidR="00EC1CCD">
        <w:t xml:space="preserve"> </w:t>
      </w:r>
      <w:r w:rsidR="00A16714">
        <w:lastRenderedPageBreak/>
        <w:t>Nevertheless, g</w:t>
      </w:r>
      <w:r w:rsidR="00A04AE7">
        <w:t>iven the lack of any comparisons by SDG&amp;E of its drone inspection costs to any of its other AM</w:t>
      </w:r>
      <w:r w:rsidR="001E5168">
        <w:t>&amp;</w:t>
      </w:r>
      <w:r w:rsidR="00A04AE7">
        <w:t>I inspection programs</w:t>
      </w:r>
      <w:r w:rsidR="00E43F85">
        <w:t xml:space="preserve"> to suppor</w:t>
      </w:r>
      <w:r w:rsidR="00A6623F">
        <w:t>t the claimed costs</w:t>
      </w:r>
      <w:r w:rsidR="00A04AE7">
        <w:t>, the Commission finds it unnecessary to consider comparisons of SDG&amp;E’s drone inspection costs to other utilities</w:t>
      </w:r>
      <w:r w:rsidR="00D6257F">
        <w:t xml:space="preserve"> as </w:t>
      </w:r>
      <w:r w:rsidR="00006853">
        <w:t>a</w:t>
      </w:r>
      <w:r w:rsidR="00D6257F">
        <w:t xml:space="preserve"> basis for disallowing </w:t>
      </w:r>
      <w:r w:rsidR="00006853">
        <w:t>costs of the</w:t>
      </w:r>
      <w:r w:rsidR="00D6257F">
        <w:t xml:space="preserve"> drone inspection</w:t>
      </w:r>
      <w:r w:rsidR="00006853">
        <w:t>s</w:t>
      </w:r>
      <w:r w:rsidR="00A04AE7">
        <w:t xml:space="preserve">. </w:t>
      </w:r>
      <w:r w:rsidR="00A322CA">
        <w:t xml:space="preserve">However, the parties should consider </w:t>
      </w:r>
      <w:r w:rsidR="002D6793">
        <w:t xml:space="preserve">similar drone inspection and repair </w:t>
      </w:r>
      <w:r w:rsidR="00A322CA">
        <w:t>costs</w:t>
      </w:r>
      <w:r w:rsidR="002D6793">
        <w:t xml:space="preserve"> of other utilities when such costs are evaluated in Track 3.</w:t>
      </w:r>
      <w:r w:rsidR="00A322CA">
        <w:t xml:space="preserve"> </w:t>
      </w:r>
    </w:p>
    <w:p w:rsidRPr="00C4647D" w:rsidR="007253C8" w:rsidP="0037110F" w:rsidRDefault="00685FA4" w14:paraId="64B711A0" w14:textId="0CADEEB0">
      <w:pPr>
        <w:pStyle w:val="Standard"/>
        <w:ind w:firstLine="0"/>
      </w:pPr>
      <w:r>
        <w:tab/>
      </w:r>
      <w:r w:rsidR="00DB1BCE">
        <w:t xml:space="preserve"> </w:t>
      </w:r>
      <w:r w:rsidR="00C9439A">
        <w:t xml:space="preserve">In short, </w:t>
      </w:r>
      <w:r w:rsidRPr="00C4647D" w:rsidR="007253C8">
        <w:t xml:space="preserve">SDG&amp;E </w:t>
      </w:r>
      <w:r w:rsidRPr="00C4647D" w:rsidR="00C9439A">
        <w:t>provide</w:t>
      </w:r>
      <w:r w:rsidR="00C9439A">
        <w:t>d</w:t>
      </w:r>
      <w:r w:rsidRPr="00C4647D" w:rsidR="00C9439A">
        <w:t xml:space="preserve"> </w:t>
      </w:r>
      <w:r w:rsidRPr="00C4647D" w:rsidR="007253C8">
        <w:t>insufficient</w:t>
      </w:r>
      <w:r w:rsidR="00E63EE6">
        <w:t xml:space="preserve"> record evidence</w:t>
      </w:r>
      <w:r w:rsidRPr="00C4647D" w:rsidR="007253C8">
        <w:t xml:space="preserve"> to </w:t>
      </w:r>
      <w:r w:rsidR="00E63EE6">
        <w:t>demonstrate</w:t>
      </w:r>
      <w:r w:rsidR="00E85FB5">
        <w:t xml:space="preserve"> the</w:t>
      </w:r>
      <w:r w:rsidR="008550CC">
        <w:t xml:space="preserve"> </w:t>
      </w:r>
      <w:r w:rsidR="00E85FB5">
        <w:t xml:space="preserve">costs </w:t>
      </w:r>
      <w:r w:rsidR="00F619C1">
        <w:t xml:space="preserve">of the drone inspections alone </w:t>
      </w:r>
      <w:r w:rsidR="00E85FB5">
        <w:t xml:space="preserve">are reasonable, including </w:t>
      </w:r>
      <w:r w:rsidRPr="00C4647D" w:rsidR="007253C8">
        <w:t>the extent to which drones have been used instead of other inspection programs, their total cost, their unit cost, their overlap with other programs, and the prudency of expanding the use of drones without modification at cost far greater than other inspection programs and drone inspection programs by other utilities. With the drone program being 77 percent of the AM&amp;I 2019</w:t>
      </w:r>
      <w:r w:rsidR="007253C8">
        <w:t>–</w:t>
      </w:r>
      <w:r w:rsidR="00D24497">
        <w:t>20</w:t>
      </w:r>
      <w:r w:rsidRPr="00C4647D" w:rsidR="007253C8">
        <w:t>22 cost recovery request, data regarding how these high costs are balanced by high benefits is needed, but it is lacking. SDG&amp;E also provided insufficient evidence to establish the reductions in risk based on ignitions avoided by drone inspections due to fluctuations and inconsistencies</w:t>
      </w:r>
      <w:r w:rsidR="007253C8">
        <w:t xml:space="preserve"> in the data on those risk reductions due to drone inspections</w:t>
      </w:r>
      <w:r w:rsidRPr="00C4647D" w:rsidR="007253C8">
        <w:t>.</w:t>
      </w:r>
      <w:r w:rsidRPr="00C4647D" w:rsidR="007253C8">
        <w:rPr>
          <w:vertAlign w:val="superscript"/>
        </w:rPr>
        <w:footnoteReference w:id="243"/>
      </w:r>
    </w:p>
    <w:p w:rsidRPr="00C4647D" w:rsidR="007253C8" w:rsidP="007253C8" w:rsidRDefault="007253C8" w14:paraId="5E2C2514" w14:textId="33E7FEDF">
      <w:pPr>
        <w:pStyle w:val="Standard"/>
      </w:pPr>
      <w:r>
        <w:t>Much of SDG&amp;E’s drone inspection costs appear to be for processing the data collected by the drones. If a technology has the potential to be used in wildfire mitigation, but is clearly not yet developed to such a level to be readily deployable and useful, a prudent manager might either contract with an appropriate technology company to develop the technology</w:t>
      </w:r>
      <w:r w:rsidR="00CE5937">
        <w:t>,</w:t>
      </w:r>
      <w:r>
        <w:t xml:space="preserve"> or develop that </w:t>
      </w:r>
      <w:r>
        <w:lastRenderedPageBreak/>
        <w:t xml:space="preserve">technology in-house and then adopt it only when it was proven to be ready. As a result, the Commission finds insufficient evidence to support the prudency of SDG&amp;E </w:t>
      </w:r>
      <w:r w:rsidR="00005831">
        <w:t xml:space="preserve">having </w:t>
      </w:r>
      <w:r>
        <w:t>deploy</w:t>
      </w:r>
      <w:r w:rsidR="00005831">
        <w:t>ed</w:t>
      </w:r>
      <w:r>
        <w:t xml:space="preserve"> a novel technology in the manner that SDG&amp;E did at a high cost and at ratepayer expense before determining how to use it effectively and efficiently. SDG&amp;E has not demonstrated how it avoided redundancies and why drones cannot be utilized in the field with other programs. SDG&amp;E also has not demonstrated the degree to which high-cost separate remote inspection using drones and subsequent analysis is needed or beneficial, compared to using drones as a supplemental tool that may be used and controlled by the manual patrol inspectors on an as-needed basis.</w:t>
      </w:r>
      <w:r w:rsidRPr="6D755159">
        <w:rPr>
          <w:vertAlign w:val="superscript"/>
        </w:rPr>
        <w:footnoteReference w:id="244"/>
      </w:r>
    </w:p>
    <w:p w:rsidR="00E5797F" w:rsidP="007253C8" w:rsidRDefault="007253C8" w14:paraId="36C68C65" w14:textId="6F97B4FA">
      <w:pPr>
        <w:pStyle w:val="Standard"/>
        <w:rPr>
          <w:b/>
          <w:bCs/>
        </w:rPr>
      </w:pPr>
      <w:r>
        <w:t xml:space="preserve">Based on the </w:t>
      </w:r>
      <w:r w:rsidR="00FA7A06">
        <w:t>current record of the proceeding</w:t>
      </w:r>
      <w:r>
        <w:t xml:space="preserve">, the Commission finds that SDG&amp;E has failed to demonstrate the prudency of the </w:t>
      </w:r>
      <w:r w:rsidR="00811A08">
        <w:t xml:space="preserve">Drone Assessments of </w:t>
      </w:r>
      <w:r w:rsidR="000B5DDE">
        <w:t>Distribution Infrastructure</w:t>
      </w:r>
      <w:r w:rsidR="00811A08">
        <w:t xml:space="preserve"> </w:t>
      </w:r>
      <w:r>
        <w:t xml:space="preserve">program and the reasonableness of its total costs from 2019–2022. </w:t>
      </w:r>
      <w:r w:rsidRPr="0040061C" w:rsidR="0040061C">
        <w:t>The Commission does not find that SDG&amp;E should have stopped its drone program entirely as SDG&amp;E claims.</w:t>
      </w:r>
      <w:r w:rsidR="0040061C">
        <w:t xml:space="preserve"> </w:t>
      </w:r>
      <w:r>
        <w:t>In contrast, although SDG&amp;E did not demonstrate the prudency of the Circuit Ownership Program discussed in Section 7.8, SDG&amp;E prudently discontinued the Circuit Ownership Program to avoid imprudently incurring costs</w:t>
      </w:r>
      <w:r w:rsidR="00E459D1">
        <w:t>,</w:t>
      </w:r>
      <w:r>
        <w:t xml:space="preserve"> unlike </w:t>
      </w:r>
      <w:r w:rsidR="00D24497">
        <w:t xml:space="preserve">what </w:t>
      </w:r>
      <w:r>
        <w:t xml:space="preserve">SDG&amp;E did for the drone program. As a result, the Commission </w:t>
      </w:r>
      <w:r w:rsidR="00D941E1">
        <w:t xml:space="preserve">does not authorize </w:t>
      </w:r>
      <w:r>
        <w:t xml:space="preserve"> recovery for SDG&amp;E’s drone </w:t>
      </w:r>
      <w:r w:rsidR="00D941E1">
        <w:t>program in this decision</w:t>
      </w:r>
    </w:p>
    <w:p w:rsidR="00C55D01" w:rsidP="00290DE3" w:rsidRDefault="007A105C" w14:paraId="47146196" w14:textId="1F1C9965">
      <w:pPr>
        <w:pStyle w:val="Standard"/>
      </w:pPr>
      <w:r>
        <w:t xml:space="preserve">In order for the Commission to consider whether to authorize any costs requested for this program, </w:t>
      </w:r>
      <w:r w:rsidR="005C77F5">
        <w:t>SDG&amp;E</w:t>
      </w:r>
      <w:r>
        <w:t>, consistent with its burden of proof, must provide sufficient evidence and detailed information for the Commission to determine the reasonableness of such costs. In this case,</w:t>
      </w:r>
      <w:r w:rsidR="000B4088">
        <w:t xml:space="preserve"> </w:t>
      </w:r>
      <w:r w:rsidR="00E5797F">
        <w:t xml:space="preserve">SDG&amp;E did not </w:t>
      </w:r>
      <w:r w:rsidR="00E5797F">
        <w:lastRenderedPageBreak/>
        <w:t>separately</w:t>
      </w:r>
      <w:r w:rsidR="005C77F5">
        <w:t xml:space="preserve"> </w:t>
      </w:r>
      <w:r w:rsidR="00E5797F">
        <w:t xml:space="preserve">break down </w:t>
      </w:r>
      <w:r w:rsidR="00C55D01">
        <w:t xml:space="preserve">drone inspection and associated </w:t>
      </w:r>
      <w:r w:rsidR="00E5797F">
        <w:t>repair cost</w:t>
      </w:r>
      <w:r w:rsidR="008C4682">
        <w:t>s</w:t>
      </w:r>
      <w:r w:rsidR="00C55D01">
        <w:t xml:space="preserve">. Without having these specific costs, the Commission was unable to make a reasonableness finding for these costs. SDG&amp;E did not meet its burden here. </w:t>
      </w:r>
      <w:r w:rsidR="00C76E97">
        <w:t xml:space="preserve"> </w:t>
      </w:r>
    </w:p>
    <w:p w:rsidR="00C55D01" w:rsidP="00290DE3" w:rsidRDefault="00C55D01" w14:paraId="23A934EA" w14:textId="7650AF57">
      <w:pPr>
        <w:pStyle w:val="Standard"/>
      </w:pPr>
      <w:r w:rsidRPr="00C55D01">
        <w:t>While the Commission is perfectly within its right to deny all costs not found to be reasonable based on SDG&amp;E’s failure to meet its burden, the Commission also recognizes that wildfire mitigation activities and the reasonable costs associated with these activities play an important role in ensuring safe and reliable service. After consideration of the party briefs, arguments, and additional review of the proceeding record, the Commission will allow SDG&amp;E to supplement the record for this one category, consistent with the direction provided in this decision. We need to carefully weigh ensuring that I</w:t>
      </w:r>
      <w:r w:rsidR="008A3472">
        <w:t xml:space="preserve">nvestor </w:t>
      </w:r>
      <w:r w:rsidRPr="00C55D01">
        <w:t>O</w:t>
      </w:r>
      <w:r w:rsidR="008A3472">
        <w:t xml:space="preserve">wned </w:t>
      </w:r>
      <w:r w:rsidRPr="00C55D01">
        <w:t>U</w:t>
      </w:r>
      <w:r w:rsidR="008A3472">
        <w:t>tilitie</w:t>
      </w:r>
      <w:r w:rsidRPr="00C55D01">
        <w:t xml:space="preserve">s </w:t>
      </w:r>
      <w:r w:rsidR="008A3472">
        <w:t xml:space="preserve">(IOUs) </w:t>
      </w:r>
      <w:r w:rsidRPr="00C55D01">
        <w:t xml:space="preserve">are provided with the appropriate incentives for fully, effectively and efficiently </w:t>
      </w:r>
      <w:r w:rsidR="008A3472">
        <w:t>implementing</w:t>
      </w:r>
      <w:r w:rsidRPr="00C55D01">
        <w:t xml:space="preserve"> wildfire mitigation activities. That said </w:t>
      </w:r>
      <w:r w:rsidR="008A3472">
        <w:t>the Commission</w:t>
      </w:r>
      <w:r w:rsidRPr="00C55D01">
        <w:t xml:space="preserve"> also do</w:t>
      </w:r>
      <w:r w:rsidR="008E0004">
        <w:t>es</w:t>
      </w:r>
      <w:r w:rsidRPr="00C55D01">
        <w:t xml:space="preserve"> not want to send a message that the IOUs will be given multiple bites at the apple where they fail to meet their burden by failing to provide what should be basic information for the Commission and parties to assess the reasonableness of the cost recovery requested in an application. This is not a case of first impression, as we faced a similar issue in Phase 1 of this proceeding. There</w:t>
      </w:r>
      <w:r w:rsidR="008A3472">
        <w:t>,</w:t>
      </w:r>
      <w:r w:rsidRPr="00C55D01">
        <w:t xml:space="preserve"> </w:t>
      </w:r>
      <w:r w:rsidR="008A3472">
        <w:t>the Commission</w:t>
      </w:r>
      <w:r w:rsidRPr="00C55D01">
        <w:t xml:space="preserve"> provided SoCalGas an opportunity to provide additional evidence in Phase 3 of this proceeding to allow for a full assessment of </w:t>
      </w:r>
      <w:r w:rsidR="008A3472">
        <w:t xml:space="preserve">Pipeline Safety Enhancement Program (PSEP) </w:t>
      </w:r>
      <w:r w:rsidRPr="00C55D01">
        <w:t>c</w:t>
      </w:r>
      <w:r w:rsidR="008A3472">
        <w:t>osts</w:t>
      </w:r>
      <w:r w:rsidRPr="00C55D01">
        <w:t>.</w:t>
      </w:r>
      <w:r w:rsidR="00CC19EA">
        <w:rPr>
          <w:rStyle w:val="FootnoteReference"/>
        </w:rPr>
        <w:footnoteReference w:id="245"/>
      </w:r>
      <w:r w:rsidRPr="00C55D01">
        <w:t xml:space="preserve"> Similar to the decision in Phase 1, we will defer a final determination on the cost for this program, subject to SDG&amp;E providing detailed and specific information required to fully assess the costs sought to be recovered here.  </w:t>
      </w:r>
    </w:p>
    <w:p w:rsidRPr="00290DE3" w:rsidR="00290DE3" w:rsidP="00290DE3" w:rsidRDefault="00FA1D7A" w14:paraId="0A3CAB1B" w14:textId="1EE99BEA">
      <w:pPr>
        <w:pStyle w:val="Standard"/>
      </w:pPr>
      <w:r>
        <w:lastRenderedPageBreak/>
        <w:t>Accordingly, t</w:t>
      </w:r>
      <w:r w:rsidRPr="00FA1D7A">
        <w:t>he Commission orders that SDG&amp;E submit specific and detailed supplemental testimony of both the inspection and the repair costs associated with the category of costs at issue for this program. Parties will be able to conduct discovery and submit any supplemental testimony in response to the supplemental testimony to be provided by SDG&amp;E</w:t>
      </w:r>
      <w:r w:rsidR="002C3AE2">
        <w:t xml:space="preserve">. The reasonableness review of this cost recovery request will be addressed </w:t>
      </w:r>
      <w:r w:rsidR="00290DE3">
        <w:t xml:space="preserve">in </w:t>
      </w:r>
      <w:r w:rsidRPr="00290DE3" w:rsidR="00290DE3">
        <w:t xml:space="preserve">Track 3 of this proceeding. </w:t>
      </w:r>
      <w:r w:rsidR="00290DE3">
        <w:t>To provide</w:t>
      </w:r>
      <w:r w:rsidRPr="0037110F" w:rsidR="00290DE3">
        <w:t xml:space="preserve"> a </w:t>
      </w:r>
      <w:r w:rsidR="002C3AE2">
        <w:t xml:space="preserve">full </w:t>
      </w:r>
      <w:r w:rsidRPr="0037110F" w:rsidR="00290DE3">
        <w:t>record to determine reasonableness</w:t>
      </w:r>
      <w:r w:rsidR="00290DE3">
        <w:t xml:space="preserve"> of the </w:t>
      </w:r>
      <w:r w:rsidR="002C3AE2">
        <w:t xml:space="preserve">inspections and </w:t>
      </w:r>
      <w:r w:rsidR="00290DE3">
        <w:t>repairs resulting from drone inspections</w:t>
      </w:r>
      <w:r w:rsidRPr="0037110F" w:rsidR="00290DE3">
        <w:t xml:space="preserve">, </w:t>
      </w:r>
      <w:r w:rsidR="00290DE3">
        <w:t xml:space="preserve">SDG&amp;E shall </w:t>
      </w:r>
      <w:r w:rsidR="00DA3618">
        <w:t>serve</w:t>
      </w:r>
      <w:r w:rsidR="0011579A">
        <w:t xml:space="preserve"> supplemental </w:t>
      </w:r>
      <w:r w:rsidR="00835187">
        <w:t>testimony providing</w:t>
      </w:r>
      <w:r w:rsidR="00DA3618">
        <w:t xml:space="preserve"> a breakdown of </w:t>
      </w:r>
      <w:r w:rsidRPr="0037110F" w:rsidR="00290DE3">
        <w:t>all AM</w:t>
      </w:r>
      <w:r w:rsidR="001E5168">
        <w:t>&amp;</w:t>
      </w:r>
      <w:r w:rsidRPr="0037110F" w:rsidR="00290DE3">
        <w:t>I costs except circuit ownership</w:t>
      </w:r>
      <w:r w:rsidR="00DA3618">
        <w:t xml:space="preserve"> on an annual basis for the 2019</w:t>
      </w:r>
      <w:r w:rsidR="008D5E1C">
        <w:t>–</w:t>
      </w:r>
      <w:r w:rsidR="00DA3618">
        <w:t>2022 period in the following categories</w:t>
      </w:r>
      <w:r w:rsidR="00303DEC">
        <w:t>:</w:t>
      </w:r>
      <w:r w:rsidRPr="00290DE3" w:rsidR="00290DE3">
        <w:t> </w:t>
      </w:r>
    </w:p>
    <w:p w:rsidR="00290DE3" w:rsidP="00290DE3" w:rsidRDefault="00290DE3" w14:paraId="547CE121" w14:textId="3DA9428A">
      <w:pPr>
        <w:pStyle w:val="Standard"/>
        <w:numPr>
          <w:ilvl w:val="0"/>
          <w:numId w:val="25"/>
        </w:numPr>
      </w:pPr>
      <w:r w:rsidRPr="0037110F">
        <w:t>Repair cos</w:t>
      </w:r>
      <w:r w:rsidR="002D2990">
        <w:t>ts;</w:t>
      </w:r>
      <w:r w:rsidRPr="00290DE3">
        <w:t> </w:t>
      </w:r>
    </w:p>
    <w:p w:rsidRPr="00290DE3" w:rsidR="002C3AE2" w:rsidP="00290DE3" w:rsidRDefault="002C3AE2" w14:paraId="3BA738DA" w14:textId="4E119583">
      <w:pPr>
        <w:pStyle w:val="Standard"/>
        <w:numPr>
          <w:ilvl w:val="0"/>
          <w:numId w:val="25"/>
        </w:numPr>
      </w:pPr>
      <w:r>
        <w:t xml:space="preserve">Inspection costs; </w:t>
      </w:r>
    </w:p>
    <w:p w:rsidR="007B3304" w:rsidP="00DA3618" w:rsidRDefault="00290DE3" w14:paraId="7D08ED4F" w14:textId="2A42836B">
      <w:pPr>
        <w:pStyle w:val="Standard"/>
        <w:numPr>
          <w:ilvl w:val="0"/>
          <w:numId w:val="26"/>
        </w:numPr>
      </w:pPr>
      <w:r w:rsidRPr="0037110F">
        <w:t>Capital</w:t>
      </w:r>
      <w:r w:rsidR="007B3304">
        <w:t xml:space="preserve"> expenditures; and </w:t>
      </w:r>
    </w:p>
    <w:p w:rsidR="00DA3618" w:rsidP="00DA3618" w:rsidRDefault="00290DE3" w14:paraId="76CCE6FE" w14:textId="4BB78278">
      <w:pPr>
        <w:pStyle w:val="Standard"/>
        <w:numPr>
          <w:ilvl w:val="0"/>
          <w:numId w:val="26"/>
        </w:numPr>
      </w:pPr>
      <w:r w:rsidRPr="0037110F">
        <w:t xml:space="preserve"> O&amp;M</w:t>
      </w:r>
      <w:r w:rsidR="007B3304">
        <w:t xml:space="preserve"> expenses</w:t>
      </w:r>
      <w:r w:rsidR="00DA3618">
        <w:t>.</w:t>
      </w:r>
      <w:r w:rsidRPr="0037110F">
        <w:t> </w:t>
      </w:r>
      <w:r w:rsidRPr="00290DE3">
        <w:t> </w:t>
      </w:r>
    </w:p>
    <w:p w:rsidR="007B3304" w:rsidRDefault="00303DEC" w14:paraId="2C05260B" w14:textId="06DE59E2">
      <w:pPr>
        <w:pStyle w:val="Standard"/>
        <w:ind w:firstLine="0"/>
      </w:pPr>
      <w:r>
        <w:t xml:space="preserve">Within 30 days of the issuance of this decision, </w:t>
      </w:r>
      <w:r w:rsidR="00DA3618">
        <w:t xml:space="preserve">SDG&amp;E shall meet and confer with all the active parties in this proceeding, serve the additional </w:t>
      </w:r>
      <w:r w:rsidR="007B3304">
        <w:t xml:space="preserve">testimony </w:t>
      </w:r>
      <w:r w:rsidR="00DA3618">
        <w:t xml:space="preserve">required above, and propose a schedule for </w:t>
      </w:r>
      <w:r w:rsidR="007B3304">
        <w:t xml:space="preserve">party evaluation, </w:t>
      </w:r>
      <w:r w:rsidRPr="007B3304" w:rsidR="007B3304">
        <w:t>discovery, and service of any supplemental party testimony in response to SDG&amp;E’s supplemental testimony, determine whether additional hearings will be needed on this topic and confirm that briefing on this topic will occur consistent with the briefing schedule for</w:t>
      </w:r>
      <w:r w:rsidR="007B3304">
        <w:t xml:space="preserve"> Track 3 of this proceeding. </w:t>
      </w:r>
    </w:p>
    <w:p w:rsidR="007253C8" w:rsidP="007253C8" w:rsidRDefault="007253C8" w14:paraId="6EF4091B" w14:textId="77777777">
      <w:pPr>
        <w:pStyle w:val="Standard"/>
      </w:pPr>
      <w:r w:rsidRPr="00C4647D">
        <w:t>The Commission requires electric utilities to optimize and implement risk mitigation measures that prioritize risk reduction in a manner that is safe and cost-effective.</w:t>
      </w:r>
      <w:r w:rsidRPr="00C4647D">
        <w:rPr>
          <w:vertAlign w:val="superscript"/>
        </w:rPr>
        <w:footnoteReference w:id="246"/>
      </w:r>
      <w:r w:rsidRPr="00C4647D">
        <w:t xml:space="preserve"> SDG&amp;E provides little evidence that the above programs are </w:t>
      </w:r>
      <w:r w:rsidRPr="00C4647D">
        <w:lastRenderedPageBreak/>
        <w:t xml:space="preserve">coordinated to optimize efficiencies and avoid redundancies. In future applications for recovery of asset management and inspection costs and GRCs, SDG&amp;E shall provide additional evidence regarding how inspection programs are coordinated to avoid or account for overlapping activity and associated O&amp;M and capital costs. </w:t>
      </w:r>
      <w:r>
        <w:t>SDG&amp;E shall also detail the staffing employed, their cost, and the justification for the additional cost in coordination with other inspection programs, including their risk benefit cost ratios. Such differences would be reasonable to compare with other inspection programs.</w:t>
      </w:r>
    </w:p>
    <w:p w:rsidRPr="00C4647D" w:rsidR="00BB107E" w:rsidP="007253C8" w:rsidRDefault="00BB107E" w14:paraId="45C7E0CB" w14:textId="4A962A79">
      <w:pPr>
        <w:pStyle w:val="Standard"/>
      </w:pPr>
      <w:r w:rsidRPr="00BB107E">
        <w:t xml:space="preserve">SDG&amp;E is </w:t>
      </w:r>
      <w:r w:rsidR="00366A3D">
        <w:t xml:space="preserve">now </w:t>
      </w:r>
      <w:r w:rsidRPr="00BB107E">
        <w:t>fully on notice that what should have been baseline information to assess reasonableness is required to determine what costs are recoverable.  SDG&amp;E should not expect the Commission to provide this type of leniency in future GRC proceedings or other applications for cost recovery.  Safety is a top priority for the Commission and should also be for SDG&amp;E</w:t>
      </w:r>
      <w:r>
        <w:t>.</w:t>
      </w:r>
      <w:r w:rsidRPr="00BB107E">
        <w:t xml:space="preserve"> </w:t>
      </w:r>
      <w:r>
        <w:t>T</w:t>
      </w:r>
      <w:r w:rsidRPr="00BB107E">
        <w:t>hat said</w:t>
      </w:r>
      <w:r>
        <w:t>,</w:t>
      </w:r>
      <w:r w:rsidRPr="00BB107E">
        <w:t xml:space="preserve"> proper care and submission of adequate evidence to ensure only appropriate costs are recovered is also an equally important priority.</w:t>
      </w:r>
    </w:p>
    <w:p w:rsidRPr="00C4647D" w:rsidR="007253C8" w:rsidP="00645333" w:rsidRDefault="007253C8" w14:paraId="230E3A29" w14:textId="77777777">
      <w:pPr>
        <w:pStyle w:val="Heading2"/>
      </w:pPr>
      <w:bookmarkStart w:name="_Toc213312286" w:id="71"/>
      <w:r w:rsidRPr="00142911">
        <w:t>Infrared</w:t>
      </w:r>
      <w:r>
        <w:t xml:space="preserve"> Inspections of Distribution Infrastructure</w:t>
      </w:r>
      <w:bookmarkEnd w:id="71"/>
    </w:p>
    <w:p w:rsidRPr="00C4647D" w:rsidR="007253C8" w:rsidP="007253C8" w:rsidRDefault="007253C8" w14:paraId="73D9F95A" w14:textId="12E3E240">
      <w:pPr>
        <w:pStyle w:val="Standard"/>
      </w:pPr>
      <w:r w:rsidRPr="00C4647D">
        <w:t>Distribution Infrared Inspections utilize ground-based infrared or thermal imag</w:t>
      </w:r>
      <w:r>
        <w:t>ing</w:t>
      </w:r>
      <w:r w:rsidRPr="00C4647D">
        <w:t xml:space="preserve"> technology to examine the radiation emitted from electrical connections to look for abnormalities that may be remedied before they cause equipment to fail. The inspections themselves and the corrective work resulting from infrared inspections is captured within this initiative.</w:t>
      </w:r>
      <w:r w:rsidRPr="00C4647D">
        <w:rPr>
          <w:vertAlign w:val="superscript"/>
        </w:rPr>
        <w:footnoteReference w:id="247"/>
      </w:r>
      <w:r w:rsidRPr="00C4647D">
        <w:t xml:space="preserve"> For 2019</w:t>
      </w:r>
      <w:r>
        <w:t>–20</w:t>
      </w:r>
      <w:r w:rsidRPr="00C4647D">
        <w:t>22, SDG&amp;E inspected approximately 12,000 distribution structures each year</w:t>
      </w:r>
      <w:r w:rsidRPr="00C4647D">
        <w:rPr>
          <w:vertAlign w:val="superscript"/>
        </w:rPr>
        <w:footnoteReference w:id="248"/>
      </w:r>
      <w:r w:rsidRPr="00C4647D">
        <w:t xml:space="preserve"> and estimates that 0.036 ignitions </w:t>
      </w:r>
      <w:r w:rsidR="002A4A63">
        <w:t>were</w:t>
      </w:r>
      <w:r w:rsidRPr="00C4647D" w:rsidR="002A4A63">
        <w:t xml:space="preserve"> </w:t>
      </w:r>
      <w:r w:rsidRPr="00C4647D">
        <w:t>avoided due to the Distribution Infrared Inspections Program.</w:t>
      </w:r>
      <w:r w:rsidRPr="00C4647D">
        <w:rPr>
          <w:vertAlign w:val="superscript"/>
        </w:rPr>
        <w:footnoteReference w:id="249"/>
      </w:r>
      <w:r w:rsidRPr="00C4647D">
        <w:t xml:space="preserve"> </w:t>
      </w:r>
      <w:r w:rsidRPr="00C4647D">
        <w:lastRenderedPageBreak/>
        <w:t>For 2019</w:t>
      </w:r>
      <w:r>
        <w:t>–</w:t>
      </w:r>
      <w:r w:rsidR="00BA63C2">
        <w:t>20</w:t>
      </w:r>
      <w:r w:rsidRPr="00C4647D">
        <w:t>22, 42,409 inspections were performed at an average unit cost of $14 per inspection.</w:t>
      </w:r>
    </w:p>
    <w:p w:rsidRPr="00C4647D" w:rsidR="007253C8" w:rsidP="007253C8" w:rsidRDefault="007253C8" w14:paraId="0C3FF652" w14:textId="2022EE7C">
      <w:pPr>
        <w:pStyle w:val="Standard"/>
      </w:pPr>
      <w:r w:rsidRPr="00C4647D">
        <w:t>For these infrared inspections, SDG&amp;E seeks recovery of $0.577 million in O&amp;M expenses and no capital expenditures for the 2019</w:t>
      </w:r>
      <w:r>
        <w:t>–20</w:t>
      </w:r>
      <w:r w:rsidRPr="00C4647D">
        <w:t>22 period. The prior GRC did not authorize any funds for this activity.</w:t>
      </w:r>
      <w:r w:rsidRPr="00C4647D">
        <w:rPr>
          <w:vertAlign w:val="superscript"/>
        </w:rPr>
        <w:footnoteReference w:id="250"/>
      </w:r>
    </w:p>
    <w:p w:rsidRPr="00C4647D" w:rsidR="007253C8" w:rsidP="007253C8" w:rsidRDefault="007253C8" w14:paraId="0CD96EC0" w14:textId="4B6B7AE7">
      <w:pPr>
        <w:pStyle w:val="Standard"/>
      </w:pPr>
      <w:r>
        <w:t>SDG&amp;E provides estimates of risks avoided for this program, which began in 2020. However, SDG&amp;E provides even less information about this than it did about the drone inspection program. Moreover, SDG&amp;E does not provide information regarding whether a greater percentage of abnormalities were found using infrared technology than with other technology. Since no costs were sought for capital expenditures, it appears that no equipment was replaced. Although the unit cost for this program is comparatively less than some other programs, SDG&amp;E does not detail the staffing employed, their cost, nor the justification for the additional cost compared with other inspection programs, including their risk spend efficiency. SDG&amp;E does not indicate how or when it assessed such information before initiating it as a pilot or continuing it beyond the pilot stage. Without such information, SDG&amp;E has not demonstrated the reasonableness or prudency of this program. Accordingly, cost recovery for the infrared inspection program is denied.</w:t>
      </w:r>
      <w:bookmarkStart w:name="_Hlk194501310" w:id="72"/>
    </w:p>
    <w:p w:rsidRPr="00C4647D" w:rsidR="007253C8" w:rsidP="00645333" w:rsidRDefault="007253C8" w14:paraId="0C7A6FC1" w14:textId="77777777">
      <w:pPr>
        <w:pStyle w:val="Heading2"/>
      </w:pPr>
      <w:bookmarkStart w:name="_Toc213312287" w:id="73"/>
      <w:bookmarkEnd w:id="72"/>
      <w:r>
        <w:t xml:space="preserve">Circuit </w:t>
      </w:r>
      <w:r w:rsidRPr="00142911">
        <w:t>Ownership</w:t>
      </w:r>
      <w:r>
        <w:t xml:space="preserve"> Platform</w:t>
      </w:r>
      <w:bookmarkEnd w:id="73"/>
    </w:p>
    <w:p w:rsidRPr="00C4647D" w:rsidR="007253C8" w:rsidP="007253C8" w:rsidRDefault="007253C8" w14:paraId="501DF4D6" w14:textId="77777777">
      <w:pPr>
        <w:pStyle w:val="Standard"/>
      </w:pPr>
      <w:r w:rsidRPr="00C4647D">
        <w:t xml:space="preserve">In 2019 and 2020, SDG&amp;E employees used a mobile phone application, known as the Circuit Ownership Platform, to identify potential hazards that </w:t>
      </w:r>
      <w:r w:rsidRPr="00C4647D">
        <w:lastRenderedPageBreak/>
        <w:t>could lead to wildfire</w:t>
      </w:r>
      <w:r>
        <w:t>s. This application was used</w:t>
      </w:r>
      <w:r w:rsidRPr="00C4647D">
        <w:t xml:space="preserve"> in addition to other</w:t>
      </w:r>
      <w:r>
        <w:t xml:space="preserve">s </w:t>
      </w:r>
      <w:r w:rsidRPr="00C4647D">
        <w:t>to record relevant information.</w:t>
      </w:r>
      <w:r w:rsidRPr="00C4647D">
        <w:rPr>
          <w:vertAlign w:val="superscript"/>
        </w:rPr>
        <w:footnoteReference w:id="251"/>
      </w:r>
    </w:p>
    <w:p w:rsidRPr="00C4647D" w:rsidR="007253C8" w:rsidP="007253C8" w:rsidRDefault="007253C8" w14:paraId="284698A6" w14:textId="77777777">
      <w:pPr>
        <w:pStyle w:val="Standard"/>
      </w:pPr>
      <w:r w:rsidRPr="00C4647D">
        <w:t xml:space="preserve">This program was discontinued after 2020 by capturing the same data </w:t>
      </w:r>
      <w:r>
        <w:t xml:space="preserve">via </w:t>
      </w:r>
      <w:r w:rsidRPr="00C4647D">
        <w:t>other inspection programs including the DIAR program, QA/QC inspections, enhanced infrared inspections in HFTD, and pre- and post-PSPS-event patrols.</w:t>
      </w:r>
      <w:r w:rsidRPr="00C4647D">
        <w:rPr>
          <w:vertAlign w:val="superscript"/>
        </w:rPr>
        <w:footnoteReference w:id="252"/>
      </w:r>
      <w:r>
        <w:t xml:space="preserve"> SDG&amp;E requests $0.713 million for this program in 2019 and 2020 for capital expenditures that were not authorized in the GRC (plus the associated indirect costs)</w:t>
      </w:r>
      <w:r w:rsidDel="00137343">
        <w:t xml:space="preserve">. </w:t>
      </w:r>
      <w:r>
        <w:t>No evidence shows that this initiative directly reduced a risk driver or ignitions.</w:t>
      </w:r>
      <w:r>
        <w:rPr>
          <w:rStyle w:val="FootnoteReference"/>
        </w:rPr>
        <w:footnoteReference w:id="253"/>
      </w:r>
      <w:r>
        <w:t xml:space="preserve"> As such, SDG&amp;E provides insufficient information to support the reasonableness and prudency of initiating this program without authorization. </w:t>
      </w:r>
      <w:r w:rsidRPr="73E4AAD3">
        <w:t>As a result, cost recovery for the amount of $</w:t>
      </w:r>
      <w:r>
        <w:t>0.</w:t>
      </w:r>
      <w:r w:rsidRPr="73E4AAD3">
        <w:t>672</w:t>
      </w:r>
      <w:r w:rsidRPr="2DA5EF7A">
        <w:t xml:space="preserve"> </w:t>
      </w:r>
      <w:r>
        <w:t>million</w:t>
      </w:r>
      <w:r w:rsidRPr="73E4AAD3">
        <w:t xml:space="preserve"> in 2019 and $0.041</w:t>
      </w:r>
      <w:r w:rsidRPr="2DA5EF7A">
        <w:t xml:space="preserve"> </w:t>
      </w:r>
      <w:r>
        <w:t>million</w:t>
      </w:r>
      <w:r w:rsidRPr="73E4AAD3">
        <w:t xml:space="preserve"> in 2020 (plus the associated indirect costs) is denied</w:t>
      </w:r>
      <w:r w:rsidRPr="00B41F72">
        <w:rPr>
          <w:bCs/>
        </w:rPr>
        <w:t>.</w:t>
      </w:r>
      <w:r>
        <w:t xml:space="preserve"> The Commission and SDG&amp;E’s ratepayers require prudent evaluation of programs before costs are reasonably recoverable.</w:t>
      </w:r>
    </w:p>
    <w:p w:rsidR="007253C8" w:rsidP="00C11D4D" w:rsidRDefault="007253C8" w14:paraId="375AE927" w14:textId="23FC7750">
      <w:pPr>
        <w:pStyle w:val="Heading1"/>
      </w:pPr>
      <w:bookmarkStart w:name="_Toc213312288" w:id="74"/>
      <w:r w:rsidRPr="00B44602">
        <w:t xml:space="preserve">Vegetation </w:t>
      </w:r>
      <w:r w:rsidRPr="00C11D4D">
        <w:t>Management</w:t>
      </w:r>
      <w:r w:rsidRPr="00B44602">
        <w:t xml:space="preserve"> and Inspections</w:t>
      </w:r>
      <w:bookmarkEnd w:id="74"/>
    </w:p>
    <w:p w:rsidRPr="00B44602" w:rsidR="007253C8" w:rsidP="007253C8" w:rsidRDefault="007253C8" w14:paraId="35AF56A2" w14:textId="77777777">
      <w:pPr>
        <w:pStyle w:val="Standard"/>
      </w:pPr>
      <w:bookmarkStart w:name="_Hlk197347751" w:id="75"/>
      <w:r w:rsidRPr="00B44602">
        <w:t>SDG&amp;E address</w:t>
      </w:r>
      <w:r>
        <w:t>es</w:t>
      </w:r>
      <w:r w:rsidRPr="00B44602">
        <w:t xml:space="preserve"> the risk of vegetation-infrastructure contact outages and ignitions through its comprehensive Vegetation Management Program. SDG&amp;E’s WMP vegetation management initiatives span several activities including inspections, trimming and removals, fuels treatment, pole brushing, and audits. This section </w:t>
      </w:r>
      <w:r>
        <w:t xml:space="preserve">addresses </w:t>
      </w:r>
      <w:r w:rsidRPr="00B44602">
        <w:t>those activities performed outside of the Tree Trimming Balancing Account (TTBA) and included within the WMPMA.</w:t>
      </w:r>
      <w:r w:rsidRPr="00B44602">
        <w:rPr>
          <w:vertAlign w:val="superscript"/>
        </w:rPr>
        <w:footnoteReference w:id="254"/>
      </w:r>
    </w:p>
    <w:p w:rsidRPr="00F50D2E" w:rsidR="007253C8" w:rsidP="007253C8" w:rsidRDefault="00923ED8" w14:paraId="229B5A0C" w14:textId="20B4648D">
      <w:pPr>
        <w:pStyle w:val="Standard"/>
      </w:pPr>
      <w:r>
        <w:lastRenderedPageBreak/>
        <w:t xml:space="preserve">This decision address </w:t>
      </w:r>
      <w:r w:rsidR="0000310C">
        <w:t>SDG&amp;E’s request for Vegetation Management and Inspections includ</w:t>
      </w:r>
      <w:r>
        <w:t>ing</w:t>
      </w:r>
      <w:r w:rsidR="0000310C">
        <w:t xml:space="preserve"> </w:t>
      </w:r>
      <w:r w:rsidRPr="00B44602" w:rsidR="007253C8">
        <w:t>four initiatives: (1) Fuels Management, (2) Pole Brushing, (3) LiDAR Inspections of Vegetation around Distribution Infrastructure, and (4) Vegetation Restoration.</w:t>
      </w:r>
      <w:r w:rsidR="0000310C">
        <w:rPr>
          <w:rStyle w:val="FootnoteReference"/>
        </w:rPr>
        <w:footnoteReference w:id="255"/>
      </w:r>
      <w:r w:rsidRPr="00B44602" w:rsidR="007253C8">
        <w:t xml:space="preserve"> </w:t>
      </w:r>
      <w:r>
        <w:t xml:space="preserve">This decision does not address </w:t>
      </w:r>
      <w:r w:rsidR="00C15A59">
        <w:t xml:space="preserve">these costs according to </w:t>
      </w:r>
      <w:r>
        <w:t>how SDG&amp;E has categori</w:t>
      </w:r>
      <w:r w:rsidR="00C15A59">
        <w:t xml:space="preserve">zed them </w:t>
      </w:r>
      <w:r>
        <w:t>in its WMP.</w:t>
      </w:r>
      <w:r>
        <w:rPr>
          <w:rStyle w:val="FootnoteReference"/>
        </w:rPr>
        <w:footnoteReference w:id="256"/>
      </w:r>
      <w:r>
        <w:t xml:space="preserve"> </w:t>
      </w:r>
      <w:r w:rsidRPr="00B44602" w:rsidR="007253C8">
        <w:t xml:space="preserve">Cal Advocates proposes cost savings from </w:t>
      </w:r>
      <w:r w:rsidR="00462A29">
        <w:t>Strategic Undergrounding</w:t>
      </w:r>
      <w:r w:rsidRPr="00B44602" w:rsidR="007253C8">
        <w:t xml:space="preserve">, which </w:t>
      </w:r>
      <w:r>
        <w:t>this decision</w:t>
      </w:r>
      <w:r w:rsidRPr="00B44602" w:rsidR="007253C8">
        <w:t xml:space="preserve"> also address</w:t>
      </w:r>
      <w:r>
        <w:t>es</w:t>
      </w:r>
      <w:r w:rsidRPr="00B44602" w:rsidR="007253C8">
        <w:t xml:space="preserve"> in this section.</w:t>
      </w:r>
    </w:p>
    <w:p w:rsidRPr="00F50D2E" w:rsidR="007253C8" w:rsidP="007253C8" w:rsidRDefault="007253C8" w14:paraId="3CDA45FE" w14:textId="77777777">
      <w:pPr>
        <w:pStyle w:val="Standard"/>
      </w:pPr>
      <w:r w:rsidRPr="00B44602">
        <w:t xml:space="preserve">SDG&amp;E </w:t>
      </w:r>
      <w:r>
        <w:t>requests recovery of the costs related to this activity shown in the table below.</w:t>
      </w:r>
      <w:r w:rsidRPr="00B44602">
        <w:rPr>
          <w:vertAlign w:val="superscript"/>
        </w:rPr>
        <w:footnoteReference w:id="257"/>
      </w:r>
    </w:p>
    <w:p w:rsidRPr="00316906" w:rsidR="007253C8" w:rsidP="007253C8" w:rsidRDefault="007253C8" w14:paraId="1CBBEDA1" w14:textId="77777777">
      <w:pPr>
        <w:pStyle w:val="Standard"/>
        <w:ind w:firstLine="0"/>
        <w:jc w:val="center"/>
        <w:rPr>
          <w:b/>
          <w:bCs/>
        </w:rPr>
      </w:pPr>
      <w:r w:rsidRPr="18124A6B">
        <w:rPr>
          <w:b/>
          <w:bCs/>
        </w:rPr>
        <w:t>Table 8</w:t>
      </w:r>
    </w:p>
    <w:p w:rsidR="007253C8" w:rsidP="007253C8" w:rsidRDefault="007253C8" w14:paraId="7097F07C" w14:textId="77777777">
      <w:pPr>
        <w:pStyle w:val="Standard"/>
        <w:ind w:firstLine="0"/>
        <w:jc w:val="center"/>
        <w:rPr>
          <w:b/>
          <w:bCs/>
        </w:rPr>
      </w:pPr>
      <w:r w:rsidRPr="18124A6B">
        <w:rPr>
          <w:b/>
          <w:bCs/>
        </w:rPr>
        <w:t>Vegetation Management &amp; Inspections</w:t>
      </w:r>
    </w:p>
    <w:p w:rsidR="007253C8" w:rsidP="007253C8" w:rsidRDefault="007253C8" w14:paraId="0FF1AB54" w14:textId="43823F54">
      <w:pPr>
        <w:pStyle w:val="Standard"/>
        <w:ind w:firstLine="0"/>
        <w:jc w:val="center"/>
        <w:rPr>
          <w:b/>
          <w:bCs/>
        </w:rPr>
      </w:pPr>
      <w:r w:rsidRPr="18124A6B">
        <w:rPr>
          <w:b/>
          <w:bCs/>
        </w:rPr>
        <w:t>Authorizations and Costs 2019</w:t>
      </w:r>
      <w:r w:rsidR="00573682">
        <w:rPr>
          <w:b/>
          <w:bCs/>
        </w:rPr>
        <w:t>–</w:t>
      </w:r>
      <w:r w:rsidRPr="18124A6B">
        <w:rPr>
          <w:b/>
          <w:bCs/>
        </w:rPr>
        <w:t>2022 ($000)</w:t>
      </w:r>
    </w:p>
    <w:tbl>
      <w:tblPr>
        <w:tblW w:w="9350" w:type="dxa"/>
        <w:tblLook w:val="04A0" w:firstRow="1" w:lastRow="0" w:firstColumn="1" w:lastColumn="0" w:noHBand="0" w:noVBand="1"/>
      </w:tblPr>
      <w:tblGrid>
        <w:gridCol w:w="3685"/>
        <w:gridCol w:w="2067"/>
        <w:gridCol w:w="1623"/>
        <w:gridCol w:w="1975"/>
      </w:tblGrid>
      <w:tr w:rsidR="007253C8" w:rsidTr="0037110F" w14:paraId="2AF4FAFF" w14:textId="77777777">
        <w:trPr>
          <w:trHeight w:val="320"/>
        </w:trPr>
        <w:tc>
          <w:tcPr>
            <w:tcW w:w="3685" w:type="dxa"/>
            <w:tcBorders>
              <w:top w:val="single" w:color="auto" w:sz="4" w:space="0"/>
              <w:left w:val="single" w:color="auto" w:sz="4" w:space="0"/>
              <w:bottom w:val="single" w:color="auto" w:sz="4" w:space="0"/>
              <w:right w:val="single" w:color="auto" w:sz="4" w:space="0"/>
            </w:tcBorders>
            <w:noWrap/>
            <w:vAlign w:val="center"/>
            <w:hideMark/>
          </w:tcPr>
          <w:p w:rsidR="007253C8" w:rsidP="00301BD8" w:rsidRDefault="007253C8" w14:paraId="454666BE" w14:textId="77777777">
            <w:pPr>
              <w:pStyle w:val="TableText"/>
            </w:pPr>
            <w:r>
              <w:t>Initiative</w:t>
            </w:r>
          </w:p>
        </w:tc>
        <w:tc>
          <w:tcPr>
            <w:tcW w:w="2067" w:type="dxa"/>
            <w:tcBorders>
              <w:top w:val="single" w:color="auto" w:sz="4" w:space="0"/>
              <w:left w:val="nil"/>
              <w:bottom w:val="single" w:color="auto" w:sz="4" w:space="0"/>
              <w:right w:val="single" w:color="auto" w:sz="4" w:space="0"/>
            </w:tcBorders>
            <w:noWrap/>
            <w:vAlign w:val="center"/>
            <w:hideMark/>
          </w:tcPr>
          <w:p w:rsidR="007253C8" w:rsidP="00301BD8" w:rsidRDefault="007253C8" w14:paraId="38E06DD3" w14:textId="77777777">
            <w:pPr>
              <w:pStyle w:val="TableText"/>
            </w:pPr>
            <w:r>
              <w:t>Authorized O&amp;M</w:t>
            </w:r>
          </w:p>
        </w:tc>
        <w:tc>
          <w:tcPr>
            <w:tcW w:w="1623" w:type="dxa"/>
            <w:tcBorders>
              <w:top w:val="single" w:color="auto" w:sz="4" w:space="0"/>
              <w:left w:val="nil"/>
              <w:bottom w:val="single" w:color="auto" w:sz="4" w:space="0"/>
              <w:right w:val="single" w:color="auto" w:sz="4" w:space="0"/>
            </w:tcBorders>
            <w:noWrap/>
            <w:vAlign w:val="center"/>
            <w:hideMark/>
          </w:tcPr>
          <w:p w:rsidR="007253C8" w:rsidP="00301BD8" w:rsidRDefault="007253C8" w14:paraId="14E21996" w14:textId="77777777">
            <w:pPr>
              <w:pStyle w:val="TableText"/>
            </w:pPr>
            <w:r>
              <w:t>Actual O&amp;M</w:t>
            </w:r>
          </w:p>
        </w:tc>
        <w:tc>
          <w:tcPr>
            <w:tcW w:w="1975" w:type="dxa"/>
            <w:tcBorders>
              <w:top w:val="single" w:color="auto" w:sz="4" w:space="0"/>
              <w:left w:val="nil"/>
              <w:bottom w:val="single" w:color="auto" w:sz="4" w:space="0"/>
              <w:right w:val="single" w:color="auto" w:sz="4" w:space="0"/>
            </w:tcBorders>
            <w:noWrap/>
            <w:vAlign w:val="center"/>
            <w:hideMark/>
          </w:tcPr>
          <w:p w:rsidR="007253C8" w:rsidP="00301BD8" w:rsidRDefault="007253C8" w14:paraId="40FC527A" w14:textId="77777777">
            <w:pPr>
              <w:pStyle w:val="TableText"/>
            </w:pPr>
            <w:r>
              <w:t>Differential O&amp;M</w:t>
            </w:r>
          </w:p>
        </w:tc>
      </w:tr>
      <w:tr w:rsidR="007253C8" w:rsidTr="0037110F" w14:paraId="6B7E726F" w14:textId="77777777">
        <w:trPr>
          <w:trHeight w:val="320"/>
        </w:trPr>
        <w:tc>
          <w:tcPr>
            <w:tcW w:w="3685" w:type="dxa"/>
            <w:tcBorders>
              <w:top w:val="nil"/>
              <w:left w:val="single" w:color="auto" w:sz="4" w:space="0"/>
              <w:bottom w:val="single" w:color="auto" w:sz="4" w:space="0"/>
              <w:right w:val="single" w:color="auto" w:sz="4" w:space="0"/>
            </w:tcBorders>
            <w:noWrap/>
            <w:vAlign w:val="center"/>
            <w:hideMark/>
          </w:tcPr>
          <w:p w:rsidR="007253C8" w:rsidP="00301BD8" w:rsidRDefault="007253C8" w14:paraId="134DD8F7" w14:textId="77777777">
            <w:pPr>
              <w:pStyle w:val="TableText"/>
            </w:pPr>
            <w:r>
              <w:t>Pole Brushing</w:t>
            </w:r>
          </w:p>
        </w:tc>
        <w:tc>
          <w:tcPr>
            <w:tcW w:w="2067" w:type="dxa"/>
            <w:tcBorders>
              <w:top w:val="nil"/>
              <w:left w:val="nil"/>
              <w:bottom w:val="single" w:color="auto" w:sz="4" w:space="0"/>
              <w:right w:val="single" w:color="auto" w:sz="4" w:space="0"/>
            </w:tcBorders>
            <w:noWrap/>
            <w:vAlign w:val="center"/>
            <w:hideMark/>
          </w:tcPr>
          <w:p w:rsidR="007253C8" w:rsidP="00301BD8" w:rsidRDefault="007253C8" w14:paraId="2C89246B" w14:textId="77777777">
            <w:pPr>
              <w:pStyle w:val="TableText"/>
            </w:pPr>
            <w:r>
              <w:t>$16,552</w:t>
            </w:r>
          </w:p>
        </w:tc>
        <w:tc>
          <w:tcPr>
            <w:tcW w:w="1623" w:type="dxa"/>
            <w:tcBorders>
              <w:top w:val="nil"/>
              <w:left w:val="nil"/>
              <w:bottom w:val="single" w:color="auto" w:sz="4" w:space="0"/>
              <w:right w:val="single" w:color="auto" w:sz="4" w:space="0"/>
            </w:tcBorders>
            <w:noWrap/>
            <w:vAlign w:val="center"/>
            <w:hideMark/>
          </w:tcPr>
          <w:p w:rsidR="007253C8" w:rsidP="00301BD8" w:rsidRDefault="007253C8" w14:paraId="2446E88D" w14:textId="77777777">
            <w:pPr>
              <w:pStyle w:val="TableText"/>
            </w:pPr>
            <w:r>
              <w:t>$19,691</w:t>
            </w:r>
          </w:p>
        </w:tc>
        <w:tc>
          <w:tcPr>
            <w:tcW w:w="1975" w:type="dxa"/>
            <w:tcBorders>
              <w:top w:val="nil"/>
              <w:left w:val="nil"/>
              <w:bottom w:val="single" w:color="auto" w:sz="4" w:space="0"/>
              <w:right w:val="single" w:color="auto" w:sz="4" w:space="0"/>
            </w:tcBorders>
            <w:noWrap/>
            <w:vAlign w:val="center"/>
            <w:hideMark/>
          </w:tcPr>
          <w:p w:rsidR="007253C8" w:rsidP="00301BD8" w:rsidRDefault="007253C8" w14:paraId="4F542E3B" w14:textId="77777777">
            <w:pPr>
              <w:pStyle w:val="TableText"/>
            </w:pPr>
            <w:r>
              <w:t>$3,139</w:t>
            </w:r>
          </w:p>
        </w:tc>
      </w:tr>
      <w:tr w:rsidR="007253C8" w:rsidTr="0037110F" w14:paraId="41E4A3F7" w14:textId="77777777">
        <w:trPr>
          <w:trHeight w:val="320"/>
        </w:trPr>
        <w:tc>
          <w:tcPr>
            <w:tcW w:w="3685" w:type="dxa"/>
            <w:tcBorders>
              <w:top w:val="nil"/>
              <w:left w:val="single" w:color="auto" w:sz="4" w:space="0"/>
              <w:bottom w:val="single" w:color="auto" w:sz="4" w:space="0"/>
              <w:right w:val="single" w:color="auto" w:sz="4" w:space="0"/>
            </w:tcBorders>
            <w:noWrap/>
            <w:vAlign w:val="center"/>
            <w:hideMark/>
          </w:tcPr>
          <w:p w:rsidR="007253C8" w:rsidP="00301BD8" w:rsidRDefault="007253C8" w14:paraId="6CF906D4" w14:textId="77777777">
            <w:pPr>
              <w:pStyle w:val="TableText"/>
            </w:pPr>
            <w:r>
              <w:t>Fuels Management</w:t>
            </w:r>
          </w:p>
        </w:tc>
        <w:tc>
          <w:tcPr>
            <w:tcW w:w="2067" w:type="dxa"/>
            <w:tcBorders>
              <w:top w:val="nil"/>
              <w:left w:val="nil"/>
              <w:bottom w:val="single" w:color="auto" w:sz="4" w:space="0"/>
              <w:right w:val="single" w:color="auto" w:sz="4" w:space="0"/>
            </w:tcBorders>
            <w:noWrap/>
            <w:vAlign w:val="center"/>
            <w:hideMark/>
          </w:tcPr>
          <w:p w:rsidR="007253C8" w:rsidP="00301BD8" w:rsidRDefault="007253C8" w14:paraId="2887F29F" w14:textId="77777777">
            <w:pPr>
              <w:pStyle w:val="TableText"/>
            </w:pPr>
            <w:r>
              <w:t>-</w:t>
            </w:r>
          </w:p>
        </w:tc>
        <w:tc>
          <w:tcPr>
            <w:tcW w:w="1623" w:type="dxa"/>
            <w:tcBorders>
              <w:top w:val="nil"/>
              <w:left w:val="nil"/>
              <w:bottom w:val="single" w:color="auto" w:sz="4" w:space="0"/>
              <w:right w:val="single" w:color="auto" w:sz="4" w:space="0"/>
            </w:tcBorders>
            <w:noWrap/>
            <w:vAlign w:val="center"/>
            <w:hideMark/>
          </w:tcPr>
          <w:p w:rsidR="007253C8" w:rsidP="00301BD8" w:rsidRDefault="007253C8" w14:paraId="02737E21" w14:textId="77777777">
            <w:pPr>
              <w:pStyle w:val="TableText"/>
            </w:pPr>
            <w:r>
              <w:t>$22,442</w:t>
            </w:r>
          </w:p>
        </w:tc>
        <w:tc>
          <w:tcPr>
            <w:tcW w:w="1975" w:type="dxa"/>
            <w:tcBorders>
              <w:top w:val="nil"/>
              <w:left w:val="nil"/>
              <w:bottom w:val="single" w:color="auto" w:sz="4" w:space="0"/>
              <w:right w:val="single" w:color="auto" w:sz="4" w:space="0"/>
            </w:tcBorders>
            <w:noWrap/>
            <w:vAlign w:val="center"/>
            <w:hideMark/>
          </w:tcPr>
          <w:p w:rsidR="007253C8" w:rsidP="00301BD8" w:rsidRDefault="007253C8" w14:paraId="23BA6C97" w14:textId="77777777">
            <w:pPr>
              <w:pStyle w:val="TableText"/>
            </w:pPr>
            <w:r>
              <w:t>$22,442</w:t>
            </w:r>
          </w:p>
        </w:tc>
      </w:tr>
      <w:tr w:rsidR="007253C8" w:rsidTr="0037110F" w14:paraId="4ED1933F" w14:textId="77777777">
        <w:trPr>
          <w:trHeight w:val="320"/>
        </w:trPr>
        <w:tc>
          <w:tcPr>
            <w:tcW w:w="3685" w:type="dxa"/>
            <w:tcBorders>
              <w:top w:val="nil"/>
              <w:left w:val="single" w:color="auto" w:sz="4" w:space="0"/>
              <w:bottom w:val="single" w:color="auto" w:sz="4" w:space="0"/>
              <w:right w:val="single" w:color="auto" w:sz="4" w:space="0"/>
            </w:tcBorders>
            <w:noWrap/>
            <w:vAlign w:val="center"/>
            <w:hideMark/>
          </w:tcPr>
          <w:p w:rsidR="007253C8" w:rsidP="00301BD8" w:rsidRDefault="007253C8" w14:paraId="7B7313AB" w14:textId="77777777">
            <w:pPr>
              <w:pStyle w:val="TableText"/>
            </w:pPr>
            <w:r>
              <w:t>LiDAR Inspections of Vegetation around Distribution Infrastructure</w:t>
            </w:r>
          </w:p>
        </w:tc>
        <w:tc>
          <w:tcPr>
            <w:tcW w:w="2067" w:type="dxa"/>
            <w:tcBorders>
              <w:top w:val="nil"/>
              <w:left w:val="nil"/>
              <w:bottom w:val="single" w:color="auto" w:sz="4" w:space="0"/>
              <w:right w:val="single" w:color="auto" w:sz="4" w:space="0"/>
            </w:tcBorders>
            <w:noWrap/>
            <w:vAlign w:val="center"/>
            <w:hideMark/>
          </w:tcPr>
          <w:p w:rsidR="007253C8" w:rsidP="00301BD8" w:rsidRDefault="007253C8" w14:paraId="08C67844" w14:textId="77777777">
            <w:pPr>
              <w:pStyle w:val="TableText"/>
            </w:pPr>
            <w:r>
              <w:t>-</w:t>
            </w:r>
          </w:p>
        </w:tc>
        <w:tc>
          <w:tcPr>
            <w:tcW w:w="1623" w:type="dxa"/>
            <w:tcBorders>
              <w:top w:val="nil"/>
              <w:left w:val="nil"/>
              <w:bottom w:val="single" w:color="auto" w:sz="4" w:space="0"/>
              <w:right w:val="single" w:color="auto" w:sz="4" w:space="0"/>
            </w:tcBorders>
            <w:noWrap/>
            <w:vAlign w:val="center"/>
            <w:hideMark/>
          </w:tcPr>
          <w:p w:rsidR="007253C8" w:rsidP="00301BD8" w:rsidRDefault="007253C8" w14:paraId="410086F8" w14:textId="77777777">
            <w:pPr>
              <w:pStyle w:val="TableText"/>
            </w:pPr>
            <w:r>
              <w:t>$4,152</w:t>
            </w:r>
          </w:p>
        </w:tc>
        <w:tc>
          <w:tcPr>
            <w:tcW w:w="1975" w:type="dxa"/>
            <w:tcBorders>
              <w:top w:val="nil"/>
              <w:left w:val="nil"/>
              <w:bottom w:val="single" w:color="auto" w:sz="4" w:space="0"/>
              <w:right w:val="single" w:color="auto" w:sz="4" w:space="0"/>
            </w:tcBorders>
            <w:noWrap/>
            <w:vAlign w:val="center"/>
            <w:hideMark/>
          </w:tcPr>
          <w:p w:rsidR="007253C8" w:rsidP="00301BD8" w:rsidRDefault="007253C8" w14:paraId="4C46AFC2" w14:textId="77777777">
            <w:pPr>
              <w:pStyle w:val="TableText"/>
            </w:pPr>
            <w:r>
              <w:t>$4,152</w:t>
            </w:r>
          </w:p>
        </w:tc>
      </w:tr>
      <w:tr w:rsidR="007253C8" w:rsidTr="0037110F" w14:paraId="031DD41C" w14:textId="77777777">
        <w:trPr>
          <w:trHeight w:val="320"/>
        </w:trPr>
        <w:tc>
          <w:tcPr>
            <w:tcW w:w="3685" w:type="dxa"/>
            <w:tcBorders>
              <w:top w:val="nil"/>
              <w:left w:val="single" w:color="auto" w:sz="4" w:space="0"/>
              <w:bottom w:val="single" w:color="auto" w:sz="4" w:space="0"/>
              <w:right w:val="single" w:color="auto" w:sz="4" w:space="0"/>
            </w:tcBorders>
            <w:noWrap/>
            <w:vAlign w:val="center"/>
            <w:hideMark/>
          </w:tcPr>
          <w:p w:rsidR="007253C8" w:rsidP="00301BD8" w:rsidRDefault="007253C8" w14:paraId="590AB5B2" w14:textId="77777777">
            <w:pPr>
              <w:pStyle w:val="TableText"/>
            </w:pPr>
            <w:r>
              <w:t>Vegetation Restoration</w:t>
            </w:r>
          </w:p>
        </w:tc>
        <w:tc>
          <w:tcPr>
            <w:tcW w:w="2067" w:type="dxa"/>
            <w:tcBorders>
              <w:top w:val="nil"/>
              <w:left w:val="nil"/>
              <w:bottom w:val="single" w:color="auto" w:sz="4" w:space="0"/>
              <w:right w:val="single" w:color="auto" w:sz="4" w:space="0"/>
            </w:tcBorders>
            <w:noWrap/>
            <w:vAlign w:val="center"/>
            <w:hideMark/>
          </w:tcPr>
          <w:p w:rsidR="007253C8" w:rsidP="00301BD8" w:rsidRDefault="007253C8" w14:paraId="0AE95764" w14:textId="77777777">
            <w:pPr>
              <w:pStyle w:val="TableText"/>
            </w:pPr>
            <w:r>
              <w:t>-</w:t>
            </w:r>
          </w:p>
        </w:tc>
        <w:tc>
          <w:tcPr>
            <w:tcW w:w="1623" w:type="dxa"/>
            <w:tcBorders>
              <w:top w:val="nil"/>
              <w:left w:val="nil"/>
              <w:bottom w:val="single" w:color="auto" w:sz="4" w:space="0"/>
              <w:right w:val="single" w:color="auto" w:sz="4" w:space="0"/>
            </w:tcBorders>
            <w:noWrap/>
            <w:vAlign w:val="center"/>
            <w:hideMark/>
          </w:tcPr>
          <w:p w:rsidR="007253C8" w:rsidP="00301BD8" w:rsidRDefault="007253C8" w14:paraId="34CA561E" w14:textId="77777777">
            <w:pPr>
              <w:pStyle w:val="TableText"/>
            </w:pPr>
            <w:r>
              <w:t>$1,265</w:t>
            </w:r>
          </w:p>
        </w:tc>
        <w:tc>
          <w:tcPr>
            <w:tcW w:w="1975" w:type="dxa"/>
            <w:tcBorders>
              <w:top w:val="nil"/>
              <w:left w:val="nil"/>
              <w:bottom w:val="single" w:color="auto" w:sz="4" w:space="0"/>
              <w:right w:val="single" w:color="auto" w:sz="4" w:space="0"/>
            </w:tcBorders>
            <w:noWrap/>
            <w:vAlign w:val="center"/>
            <w:hideMark/>
          </w:tcPr>
          <w:p w:rsidR="007253C8" w:rsidP="00301BD8" w:rsidRDefault="007253C8" w14:paraId="51569EFB" w14:textId="77777777">
            <w:pPr>
              <w:pStyle w:val="TableText"/>
            </w:pPr>
            <w:r>
              <w:t>$1,265</w:t>
            </w:r>
          </w:p>
        </w:tc>
      </w:tr>
      <w:tr w:rsidRPr="00132B98" w:rsidR="007253C8" w:rsidTr="0037110F" w14:paraId="054DDE21" w14:textId="77777777">
        <w:trPr>
          <w:trHeight w:val="320"/>
        </w:trPr>
        <w:tc>
          <w:tcPr>
            <w:tcW w:w="3685" w:type="dxa"/>
            <w:tcBorders>
              <w:top w:val="nil"/>
              <w:left w:val="single" w:color="auto" w:sz="4" w:space="0"/>
              <w:bottom w:val="single" w:color="auto" w:sz="4" w:space="0"/>
              <w:right w:val="single" w:color="auto" w:sz="4" w:space="0"/>
            </w:tcBorders>
            <w:noWrap/>
            <w:vAlign w:val="center"/>
          </w:tcPr>
          <w:p w:rsidRPr="00132B98" w:rsidR="007253C8" w:rsidP="00301BD8" w:rsidRDefault="007253C8" w14:paraId="2A5EF03E" w14:textId="77777777">
            <w:pPr>
              <w:pStyle w:val="TableText"/>
              <w:rPr>
                <w:i/>
              </w:rPr>
            </w:pPr>
            <w:r w:rsidRPr="26D7ABF7">
              <w:rPr>
                <w:i/>
                <w:iCs/>
              </w:rPr>
              <w:t>Total</w:t>
            </w:r>
          </w:p>
        </w:tc>
        <w:tc>
          <w:tcPr>
            <w:tcW w:w="2067" w:type="dxa"/>
            <w:tcBorders>
              <w:top w:val="nil"/>
              <w:left w:val="nil"/>
              <w:bottom w:val="single" w:color="auto" w:sz="4" w:space="0"/>
              <w:right w:val="single" w:color="auto" w:sz="4" w:space="0"/>
            </w:tcBorders>
            <w:noWrap/>
            <w:vAlign w:val="center"/>
          </w:tcPr>
          <w:p w:rsidRPr="00132B98" w:rsidR="007253C8" w:rsidP="00301BD8" w:rsidRDefault="007253C8" w14:paraId="17334B9A" w14:textId="77777777">
            <w:pPr>
              <w:pStyle w:val="TableText"/>
              <w:rPr>
                <w:i/>
              </w:rPr>
            </w:pPr>
            <w:r>
              <w:rPr>
                <w:i/>
              </w:rPr>
              <w:t>$16,552</w:t>
            </w:r>
          </w:p>
        </w:tc>
        <w:tc>
          <w:tcPr>
            <w:tcW w:w="1623" w:type="dxa"/>
            <w:tcBorders>
              <w:top w:val="nil"/>
              <w:left w:val="nil"/>
              <w:bottom w:val="single" w:color="auto" w:sz="4" w:space="0"/>
              <w:right w:val="single" w:color="auto" w:sz="4" w:space="0"/>
            </w:tcBorders>
            <w:noWrap/>
            <w:vAlign w:val="center"/>
          </w:tcPr>
          <w:p w:rsidRPr="00132B98" w:rsidR="007253C8" w:rsidP="00301BD8" w:rsidRDefault="007253C8" w14:paraId="25E80B98" w14:textId="77777777">
            <w:pPr>
              <w:pStyle w:val="TableText"/>
              <w:rPr>
                <w:i/>
              </w:rPr>
            </w:pPr>
            <w:r>
              <w:rPr>
                <w:i/>
              </w:rPr>
              <w:t>$47,550</w:t>
            </w:r>
          </w:p>
        </w:tc>
        <w:tc>
          <w:tcPr>
            <w:tcW w:w="1975" w:type="dxa"/>
            <w:tcBorders>
              <w:top w:val="nil"/>
              <w:left w:val="nil"/>
              <w:bottom w:val="single" w:color="auto" w:sz="4" w:space="0"/>
              <w:right w:val="single" w:color="auto" w:sz="4" w:space="0"/>
            </w:tcBorders>
            <w:noWrap/>
            <w:vAlign w:val="center"/>
          </w:tcPr>
          <w:p w:rsidRPr="00132B98" w:rsidR="007253C8" w:rsidP="00301BD8" w:rsidRDefault="007253C8" w14:paraId="521185FB" w14:textId="367EF1BB">
            <w:pPr>
              <w:pStyle w:val="TableText"/>
              <w:rPr>
                <w:i/>
              </w:rPr>
            </w:pPr>
            <w:r>
              <w:rPr>
                <w:i/>
              </w:rPr>
              <w:t>$30,998</w:t>
            </w:r>
          </w:p>
        </w:tc>
      </w:tr>
    </w:tbl>
    <w:p w:rsidR="007253C8" w:rsidP="007253C8" w:rsidRDefault="007253C8" w14:paraId="174F59B4" w14:textId="77777777"/>
    <w:p w:rsidRPr="00621B28" w:rsidR="007253C8" w:rsidP="00645333" w:rsidRDefault="007253C8" w14:paraId="5A310D54" w14:textId="43CBB563">
      <w:pPr>
        <w:pStyle w:val="Heading2"/>
      </w:pPr>
      <w:bookmarkStart w:name="_Toc213312289" w:id="76"/>
      <w:r w:rsidRPr="00621B28">
        <w:t>Pole Brushing</w:t>
      </w:r>
      <w:bookmarkEnd w:id="76"/>
    </w:p>
    <w:p w:rsidRPr="00AA2337" w:rsidR="007253C8" w:rsidP="007253C8" w:rsidRDefault="007253C8" w14:paraId="26D93F89" w14:textId="77777777">
      <w:pPr>
        <w:pStyle w:val="Standard"/>
      </w:pPr>
      <w:r w:rsidRPr="00304B75">
        <w:t>Pole brushing is a fire prevention measure involving the removal of vegetation at the base of poles that carry specific types of electrical hardware that could cause sparking or molten material to fall to the ground. The clearance requirements in Public Resources Code</w:t>
      </w:r>
      <w:r>
        <w:t xml:space="preserve"> (PRC)</w:t>
      </w:r>
      <w:r w:rsidRPr="00304B75">
        <w:t xml:space="preserve"> Section 4292 require the removal </w:t>
      </w:r>
      <w:r w:rsidRPr="00304B75">
        <w:lastRenderedPageBreak/>
        <w:t xml:space="preserve">of all vegetation down to bare mineral soil within a 10-foot radius from the outer circumference of subject poles located within the boundary of the State Responsibility Area (SRA). The requirement also includes the removal of live vegetation up to 8 vertical feet and the removal of dead vegetation up to conductor level within the clearance </w:t>
      </w:r>
      <w:r>
        <w:t>area</w:t>
      </w:r>
      <w:r w:rsidRPr="00304B75">
        <w:t>. Approximately 34,000 distribution poles that have non-exempt subject hardware attached are brushed annually. Inspectors determine which poles require work and update the records in the work management database. Three separately scheduled pole brush activities are performed annually, including mechanical brushing, chemical application, and re-clearing. Pole brush</w:t>
      </w:r>
      <w:r>
        <w:t>ing</w:t>
      </w:r>
      <w:r w:rsidRPr="00304B75">
        <w:t xml:space="preserve"> inspection</w:t>
      </w:r>
      <w:r>
        <w:t>s</w:t>
      </w:r>
      <w:r w:rsidRPr="00304B75">
        <w:t xml:space="preserve"> occur in conjunction with tree inspection activity.</w:t>
      </w:r>
      <w:r w:rsidRPr="00304B75">
        <w:rPr>
          <w:vertAlign w:val="superscript"/>
        </w:rPr>
        <w:footnoteReference w:id="258"/>
      </w:r>
      <w:r>
        <w:t xml:space="preserve"> </w:t>
      </w:r>
      <w:r w:rsidRPr="00B44602">
        <w:t xml:space="preserve">SDG&amp;E </w:t>
      </w:r>
      <w:r w:rsidRPr="00AA2337">
        <w:t>requests recovery of the costs related to this activity shown in the table below</w:t>
      </w:r>
      <w:r>
        <w:t>.</w:t>
      </w:r>
      <w:r w:rsidRPr="00AA2337">
        <w:rPr>
          <w:vertAlign w:val="superscript"/>
        </w:rPr>
        <w:footnoteReference w:id="259"/>
      </w:r>
    </w:p>
    <w:p w:rsidRPr="00316906" w:rsidR="007253C8" w:rsidP="007253C8" w:rsidRDefault="007253C8" w14:paraId="77673372" w14:textId="77777777">
      <w:pPr>
        <w:pStyle w:val="Standard"/>
        <w:ind w:firstLine="0"/>
        <w:jc w:val="center"/>
        <w:rPr>
          <w:b/>
          <w:bCs/>
        </w:rPr>
      </w:pPr>
      <w:r w:rsidRPr="550177A5">
        <w:rPr>
          <w:b/>
          <w:bCs/>
        </w:rPr>
        <w:t>Table 8.1</w:t>
      </w:r>
    </w:p>
    <w:p w:rsidR="007253C8" w:rsidP="007253C8" w:rsidRDefault="007253C8" w14:paraId="4D2DA3F5" w14:textId="76C445A4">
      <w:pPr>
        <w:pStyle w:val="Standard"/>
        <w:ind w:firstLine="0"/>
        <w:jc w:val="center"/>
        <w:rPr>
          <w:b/>
          <w:bCs/>
        </w:rPr>
      </w:pPr>
      <w:r w:rsidRPr="550177A5">
        <w:rPr>
          <w:b/>
          <w:bCs/>
        </w:rPr>
        <w:t>Pole Brushing Authorizations and Direct Costs 2019</w:t>
      </w:r>
      <w:r w:rsidR="00D536C3">
        <w:rPr>
          <w:b/>
          <w:bCs/>
        </w:rPr>
        <w:t>–</w:t>
      </w:r>
      <w:r w:rsidRPr="550177A5">
        <w:rPr>
          <w:b/>
          <w:bCs/>
        </w:rPr>
        <w:t>2022 ($000)</w:t>
      </w:r>
    </w:p>
    <w:tbl>
      <w:tblPr>
        <w:tblW w:w="9481" w:type="dxa"/>
        <w:tblLook w:val="04A0" w:firstRow="1" w:lastRow="0" w:firstColumn="1" w:lastColumn="0" w:noHBand="0" w:noVBand="1"/>
      </w:tblPr>
      <w:tblGrid>
        <w:gridCol w:w="749"/>
        <w:gridCol w:w="1821"/>
        <w:gridCol w:w="2497"/>
        <w:gridCol w:w="1860"/>
        <w:gridCol w:w="2554"/>
      </w:tblGrid>
      <w:tr w:rsidRPr="000221CE" w:rsidR="007253C8" w:rsidTr="00301BD8" w14:paraId="70F585B7" w14:textId="77777777">
        <w:trPr>
          <w:trHeight w:val="320"/>
        </w:trPr>
        <w:tc>
          <w:tcPr>
            <w:tcW w:w="749" w:type="dxa"/>
            <w:tcBorders>
              <w:top w:val="single" w:color="auto" w:sz="4" w:space="0"/>
              <w:left w:val="single" w:color="auto" w:sz="4" w:space="0"/>
              <w:bottom w:val="single" w:color="auto" w:sz="4" w:space="0"/>
              <w:right w:val="single" w:color="auto" w:sz="4" w:space="0"/>
            </w:tcBorders>
            <w:noWrap/>
            <w:vAlign w:val="center"/>
            <w:hideMark/>
          </w:tcPr>
          <w:p w:rsidRPr="000221CE" w:rsidR="007253C8" w:rsidP="00301BD8" w:rsidRDefault="007253C8" w14:paraId="6AF7DE78" w14:textId="77777777">
            <w:pPr>
              <w:pStyle w:val="TableText"/>
            </w:pPr>
            <w:r w:rsidRPr="000221CE">
              <w:t>Year</w:t>
            </w:r>
          </w:p>
        </w:tc>
        <w:tc>
          <w:tcPr>
            <w:tcW w:w="1821" w:type="dxa"/>
            <w:tcBorders>
              <w:top w:val="single" w:color="auto" w:sz="4" w:space="0"/>
              <w:left w:val="nil"/>
              <w:bottom w:val="single" w:color="auto" w:sz="4" w:space="0"/>
              <w:right w:val="single" w:color="auto" w:sz="4" w:space="0"/>
            </w:tcBorders>
            <w:noWrap/>
            <w:vAlign w:val="center"/>
            <w:hideMark/>
          </w:tcPr>
          <w:p w:rsidRPr="000221CE" w:rsidR="007253C8" w:rsidP="00301BD8" w:rsidRDefault="007253C8" w14:paraId="421E9416" w14:textId="77777777">
            <w:pPr>
              <w:pStyle w:val="TableText"/>
            </w:pPr>
            <w:r w:rsidRPr="000221CE">
              <w:t>Units (poles)</w:t>
            </w:r>
          </w:p>
        </w:tc>
        <w:tc>
          <w:tcPr>
            <w:tcW w:w="2497" w:type="dxa"/>
            <w:tcBorders>
              <w:top w:val="single" w:color="auto" w:sz="4" w:space="0"/>
              <w:left w:val="nil"/>
              <w:bottom w:val="single" w:color="auto" w:sz="4" w:space="0"/>
              <w:right w:val="single" w:color="auto" w:sz="4" w:space="0"/>
            </w:tcBorders>
            <w:noWrap/>
            <w:vAlign w:val="center"/>
            <w:hideMark/>
          </w:tcPr>
          <w:p w:rsidRPr="000221CE" w:rsidR="007253C8" w:rsidP="00301BD8" w:rsidRDefault="007253C8" w14:paraId="2A23D873" w14:textId="77777777">
            <w:pPr>
              <w:pStyle w:val="TableText"/>
            </w:pPr>
            <w:r w:rsidRPr="000221CE">
              <w:t>Authorized O&amp;M</w:t>
            </w:r>
          </w:p>
        </w:tc>
        <w:tc>
          <w:tcPr>
            <w:tcW w:w="1860" w:type="dxa"/>
            <w:tcBorders>
              <w:top w:val="single" w:color="auto" w:sz="4" w:space="0"/>
              <w:left w:val="nil"/>
              <w:bottom w:val="single" w:color="auto" w:sz="4" w:space="0"/>
              <w:right w:val="single" w:color="auto" w:sz="4" w:space="0"/>
            </w:tcBorders>
            <w:noWrap/>
            <w:vAlign w:val="center"/>
            <w:hideMark/>
          </w:tcPr>
          <w:p w:rsidRPr="000221CE" w:rsidR="007253C8" w:rsidP="00301BD8" w:rsidRDefault="007253C8" w14:paraId="3C33800E" w14:textId="77777777">
            <w:pPr>
              <w:pStyle w:val="TableText"/>
            </w:pPr>
            <w:r w:rsidRPr="000221CE">
              <w:t>Actual O&amp;M</w:t>
            </w:r>
          </w:p>
        </w:tc>
        <w:tc>
          <w:tcPr>
            <w:tcW w:w="2554" w:type="dxa"/>
            <w:tcBorders>
              <w:top w:val="single" w:color="auto" w:sz="4" w:space="0"/>
              <w:left w:val="nil"/>
              <w:bottom w:val="single" w:color="auto" w:sz="4" w:space="0"/>
              <w:right w:val="single" w:color="auto" w:sz="4" w:space="0"/>
            </w:tcBorders>
            <w:noWrap/>
            <w:vAlign w:val="center"/>
            <w:hideMark/>
          </w:tcPr>
          <w:p w:rsidRPr="000221CE" w:rsidR="007253C8" w:rsidP="00301BD8" w:rsidRDefault="007253C8" w14:paraId="1EC46F7B" w14:textId="77777777">
            <w:pPr>
              <w:pStyle w:val="TableText"/>
            </w:pPr>
            <w:r w:rsidRPr="000221CE">
              <w:t>Differential O&amp;M</w:t>
            </w:r>
          </w:p>
        </w:tc>
      </w:tr>
      <w:tr w:rsidRPr="000221CE" w:rsidR="007253C8" w:rsidTr="00301BD8" w14:paraId="74D482C0" w14:textId="77777777">
        <w:trPr>
          <w:trHeight w:val="320"/>
        </w:trPr>
        <w:tc>
          <w:tcPr>
            <w:tcW w:w="749" w:type="dxa"/>
            <w:tcBorders>
              <w:top w:val="nil"/>
              <w:left w:val="single" w:color="auto" w:sz="4" w:space="0"/>
              <w:bottom w:val="single" w:color="auto" w:sz="4" w:space="0"/>
              <w:right w:val="single" w:color="auto" w:sz="4" w:space="0"/>
            </w:tcBorders>
            <w:noWrap/>
            <w:vAlign w:val="center"/>
            <w:hideMark/>
          </w:tcPr>
          <w:p w:rsidRPr="000221CE" w:rsidR="007253C8" w:rsidP="00301BD8" w:rsidRDefault="007253C8" w14:paraId="1617BAFD" w14:textId="77777777">
            <w:pPr>
              <w:pStyle w:val="TableText"/>
            </w:pPr>
            <w:r w:rsidRPr="000221CE">
              <w:t>2019</w:t>
            </w:r>
          </w:p>
        </w:tc>
        <w:tc>
          <w:tcPr>
            <w:tcW w:w="1821" w:type="dxa"/>
            <w:tcBorders>
              <w:top w:val="nil"/>
              <w:left w:val="nil"/>
              <w:bottom w:val="single" w:color="auto" w:sz="4" w:space="0"/>
              <w:right w:val="single" w:color="auto" w:sz="4" w:space="0"/>
            </w:tcBorders>
            <w:noWrap/>
            <w:vAlign w:val="center"/>
            <w:hideMark/>
          </w:tcPr>
          <w:p w:rsidRPr="000221CE" w:rsidR="007253C8" w:rsidP="00301BD8" w:rsidRDefault="007253C8" w14:paraId="276D38FB" w14:textId="77777777">
            <w:pPr>
              <w:pStyle w:val="TableText"/>
            </w:pPr>
            <w:r w:rsidRPr="000221CE">
              <w:t>36,563</w:t>
            </w:r>
          </w:p>
        </w:tc>
        <w:tc>
          <w:tcPr>
            <w:tcW w:w="2497" w:type="dxa"/>
            <w:tcBorders>
              <w:top w:val="nil"/>
              <w:left w:val="nil"/>
              <w:bottom w:val="single" w:color="auto" w:sz="4" w:space="0"/>
              <w:right w:val="single" w:color="auto" w:sz="4" w:space="0"/>
            </w:tcBorders>
            <w:noWrap/>
            <w:vAlign w:val="center"/>
            <w:hideMark/>
          </w:tcPr>
          <w:p w:rsidRPr="000221CE" w:rsidR="007253C8" w:rsidP="00301BD8" w:rsidRDefault="007253C8" w14:paraId="242FAA16" w14:textId="77777777">
            <w:pPr>
              <w:pStyle w:val="TableText"/>
            </w:pPr>
            <w:r w:rsidRPr="000221CE">
              <w:t xml:space="preserve">$3,988 </w:t>
            </w:r>
          </w:p>
        </w:tc>
        <w:tc>
          <w:tcPr>
            <w:tcW w:w="1860" w:type="dxa"/>
            <w:tcBorders>
              <w:top w:val="nil"/>
              <w:left w:val="nil"/>
              <w:bottom w:val="single" w:color="auto" w:sz="4" w:space="0"/>
              <w:right w:val="single" w:color="auto" w:sz="4" w:space="0"/>
            </w:tcBorders>
            <w:noWrap/>
            <w:vAlign w:val="center"/>
            <w:hideMark/>
          </w:tcPr>
          <w:p w:rsidRPr="000221CE" w:rsidR="007253C8" w:rsidP="00301BD8" w:rsidRDefault="007253C8" w14:paraId="539CCA9C" w14:textId="77777777">
            <w:pPr>
              <w:pStyle w:val="TableText"/>
            </w:pPr>
            <w:r w:rsidRPr="000221CE">
              <w:t xml:space="preserve">$2,591 </w:t>
            </w:r>
          </w:p>
        </w:tc>
        <w:tc>
          <w:tcPr>
            <w:tcW w:w="2554" w:type="dxa"/>
            <w:tcBorders>
              <w:top w:val="nil"/>
              <w:left w:val="nil"/>
              <w:bottom w:val="single" w:color="auto" w:sz="4" w:space="0"/>
              <w:right w:val="single" w:color="auto" w:sz="4" w:space="0"/>
            </w:tcBorders>
            <w:noWrap/>
            <w:vAlign w:val="center"/>
            <w:hideMark/>
          </w:tcPr>
          <w:p w:rsidRPr="000221CE" w:rsidR="007253C8" w:rsidP="00301BD8" w:rsidRDefault="007253C8" w14:paraId="41159A7D" w14:textId="77777777">
            <w:pPr>
              <w:pStyle w:val="TableText"/>
            </w:pPr>
            <w:r w:rsidRPr="000221CE">
              <w:t>($1,397)</w:t>
            </w:r>
          </w:p>
        </w:tc>
      </w:tr>
      <w:tr w:rsidRPr="000221CE" w:rsidR="007253C8" w:rsidTr="00301BD8" w14:paraId="3B1CE2F7" w14:textId="77777777">
        <w:trPr>
          <w:trHeight w:val="320"/>
        </w:trPr>
        <w:tc>
          <w:tcPr>
            <w:tcW w:w="749" w:type="dxa"/>
            <w:tcBorders>
              <w:top w:val="nil"/>
              <w:left w:val="single" w:color="auto" w:sz="4" w:space="0"/>
              <w:bottom w:val="single" w:color="auto" w:sz="4" w:space="0"/>
              <w:right w:val="single" w:color="auto" w:sz="4" w:space="0"/>
            </w:tcBorders>
            <w:noWrap/>
            <w:vAlign w:val="center"/>
            <w:hideMark/>
          </w:tcPr>
          <w:p w:rsidRPr="000221CE" w:rsidR="007253C8" w:rsidP="00301BD8" w:rsidRDefault="007253C8" w14:paraId="17A8FBAF" w14:textId="77777777">
            <w:pPr>
              <w:pStyle w:val="TableText"/>
            </w:pPr>
            <w:r w:rsidRPr="000221CE">
              <w:t>2020</w:t>
            </w:r>
          </w:p>
        </w:tc>
        <w:tc>
          <w:tcPr>
            <w:tcW w:w="1821" w:type="dxa"/>
            <w:tcBorders>
              <w:top w:val="nil"/>
              <w:left w:val="nil"/>
              <w:bottom w:val="single" w:color="auto" w:sz="4" w:space="0"/>
              <w:right w:val="single" w:color="auto" w:sz="4" w:space="0"/>
            </w:tcBorders>
            <w:noWrap/>
            <w:vAlign w:val="center"/>
            <w:hideMark/>
          </w:tcPr>
          <w:p w:rsidRPr="000221CE" w:rsidR="007253C8" w:rsidP="00301BD8" w:rsidRDefault="007253C8" w14:paraId="48CC2CD5" w14:textId="77777777">
            <w:pPr>
              <w:pStyle w:val="TableText"/>
            </w:pPr>
            <w:r w:rsidRPr="000221CE">
              <w:t>35,102</w:t>
            </w:r>
          </w:p>
        </w:tc>
        <w:tc>
          <w:tcPr>
            <w:tcW w:w="2497" w:type="dxa"/>
            <w:tcBorders>
              <w:top w:val="nil"/>
              <w:left w:val="nil"/>
              <w:bottom w:val="single" w:color="auto" w:sz="4" w:space="0"/>
              <w:right w:val="single" w:color="auto" w:sz="4" w:space="0"/>
            </w:tcBorders>
            <w:noWrap/>
            <w:vAlign w:val="center"/>
            <w:hideMark/>
          </w:tcPr>
          <w:p w:rsidRPr="000221CE" w:rsidR="007253C8" w:rsidP="00301BD8" w:rsidRDefault="007253C8" w14:paraId="5BE0D36D" w14:textId="77777777">
            <w:pPr>
              <w:pStyle w:val="TableText"/>
            </w:pPr>
            <w:r w:rsidRPr="000221CE">
              <w:t xml:space="preserve">$4,093 </w:t>
            </w:r>
          </w:p>
        </w:tc>
        <w:tc>
          <w:tcPr>
            <w:tcW w:w="1860" w:type="dxa"/>
            <w:tcBorders>
              <w:top w:val="nil"/>
              <w:left w:val="nil"/>
              <w:bottom w:val="single" w:color="auto" w:sz="4" w:space="0"/>
              <w:right w:val="single" w:color="auto" w:sz="4" w:space="0"/>
            </w:tcBorders>
            <w:noWrap/>
            <w:vAlign w:val="center"/>
            <w:hideMark/>
          </w:tcPr>
          <w:p w:rsidRPr="000221CE" w:rsidR="007253C8" w:rsidP="00301BD8" w:rsidRDefault="007253C8" w14:paraId="5B1BD397" w14:textId="77777777">
            <w:pPr>
              <w:pStyle w:val="TableText"/>
            </w:pPr>
            <w:r w:rsidRPr="000221CE">
              <w:t xml:space="preserve">$5,435 </w:t>
            </w:r>
          </w:p>
        </w:tc>
        <w:tc>
          <w:tcPr>
            <w:tcW w:w="2554" w:type="dxa"/>
            <w:tcBorders>
              <w:top w:val="nil"/>
              <w:left w:val="nil"/>
              <w:bottom w:val="single" w:color="auto" w:sz="4" w:space="0"/>
              <w:right w:val="single" w:color="auto" w:sz="4" w:space="0"/>
            </w:tcBorders>
            <w:noWrap/>
            <w:vAlign w:val="center"/>
            <w:hideMark/>
          </w:tcPr>
          <w:p w:rsidRPr="000221CE" w:rsidR="007253C8" w:rsidP="00301BD8" w:rsidRDefault="007253C8" w14:paraId="55911D46" w14:textId="77777777">
            <w:pPr>
              <w:pStyle w:val="TableText"/>
            </w:pPr>
            <w:r w:rsidRPr="000221CE">
              <w:t xml:space="preserve">$1,342 </w:t>
            </w:r>
          </w:p>
        </w:tc>
      </w:tr>
      <w:tr w:rsidRPr="000221CE" w:rsidR="007253C8" w:rsidTr="00301BD8" w14:paraId="36A1048C" w14:textId="77777777">
        <w:trPr>
          <w:trHeight w:val="320"/>
        </w:trPr>
        <w:tc>
          <w:tcPr>
            <w:tcW w:w="749" w:type="dxa"/>
            <w:tcBorders>
              <w:top w:val="nil"/>
              <w:left w:val="single" w:color="auto" w:sz="4" w:space="0"/>
              <w:bottom w:val="single" w:color="auto" w:sz="4" w:space="0"/>
              <w:right w:val="single" w:color="auto" w:sz="4" w:space="0"/>
            </w:tcBorders>
            <w:noWrap/>
            <w:vAlign w:val="center"/>
            <w:hideMark/>
          </w:tcPr>
          <w:p w:rsidRPr="000221CE" w:rsidR="007253C8" w:rsidP="00301BD8" w:rsidRDefault="007253C8" w14:paraId="5E3C0415" w14:textId="77777777">
            <w:pPr>
              <w:pStyle w:val="TableText"/>
            </w:pPr>
            <w:r w:rsidRPr="000221CE">
              <w:t>2021</w:t>
            </w:r>
          </w:p>
        </w:tc>
        <w:tc>
          <w:tcPr>
            <w:tcW w:w="1821" w:type="dxa"/>
            <w:tcBorders>
              <w:top w:val="nil"/>
              <w:left w:val="nil"/>
              <w:bottom w:val="single" w:color="auto" w:sz="4" w:space="0"/>
              <w:right w:val="single" w:color="auto" w:sz="4" w:space="0"/>
            </w:tcBorders>
            <w:noWrap/>
            <w:vAlign w:val="center"/>
            <w:hideMark/>
          </w:tcPr>
          <w:p w:rsidRPr="000221CE" w:rsidR="007253C8" w:rsidP="00301BD8" w:rsidRDefault="007253C8" w14:paraId="3F75781D" w14:textId="77777777">
            <w:pPr>
              <w:pStyle w:val="TableText"/>
            </w:pPr>
            <w:r w:rsidRPr="000221CE">
              <w:t>34,000</w:t>
            </w:r>
          </w:p>
        </w:tc>
        <w:tc>
          <w:tcPr>
            <w:tcW w:w="2497" w:type="dxa"/>
            <w:tcBorders>
              <w:top w:val="nil"/>
              <w:left w:val="nil"/>
              <w:bottom w:val="single" w:color="auto" w:sz="4" w:space="0"/>
              <w:right w:val="single" w:color="auto" w:sz="4" w:space="0"/>
            </w:tcBorders>
            <w:noWrap/>
            <w:vAlign w:val="center"/>
            <w:hideMark/>
          </w:tcPr>
          <w:p w:rsidRPr="000221CE" w:rsidR="007253C8" w:rsidP="00301BD8" w:rsidRDefault="007253C8" w14:paraId="188DCC40" w14:textId="77777777">
            <w:pPr>
              <w:pStyle w:val="TableText"/>
            </w:pPr>
            <w:r w:rsidRPr="000221CE">
              <w:t xml:space="preserve">$4,194 </w:t>
            </w:r>
          </w:p>
        </w:tc>
        <w:tc>
          <w:tcPr>
            <w:tcW w:w="1860" w:type="dxa"/>
            <w:tcBorders>
              <w:top w:val="nil"/>
              <w:left w:val="nil"/>
              <w:bottom w:val="single" w:color="auto" w:sz="4" w:space="0"/>
              <w:right w:val="single" w:color="auto" w:sz="4" w:space="0"/>
            </w:tcBorders>
            <w:noWrap/>
            <w:vAlign w:val="center"/>
            <w:hideMark/>
          </w:tcPr>
          <w:p w:rsidRPr="000221CE" w:rsidR="007253C8" w:rsidP="00301BD8" w:rsidRDefault="007253C8" w14:paraId="12E17351" w14:textId="77777777">
            <w:pPr>
              <w:pStyle w:val="TableText"/>
            </w:pPr>
            <w:r w:rsidRPr="000221CE">
              <w:t xml:space="preserve">$5,558 </w:t>
            </w:r>
          </w:p>
        </w:tc>
        <w:tc>
          <w:tcPr>
            <w:tcW w:w="2554" w:type="dxa"/>
            <w:tcBorders>
              <w:top w:val="nil"/>
              <w:left w:val="nil"/>
              <w:bottom w:val="single" w:color="auto" w:sz="4" w:space="0"/>
              <w:right w:val="single" w:color="auto" w:sz="4" w:space="0"/>
            </w:tcBorders>
            <w:noWrap/>
            <w:vAlign w:val="center"/>
            <w:hideMark/>
          </w:tcPr>
          <w:p w:rsidRPr="000221CE" w:rsidR="007253C8" w:rsidP="00301BD8" w:rsidRDefault="007253C8" w14:paraId="6E11A983" w14:textId="77777777">
            <w:pPr>
              <w:pStyle w:val="TableText"/>
            </w:pPr>
            <w:r w:rsidRPr="000221CE">
              <w:t xml:space="preserve">$1,364 </w:t>
            </w:r>
          </w:p>
        </w:tc>
      </w:tr>
      <w:tr w:rsidRPr="000221CE" w:rsidR="007253C8" w:rsidTr="00301BD8" w14:paraId="7E806057" w14:textId="77777777">
        <w:trPr>
          <w:trHeight w:val="320"/>
        </w:trPr>
        <w:tc>
          <w:tcPr>
            <w:tcW w:w="749" w:type="dxa"/>
            <w:tcBorders>
              <w:top w:val="nil"/>
              <w:left w:val="single" w:color="auto" w:sz="4" w:space="0"/>
              <w:bottom w:val="single" w:color="auto" w:sz="4" w:space="0"/>
              <w:right w:val="single" w:color="auto" w:sz="4" w:space="0"/>
            </w:tcBorders>
            <w:noWrap/>
            <w:vAlign w:val="center"/>
            <w:hideMark/>
          </w:tcPr>
          <w:p w:rsidRPr="000221CE" w:rsidR="007253C8" w:rsidP="00301BD8" w:rsidRDefault="007253C8" w14:paraId="5A382F5F" w14:textId="77777777">
            <w:pPr>
              <w:pStyle w:val="TableText"/>
            </w:pPr>
            <w:r w:rsidRPr="000221CE">
              <w:t>2022</w:t>
            </w:r>
          </w:p>
        </w:tc>
        <w:tc>
          <w:tcPr>
            <w:tcW w:w="1821" w:type="dxa"/>
            <w:tcBorders>
              <w:top w:val="nil"/>
              <w:left w:val="nil"/>
              <w:bottom w:val="single" w:color="auto" w:sz="4" w:space="0"/>
              <w:right w:val="single" w:color="auto" w:sz="4" w:space="0"/>
            </w:tcBorders>
            <w:noWrap/>
            <w:vAlign w:val="center"/>
            <w:hideMark/>
          </w:tcPr>
          <w:p w:rsidRPr="000221CE" w:rsidR="007253C8" w:rsidP="00301BD8" w:rsidRDefault="007253C8" w14:paraId="387E386A" w14:textId="77777777">
            <w:pPr>
              <w:pStyle w:val="TableText"/>
            </w:pPr>
            <w:r w:rsidRPr="000221CE">
              <w:t>35,485</w:t>
            </w:r>
          </w:p>
        </w:tc>
        <w:tc>
          <w:tcPr>
            <w:tcW w:w="2497" w:type="dxa"/>
            <w:tcBorders>
              <w:top w:val="nil"/>
              <w:left w:val="nil"/>
              <w:bottom w:val="single" w:color="auto" w:sz="4" w:space="0"/>
              <w:right w:val="single" w:color="auto" w:sz="4" w:space="0"/>
            </w:tcBorders>
            <w:noWrap/>
            <w:vAlign w:val="center"/>
            <w:hideMark/>
          </w:tcPr>
          <w:p w:rsidRPr="000221CE" w:rsidR="007253C8" w:rsidP="00301BD8" w:rsidRDefault="007253C8" w14:paraId="5D46F95F" w14:textId="77777777">
            <w:pPr>
              <w:pStyle w:val="TableText"/>
            </w:pPr>
            <w:r w:rsidRPr="000221CE">
              <w:t xml:space="preserve">$4,277 </w:t>
            </w:r>
          </w:p>
        </w:tc>
        <w:tc>
          <w:tcPr>
            <w:tcW w:w="1860" w:type="dxa"/>
            <w:tcBorders>
              <w:top w:val="nil"/>
              <w:left w:val="nil"/>
              <w:bottom w:val="single" w:color="auto" w:sz="4" w:space="0"/>
              <w:right w:val="single" w:color="auto" w:sz="4" w:space="0"/>
            </w:tcBorders>
            <w:noWrap/>
            <w:vAlign w:val="center"/>
            <w:hideMark/>
          </w:tcPr>
          <w:p w:rsidRPr="000221CE" w:rsidR="007253C8" w:rsidP="00301BD8" w:rsidRDefault="007253C8" w14:paraId="06D99A91" w14:textId="77777777">
            <w:pPr>
              <w:pStyle w:val="TableText"/>
            </w:pPr>
            <w:r w:rsidRPr="000221CE">
              <w:t xml:space="preserve">$6,107 </w:t>
            </w:r>
          </w:p>
        </w:tc>
        <w:tc>
          <w:tcPr>
            <w:tcW w:w="2554" w:type="dxa"/>
            <w:tcBorders>
              <w:top w:val="nil"/>
              <w:left w:val="nil"/>
              <w:bottom w:val="single" w:color="auto" w:sz="4" w:space="0"/>
              <w:right w:val="single" w:color="auto" w:sz="4" w:space="0"/>
            </w:tcBorders>
            <w:noWrap/>
            <w:vAlign w:val="center"/>
            <w:hideMark/>
          </w:tcPr>
          <w:p w:rsidRPr="000221CE" w:rsidR="007253C8" w:rsidP="00301BD8" w:rsidRDefault="007253C8" w14:paraId="650B531D" w14:textId="77777777">
            <w:pPr>
              <w:pStyle w:val="TableText"/>
            </w:pPr>
            <w:r w:rsidRPr="000221CE">
              <w:t xml:space="preserve">$1,830 </w:t>
            </w:r>
          </w:p>
        </w:tc>
      </w:tr>
      <w:tr w:rsidRPr="000221CE" w:rsidR="007253C8" w:rsidTr="00301BD8" w14:paraId="7B074839" w14:textId="77777777">
        <w:trPr>
          <w:trHeight w:val="320"/>
        </w:trPr>
        <w:tc>
          <w:tcPr>
            <w:tcW w:w="749" w:type="dxa"/>
            <w:tcBorders>
              <w:top w:val="nil"/>
              <w:left w:val="single" w:color="auto" w:sz="4" w:space="0"/>
              <w:bottom w:val="single" w:color="auto" w:sz="4" w:space="0"/>
              <w:right w:val="single" w:color="auto" w:sz="4" w:space="0"/>
            </w:tcBorders>
            <w:noWrap/>
            <w:vAlign w:val="center"/>
            <w:hideMark/>
          </w:tcPr>
          <w:p w:rsidRPr="000221CE" w:rsidR="007253C8" w:rsidP="00301BD8" w:rsidRDefault="007253C8" w14:paraId="1DFCDD86" w14:textId="77777777">
            <w:pPr>
              <w:pStyle w:val="TableText"/>
            </w:pPr>
            <w:r w:rsidRPr="000221CE">
              <w:t>Total</w:t>
            </w:r>
          </w:p>
        </w:tc>
        <w:tc>
          <w:tcPr>
            <w:tcW w:w="1821" w:type="dxa"/>
            <w:tcBorders>
              <w:top w:val="nil"/>
              <w:left w:val="nil"/>
              <w:bottom w:val="single" w:color="auto" w:sz="4" w:space="0"/>
              <w:right w:val="single" w:color="auto" w:sz="4" w:space="0"/>
            </w:tcBorders>
            <w:noWrap/>
            <w:vAlign w:val="center"/>
            <w:hideMark/>
          </w:tcPr>
          <w:p w:rsidRPr="000221CE" w:rsidR="007253C8" w:rsidP="00301BD8" w:rsidRDefault="007253C8" w14:paraId="08CB1129" w14:textId="77777777">
            <w:pPr>
              <w:pStyle w:val="TableText"/>
            </w:pPr>
            <w:r w:rsidRPr="000221CE">
              <w:t>141,150</w:t>
            </w:r>
          </w:p>
        </w:tc>
        <w:tc>
          <w:tcPr>
            <w:tcW w:w="2497" w:type="dxa"/>
            <w:tcBorders>
              <w:top w:val="nil"/>
              <w:left w:val="nil"/>
              <w:bottom w:val="single" w:color="auto" w:sz="4" w:space="0"/>
              <w:right w:val="single" w:color="auto" w:sz="4" w:space="0"/>
            </w:tcBorders>
            <w:noWrap/>
            <w:vAlign w:val="center"/>
            <w:hideMark/>
          </w:tcPr>
          <w:p w:rsidRPr="000221CE" w:rsidR="007253C8" w:rsidP="00301BD8" w:rsidRDefault="007253C8" w14:paraId="715DFD33" w14:textId="77777777">
            <w:pPr>
              <w:pStyle w:val="TableText"/>
            </w:pPr>
            <w:r w:rsidRPr="000221CE">
              <w:t xml:space="preserve">$16,552 </w:t>
            </w:r>
          </w:p>
        </w:tc>
        <w:tc>
          <w:tcPr>
            <w:tcW w:w="1860" w:type="dxa"/>
            <w:tcBorders>
              <w:top w:val="nil"/>
              <w:left w:val="nil"/>
              <w:bottom w:val="single" w:color="auto" w:sz="4" w:space="0"/>
              <w:right w:val="single" w:color="auto" w:sz="4" w:space="0"/>
            </w:tcBorders>
            <w:noWrap/>
            <w:vAlign w:val="center"/>
            <w:hideMark/>
          </w:tcPr>
          <w:p w:rsidRPr="000221CE" w:rsidR="007253C8" w:rsidP="00301BD8" w:rsidRDefault="007253C8" w14:paraId="3DC78D48" w14:textId="77777777">
            <w:pPr>
              <w:pStyle w:val="TableText"/>
            </w:pPr>
            <w:r w:rsidRPr="000221CE">
              <w:t xml:space="preserve">$19,691 </w:t>
            </w:r>
          </w:p>
        </w:tc>
        <w:tc>
          <w:tcPr>
            <w:tcW w:w="2554" w:type="dxa"/>
            <w:tcBorders>
              <w:top w:val="nil"/>
              <w:left w:val="nil"/>
              <w:bottom w:val="single" w:color="auto" w:sz="4" w:space="0"/>
              <w:right w:val="single" w:color="auto" w:sz="4" w:space="0"/>
            </w:tcBorders>
            <w:noWrap/>
            <w:vAlign w:val="center"/>
            <w:hideMark/>
          </w:tcPr>
          <w:p w:rsidRPr="000221CE" w:rsidR="007253C8" w:rsidP="00301BD8" w:rsidRDefault="007253C8" w14:paraId="2B83D175" w14:textId="77777777">
            <w:pPr>
              <w:pStyle w:val="TableText"/>
            </w:pPr>
            <w:r w:rsidRPr="000221CE">
              <w:t xml:space="preserve">$3,139 </w:t>
            </w:r>
          </w:p>
        </w:tc>
      </w:tr>
    </w:tbl>
    <w:p w:rsidRPr="00AA2337" w:rsidR="007253C8" w:rsidP="007253C8" w:rsidRDefault="007253C8" w14:paraId="616AA0ED" w14:textId="77777777">
      <w:pPr>
        <w:pStyle w:val="Standard"/>
      </w:pPr>
    </w:p>
    <w:p w:rsidRPr="00B96055" w:rsidR="007253C8" w:rsidP="007253C8" w:rsidRDefault="007253C8" w14:paraId="52AC856E" w14:textId="469CBE35">
      <w:pPr>
        <w:pStyle w:val="Standard"/>
      </w:pPr>
      <w:r w:rsidRPr="00B96055">
        <w:t xml:space="preserve">In SDG&amp;E’s </w:t>
      </w:r>
      <w:r>
        <w:t>2019</w:t>
      </w:r>
      <w:r w:rsidRPr="00B96055">
        <w:t xml:space="preserve"> GRC,</w:t>
      </w:r>
      <w:r w:rsidRPr="00B96055">
        <w:rPr>
          <w:vertAlign w:val="superscript"/>
        </w:rPr>
        <w:footnoteReference w:id="260"/>
      </w:r>
      <w:r w:rsidRPr="00B96055">
        <w:t xml:space="preserve"> the Commission authorized $</w:t>
      </w:r>
      <w:r>
        <w:t>26.415</w:t>
      </w:r>
      <w:r w:rsidRPr="00B96055">
        <w:t xml:space="preserve"> million in Test Year 2019 for SDG&amp;E’s vegetation management program</w:t>
      </w:r>
      <w:r w:rsidR="005130B7">
        <w:t>,</w:t>
      </w:r>
      <w:r w:rsidRPr="00B96055">
        <w:t xml:space="preserve"> including pole brushing and tree trimming programs,</w:t>
      </w:r>
      <w:r w:rsidRPr="00B96055">
        <w:rPr>
          <w:vertAlign w:val="superscript"/>
        </w:rPr>
        <w:footnoteReference w:id="261"/>
      </w:r>
      <w:r w:rsidRPr="00B96055">
        <w:t xml:space="preserve"> and in </w:t>
      </w:r>
      <w:r>
        <w:t>Track 1 of this</w:t>
      </w:r>
      <w:r w:rsidRPr="00B96055">
        <w:t xml:space="preserve"> GRC, the </w:t>
      </w:r>
      <w:r w:rsidRPr="00B96055">
        <w:lastRenderedPageBreak/>
        <w:t xml:space="preserve">Commission </w:t>
      </w:r>
      <w:r>
        <w:t>a</w:t>
      </w:r>
      <w:r w:rsidRPr="00B96055">
        <w:t>uthorized $5.369 million in O&amp;M for pole brushing in Test Year 2024.</w:t>
      </w:r>
    </w:p>
    <w:p w:rsidR="007253C8" w:rsidP="007253C8" w:rsidRDefault="007253C8" w14:paraId="3F87A4ED" w14:textId="77777777">
      <w:pPr>
        <w:pStyle w:val="Standard"/>
      </w:pPr>
      <w:r>
        <w:t xml:space="preserve">Cal Advocates asserts that </w:t>
      </w:r>
      <w:r w:rsidRPr="00D37952">
        <w:t>SDG&amp;E requests $18.825 million in O&amp;M expenses for pole brushing activities. Cal Advocates contends</w:t>
      </w:r>
      <w:r>
        <w:t xml:space="preserve"> that SDG&amp;E </w:t>
      </w:r>
      <w:r w:rsidRPr="00D37952">
        <w:t xml:space="preserve">cannot </w:t>
      </w:r>
      <w:r>
        <w:t>obtain rate recovery for such activity because it is standard maintenance.</w:t>
      </w:r>
      <w:r>
        <w:rPr>
          <w:rStyle w:val="FootnoteReference"/>
        </w:rPr>
        <w:footnoteReference w:id="262"/>
      </w:r>
    </w:p>
    <w:p w:rsidR="007253C8" w:rsidP="007253C8" w:rsidRDefault="007253C8" w14:paraId="51CEFB60" w14:textId="41DAB217">
      <w:pPr>
        <w:pStyle w:val="Standard"/>
      </w:pPr>
      <w:r>
        <w:t>SDG&amp;E claims that Cal Advocates is incorrect for two reasons.</w:t>
      </w:r>
      <w:r>
        <w:rPr>
          <w:rStyle w:val="FootnoteReference"/>
        </w:rPr>
        <w:footnoteReference w:id="263"/>
      </w:r>
      <w:r>
        <w:t xml:space="preserve"> First, SDG&amp;E is authorized in Track 2 of this proceeding to seek recovery for wildfire mitigation costs booked in its W</w:t>
      </w:r>
      <w:r w:rsidR="006B3779">
        <w:t>MPMA</w:t>
      </w:r>
      <w:r>
        <w:t xml:space="preserve"> consistent with pertinent statutes</w:t>
      </w:r>
      <w:r>
        <w:rPr>
          <w:rStyle w:val="FootnoteReference"/>
        </w:rPr>
        <w:footnoteReference w:id="264"/>
      </w:r>
      <w:r>
        <w:t xml:space="preserve"> and SDG&amp;E’s Test Year 2019 GRC. Secondly, the amount SDG&amp;E request</w:t>
      </w:r>
      <w:r w:rsidR="006B3779">
        <w:t>s</w:t>
      </w:r>
      <w:r>
        <w:t xml:space="preserve"> is $3.139 million, not $18.825 million.</w:t>
      </w:r>
    </w:p>
    <w:p w:rsidR="007253C8" w:rsidP="007253C8" w:rsidRDefault="007253C8" w14:paraId="0C8E8591" w14:textId="0BF921D7">
      <w:pPr>
        <w:pStyle w:val="Standard"/>
        <w:rPr>
          <w:u w:val="single"/>
        </w:rPr>
      </w:pPr>
      <w:r>
        <w:t xml:space="preserve">SDG&amp;E requests $3.139 million as an incremental cost increase based on </w:t>
      </w:r>
      <w:r w:rsidR="007D0C17">
        <w:t xml:space="preserve">dramatic </w:t>
      </w:r>
      <w:r w:rsidRPr="00364A5F">
        <w:t>increases associated with contracted labor</w:t>
      </w:r>
      <w:r>
        <w:t xml:space="preserve"> </w:t>
      </w:r>
      <w:r w:rsidRPr="0045627E">
        <w:t>beginning in 2020 as a result of SB 247</w:t>
      </w:r>
      <w:r w:rsidR="007D0C17">
        <w:t>,</w:t>
      </w:r>
      <w:r w:rsidRPr="00D86802">
        <w:rPr>
          <w:vertAlign w:val="superscript"/>
        </w:rPr>
        <w:footnoteReference w:id="265"/>
      </w:r>
      <w:r w:rsidRPr="0045627E">
        <w:t xml:space="preserve"> which brought utility vegetation management (pole brushing and tree trimming) wages on par with utility apprentice line-workers.</w:t>
      </w:r>
      <w:r>
        <w:rPr>
          <w:rStyle w:val="FootnoteReference"/>
        </w:rPr>
        <w:footnoteReference w:id="266"/>
      </w:r>
      <w:r>
        <w:t xml:space="preserve"> </w:t>
      </w:r>
      <w:r w:rsidRPr="000221CE">
        <w:t>The Commission finds this request to be reasonable and approves the additional amount of $3.139 million (O&amp;M)</w:t>
      </w:r>
      <w:r>
        <w:t xml:space="preserve"> subject to direct cost reduction</w:t>
      </w:r>
      <w:r w:rsidR="00C758CA">
        <w:t>s in Section 13</w:t>
      </w:r>
      <w:r>
        <w:t xml:space="preserve"> (plus associated, adjusted indirect costs)</w:t>
      </w:r>
      <w:r w:rsidRPr="000221CE">
        <w:t>.</w:t>
      </w:r>
    </w:p>
    <w:p w:rsidRPr="00A9644D" w:rsidR="007253C8" w:rsidP="00645333" w:rsidRDefault="007253C8" w14:paraId="52A6D089" w14:textId="2382E5A1">
      <w:pPr>
        <w:pStyle w:val="Heading2"/>
      </w:pPr>
      <w:bookmarkStart w:name="_Toc213312290" w:id="77"/>
      <w:r w:rsidRPr="550177A5">
        <w:lastRenderedPageBreak/>
        <w:t>Fuels Management</w:t>
      </w:r>
      <w:bookmarkEnd w:id="77"/>
    </w:p>
    <w:p w:rsidRPr="00A9644D" w:rsidR="007253C8" w:rsidP="007253C8" w:rsidRDefault="007253C8" w14:paraId="649AEED6" w14:textId="77777777">
      <w:pPr>
        <w:pStyle w:val="Standard"/>
      </w:pPr>
      <w:r w:rsidRPr="00A9644D">
        <w:t xml:space="preserve">Fuels management includes the thinning of ground vegetation surrounding structures, including poles, located in HFTDs where the risk of ignition and propagation is present. Specifically, vegetation is thinned in a 50-foot radius from the outside circumference of the structures down to an approximate 30 percent vegetation cover where achievable. Structures that are subject to the pole clearing (brushing) requirements of PRC </w:t>
      </w:r>
      <w:r>
        <w:t xml:space="preserve">Section </w:t>
      </w:r>
      <w:r w:rsidRPr="00A9644D">
        <w:t xml:space="preserve">4292 are targeted for fuels activity treatment. </w:t>
      </w:r>
      <w:r>
        <w:t xml:space="preserve">This is </w:t>
      </w:r>
      <w:r w:rsidRPr="00640663">
        <w:t xml:space="preserve">a discretionary activity started by SDG&amp;E in 2019 </w:t>
      </w:r>
      <w:r>
        <w:t xml:space="preserve">that </w:t>
      </w:r>
      <w:r w:rsidRPr="00640663">
        <w:t>is not required by the PRC.</w:t>
      </w:r>
      <w:r w:rsidRPr="00640663">
        <w:rPr>
          <w:vertAlign w:val="superscript"/>
        </w:rPr>
        <w:footnoteReference w:id="267"/>
      </w:r>
    </w:p>
    <w:p w:rsidRPr="00A9644D" w:rsidR="007253C8" w:rsidP="007253C8" w:rsidRDefault="007253C8" w14:paraId="26C96421" w14:textId="77777777">
      <w:pPr>
        <w:pStyle w:val="Standard"/>
      </w:pPr>
      <w:r>
        <w:t xml:space="preserve">SDG&amp;E states that it </w:t>
      </w:r>
      <w:r w:rsidRPr="00A9644D">
        <w:t>prioritize</w:t>
      </w:r>
      <w:r>
        <w:t>s these structures</w:t>
      </w:r>
      <w:r w:rsidRPr="00A9644D">
        <w:t xml:space="preserve"> because the risk of ignition is relatively higher due to the presence of hardware that makes them subject to pole clearing.</w:t>
      </w:r>
      <w:r>
        <w:rPr>
          <w:rStyle w:val="FootnoteReference"/>
        </w:rPr>
        <w:footnoteReference w:id="268"/>
      </w:r>
      <w:r>
        <w:t xml:space="preserve"> However, for fuels management, </w:t>
      </w:r>
      <w:r w:rsidRPr="007E19A9">
        <w:t xml:space="preserve">SDG&amp;E </w:t>
      </w:r>
      <w:r>
        <w:t xml:space="preserve">provides </w:t>
      </w:r>
      <w:r w:rsidRPr="007E19A9">
        <w:t xml:space="preserve">no RSE </w:t>
      </w:r>
      <w:r>
        <w:t>or estimate of ignitions avoided as a measure of risk reduction</w:t>
      </w:r>
      <w:r w:rsidRPr="007E19A9">
        <w:t>.</w:t>
      </w:r>
    </w:p>
    <w:p w:rsidR="00FD0B48" w:rsidP="0037110F" w:rsidRDefault="007253C8" w14:paraId="3CB0C268" w14:textId="358C0E02">
      <w:pPr>
        <w:pStyle w:val="Standard"/>
      </w:pPr>
      <w:r>
        <w:t xml:space="preserve">The Commission authorized no funds for </w:t>
      </w:r>
      <w:r w:rsidR="00D85693">
        <w:t xml:space="preserve">fuels </w:t>
      </w:r>
      <w:r>
        <w:t xml:space="preserve">activity </w:t>
      </w:r>
      <w:r w:rsidR="00D85693">
        <w:t xml:space="preserve">treatment </w:t>
      </w:r>
      <w:r>
        <w:t>in the last GRC. For this activity during the 2019–2022 period, SDG&amp;E requests $22.442 million for clearing 1,787 poles at a unit cost of $12,558 per pole, which is almost 100times the unit cost for pole brushing.</w:t>
      </w:r>
      <w:r w:rsidR="00387F2D">
        <w:t xml:space="preserve"> </w:t>
      </w:r>
      <w:r w:rsidR="002C0017">
        <w:t xml:space="preserve">This decision finds </w:t>
      </w:r>
      <w:r>
        <w:t xml:space="preserve">SDG&amp;E’s request for recovery of its cost for fuels management to be unreasonable </w:t>
      </w:r>
      <w:r w:rsidR="00387F2D">
        <w:t xml:space="preserve">because </w:t>
      </w:r>
      <w:r w:rsidR="008D2389">
        <w:t>the high unit cost was not supported by a benefit in terms of risk reduction in addition to pole brushing</w:t>
      </w:r>
      <w:r w:rsidR="00386A86">
        <w:t>.</w:t>
      </w:r>
    </w:p>
    <w:p w:rsidR="00A42846" w:rsidP="00A42846" w:rsidRDefault="001E0ED2" w14:paraId="1086532D" w14:textId="095B5047">
      <w:pPr>
        <w:pStyle w:val="Standard"/>
      </w:pPr>
      <w:r>
        <w:t xml:space="preserve">In </w:t>
      </w:r>
      <w:r w:rsidR="00FE724F">
        <w:t xml:space="preserve">SDG&amp;E’s </w:t>
      </w:r>
      <w:r>
        <w:t>Opening Comments</w:t>
      </w:r>
      <w:r w:rsidR="00126B89">
        <w:t xml:space="preserve">, it </w:t>
      </w:r>
      <w:r w:rsidR="001E5D79">
        <w:t>states</w:t>
      </w:r>
      <w:r w:rsidR="00126B89">
        <w:t xml:space="preserve"> that the Proposed Decision’s disallowance for this cost </w:t>
      </w:r>
      <w:r w:rsidRPr="00126B89" w:rsidR="00126B89">
        <w:t>is contradicted by the Commission’s near full approval of the fuels management costs requested in SDG&amp;E’s TY 2024 GRC.</w:t>
      </w:r>
      <w:r w:rsidR="00FD0B48">
        <w:rPr>
          <w:rStyle w:val="FootnoteReference"/>
        </w:rPr>
        <w:footnoteReference w:id="269"/>
      </w:r>
      <w:r w:rsidR="00126B89">
        <w:t xml:space="preserve"> </w:t>
      </w:r>
      <w:r w:rsidR="001F6C09">
        <w:t xml:space="preserve">But </w:t>
      </w:r>
      <w:r w:rsidR="00FD0B48">
        <w:t xml:space="preserve">the </w:t>
      </w:r>
      <w:r w:rsidR="008434C1">
        <w:lastRenderedPageBreak/>
        <w:t xml:space="preserve">Track 1 </w:t>
      </w:r>
      <w:r w:rsidR="001F6C09">
        <w:t xml:space="preserve">authorization </w:t>
      </w:r>
      <w:r w:rsidR="00FD0B48">
        <w:t>reflects the difference in the types of review in which the GRC</w:t>
      </w:r>
      <w:r w:rsidR="00193B92">
        <w:t xml:space="preserve"> forecast is </w:t>
      </w:r>
      <w:r w:rsidR="00FD0B48">
        <w:t>based</w:t>
      </w:r>
      <w:r w:rsidR="002D2990">
        <w:t xml:space="preserve">. The GRC authorization was also based on different evidence, such as </w:t>
      </w:r>
      <w:r w:rsidR="00FD0B48">
        <w:t>estimated average</w:t>
      </w:r>
      <w:r w:rsidR="000B4088">
        <w:t>s</w:t>
      </w:r>
      <w:r w:rsidR="00FD0B48">
        <w:t>.</w:t>
      </w:r>
      <w:r w:rsidR="00FD0B48">
        <w:rPr>
          <w:rStyle w:val="FootnoteReference"/>
        </w:rPr>
        <w:footnoteReference w:id="270"/>
      </w:r>
      <w:r w:rsidR="00FD0B48">
        <w:t xml:space="preserve"> </w:t>
      </w:r>
    </w:p>
    <w:p w:rsidRPr="00386A86" w:rsidR="007253C8" w:rsidP="000B4088" w:rsidRDefault="001E5D79" w14:paraId="53823C25" w14:textId="2DA749B5">
      <w:pPr>
        <w:pStyle w:val="Standard"/>
      </w:pPr>
      <w:r>
        <w:t xml:space="preserve">SDG&amp;E also </w:t>
      </w:r>
      <w:r w:rsidR="00A42846">
        <w:t xml:space="preserve">provides </w:t>
      </w:r>
      <w:r>
        <w:t xml:space="preserve">information from its description of this activity from </w:t>
      </w:r>
      <w:r w:rsidR="00A42846">
        <w:t>SDG&amp;E’s 2022 WMP</w:t>
      </w:r>
      <w:r w:rsidR="00C02141">
        <w:t xml:space="preserve">, </w:t>
      </w:r>
      <w:r w:rsidR="00854FCB">
        <w:t xml:space="preserve">stating </w:t>
      </w:r>
      <w:r w:rsidR="00A42846">
        <w:t xml:space="preserve">that fuels management </w:t>
      </w:r>
      <w:r w:rsidRPr="00A42846" w:rsidR="00A42846">
        <w:t xml:space="preserve">is significantly more labor-intensive, requires larger crews, specialized equipment, and includes environmental mitigation measures and biomass disposal. </w:t>
      </w:r>
      <w:r w:rsidR="00A42846">
        <w:t>This supports the need to evaluate the reasonableness of this activity</w:t>
      </w:r>
      <w:r w:rsidR="005E0EDF">
        <w:t xml:space="preserve">’s costs, not to </w:t>
      </w:r>
      <w:r w:rsidR="00A42846">
        <w:t xml:space="preserve">approve this cost without </w:t>
      </w:r>
      <w:r w:rsidR="00AC3AB3">
        <w:t xml:space="preserve">any </w:t>
      </w:r>
      <w:r w:rsidR="00A42846">
        <w:t xml:space="preserve">such </w:t>
      </w:r>
      <w:r w:rsidR="00620861">
        <w:t xml:space="preserve">an </w:t>
      </w:r>
      <w:r w:rsidR="00A42846">
        <w:t>evaluation</w:t>
      </w:r>
      <w:r w:rsidR="00821A4D">
        <w:t xml:space="preserve">. </w:t>
      </w:r>
      <w:r w:rsidR="00CD041F">
        <w:t>Regardless of w</w:t>
      </w:r>
      <w:r w:rsidR="00821A4D">
        <w:t>hether cost-efficiency data was available during the 2019-2022 period, the Commission require</w:t>
      </w:r>
      <w:r w:rsidR="00620861">
        <w:t>s</w:t>
      </w:r>
      <w:r w:rsidR="00821A4D">
        <w:t xml:space="preserve"> SDG&amp;E to consider cost</w:t>
      </w:r>
      <w:r w:rsidR="0040061C">
        <w:t xml:space="preserve"> in some manner</w:t>
      </w:r>
      <w:r w:rsidR="00821A4D">
        <w:t>.</w:t>
      </w:r>
      <w:r w:rsidR="0040061C">
        <w:rPr>
          <w:rStyle w:val="CommentReference"/>
        </w:rPr>
        <w:t xml:space="preserve"> </w:t>
      </w:r>
      <w:r w:rsidRPr="00795730" w:rsidR="00485DBD">
        <w:t xml:space="preserve">In addition, SDG&amp;E does not demonstrate whether new employees were hired or whether existing resources were </w:t>
      </w:r>
      <w:r w:rsidR="00D851FD">
        <w:t>redeployed</w:t>
      </w:r>
      <w:r w:rsidR="00485DBD">
        <w:t>. SDG&amp;E requests recovery for over $22 million in costs, with only one page of support without discussion of costs in workpapers.</w:t>
      </w:r>
      <w:r w:rsidR="00485DBD">
        <w:rPr>
          <w:rStyle w:val="FootnoteReference"/>
        </w:rPr>
        <w:footnoteReference w:id="271"/>
      </w:r>
      <w:r w:rsidR="00485DBD">
        <w:t xml:space="preserve"> </w:t>
      </w:r>
    </w:p>
    <w:p w:rsidRPr="00B14EEB" w:rsidR="007253C8" w:rsidP="00645333" w:rsidRDefault="007253C8" w14:paraId="464A3267" w14:textId="6D9509AB">
      <w:pPr>
        <w:pStyle w:val="Heading2"/>
      </w:pPr>
      <w:bookmarkStart w:name="_Toc213312291" w:id="78"/>
      <w:r w:rsidRPr="00B14EEB">
        <w:t xml:space="preserve">LiDAR </w:t>
      </w:r>
      <w:r w:rsidRPr="009F3AAA">
        <w:t>Inspections</w:t>
      </w:r>
      <w:r w:rsidRPr="00B14EEB">
        <w:t xml:space="preserve"> of Vegetation around Distribution Infrastructure</w:t>
      </w:r>
      <w:bookmarkEnd w:id="78"/>
    </w:p>
    <w:p w:rsidR="007253C8" w:rsidP="007253C8" w:rsidRDefault="007253C8" w14:paraId="277C86E4" w14:textId="46C60DBE">
      <w:pPr>
        <w:pStyle w:val="Standard"/>
      </w:pPr>
      <w:r>
        <w:t>Light Detection and Ranging (</w:t>
      </w:r>
      <w:r w:rsidRPr="00B14EEB">
        <w:t>LiDAR</w:t>
      </w:r>
      <w:r>
        <w:t>)</w:t>
      </w:r>
      <w:r w:rsidRPr="00B14EEB">
        <w:t xml:space="preserve"> inspection </w:t>
      </w:r>
      <w:r>
        <w:t xml:space="preserve">is a remote sensing technology that uses laser beams to measure distances and movement within an environment. SDG&amp;E uses it to </w:t>
      </w:r>
      <w:r w:rsidRPr="00B14EEB">
        <w:t xml:space="preserve">supplement detailed ground-based inspections. In 2021 and 2022, </w:t>
      </w:r>
      <w:r>
        <w:t xml:space="preserve">SDG&amp;E used LiDAR data to perform risk analysis on selected </w:t>
      </w:r>
      <w:r w:rsidRPr="00B14EEB">
        <w:t xml:space="preserve">circuits within the </w:t>
      </w:r>
      <w:r>
        <w:t xml:space="preserve">entire </w:t>
      </w:r>
      <w:r w:rsidRPr="00B14EEB">
        <w:t xml:space="preserve">HFTD. </w:t>
      </w:r>
      <w:r>
        <w:t>T</w:t>
      </w:r>
      <w:r w:rsidRPr="00B14EEB">
        <w:t xml:space="preserve">his LiDAR data </w:t>
      </w:r>
      <w:r>
        <w:t>is</w:t>
      </w:r>
      <w:r w:rsidRPr="00B14EEB">
        <w:t xml:space="preserve"> </w:t>
      </w:r>
      <w:r>
        <w:t xml:space="preserve">used </w:t>
      </w:r>
      <w:r w:rsidRPr="00B14EEB">
        <w:t>to support pole loading calculations needed for system hardening projects</w:t>
      </w:r>
      <w:r>
        <w:t>,</w:t>
      </w:r>
      <w:r w:rsidRPr="00B14EEB">
        <w:t xml:space="preserve"> such as </w:t>
      </w:r>
      <w:r w:rsidR="00462A29">
        <w:t>Covered Conductor</w:t>
      </w:r>
      <w:r>
        <w:t xml:space="preserve">, </w:t>
      </w:r>
      <w:r w:rsidRPr="00B14EEB">
        <w:t>traditional overhead hardening</w:t>
      </w:r>
      <w:r>
        <w:t xml:space="preserve">, </w:t>
      </w:r>
      <w:r w:rsidRPr="00B14EEB">
        <w:t>and corrective work orders involving pole or crossarm replacements.</w:t>
      </w:r>
    </w:p>
    <w:p w:rsidR="007253C8" w:rsidP="007253C8" w:rsidRDefault="007253C8" w14:paraId="6F4F9AC3" w14:textId="7C4A8D65">
      <w:pPr>
        <w:pStyle w:val="Standard"/>
      </w:pPr>
      <w:r w:rsidRPr="00317C04">
        <w:lastRenderedPageBreak/>
        <w:t>SDG&amp;E was not authorized to incur costs for this activity in the last GRC (D.19-09-051) and requests recovery of $</w:t>
      </w:r>
      <w:r>
        <w:t>4</w:t>
      </w:r>
      <w:r w:rsidRPr="00317C04">
        <w:t>.</w:t>
      </w:r>
      <w:r>
        <w:t>1</w:t>
      </w:r>
      <w:r w:rsidRPr="00317C04">
        <w:t>5</w:t>
      </w:r>
      <w:r>
        <w:t>2</w:t>
      </w:r>
      <w:r w:rsidRPr="00317C04">
        <w:t xml:space="preserve"> </w:t>
      </w:r>
      <w:r>
        <w:t xml:space="preserve">million in O&amp;M expenses </w:t>
      </w:r>
      <w:r w:rsidRPr="00317C04">
        <w:t xml:space="preserve">for the </w:t>
      </w:r>
      <w:r>
        <w:t>2019–20</w:t>
      </w:r>
      <w:r w:rsidRPr="00317C04">
        <w:t>22 period.</w:t>
      </w:r>
      <w:r w:rsidRPr="00317C04">
        <w:rPr>
          <w:vertAlign w:val="superscript"/>
        </w:rPr>
        <w:footnoteReference w:id="272"/>
      </w:r>
      <w:r w:rsidR="005C4D8F">
        <w:t xml:space="preserve"> In its Opening Comments, SDG&amp;E bases this request on SDG&amp;E’s inclusion of its LiDAR work in </w:t>
      </w:r>
      <w:r w:rsidR="00D25A5B">
        <w:t xml:space="preserve">an </w:t>
      </w:r>
      <w:r w:rsidR="005C4D8F">
        <w:t xml:space="preserve">approved </w:t>
      </w:r>
      <w:r w:rsidR="00D25A5B">
        <w:t>WMP Update.</w:t>
      </w:r>
      <w:r w:rsidR="00FB61D9">
        <w:rPr>
          <w:rStyle w:val="FootnoteReference"/>
        </w:rPr>
        <w:footnoteReference w:id="273"/>
      </w:r>
    </w:p>
    <w:p w:rsidRPr="00417697" w:rsidR="00417697" w:rsidP="00417697" w:rsidRDefault="00417697" w14:paraId="2B22E436" w14:textId="77777777">
      <w:pPr>
        <w:pStyle w:val="Standard"/>
      </w:pPr>
      <w:r w:rsidRPr="00417697">
        <w:t>While the inclusion of an activity in an approved WMP is a pertinent consideration for determining cost recovery, we find that alone is insufficient because SDG&amp;E has not provided any other evidentiary support to justify the requested costs for this program. Although the Commission recognizes the potential benefits of using LiDAR, SDG&amp;E provides no justification for its cost, nor has SDG&amp;E  demonstrated how use of this technology is tied to reducing a specific risk driver and reducing ignitions, nor how the O&amp;M costs are incurred. In fact, SDG&amp;E acknowledges that “this initiative is not directly tied to reducing a specific risk driver and reducing ignitions.”</w:t>
      </w:r>
      <w:r w:rsidRPr="00417697">
        <w:rPr>
          <w:vertAlign w:val="superscript"/>
        </w:rPr>
        <w:footnoteReference w:id="274"/>
      </w:r>
      <w:r w:rsidRPr="00417697">
        <w:t xml:space="preserve"> More specifically, SDG&amp;E has not provided information regarding how personnel are employed in coordination with employees performing ground-based patrols and other inspections. Nor has SDG&amp;E shown how it coordinates work to avoid redundancies and to optimize cost-effectiveness. Nor does SDG&amp;E demonstrate whether new employees were hired or whether existing resources were used and replaced.</w:t>
      </w:r>
      <w:r w:rsidRPr="00417697">
        <w:rPr>
          <w:vertAlign w:val="superscript"/>
        </w:rPr>
        <w:footnoteReference w:id="275"/>
      </w:r>
      <w:r w:rsidRPr="00417697">
        <w:t xml:space="preserve"> SDG&amp;E has failed to meet its burden of proof that its cost recovery request is reasonable. As a result, the Commission finds this request to be unreasonable and denies it in this proceeding. None of the information regarding LiDAR inspections in SDG&amp;E’s testimony, workpapers, or WMPs support </w:t>
      </w:r>
      <w:r w:rsidRPr="00417697">
        <w:lastRenderedPageBreak/>
        <w:t>finding the cost to be reasonable. The extent of the Commission’s disallowance of the requested cost is dependent on the evidence of the cost submitted.</w:t>
      </w:r>
    </w:p>
    <w:p w:rsidR="007253C8" w:rsidP="00417697" w:rsidRDefault="00417697" w14:paraId="4D272117" w14:textId="3D35125E">
      <w:pPr>
        <w:pStyle w:val="Heading2"/>
      </w:pPr>
      <w:r>
        <w:t>Vegetation Restoration</w:t>
      </w:r>
    </w:p>
    <w:p w:rsidR="007253C8" w:rsidP="007253C8" w:rsidRDefault="007253C8" w14:paraId="712D4020" w14:textId="0E202E3E">
      <w:pPr>
        <w:pStyle w:val="Standard"/>
      </w:pPr>
      <w:r>
        <w:t xml:space="preserve">In response to customer requests, SDG&amp;E plants replacement trees </w:t>
      </w:r>
      <w:r w:rsidRPr="00E80E90">
        <w:t>that are compatible with powerlines and the local terrai</w:t>
      </w:r>
      <w:r>
        <w:t xml:space="preserve">n. </w:t>
      </w:r>
      <w:r w:rsidRPr="00545CE5">
        <w:t>The program mitigate</w:t>
      </w:r>
      <w:r>
        <w:t>s</w:t>
      </w:r>
      <w:r w:rsidRPr="00545CE5">
        <w:t xml:space="preserve"> tree removals focused in the HFTD through planting efforts that are largely </w:t>
      </w:r>
      <w:r>
        <w:t xml:space="preserve">oriented toward </w:t>
      </w:r>
      <w:r w:rsidRPr="00545CE5">
        <w:t>areas that are not prone to wildfire and outside the HFTD</w:t>
      </w:r>
      <w:r>
        <w:t>.</w:t>
      </w:r>
      <w:r w:rsidRPr="00545CE5">
        <w:t xml:space="preserve"> </w:t>
      </w:r>
      <w:r>
        <w:t xml:space="preserve">SDG&amp;E initiated this activity as part of the </w:t>
      </w:r>
      <w:r w:rsidRPr="00E80E90">
        <w:t>Right Tree Right Place program</w:t>
      </w:r>
      <w:r>
        <w:t xml:space="preserve"> as a customer service and to </w:t>
      </w:r>
      <w:r w:rsidRPr="00545CE5">
        <w:t>build resilience to climate impacts.</w:t>
      </w:r>
      <w:r>
        <w:t xml:space="preserve"> </w:t>
      </w:r>
      <w:r w:rsidRPr="0002159F">
        <w:t xml:space="preserve">SDG&amp;E </w:t>
      </w:r>
      <w:r>
        <w:t>was not authorized to incur costs for this activity in the last GRC and requests recovery of $1.265 million in O&amp;M expenses f</w:t>
      </w:r>
      <w:r w:rsidRPr="0002159F">
        <w:t>or the 2019</w:t>
      </w:r>
      <w:r>
        <w:t>–20</w:t>
      </w:r>
      <w:r w:rsidRPr="0002159F">
        <w:t>22 period.</w:t>
      </w:r>
      <w:r w:rsidRPr="0002159F">
        <w:rPr>
          <w:vertAlign w:val="superscript"/>
        </w:rPr>
        <w:footnoteReference w:id="276"/>
      </w:r>
    </w:p>
    <w:p w:rsidR="007253C8" w:rsidP="007253C8" w:rsidRDefault="007253C8" w14:paraId="7002047B" w14:textId="77777777">
      <w:pPr>
        <w:pStyle w:val="Standard"/>
      </w:pPr>
      <w:r>
        <w:t xml:space="preserve">Although the Commission recognizes the benefits of this program, this initiative is not part of any of SDG&amp;E’s WMPs, and it is not </w:t>
      </w:r>
      <w:r w:rsidRPr="0002159F">
        <w:t>tied to reducing a specific risk driver and reducing ignitions</w:t>
      </w:r>
      <w:r w:rsidRPr="00E80E90">
        <w:t>.</w:t>
      </w:r>
      <w:r w:rsidRPr="0002159F">
        <w:rPr>
          <w:vertAlign w:val="superscript"/>
        </w:rPr>
        <w:footnoteReference w:id="277"/>
      </w:r>
      <w:r>
        <w:t xml:space="preserve"> SDG&amp;E fails to meet its burden of proof that this cost is reasonably recoverable. </w:t>
      </w:r>
      <w:r w:rsidRPr="00D317C4">
        <w:t xml:space="preserve">As a result, the Commission </w:t>
      </w:r>
      <w:r>
        <w:t xml:space="preserve">finds this request to be unreasonable and </w:t>
      </w:r>
      <w:r w:rsidRPr="00D317C4">
        <w:t xml:space="preserve">denies </w:t>
      </w:r>
      <w:r>
        <w:t>it in this proceeding.</w:t>
      </w:r>
    </w:p>
    <w:p w:rsidR="007253C8" w:rsidP="00645333" w:rsidRDefault="007253C8" w14:paraId="1872E270" w14:textId="54E8DC81">
      <w:pPr>
        <w:pStyle w:val="Heading2"/>
        <w:rPr>
          <w:b w:val="0"/>
        </w:rPr>
      </w:pPr>
      <w:bookmarkStart w:name="_Toc213312293" w:id="79"/>
      <w:r w:rsidRPr="7B393814">
        <w:t xml:space="preserve">Cost Savings from </w:t>
      </w:r>
      <w:r w:rsidR="00462A29">
        <w:t>Strategic Undergrounding</w:t>
      </w:r>
      <w:bookmarkEnd w:id="79"/>
      <w:r w:rsidR="00462A29">
        <w:t xml:space="preserve"> </w:t>
      </w:r>
    </w:p>
    <w:p w:rsidR="007253C8" w:rsidP="007253C8" w:rsidRDefault="007253C8" w14:paraId="0A65B0FE" w14:textId="645547FE">
      <w:pPr>
        <w:pStyle w:val="Standard"/>
      </w:pPr>
      <w:r w:rsidRPr="00393E69">
        <w:t xml:space="preserve">Cal Advocates recommends </w:t>
      </w:r>
      <w:r w:rsidRPr="73E4AAD3">
        <w:t xml:space="preserve">reducing SDG&amp;E’s direct costs for WMP undergrounding completed between 2019 and 2022 by future savings associated with SDG&amp;E’s </w:t>
      </w:r>
      <w:r w:rsidR="00462A29">
        <w:t xml:space="preserve">Strategic Undergrounding </w:t>
      </w:r>
      <w:r w:rsidRPr="73E4AAD3">
        <w:t xml:space="preserve">Program, including the costs of </w:t>
      </w:r>
      <w:r w:rsidRPr="00A9644D">
        <w:t>PSPS, vegetation management, inspections, and pole replacements</w:t>
      </w:r>
      <w:r>
        <w:t xml:space="preserve">. Cal Advocates estimates these savings to be </w:t>
      </w:r>
      <w:r w:rsidRPr="00393E69">
        <w:t xml:space="preserve">$15.431 million </w:t>
      </w:r>
      <w:r>
        <w:t>for the five years from 2023 through 2027.</w:t>
      </w:r>
      <w:r>
        <w:rPr>
          <w:rStyle w:val="FootnoteReference"/>
        </w:rPr>
        <w:footnoteReference w:id="278"/>
      </w:r>
      <w:r w:rsidRPr="00A9644D">
        <w:t xml:space="preserve"> SDG&amp;E responds by arguing that it is not true that none of the savings </w:t>
      </w:r>
      <w:r w:rsidRPr="00A9644D">
        <w:lastRenderedPageBreak/>
        <w:t xml:space="preserve">are reflected in SDG&amp;E’s data and that, more importantly, Cal Advocates’ argument is appropriate for a forecasted request, not </w:t>
      </w:r>
      <w:r>
        <w:t>for recovery of incurred costs for the 2019–2022 period.</w:t>
      </w:r>
      <w:r>
        <w:rPr>
          <w:rStyle w:val="FootnoteReference"/>
        </w:rPr>
        <w:footnoteReference w:id="279"/>
      </w:r>
      <w:r>
        <w:rPr>
          <w:vertAlign w:val="superscript"/>
        </w:rPr>
        <w:t xml:space="preserve"> </w:t>
      </w:r>
      <w:r>
        <w:t>The Commission agrees that such savings should be reflected in forecasted requests and denies Cal Advocates’ requested adjustment.</w:t>
      </w:r>
    </w:p>
    <w:p w:rsidR="007253C8" w:rsidP="00DA1C84" w:rsidRDefault="007253C8" w14:paraId="7A43ACA1" w14:textId="0E5DF389">
      <w:pPr>
        <w:pStyle w:val="Heading1"/>
      </w:pPr>
      <w:bookmarkStart w:name="_Toc213312294" w:id="80"/>
      <w:bookmarkStart w:name="_Hlk196918349" w:id="81"/>
      <w:bookmarkEnd w:id="75"/>
      <w:r w:rsidRPr="009541D7">
        <w:t xml:space="preserve">Grid Operations &amp; </w:t>
      </w:r>
      <w:r w:rsidRPr="009F3AAA">
        <w:t>Operating</w:t>
      </w:r>
      <w:r w:rsidRPr="009541D7">
        <w:t xml:space="preserve"> Protocols (GO&amp;OP)</w:t>
      </w:r>
      <w:bookmarkEnd w:id="80"/>
    </w:p>
    <w:p w:rsidR="007253C8" w:rsidP="007253C8" w:rsidRDefault="007253C8" w14:paraId="11428AB6" w14:textId="77777777">
      <w:pPr>
        <w:pStyle w:val="Standard"/>
      </w:pPr>
      <w:r w:rsidRPr="550177A5">
        <w:t>SDG&amp;E’s grid operations and operating protocols consist of mitigations that reduce risk through changing the way SDG&amp;E operates during periods of elevated and extreme wildfire risk.</w:t>
      </w:r>
      <w:r w:rsidRPr="550177A5">
        <w:rPr>
          <w:rStyle w:val="FootnoteReference"/>
        </w:rPr>
        <w:footnoteReference w:id="280"/>
      </w:r>
      <w:r w:rsidRPr="550177A5">
        <w:t xml:space="preserve"> </w:t>
      </w:r>
      <w:r>
        <w:t>For this activity during the 2019–2022 period, SDG&amp;E requests recovery for costs in the two categories discussed below.</w:t>
      </w:r>
    </w:p>
    <w:p w:rsidRPr="00316906" w:rsidR="007253C8" w:rsidP="007253C8" w:rsidRDefault="007253C8" w14:paraId="40D02316" w14:textId="77777777">
      <w:pPr>
        <w:pStyle w:val="Standard"/>
        <w:ind w:firstLine="0"/>
        <w:jc w:val="center"/>
        <w:rPr>
          <w:rFonts w:ascii="Palatino Linotype" w:hAnsi="Palatino Linotype" w:eastAsia="Times New Roman"/>
          <w:b/>
          <w:bCs/>
          <w:color w:val="000000" w:themeColor="text1"/>
        </w:rPr>
      </w:pPr>
      <w:r w:rsidRPr="00316906">
        <w:rPr>
          <w:rFonts w:ascii="Palatino Linotype" w:hAnsi="Palatino Linotype" w:eastAsia="Times New Roman"/>
          <w:b/>
          <w:color w:val="000000" w:themeColor="text1"/>
        </w:rPr>
        <w:t>Table</w:t>
      </w:r>
      <w:r w:rsidRPr="00316906">
        <w:rPr>
          <w:rFonts w:ascii="Palatino Linotype" w:hAnsi="Palatino Linotype" w:eastAsia="Times New Roman"/>
          <w:b/>
          <w:bCs/>
          <w:color w:val="000000" w:themeColor="text1"/>
        </w:rPr>
        <w:t xml:space="preserve"> </w:t>
      </w:r>
      <w:r w:rsidRPr="1B48F33B">
        <w:rPr>
          <w:rFonts w:ascii="Palatino Linotype" w:hAnsi="Palatino Linotype" w:eastAsia="Times New Roman"/>
          <w:b/>
          <w:bCs/>
          <w:color w:val="000000" w:themeColor="text1"/>
        </w:rPr>
        <w:t>9</w:t>
      </w:r>
    </w:p>
    <w:p w:rsidRPr="00316906" w:rsidR="007253C8" w:rsidP="007253C8" w:rsidRDefault="007253C8" w14:paraId="0BDEDAF6" w14:textId="77777777">
      <w:pPr>
        <w:pStyle w:val="Standard"/>
        <w:ind w:firstLine="0"/>
        <w:jc w:val="center"/>
        <w:rPr>
          <w:rFonts w:ascii="Palatino Linotype" w:hAnsi="Palatino Linotype" w:eastAsia="Times New Roman"/>
          <w:b/>
          <w:color w:val="000000" w:themeColor="text1"/>
        </w:rPr>
      </w:pPr>
      <w:r w:rsidRPr="00316906">
        <w:rPr>
          <w:rFonts w:ascii="Palatino Linotype" w:hAnsi="Palatino Linotype" w:eastAsia="Times New Roman"/>
          <w:b/>
          <w:color w:val="000000" w:themeColor="text1"/>
        </w:rPr>
        <w:t>Grid Operations and Operating Protocols</w:t>
      </w:r>
    </w:p>
    <w:p w:rsidRPr="00316906" w:rsidR="007253C8" w:rsidP="007253C8" w:rsidRDefault="007253C8" w14:paraId="7F82CC48" w14:textId="77777777">
      <w:pPr>
        <w:pStyle w:val="Standard"/>
        <w:ind w:firstLine="0"/>
        <w:jc w:val="center"/>
        <w:rPr>
          <w:rFonts w:ascii="Palatino Linotype" w:hAnsi="Palatino Linotype" w:eastAsia="Times New Roman"/>
          <w:b/>
          <w:color w:val="000000" w:themeColor="text1"/>
        </w:rPr>
      </w:pPr>
      <w:r w:rsidRPr="61D4D11C">
        <w:rPr>
          <w:rFonts w:ascii="Palatino Linotype" w:hAnsi="Palatino Linotype" w:eastAsia="Times New Roman"/>
          <w:b/>
          <w:bCs/>
          <w:color w:val="000000" w:themeColor="text1"/>
        </w:rPr>
        <w:t>Authorizations and Costs 2019–2022 ($000)</w:t>
      </w:r>
      <w:r>
        <w:rPr>
          <w:rStyle w:val="FootnoteReference"/>
          <w:rFonts w:ascii="Palatino Linotype" w:hAnsi="Palatino Linotype" w:eastAsia="Times New Roman"/>
          <w:color w:val="000000" w:themeColor="text1"/>
        </w:rPr>
        <w:footnoteReference w:id="281"/>
      </w:r>
    </w:p>
    <w:tbl>
      <w:tblPr>
        <w:tblW w:w="10019" w:type="dxa"/>
        <w:tblLook w:val="04A0" w:firstRow="1" w:lastRow="0" w:firstColumn="1" w:lastColumn="0" w:noHBand="0" w:noVBand="1"/>
      </w:tblPr>
      <w:tblGrid>
        <w:gridCol w:w="2112"/>
        <w:gridCol w:w="1080"/>
        <w:gridCol w:w="1230"/>
        <w:gridCol w:w="1603"/>
        <w:gridCol w:w="1140"/>
        <w:gridCol w:w="1245"/>
        <w:gridCol w:w="1609"/>
      </w:tblGrid>
      <w:tr w:rsidRPr="00E62E79" w:rsidR="007253C8" w:rsidTr="00301BD8" w14:paraId="567EA8CB" w14:textId="77777777">
        <w:trPr>
          <w:trHeight w:val="680"/>
        </w:trPr>
        <w:tc>
          <w:tcPr>
            <w:tcW w:w="2112" w:type="dxa"/>
            <w:tcBorders>
              <w:top w:val="single" w:color="auto" w:sz="4" w:space="0"/>
              <w:left w:val="single" w:color="auto" w:sz="4" w:space="0"/>
              <w:bottom w:val="single" w:color="auto" w:sz="4" w:space="0"/>
              <w:right w:val="single" w:color="auto" w:sz="4" w:space="0"/>
            </w:tcBorders>
            <w:hideMark/>
          </w:tcPr>
          <w:p w:rsidRPr="00E62E79" w:rsidR="007253C8" w:rsidP="00301BD8" w:rsidRDefault="007253C8" w14:paraId="57E3D9D8" w14:textId="77777777">
            <w:pPr>
              <w:pStyle w:val="TableText"/>
            </w:pPr>
            <w:r w:rsidRPr="00E62E79">
              <w:t>Initiative</w:t>
            </w:r>
          </w:p>
        </w:tc>
        <w:tc>
          <w:tcPr>
            <w:tcW w:w="1080" w:type="dxa"/>
            <w:tcBorders>
              <w:top w:val="single" w:color="auto" w:sz="4" w:space="0"/>
              <w:left w:val="nil"/>
              <w:bottom w:val="single" w:color="auto" w:sz="4" w:space="0"/>
              <w:right w:val="single" w:color="auto" w:sz="4" w:space="0"/>
            </w:tcBorders>
            <w:hideMark/>
          </w:tcPr>
          <w:p w:rsidRPr="00E62E79" w:rsidR="007253C8" w:rsidP="00301BD8" w:rsidRDefault="007253C8" w14:paraId="5B291EB1" w14:textId="77777777">
            <w:pPr>
              <w:pStyle w:val="TableText"/>
            </w:pPr>
            <w:r w:rsidRPr="550177A5">
              <w:rPr>
                <w:color w:val="000000" w:themeColor="text1"/>
              </w:rPr>
              <w:t>Auth. Capital</w:t>
            </w:r>
          </w:p>
        </w:tc>
        <w:tc>
          <w:tcPr>
            <w:tcW w:w="1230" w:type="dxa"/>
            <w:tcBorders>
              <w:top w:val="single" w:color="auto" w:sz="4" w:space="0"/>
              <w:left w:val="nil"/>
              <w:bottom w:val="single" w:color="auto" w:sz="4" w:space="0"/>
              <w:right w:val="single" w:color="auto" w:sz="4" w:space="0"/>
            </w:tcBorders>
            <w:hideMark/>
          </w:tcPr>
          <w:p w:rsidRPr="00E62E79" w:rsidR="007253C8" w:rsidP="00301BD8" w:rsidRDefault="007253C8" w14:paraId="538B435E" w14:textId="77777777">
            <w:pPr>
              <w:pStyle w:val="TableText"/>
            </w:pPr>
            <w:r w:rsidRPr="00E62E79">
              <w:t>Actual Capital</w:t>
            </w:r>
          </w:p>
        </w:tc>
        <w:tc>
          <w:tcPr>
            <w:tcW w:w="1603" w:type="dxa"/>
            <w:tcBorders>
              <w:top w:val="single" w:color="auto" w:sz="4" w:space="0"/>
              <w:left w:val="single" w:color="auto" w:sz="4" w:space="0"/>
              <w:bottom w:val="single" w:color="auto" w:sz="4" w:space="0"/>
              <w:right w:val="nil"/>
            </w:tcBorders>
            <w:hideMark/>
          </w:tcPr>
          <w:p w:rsidRPr="00E62E79" w:rsidR="007253C8" w:rsidP="00301BD8" w:rsidRDefault="007253C8" w14:paraId="20A4498A" w14:textId="77777777">
            <w:pPr>
              <w:pStyle w:val="TableText"/>
            </w:pPr>
            <w:r w:rsidRPr="00E62E79">
              <w:t>Differential Capital</w:t>
            </w:r>
          </w:p>
        </w:tc>
        <w:tc>
          <w:tcPr>
            <w:tcW w:w="1140" w:type="dxa"/>
            <w:tcBorders>
              <w:top w:val="single" w:color="auto" w:sz="4" w:space="0"/>
              <w:left w:val="double" w:color="auto" w:sz="6" w:space="0"/>
              <w:bottom w:val="single" w:color="auto" w:sz="4" w:space="0"/>
              <w:right w:val="single" w:color="auto" w:sz="4" w:space="0"/>
            </w:tcBorders>
            <w:hideMark/>
          </w:tcPr>
          <w:p w:rsidRPr="00E62E79" w:rsidR="007253C8" w:rsidP="00301BD8" w:rsidRDefault="007253C8" w14:paraId="59A5E52F" w14:textId="77777777">
            <w:pPr>
              <w:pStyle w:val="TableText"/>
            </w:pPr>
            <w:r w:rsidRPr="550177A5">
              <w:rPr>
                <w:color w:val="000000" w:themeColor="text1"/>
              </w:rPr>
              <w:t>Auth. O&amp;M</w:t>
            </w:r>
          </w:p>
        </w:tc>
        <w:tc>
          <w:tcPr>
            <w:tcW w:w="1245" w:type="dxa"/>
            <w:tcBorders>
              <w:top w:val="single" w:color="auto" w:sz="4" w:space="0"/>
              <w:left w:val="nil"/>
              <w:bottom w:val="single" w:color="auto" w:sz="4" w:space="0"/>
              <w:right w:val="single" w:color="auto" w:sz="4" w:space="0"/>
            </w:tcBorders>
            <w:hideMark/>
          </w:tcPr>
          <w:p w:rsidRPr="00E62E79" w:rsidR="007253C8" w:rsidP="00301BD8" w:rsidRDefault="007253C8" w14:paraId="4C5622CD" w14:textId="77777777">
            <w:pPr>
              <w:pStyle w:val="TableText"/>
            </w:pPr>
            <w:r w:rsidRPr="00E62E79">
              <w:t>Actual O&amp;M</w:t>
            </w:r>
          </w:p>
        </w:tc>
        <w:tc>
          <w:tcPr>
            <w:tcW w:w="1609" w:type="dxa"/>
            <w:tcBorders>
              <w:top w:val="single" w:color="auto" w:sz="4" w:space="0"/>
              <w:left w:val="nil"/>
              <w:bottom w:val="single" w:color="auto" w:sz="4" w:space="0"/>
              <w:right w:val="single" w:color="auto" w:sz="4" w:space="0"/>
            </w:tcBorders>
            <w:hideMark/>
          </w:tcPr>
          <w:p w:rsidRPr="00E62E79" w:rsidR="007253C8" w:rsidP="00301BD8" w:rsidRDefault="007253C8" w14:paraId="1F81ED70" w14:textId="77777777">
            <w:pPr>
              <w:pStyle w:val="TableText"/>
            </w:pPr>
            <w:r w:rsidRPr="00E62E79">
              <w:t>Differential O&amp;M</w:t>
            </w:r>
          </w:p>
        </w:tc>
      </w:tr>
      <w:tr w:rsidRPr="00E62E79" w:rsidR="007253C8" w:rsidTr="00301BD8" w14:paraId="022F32E0" w14:textId="77777777">
        <w:trPr>
          <w:trHeight w:val="1360"/>
        </w:trPr>
        <w:tc>
          <w:tcPr>
            <w:tcW w:w="2112" w:type="dxa"/>
            <w:tcBorders>
              <w:top w:val="nil"/>
              <w:left w:val="single" w:color="auto" w:sz="4" w:space="0"/>
              <w:bottom w:val="single" w:color="auto" w:sz="4" w:space="0"/>
              <w:right w:val="single" w:color="auto" w:sz="4" w:space="0"/>
            </w:tcBorders>
            <w:hideMark/>
          </w:tcPr>
          <w:p w:rsidRPr="00E62E79" w:rsidR="007253C8" w:rsidP="00301BD8" w:rsidRDefault="007253C8" w14:paraId="541E5C0C" w14:textId="77777777">
            <w:pPr>
              <w:pStyle w:val="TableText"/>
            </w:pPr>
            <w:r w:rsidRPr="00E62E79">
              <w:t>Personnel Work Procedures and Training in Conditions of</w:t>
            </w:r>
            <w:r w:rsidRPr="00E62E79">
              <w:br/>
              <w:t>Elevated Fire Risk</w:t>
            </w:r>
          </w:p>
        </w:tc>
        <w:tc>
          <w:tcPr>
            <w:tcW w:w="1080" w:type="dxa"/>
            <w:tcBorders>
              <w:top w:val="nil"/>
              <w:left w:val="nil"/>
              <w:bottom w:val="single" w:color="auto" w:sz="4" w:space="0"/>
              <w:right w:val="single" w:color="auto" w:sz="4" w:space="0"/>
            </w:tcBorders>
            <w:noWrap/>
            <w:hideMark/>
          </w:tcPr>
          <w:p w:rsidRPr="00E62E79" w:rsidR="007253C8" w:rsidP="00301BD8" w:rsidRDefault="007253C8" w14:paraId="2BBE0C35" w14:textId="77777777">
            <w:pPr>
              <w:pStyle w:val="TableText"/>
            </w:pPr>
            <w:r w:rsidRPr="00E62E79">
              <w:t>-</w:t>
            </w:r>
          </w:p>
        </w:tc>
        <w:tc>
          <w:tcPr>
            <w:tcW w:w="1230" w:type="dxa"/>
            <w:tcBorders>
              <w:top w:val="nil"/>
              <w:left w:val="nil"/>
              <w:bottom w:val="single" w:color="auto" w:sz="4" w:space="0"/>
              <w:right w:val="single" w:color="auto" w:sz="4" w:space="0"/>
            </w:tcBorders>
            <w:noWrap/>
            <w:hideMark/>
          </w:tcPr>
          <w:p w:rsidRPr="00E62E79" w:rsidR="007253C8" w:rsidP="00301BD8" w:rsidRDefault="007253C8" w14:paraId="34E70A8C" w14:textId="77777777">
            <w:pPr>
              <w:pStyle w:val="TableText"/>
            </w:pPr>
            <w:r w:rsidRPr="00E62E79">
              <w:t>$851</w:t>
            </w:r>
          </w:p>
        </w:tc>
        <w:tc>
          <w:tcPr>
            <w:tcW w:w="1603" w:type="dxa"/>
            <w:tcBorders>
              <w:top w:val="nil"/>
              <w:left w:val="single" w:color="auto" w:sz="4" w:space="0"/>
              <w:bottom w:val="single" w:color="auto" w:sz="4" w:space="0"/>
              <w:right w:val="nil"/>
            </w:tcBorders>
            <w:noWrap/>
            <w:hideMark/>
          </w:tcPr>
          <w:p w:rsidRPr="00E62E79" w:rsidR="007253C8" w:rsidP="00301BD8" w:rsidRDefault="007253C8" w14:paraId="1E8C66AB" w14:textId="77777777">
            <w:pPr>
              <w:pStyle w:val="TableText"/>
            </w:pPr>
            <w:r w:rsidRPr="00E62E79">
              <w:t>$851</w:t>
            </w:r>
          </w:p>
        </w:tc>
        <w:tc>
          <w:tcPr>
            <w:tcW w:w="1140" w:type="dxa"/>
            <w:tcBorders>
              <w:top w:val="nil"/>
              <w:left w:val="double" w:color="auto" w:sz="6" w:space="0"/>
              <w:bottom w:val="single" w:color="auto" w:sz="4" w:space="0"/>
              <w:right w:val="single" w:color="auto" w:sz="4" w:space="0"/>
            </w:tcBorders>
            <w:noWrap/>
            <w:hideMark/>
          </w:tcPr>
          <w:p w:rsidRPr="00E62E79" w:rsidR="007253C8" w:rsidP="00301BD8" w:rsidRDefault="007253C8" w14:paraId="0B4B5E61" w14:textId="77777777">
            <w:pPr>
              <w:pStyle w:val="TableText"/>
            </w:pPr>
            <w:r w:rsidRPr="00E62E79">
              <w:t>$9,648</w:t>
            </w:r>
          </w:p>
        </w:tc>
        <w:tc>
          <w:tcPr>
            <w:tcW w:w="1245" w:type="dxa"/>
            <w:tcBorders>
              <w:top w:val="nil"/>
              <w:left w:val="nil"/>
              <w:bottom w:val="single" w:color="auto" w:sz="4" w:space="0"/>
              <w:right w:val="single" w:color="auto" w:sz="4" w:space="0"/>
            </w:tcBorders>
            <w:noWrap/>
            <w:hideMark/>
          </w:tcPr>
          <w:p w:rsidRPr="00E62E79" w:rsidR="007253C8" w:rsidP="00301BD8" w:rsidRDefault="007253C8" w14:paraId="657061D0" w14:textId="77777777">
            <w:pPr>
              <w:pStyle w:val="TableText"/>
            </w:pPr>
            <w:r w:rsidRPr="00E62E79">
              <w:t>$10,527</w:t>
            </w:r>
          </w:p>
        </w:tc>
        <w:tc>
          <w:tcPr>
            <w:tcW w:w="1609" w:type="dxa"/>
            <w:tcBorders>
              <w:top w:val="nil"/>
              <w:left w:val="nil"/>
              <w:bottom w:val="single" w:color="auto" w:sz="4" w:space="0"/>
              <w:right w:val="single" w:color="auto" w:sz="4" w:space="0"/>
            </w:tcBorders>
            <w:noWrap/>
            <w:hideMark/>
          </w:tcPr>
          <w:p w:rsidRPr="00E62E79" w:rsidR="007253C8" w:rsidP="00301BD8" w:rsidRDefault="007253C8" w14:paraId="236559B5" w14:textId="77777777">
            <w:pPr>
              <w:pStyle w:val="TableText"/>
            </w:pPr>
            <w:r w:rsidRPr="00E62E79">
              <w:t>$878</w:t>
            </w:r>
          </w:p>
        </w:tc>
      </w:tr>
      <w:tr w:rsidRPr="00E62E79" w:rsidR="007253C8" w:rsidTr="00301BD8" w14:paraId="0F518D1A" w14:textId="77777777">
        <w:trPr>
          <w:trHeight w:val="680"/>
        </w:trPr>
        <w:tc>
          <w:tcPr>
            <w:tcW w:w="2112" w:type="dxa"/>
            <w:tcBorders>
              <w:top w:val="nil"/>
              <w:left w:val="single" w:color="auto" w:sz="4" w:space="0"/>
              <w:bottom w:val="single" w:color="auto" w:sz="4" w:space="0"/>
              <w:right w:val="single" w:color="auto" w:sz="4" w:space="0"/>
            </w:tcBorders>
            <w:hideMark/>
          </w:tcPr>
          <w:p w:rsidRPr="00E62E79" w:rsidR="007253C8" w:rsidP="00301BD8" w:rsidRDefault="007253C8" w14:paraId="67BF5EBD" w14:textId="77777777">
            <w:pPr>
              <w:pStyle w:val="TableText"/>
            </w:pPr>
            <w:r w:rsidRPr="00E62E79">
              <w:t>Aviation Firefighting</w:t>
            </w:r>
            <w:r w:rsidRPr="00E62E79">
              <w:br/>
              <w:t>Program</w:t>
            </w:r>
          </w:p>
        </w:tc>
        <w:tc>
          <w:tcPr>
            <w:tcW w:w="1080" w:type="dxa"/>
            <w:tcBorders>
              <w:top w:val="nil"/>
              <w:left w:val="nil"/>
              <w:bottom w:val="single" w:color="auto" w:sz="4" w:space="0"/>
              <w:right w:val="single" w:color="auto" w:sz="4" w:space="0"/>
            </w:tcBorders>
            <w:noWrap/>
            <w:hideMark/>
          </w:tcPr>
          <w:p w:rsidRPr="00E62E79" w:rsidR="007253C8" w:rsidP="00301BD8" w:rsidRDefault="007253C8" w14:paraId="33A26EAD" w14:textId="77777777">
            <w:pPr>
              <w:pStyle w:val="TableText"/>
            </w:pPr>
            <w:r w:rsidRPr="00E62E79">
              <w:t>-</w:t>
            </w:r>
          </w:p>
        </w:tc>
        <w:tc>
          <w:tcPr>
            <w:tcW w:w="1230" w:type="dxa"/>
            <w:tcBorders>
              <w:top w:val="nil"/>
              <w:left w:val="nil"/>
              <w:bottom w:val="single" w:color="auto" w:sz="4" w:space="0"/>
              <w:right w:val="single" w:color="auto" w:sz="4" w:space="0"/>
            </w:tcBorders>
            <w:noWrap/>
            <w:hideMark/>
          </w:tcPr>
          <w:p w:rsidRPr="00E62E79" w:rsidR="007253C8" w:rsidP="00301BD8" w:rsidRDefault="007253C8" w14:paraId="797CB08C" w14:textId="77777777">
            <w:pPr>
              <w:pStyle w:val="TableText"/>
            </w:pPr>
            <w:r w:rsidRPr="00E62E79">
              <w:t>$32,601</w:t>
            </w:r>
          </w:p>
        </w:tc>
        <w:tc>
          <w:tcPr>
            <w:tcW w:w="1603" w:type="dxa"/>
            <w:tcBorders>
              <w:top w:val="nil"/>
              <w:left w:val="single" w:color="auto" w:sz="4" w:space="0"/>
              <w:bottom w:val="single" w:color="auto" w:sz="4" w:space="0"/>
              <w:right w:val="nil"/>
            </w:tcBorders>
            <w:noWrap/>
            <w:hideMark/>
          </w:tcPr>
          <w:p w:rsidRPr="00E62E79" w:rsidR="007253C8" w:rsidP="00301BD8" w:rsidRDefault="007253C8" w14:paraId="3F8DD28F" w14:textId="77777777">
            <w:pPr>
              <w:pStyle w:val="TableText"/>
            </w:pPr>
            <w:r w:rsidRPr="00E62E79">
              <w:t>$32,601</w:t>
            </w:r>
          </w:p>
        </w:tc>
        <w:tc>
          <w:tcPr>
            <w:tcW w:w="1140" w:type="dxa"/>
            <w:tcBorders>
              <w:top w:val="nil"/>
              <w:left w:val="double" w:color="auto" w:sz="6" w:space="0"/>
              <w:bottom w:val="single" w:color="auto" w:sz="4" w:space="0"/>
              <w:right w:val="single" w:color="auto" w:sz="4" w:space="0"/>
            </w:tcBorders>
            <w:noWrap/>
            <w:hideMark/>
          </w:tcPr>
          <w:p w:rsidRPr="00E62E79" w:rsidR="007253C8" w:rsidP="00301BD8" w:rsidRDefault="007253C8" w14:paraId="3ED3A0C6" w14:textId="77777777">
            <w:pPr>
              <w:pStyle w:val="TableText"/>
            </w:pPr>
            <w:r w:rsidRPr="00E62E79">
              <w:t>$26,529</w:t>
            </w:r>
          </w:p>
        </w:tc>
        <w:tc>
          <w:tcPr>
            <w:tcW w:w="1245" w:type="dxa"/>
            <w:tcBorders>
              <w:top w:val="nil"/>
              <w:left w:val="nil"/>
              <w:bottom w:val="single" w:color="auto" w:sz="4" w:space="0"/>
              <w:right w:val="single" w:color="auto" w:sz="4" w:space="0"/>
            </w:tcBorders>
            <w:noWrap/>
            <w:hideMark/>
          </w:tcPr>
          <w:p w:rsidRPr="00E62E79" w:rsidR="007253C8" w:rsidP="00301BD8" w:rsidRDefault="007253C8" w14:paraId="57CBAA30" w14:textId="77777777">
            <w:pPr>
              <w:pStyle w:val="TableText"/>
            </w:pPr>
            <w:r w:rsidRPr="00E62E79">
              <w:t>$24,853</w:t>
            </w:r>
          </w:p>
        </w:tc>
        <w:tc>
          <w:tcPr>
            <w:tcW w:w="1609" w:type="dxa"/>
            <w:tcBorders>
              <w:top w:val="nil"/>
              <w:left w:val="nil"/>
              <w:bottom w:val="single" w:color="auto" w:sz="4" w:space="0"/>
              <w:right w:val="single" w:color="auto" w:sz="4" w:space="0"/>
            </w:tcBorders>
            <w:noWrap/>
            <w:hideMark/>
          </w:tcPr>
          <w:p w:rsidRPr="00E62E79" w:rsidR="007253C8" w:rsidP="00301BD8" w:rsidRDefault="007253C8" w14:paraId="3B4CE09C" w14:textId="77777777">
            <w:pPr>
              <w:pStyle w:val="TableText"/>
            </w:pPr>
            <w:r w:rsidRPr="00E62E79">
              <w:t>-$1,675</w:t>
            </w:r>
          </w:p>
        </w:tc>
      </w:tr>
      <w:tr w:rsidRPr="00E62E79" w:rsidR="007253C8" w:rsidTr="00301BD8" w14:paraId="7651CAFF" w14:textId="77777777">
        <w:trPr>
          <w:trHeight w:val="320"/>
        </w:trPr>
        <w:tc>
          <w:tcPr>
            <w:tcW w:w="2112" w:type="dxa"/>
            <w:tcBorders>
              <w:top w:val="nil"/>
              <w:left w:val="single" w:color="auto" w:sz="4" w:space="0"/>
              <w:bottom w:val="single" w:color="auto" w:sz="4" w:space="0"/>
              <w:right w:val="single" w:color="auto" w:sz="4" w:space="0"/>
            </w:tcBorders>
            <w:noWrap/>
            <w:hideMark/>
          </w:tcPr>
          <w:p w:rsidRPr="00E62E79" w:rsidR="007253C8" w:rsidP="00301BD8" w:rsidRDefault="007253C8" w14:paraId="469EDC69" w14:textId="77777777">
            <w:pPr>
              <w:pStyle w:val="TableText"/>
              <w:rPr>
                <w:i/>
              </w:rPr>
            </w:pPr>
            <w:r w:rsidRPr="5CB164AA">
              <w:rPr>
                <w:i/>
                <w:iCs/>
              </w:rPr>
              <w:t>Total</w:t>
            </w:r>
          </w:p>
        </w:tc>
        <w:tc>
          <w:tcPr>
            <w:tcW w:w="1080" w:type="dxa"/>
            <w:tcBorders>
              <w:top w:val="nil"/>
              <w:left w:val="nil"/>
              <w:bottom w:val="single" w:color="auto" w:sz="4" w:space="0"/>
              <w:right w:val="single" w:color="auto" w:sz="4" w:space="0"/>
            </w:tcBorders>
            <w:noWrap/>
            <w:hideMark/>
          </w:tcPr>
          <w:p w:rsidRPr="00E62E79" w:rsidR="007253C8" w:rsidP="00301BD8" w:rsidRDefault="007253C8" w14:paraId="577A8A4D" w14:textId="77777777">
            <w:pPr>
              <w:pStyle w:val="TableText"/>
            </w:pPr>
            <w:r w:rsidRPr="00E62E79">
              <w:t>-</w:t>
            </w:r>
          </w:p>
        </w:tc>
        <w:tc>
          <w:tcPr>
            <w:tcW w:w="1230" w:type="dxa"/>
            <w:tcBorders>
              <w:top w:val="nil"/>
              <w:left w:val="nil"/>
              <w:bottom w:val="single" w:color="auto" w:sz="4" w:space="0"/>
              <w:right w:val="single" w:color="auto" w:sz="4" w:space="0"/>
            </w:tcBorders>
            <w:noWrap/>
            <w:hideMark/>
          </w:tcPr>
          <w:p w:rsidRPr="00E62E79" w:rsidR="007253C8" w:rsidP="00301BD8" w:rsidRDefault="007253C8" w14:paraId="131883DE" w14:textId="77777777">
            <w:pPr>
              <w:pStyle w:val="TableText"/>
              <w:rPr>
                <w:i/>
              </w:rPr>
            </w:pPr>
            <w:r w:rsidRPr="00E62E79">
              <w:rPr>
                <w:i/>
              </w:rPr>
              <w:t>$33,452</w:t>
            </w:r>
          </w:p>
        </w:tc>
        <w:tc>
          <w:tcPr>
            <w:tcW w:w="1603" w:type="dxa"/>
            <w:tcBorders>
              <w:top w:val="nil"/>
              <w:left w:val="single" w:color="auto" w:sz="4" w:space="0"/>
              <w:bottom w:val="single" w:color="auto" w:sz="4" w:space="0"/>
              <w:right w:val="nil"/>
            </w:tcBorders>
            <w:noWrap/>
            <w:hideMark/>
          </w:tcPr>
          <w:p w:rsidRPr="00E62E79" w:rsidR="007253C8" w:rsidP="00301BD8" w:rsidRDefault="007253C8" w14:paraId="2E879199" w14:textId="60C7DA63">
            <w:pPr>
              <w:pStyle w:val="TableText"/>
              <w:rPr>
                <w:i/>
              </w:rPr>
            </w:pPr>
            <w:r w:rsidRPr="00E62E79">
              <w:rPr>
                <w:i/>
              </w:rPr>
              <w:t>$33,452</w:t>
            </w:r>
          </w:p>
        </w:tc>
        <w:tc>
          <w:tcPr>
            <w:tcW w:w="1140" w:type="dxa"/>
            <w:tcBorders>
              <w:top w:val="nil"/>
              <w:left w:val="double" w:color="auto" w:sz="6" w:space="0"/>
              <w:bottom w:val="single" w:color="auto" w:sz="4" w:space="0"/>
              <w:right w:val="single" w:color="auto" w:sz="4" w:space="0"/>
            </w:tcBorders>
            <w:noWrap/>
            <w:hideMark/>
          </w:tcPr>
          <w:p w:rsidRPr="00E62E79" w:rsidR="007253C8" w:rsidP="00301BD8" w:rsidRDefault="007253C8" w14:paraId="21E96C08" w14:textId="77777777">
            <w:pPr>
              <w:pStyle w:val="TableText"/>
              <w:rPr>
                <w:i/>
              </w:rPr>
            </w:pPr>
            <w:r w:rsidRPr="00E62E79">
              <w:rPr>
                <w:i/>
              </w:rPr>
              <w:t>$36,177</w:t>
            </w:r>
          </w:p>
        </w:tc>
        <w:tc>
          <w:tcPr>
            <w:tcW w:w="1245" w:type="dxa"/>
            <w:tcBorders>
              <w:top w:val="nil"/>
              <w:left w:val="nil"/>
              <w:bottom w:val="single" w:color="auto" w:sz="4" w:space="0"/>
              <w:right w:val="single" w:color="auto" w:sz="4" w:space="0"/>
            </w:tcBorders>
            <w:noWrap/>
            <w:hideMark/>
          </w:tcPr>
          <w:p w:rsidRPr="00E62E79" w:rsidR="007253C8" w:rsidP="00301BD8" w:rsidRDefault="007253C8" w14:paraId="12E23365" w14:textId="77777777">
            <w:pPr>
              <w:pStyle w:val="TableText"/>
              <w:rPr>
                <w:i/>
              </w:rPr>
            </w:pPr>
            <w:r w:rsidRPr="00E62E79">
              <w:rPr>
                <w:i/>
              </w:rPr>
              <w:t>$35,380</w:t>
            </w:r>
          </w:p>
        </w:tc>
        <w:tc>
          <w:tcPr>
            <w:tcW w:w="1609" w:type="dxa"/>
            <w:tcBorders>
              <w:top w:val="nil"/>
              <w:left w:val="nil"/>
              <w:bottom w:val="single" w:color="auto" w:sz="4" w:space="0"/>
              <w:right w:val="single" w:color="auto" w:sz="4" w:space="0"/>
            </w:tcBorders>
            <w:noWrap/>
            <w:hideMark/>
          </w:tcPr>
          <w:p w:rsidRPr="00E62E79" w:rsidR="007253C8" w:rsidP="00301BD8" w:rsidRDefault="007253C8" w14:paraId="0ADA5DEC" w14:textId="751C1F47">
            <w:pPr>
              <w:pStyle w:val="TableText"/>
              <w:rPr>
                <w:i/>
              </w:rPr>
            </w:pPr>
            <w:r w:rsidRPr="00E62E79">
              <w:rPr>
                <w:i/>
              </w:rPr>
              <w:t>-$797</w:t>
            </w:r>
          </w:p>
        </w:tc>
      </w:tr>
    </w:tbl>
    <w:p w:rsidR="007253C8" w:rsidP="007253C8" w:rsidRDefault="007253C8" w14:paraId="3AE5958B" w14:textId="77777777">
      <w:pPr>
        <w:ind w:firstLine="0"/>
      </w:pPr>
    </w:p>
    <w:p w:rsidR="007253C8" w:rsidP="00A447AD" w:rsidRDefault="007253C8" w14:paraId="14A6C78C" w14:textId="57D08FF5">
      <w:pPr>
        <w:pStyle w:val="Heading2"/>
        <w:numPr>
          <w:ilvl w:val="1"/>
          <w:numId w:val="15"/>
        </w:numPr>
      </w:pPr>
      <w:bookmarkStart w:name="_Toc213312295" w:id="82"/>
      <w:r>
        <w:lastRenderedPageBreak/>
        <w:t xml:space="preserve">Personnel Work Procedures and Training in Conditions of </w:t>
      </w:r>
      <w:r w:rsidRPr="009F3AAA">
        <w:t>Elevated</w:t>
      </w:r>
      <w:r>
        <w:t xml:space="preserve"> Fire Risk</w:t>
      </w:r>
      <w:bookmarkEnd w:id="82"/>
    </w:p>
    <w:p w:rsidRPr="00B6048D" w:rsidR="007253C8" w:rsidP="007253C8" w:rsidRDefault="007253C8" w14:paraId="5D41F55D" w14:textId="77777777">
      <w:pPr>
        <w:pStyle w:val="Standard"/>
      </w:pPr>
      <w:r>
        <w:t>SDG&amp;E trains al</w:t>
      </w:r>
      <w:r w:rsidRPr="00FB795E">
        <w:t xml:space="preserve">l </w:t>
      </w:r>
      <w:r>
        <w:t xml:space="preserve">its </w:t>
      </w:r>
      <w:r w:rsidRPr="00FB795E">
        <w:t xml:space="preserve">field personnel </w:t>
      </w:r>
      <w:r>
        <w:t>o</w:t>
      </w:r>
      <w:r w:rsidRPr="00FB795E">
        <w:t xml:space="preserve">n </w:t>
      </w:r>
      <w:r>
        <w:t xml:space="preserve">its </w:t>
      </w:r>
      <w:r w:rsidRPr="00FB795E">
        <w:t>fire prevention procedures</w:t>
      </w:r>
      <w:r>
        <w:t xml:space="preserve"> at least</w:t>
      </w:r>
      <w:r w:rsidRPr="00FB795E">
        <w:t xml:space="preserve"> annually.</w:t>
      </w:r>
      <w:r>
        <w:t xml:space="preserve"> Additional </w:t>
      </w:r>
      <w:r w:rsidRPr="00FB795E">
        <w:t xml:space="preserve">resources can be ordered throughout the year to meet California’s year-round fire season, </w:t>
      </w:r>
      <w:r>
        <w:t xml:space="preserve">and </w:t>
      </w:r>
      <w:r w:rsidRPr="00FB795E">
        <w:t>SDG&amp;E takes the proactive step of supplying field crews with daily resources once the fire environment and F</w:t>
      </w:r>
      <w:r>
        <w:t xml:space="preserve">ire </w:t>
      </w:r>
      <w:r w:rsidRPr="00FB795E">
        <w:t>P</w:t>
      </w:r>
      <w:r>
        <w:t xml:space="preserve">otential </w:t>
      </w:r>
      <w:r w:rsidRPr="00FB795E">
        <w:t>I</w:t>
      </w:r>
      <w:r>
        <w:t>ndex</w:t>
      </w:r>
      <w:r w:rsidRPr="00FB795E">
        <w:t xml:space="preserve"> begin to indicate elevated risk. SDG&amp;E also works to align with the staffing of the seasonal resources of the local, state, and federal agencies in the service territory. These qualified resources</w:t>
      </w:r>
      <w:r>
        <w:t xml:space="preserve"> </w:t>
      </w:r>
      <w:r w:rsidRPr="00FB795E">
        <w:t>are staffed by two personnel that have the appropriate amount of training, water, and tools to meet the needs of the work activity.</w:t>
      </w:r>
      <w:r w:rsidRPr="001A698F">
        <w:rPr>
          <w:vertAlign w:val="superscript"/>
        </w:rPr>
        <w:footnoteReference w:id="282"/>
      </w:r>
    </w:p>
    <w:p w:rsidR="007253C8" w:rsidP="007253C8" w:rsidRDefault="007253C8" w14:paraId="466ED0C5" w14:textId="77777777">
      <w:pPr>
        <w:pStyle w:val="Standard"/>
      </w:pPr>
      <w:r w:rsidRPr="001A698F">
        <w:t xml:space="preserve">For </w:t>
      </w:r>
      <w:r>
        <w:t xml:space="preserve">this activity, </w:t>
      </w:r>
      <w:r w:rsidRPr="001A698F">
        <w:t>for the 2019</w:t>
      </w:r>
      <w:r>
        <w:t>–20</w:t>
      </w:r>
      <w:r w:rsidRPr="001A698F">
        <w:t>22 period, SDG&amp;E represents that the last GRC authorized $9</w:t>
      </w:r>
      <w:r>
        <w:t>.648</w:t>
      </w:r>
      <w:r w:rsidRPr="001A698F">
        <w:t xml:space="preserve"> million in O&amp;M costs and no capital costs. Based on its actual spending, SDG&amp;E now requests recovery of an additional $</w:t>
      </w:r>
      <w:r>
        <w:t>0</w:t>
      </w:r>
      <w:r w:rsidRPr="001A698F">
        <w:t>.</w:t>
      </w:r>
      <w:r>
        <w:t>851</w:t>
      </w:r>
      <w:r w:rsidRPr="001A698F">
        <w:t xml:space="preserve"> million in capital expenditures and </w:t>
      </w:r>
      <w:r>
        <w:t xml:space="preserve">$0.878 million </w:t>
      </w:r>
      <w:r w:rsidRPr="001A698F">
        <w:t>for O&amp;M</w:t>
      </w:r>
      <w:r>
        <w:t xml:space="preserve"> (plus the associated indirect costs)</w:t>
      </w:r>
      <w:r w:rsidRPr="001A698F">
        <w:t>.</w:t>
      </w:r>
      <w:r w:rsidRPr="001A698F">
        <w:rPr>
          <w:vertAlign w:val="superscript"/>
        </w:rPr>
        <w:footnoteReference w:id="283"/>
      </w:r>
    </w:p>
    <w:p w:rsidRPr="00600123" w:rsidR="007253C8" w:rsidP="007253C8" w:rsidRDefault="007253C8" w14:paraId="244BE332" w14:textId="15B0EC0D">
      <w:pPr>
        <w:pStyle w:val="Standard"/>
      </w:pPr>
      <w:r>
        <w:t xml:space="preserve">As discussed in the section on cost-effectiveness, various parties contested the cost-effectiveness of wildfire mitigations generally but did not specifically contest this cost category. </w:t>
      </w:r>
      <w:r w:rsidRPr="006F2D1B">
        <w:t xml:space="preserve">Although the Commission recognizes the benefits of SDG&amp;E’s use of personnel for this activity, SDG&amp;E provides insufficient evidence to support its request for recovery of </w:t>
      </w:r>
      <w:r>
        <w:t xml:space="preserve">capital expenditures. As a result, the Commission denies the request for recovery of $0.851 million in capital expenditures. Based on SDG&amp;E’s imputed authorizations, methodology and cost drivers in its supporting documents, the Commission finds </w:t>
      </w:r>
      <w:r w:rsidR="00D612DD">
        <w:t xml:space="preserve">direct </w:t>
      </w:r>
      <w:r>
        <w:t xml:space="preserve">cost recovery </w:t>
      </w:r>
      <w:r>
        <w:lastRenderedPageBreak/>
        <w:t xml:space="preserve">in the amount of </w:t>
      </w:r>
      <w:r w:rsidRPr="005A5D64">
        <w:t xml:space="preserve">$0.878 </w:t>
      </w:r>
      <w:r w:rsidR="00746798">
        <w:t xml:space="preserve">million </w:t>
      </w:r>
      <w:r w:rsidRPr="005A5D64">
        <w:t>for O&amp;M to be reasonable and approves it</w:t>
      </w:r>
      <w:r>
        <w:t xml:space="preserve"> subject to </w:t>
      </w:r>
      <w:r w:rsidR="00501839">
        <w:t xml:space="preserve">direct </w:t>
      </w:r>
      <w:r w:rsidR="004A783A">
        <w:t>cost reductions in Section 13</w:t>
      </w:r>
      <w:r w:rsidRPr="005A5D64">
        <w:t>.</w:t>
      </w:r>
    </w:p>
    <w:p w:rsidRPr="004E4905" w:rsidR="007253C8" w:rsidP="00A447AD" w:rsidRDefault="007253C8" w14:paraId="0E57AF89" w14:textId="46F64420">
      <w:pPr>
        <w:pStyle w:val="Heading2"/>
        <w:numPr>
          <w:ilvl w:val="1"/>
          <w:numId w:val="14"/>
        </w:numPr>
      </w:pPr>
      <w:bookmarkStart w:name="_Toc213312296" w:id="83"/>
      <w:r w:rsidRPr="610A5E50">
        <w:t>Aviation Firefighting</w:t>
      </w:r>
      <w:bookmarkEnd w:id="83"/>
    </w:p>
    <w:p w:rsidR="007253C8" w:rsidP="007253C8" w:rsidRDefault="007253C8" w14:paraId="54F5E15A" w14:textId="4D0B27B2">
      <w:pPr>
        <w:pStyle w:val="Standard"/>
      </w:pPr>
      <w:r>
        <w:t>SDG&amp;E’s Aviation Firefighting Program focuses on reducing the consequences of wildfires through the suppression of their spread by maintaining aerial fire suppression resources in cooperation with county and state agencies. These resources include three water-carrying helicopters. The first, an Erickson S-64 helitanker (Air Crane), was authorized in SDG&amp;E’s prior GRC. The second, a Sikorsky UH-60 Blackhawk helitanker, is equipped with night vision for night firefighting with the appropriate crew, training, and CAL FIRE support.</w:t>
      </w:r>
      <w:r w:rsidRPr="16287259">
        <w:rPr>
          <w:rStyle w:val="FootnoteReference"/>
        </w:rPr>
        <w:footnoteReference w:id="284"/>
      </w:r>
      <w:r>
        <w:t xml:space="preserve"> And the third, a Sikorsky S-70M, was purchased in </w:t>
      </w:r>
      <w:r w:rsidRPr="16287259">
        <w:t xml:space="preserve">2022 but, due to </w:t>
      </w:r>
      <w:r>
        <w:t>Federal Aviation Administration</w:t>
      </w:r>
      <w:r w:rsidR="00192F8A">
        <w:t xml:space="preserve"> </w:t>
      </w:r>
      <w:r w:rsidRPr="16287259">
        <w:t>certification requirements, is estimated not to be in service until the end of 2023.</w:t>
      </w:r>
    </w:p>
    <w:p w:rsidR="007253C8" w:rsidP="007253C8" w:rsidRDefault="007253C8" w14:paraId="77D31794" w14:textId="3F5C5A7B">
      <w:pPr>
        <w:pStyle w:val="Standard"/>
      </w:pPr>
      <w:r w:rsidRPr="00495FA5">
        <w:t>For this activity</w:t>
      </w:r>
      <w:r>
        <w:t xml:space="preserve"> for the 2019–2022 period</w:t>
      </w:r>
      <w:r w:rsidRPr="00495FA5">
        <w:t xml:space="preserve">, SDG&amp;E </w:t>
      </w:r>
      <w:r>
        <w:t>represents that its last GRC for TY 2019 authorized $26.529 million in O&amp;M costs and no capital costs.</w:t>
      </w:r>
      <w:r>
        <w:rPr>
          <w:rStyle w:val="FootnoteReference"/>
        </w:rPr>
        <w:footnoteReference w:id="285"/>
      </w:r>
      <w:r>
        <w:t xml:space="preserve"> Based on its actual spending, SDG&amp;E now </w:t>
      </w:r>
      <w:r w:rsidRPr="00495FA5">
        <w:t xml:space="preserve">requests </w:t>
      </w:r>
      <w:r>
        <w:t>recovery of $32.601 million for capital and zero dollars for O&amp;M. SDG&amp;E asserts that this amount is reasonable given SDG&amp;E claims it underspent the O&amp;M expenses authorized by $1.675 million (plus the associated indirect costs).</w:t>
      </w:r>
      <w:r>
        <w:rPr>
          <w:rStyle w:val="FootnoteReference"/>
        </w:rPr>
        <w:footnoteReference w:id="286"/>
      </w:r>
    </w:p>
    <w:p w:rsidR="007253C8" w:rsidP="007253C8" w:rsidRDefault="007253C8" w14:paraId="783C7974" w14:textId="77777777">
      <w:pPr>
        <w:pStyle w:val="Standard"/>
      </w:pPr>
      <w:r>
        <w:t xml:space="preserve">SBUA recommends denial of cost recovery for this activity. In support, SBUA argues that SDG&amp;E fails to demonstrate the reasonableness of its request in several respects. First, SBUA argues that SDG&amp;E fails to explain </w:t>
      </w:r>
      <w:r w:rsidRPr="00BC49F0">
        <w:t xml:space="preserve">what was authorized in the last GRC under the heading “Wildfire Caused by SDG&amp;E </w:t>
      </w:r>
      <w:r w:rsidRPr="00BC49F0">
        <w:lastRenderedPageBreak/>
        <w:t>Equipment.” Second, SBUA contends SDG&amp;E</w:t>
      </w:r>
      <w:r>
        <w:t xml:space="preserve"> fails to demonstrate </w:t>
      </w:r>
      <w:r w:rsidRPr="00495FA5">
        <w:t>how</w:t>
      </w:r>
      <w:r>
        <w:t xml:space="preserve"> the authorized funding </w:t>
      </w:r>
      <w:r w:rsidRPr="00495FA5">
        <w:t>compares to the amount now requested</w:t>
      </w:r>
      <w:r>
        <w:t xml:space="preserve">. Third, SBUA states that SDG&amp;E fails to ensure </w:t>
      </w:r>
      <w:r w:rsidRPr="00BC49F0">
        <w:t>that customers are not paying for use of SDG&amp;E equipment by firefighting agencies unrelated to SDG&amp;E’s utility activities.</w:t>
      </w:r>
      <w:r>
        <w:t xml:space="preserve"> In support of this third claim, SBUA points out that </w:t>
      </w:r>
      <w:r w:rsidRPr="00495FA5">
        <w:t>SDG&amp;E itself admits that “[t]</w:t>
      </w:r>
      <w:proofErr w:type="spellStart"/>
      <w:r w:rsidRPr="00495FA5">
        <w:t>hese</w:t>
      </w:r>
      <w:proofErr w:type="spellEnd"/>
      <w:r w:rsidRPr="00495FA5">
        <w:t xml:space="preserve"> resources are available not only for fires associated with SDG&amp;E equipment but to the entire community regardless of the cause of ignition”</w:t>
      </w:r>
      <w:r>
        <w:t xml:space="preserve"> because</w:t>
      </w:r>
      <w:r w:rsidRPr="00495FA5">
        <w:t xml:space="preserve"> SDG&amp;E “has agreements with the County of San Diego, CAL FIRE, and the Orange County Fire Authority for aerial firefighting within the service territory.”</w:t>
      </w:r>
      <w:r>
        <w:rPr>
          <w:rStyle w:val="FootnoteReference"/>
        </w:rPr>
        <w:footnoteReference w:id="287"/>
      </w:r>
    </w:p>
    <w:p w:rsidR="007253C8" w:rsidP="007253C8" w:rsidRDefault="007253C8" w14:paraId="430C5E89" w14:textId="77777777">
      <w:pPr>
        <w:pStyle w:val="Standard"/>
      </w:pPr>
      <w:r>
        <w:t xml:space="preserve">In reply, SDG&amp;E first claims that </w:t>
      </w:r>
      <w:r w:rsidRPr="000C7125">
        <w:t xml:space="preserve">SDG&amp;E provided year-over-year comparisons between </w:t>
      </w:r>
      <w:r>
        <w:t xml:space="preserve">its </w:t>
      </w:r>
      <w:r w:rsidRPr="000C7125">
        <w:t>actual and authorized spend</w:t>
      </w:r>
      <w:r>
        <w:t>ing</w:t>
      </w:r>
      <w:r w:rsidRPr="000C7125">
        <w:t xml:space="preserve"> related to Aviation Firefighting</w:t>
      </w:r>
      <w:r>
        <w:t xml:space="preserve"> to </w:t>
      </w:r>
      <w:r w:rsidRPr="000C7125">
        <w:t xml:space="preserve">demonstrate a $32 million </w:t>
      </w:r>
      <w:proofErr w:type="spellStart"/>
      <w:r w:rsidRPr="000C7125">
        <w:t>undercollection</w:t>
      </w:r>
      <w:proofErr w:type="spellEnd"/>
      <w:r w:rsidRPr="000C7125">
        <w:t xml:space="preserve"> for capital, and</w:t>
      </w:r>
      <w:r>
        <w:t xml:space="preserve"> the </w:t>
      </w:r>
      <w:r w:rsidRPr="000C7125">
        <w:t>overcollection for O&amp;M.</w:t>
      </w:r>
    </w:p>
    <w:p w:rsidR="007253C8" w:rsidP="007253C8" w:rsidRDefault="007253C8" w14:paraId="4C93904D" w14:textId="5507FD85">
      <w:pPr>
        <w:pStyle w:val="Standard"/>
      </w:pPr>
      <w:r>
        <w:t>Second, in disagreeing with SBUA’s representations and arguments, SDG&amp;E provides the following additional information and arguments. S</w:t>
      </w:r>
      <w:r w:rsidRPr="000C7125">
        <w:t>DG&amp;E disagrees with SBUA’s representations that SDG&amp;E is supplanting county emergency services operations and stepping in</w:t>
      </w:r>
      <w:r>
        <w:t xml:space="preserve"> </w:t>
      </w:r>
      <w:r w:rsidRPr="000C7125">
        <w:t>to provide “conventional public safety services.”</w:t>
      </w:r>
      <w:r>
        <w:t xml:space="preserve"> Instead, SDG&amp;E states that </w:t>
      </w:r>
      <w:r w:rsidRPr="000C7125">
        <w:t>SDG&amp;E has made heavy</w:t>
      </w:r>
      <w:r w:rsidR="00140DF3">
        <w:t>-</w:t>
      </w:r>
      <w:r w:rsidRPr="000C7125">
        <w:t>construction helicopters available to fire authorities within the region for use in fighting fires</w:t>
      </w:r>
      <w:r>
        <w:t xml:space="preserve"> under </w:t>
      </w:r>
      <w:r w:rsidRPr="000C7125">
        <w:t>a Memorandum of Understanding (MOU) with the County of San Diego Fire Authority</w:t>
      </w:r>
      <w:r>
        <w:t xml:space="preserve"> and </w:t>
      </w:r>
      <w:r w:rsidRPr="000C7125">
        <w:t>CAL FIRE</w:t>
      </w:r>
      <w:r>
        <w:t xml:space="preserve">. The MOU </w:t>
      </w:r>
      <w:r w:rsidRPr="000C7125">
        <w:t>details how assets are</w:t>
      </w:r>
      <w:r>
        <w:t xml:space="preserve"> </w:t>
      </w:r>
      <w:r w:rsidRPr="000C7125">
        <w:t xml:space="preserve">dispatched to aid in firefighting and includes a cost-sharing arrangement to reduce the burden on ratepayers. </w:t>
      </w:r>
      <w:r>
        <w:t>SDG&amp;E claims that t</w:t>
      </w:r>
      <w:r w:rsidRPr="00664FFC">
        <w:t xml:space="preserve">he MOU ensures that </w:t>
      </w:r>
      <w:r w:rsidRPr="00664FFC">
        <w:lastRenderedPageBreak/>
        <w:t>aviation</w:t>
      </w:r>
      <w:r>
        <w:t xml:space="preserve"> firefighting </w:t>
      </w:r>
      <w:r w:rsidRPr="00664FFC">
        <w:t>suppression assets</w:t>
      </w:r>
      <w:r>
        <w:t>, including SDG&amp;E’s,</w:t>
      </w:r>
      <w:r w:rsidRPr="00664FFC">
        <w:t xml:space="preserve"> will remain in the region and available should they be needed.</w:t>
      </w:r>
      <w:r w:rsidRPr="00486A55">
        <w:rPr>
          <w:vertAlign w:val="superscript"/>
        </w:rPr>
        <w:footnoteReference w:id="288"/>
      </w:r>
    </w:p>
    <w:p w:rsidR="007253C8" w:rsidP="007253C8" w:rsidRDefault="007253C8" w14:paraId="5413AE57" w14:textId="44F4338A">
      <w:pPr>
        <w:pStyle w:val="Standard"/>
      </w:pPr>
      <w:r>
        <w:t xml:space="preserve">SDG&amp;E states that this arrangement is necessary because </w:t>
      </w:r>
      <w:r w:rsidRPr="000C7125">
        <w:t>CAL FIRE owns and contracts aerial firefighting assets,</w:t>
      </w:r>
      <w:r>
        <w:t xml:space="preserve"> which </w:t>
      </w:r>
      <w:r w:rsidRPr="000C7125">
        <w:t>can be moved out of the area to aid in fighting fires in other regions</w:t>
      </w:r>
      <w:r>
        <w:t xml:space="preserve">. When this occurs, </w:t>
      </w:r>
      <w:r w:rsidRPr="000C7125">
        <w:t>there is less support if a fire occurs in or near SDG&amp;E’s service territory</w:t>
      </w:r>
      <w:r>
        <w:t>, which has happened in the past. In addition, SDG&amp;E states that any wildfire i</w:t>
      </w:r>
      <w:r w:rsidRPr="000C7125">
        <w:t xml:space="preserve">n the SDG&amp;E service territory can affect </w:t>
      </w:r>
      <w:r>
        <w:t>its</w:t>
      </w:r>
      <w:r w:rsidRPr="000C7125">
        <w:t xml:space="preserve"> infrastructure, complicate</w:t>
      </w:r>
      <w:r>
        <w:t xml:space="preserve"> </w:t>
      </w:r>
      <w:r w:rsidRPr="000C7125">
        <w:t>recovery efforts and service restoration, and threaten customer safety. Extinguishing ignitions quickly, before they can become potentially catastrophic wildfires, no matter the cause of the</w:t>
      </w:r>
      <w:r>
        <w:t xml:space="preserve"> </w:t>
      </w:r>
      <w:r w:rsidRPr="000C7125">
        <w:t>fire, reduces or eliminates the need for costly electrical infrastructure repairs and enhance</w:t>
      </w:r>
      <w:r w:rsidR="00FA0F18">
        <w:t>s</w:t>
      </w:r>
      <w:r w:rsidRPr="000C7125">
        <w:t xml:space="preserve"> reliability. </w:t>
      </w:r>
      <w:r>
        <w:t>B</w:t>
      </w:r>
      <w:r w:rsidRPr="000C7125">
        <w:t xml:space="preserve">ecause the cause of the ignition is often not known at the time of initial response, bifurcating suppression responsibility based on cause would lead to inconsistent and delayed response, </w:t>
      </w:r>
      <w:r>
        <w:t xml:space="preserve">and </w:t>
      </w:r>
      <w:r w:rsidRPr="000C7125">
        <w:t>further exacerbat</w:t>
      </w:r>
      <w:r>
        <w:t>e</w:t>
      </w:r>
      <w:r w:rsidRPr="000C7125">
        <w:t xml:space="preserve"> the effects of an ignition.</w:t>
      </w:r>
      <w:bookmarkStart w:name="_Hlk196915747" w:id="84"/>
      <w:r>
        <w:rPr>
          <w:rStyle w:val="FootnoteReference"/>
        </w:rPr>
        <w:footnoteReference w:id="289"/>
      </w:r>
      <w:bookmarkEnd w:id="84"/>
    </w:p>
    <w:p w:rsidR="007253C8" w:rsidDel="000C5494" w:rsidP="007253C8" w:rsidRDefault="007253C8" w14:paraId="12142DAE" w14:textId="2E95B32E">
      <w:pPr>
        <w:pStyle w:val="Standard"/>
      </w:pPr>
      <w:bookmarkStart w:name="_Hlk196921380" w:id="85"/>
      <w:r>
        <w:t xml:space="preserve">The Commission agrees with SDG&amp;E that it uses its firefighting helicopters to reduce </w:t>
      </w:r>
      <w:r w:rsidRPr="009D5F09">
        <w:t>wildfire risk in SDG&amp;E’s service territory</w:t>
      </w:r>
      <w:r>
        <w:t xml:space="preserve"> in a manner consistent with its WMPs.</w:t>
      </w:r>
      <w:r>
        <w:rPr>
          <w:rStyle w:val="FootnoteReference"/>
        </w:rPr>
        <w:footnoteReference w:id="290"/>
      </w:r>
      <w:r>
        <w:t xml:space="preserve"> Nonetheless, the Commission agrees with SBUA that SDG&amp;E has not sufficiently accounted for what it was authorized to spend by the last GRC in O&amp;M expenses, its unauthorized capital costs, and its cost sharing arrangement with counties and C</w:t>
      </w:r>
      <w:r w:rsidR="00FA0F18">
        <w:t>AL FIRE</w:t>
      </w:r>
      <w:r>
        <w:t>. That is, SDG&amp;E fails to reasonably account for the cost</w:t>
      </w:r>
      <w:r w:rsidR="00FA0F18">
        <w:t>s</w:t>
      </w:r>
      <w:r>
        <w:t xml:space="preserve"> it seeks to recover for the use of the three helicopters.</w:t>
      </w:r>
    </w:p>
    <w:p w:rsidR="007253C8" w:rsidDel="000C5494" w:rsidP="007253C8" w:rsidRDefault="007253C8" w14:paraId="2B29192B" w14:textId="74ECCAD5">
      <w:pPr>
        <w:pStyle w:val="Standard"/>
      </w:pPr>
      <w:r>
        <w:lastRenderedPageBreak/>
        <w:t xml:space="preserve">Further, SDG&amp;E states that its </w:t>
      </w:r>
      <w:r w:rsidRPr="16287259">
        <w:t xml:space="preserve">Aviation Services department manages SDG&amp;E’s aviation assets, including the exclusive use of SDG&amp;E-owned helicopters, and Unmanned Aerial Systems (UAS). SDG&amp;E </w:t>
      </w:r>
      <w:r>
        <w:t>does not adequately explain, however,</w:t>
      </w:r>
      <w:r w:rsidRPr="16287259">
        <w:t xml:space="preserve"> how the UAS costs under Aviation services are separated from the costs sought under the Drone Inspection Program.</w:t>
      </w:r>
      <w:r w:rsidRPr="16287259">
        <w:rPr>
          <w:rStyle w:val="FootnoteReference"/>
        </w:rPr>
        <w:footnoteReference w:id="291"/>
      </w:r>
      <w:r>
        <w:t xml:space="preserve"> In addition, SDG&amp;E has not provided evidence that it considered alternatives to purchasing the last two helicopters, and how </w:t>
      </w:r>
      <w:r w:rsidR="00B329BB">
        <w:t xml:space="preserve">much, if any, </w:t>
      </w:r>
      <w:r>
        <w:t>cost recovery for the third helicopter</w:t>
      </w:r>
      <w:r w:rsidR="00B329BB">
        <w:t xml:space="preserve"> (the </w:t>
      </w:r>
      <w:r w:rsidRPr="00B329BB" w:rsidR="00B329BB">
        <w:t>Sikorsky S-70M</w:t>
      </w:r>
      <w:r w:rsidR="00B329BB">
        <w:t>)</w:t>
      </w:r>
      <w:r>
        <w:t xml:space="preserve"> is reasonable when it was not placed into service until after 2022.</w:t>
      </w:r>
      <w:r w:rsidRPr="16287259">
        <w:rPr>
          <w:rStyle w:val="FootnoteReference"/>
        </w:rPr>
        <w:footnoteReference w:id="292"/>
      </w:r>
    </w:p>
    <w:p w:rsidR="007253C8" w:rsidDel="000C5494" w:rsidP="007253C8" w:rsidRDefault="007253C8" w14:paraId="62B75FDC" w14:textId="4007B9B6">
      <w:pPr>
        <w:pStyle w:val="Standard"/>
      </w:pPr>
      <w:r>
        <w:t>The Commission finds that SDG&amp;E failed to meet its burden of proof that these costs are reasonably recoverable. As a result, the Commission denies SDG&amp;E’s request for cost recovery for Aviation Firefighting.</w:t>
      </w:r>
    </w:p>
    <w:p w:rsidR="007253C8" w:rsidP="00DA1C84" w:rsidRDefault="007253C8" w14:paraId="2FE56193" w14:textId="410507D6">
      <w:pPr>
        <w:pStyle w:val="Heading1"/>
      </w:pPr>
      <w:bookmarkStart w:name="_Toc213312297" w:id="86"/>
      <w:bookmarkEnd w:id="81"/>
      <w:bookmarkEnd w:id="85"/>
      <w:r>
        <w:t xml:space="preserve">Data </w:t>
      </w:r>
      <w:r w:rsidRPr="009F3AAA">
        <w:t>Governance</w:t>
      </w:r>
      <w:r>
        <w:t xml:space="preserve"> (DG)</w:t>
      </w:r>
      <w:bookmarkEnd w:id="86"/>
    </w:p>
    <w:p w:rsidR="007253C8" w:rsidP="007253C8" w:rsidRDefault="007253C8" w14:paraId="0DDD1866" w14:textId="4C0AEFDF">
      <w:pPr>
        <w:pStyle w:val="Standard"/>
      </w:pPr>
      <w:r>
        <w:t xml:space="preserve">SDG&amp;E’s wildfire mitigation </w:t>
      </w:r>
      <w:r w:rsidRPr="000B7FCF">
        <w:t xml:space="preserve">programs and initiatives require data from a variety of systems to support operational needs, trend analysis, and predictive modeling. To enhance data quality and improve the efficiency of the </w:t>
      </w:r>
      <w:r w:rsidRPr="00D459E9">
        <w:t>data</w:t>
      </w:r>
      <w:r w:rsidRPr="001A7E3C">
        <w:rPr>
          <w:b/>
          <w:bCs/>
        </w:rPr>
        <w:t xml:space="preserve"> </w:t>
      </w:r>
      <w:r w:rsidRPr="00D459E9">
        <w:t>gathering process, SDG&amp;E began developing a WMP Data Governance Framework (DGF) and an automated Central Data Repository</w:t>
      </w:r>
      <w:r>
        <w:t>, which SDG&amp;E will make available for use</w:t>
      </w:r>
      <w:r w:rsidRPr="00D459E9" w:rsidDel="008D4CD8">
        <w:t xml:space="preserve"> </w:t>
      </w:r>
      <w:r w:rsidRPr="00D459E9">
        <w:t>by multiple internal and external stakeholders</w:t>
      </w:r>
      <w:r>
        <w:t xml:space="preserve">. SDG&amp;E divides its </w:t>
      </w:r>
      <w:r w:rsidR="00892051">
        <w:t xml:space="preserve">request for recovery of </w:t>
      </w:r>
      <w:r>
        <w:t xml:space="preserve">Data Governance costs into the following two categories addressed below: 1) </w:t>
      </w:r>
      <w:bookmarkStart w:name="_Hlk197004644" w:id="87"/>
      <w:r w:rsidRPr="00D459E9">
        <w:t>Centralized Repository for Data</w:t>
      </w:r>
      <w:bookmarkEnd w:id="87"/>
      <w:r>
        <w:t xml:space="preserve"> and 2) the </w:t>
      </w:r>
      <w:r w:rsidRPr="00D459E9">
        <w:t>Documentation and Disclosure of Wildfire-Related Data and Algorithms</w:t>
      </w:r>
      <w:r>
        <w:t>.</w:t>
      </w:r>
    </w:p>
    <w:p w:rsidR="006E4CA6" w:rsidP="007253C8" w:rsidRDefault="006E4CA6" w14:paraId="6F218344" w14:textId="77777777">
      <w:pPr>
        <w:pStyle w:val="Standard"/>
      </w:pPr>
    </w:p>
    <w:p w:rsidRPr="009823B0" w:rsidR="007253C8" w:rsidP="007253C8" w:rsidRDefault="007253C8" w14:paraId="2492CE15" w14:textId="5D5868CD">
      <w:pPr>
        <w:pStyle w:val="Standard"/>
        <w:ind w:firstLine="0"/>
        <w:jc w:val="center"/>
        <w:rPr>
          <w:b/>
          <w:bCs/>
        </w:rPr>
      </w:pPr>
      <w:r w:rsidRPr="009823B0">
        <w:rPr>
          <w:b/>
        </w:rPr>
        <w:t>Table 10</w:t>
      </w:r>
    </w:p>
    <w:p w:rsidRPr="009823B0" w:rsidR="007253C8" w:rsidP="007253C8" w:rsidRDefault="007253C8" w14:paraId="2EF8D312" w14:textId="5FA38101">
      <w:pPr>
        <w:pStyle w:val="Standard"/>
        <w:ind w:firstLine="0"/>
        <w:jc w:val="center"/>
        <w:rPr>
          <w:b/>
        </w:rPr>
      </w:pPr>
      <w:r w:rsidRPr="009823B0">
        <w:rPr>
          <w:b/>
        </w:rPr>
        <w:t>Data Governance</w:t>
      </w:r>
      <w:r w:rsidR="00591004">
        <w:rPr>
          <w:b/>
        </w:rPr>
        <w:t>:</w:t>
      </w:r>
      <w:r w:rsidRPr="00591004" w:rsidR="00591004">
        <w:rPr>
          <w:b/>
          <w:bCs/>
        </w:rPr>
        <w:t xml:space="preserve"> </w:t>
      </w:r>
      <w:r w:rsidRPr="61D4D11C" w:rsidR="00591004">
        <w:rPr>
          <w:b/>
          <w:bCs/>
        </w:rPr>
        <w:t>Authorizations and Recorded Costs 2019–2022 ($000)</w:t>
      </w:r>
      <w:r w:rsidR="00591004">
        <w:rPr>
          <w:rStyle w:val="FootnoteReference"/>
        </w:rPr>
        <w:footnoteReference w:id="293"/>
      </w:r>
    </w:p>
    <w:tbl>
      <w:tblPr>
        <w:tblW w:w="10210" w:type="dxa"/>
        <w:tblLook w:val="04A0" w:firstRow="1" w:lastRow="0" w:firstColumn="1" w:lastColumn="0" w:noHBand="0" w:noVBand="1"/>
      </w:tblPr>
      <w:tblGrid>
        <w:gridCol w:w="2006"/>
        <w:gridCol w:w="1395"/>
        <w:gridCol w:w="1065"/>
        <w:gridCol w:w="1682"/>
        <w:gridCol w:w="1095"/>
        <w:gridCol w:w="1260"/>
        <w:gridCol w:w="1707"/>
      </w:tblGrid>
      <w:tr w:rsidRPr="001D07BE" w:rsidR="007253C8" w:rsidTr="00301BD8" w14:paraId="7C4E5F24" w14:textId="77777777">
        <w:trPr>
          <w:trHeight w:val="680"/>
        </w:trPr>
        <w:tc>
          <w:tcPr>
            <w:tcW w:w="2006" w:type="dxa"/>
            <w:tcBorders>
              <w:top w:val="single" w:color="auto" w:sz="4" w:space="0"/>
              <w:left w:val="single" w:color="auto" w:sz="4" w:space="0"/>
              <w:bottom w:val="single" w:color="auto" w:sz="4" w:space="0"/>
              <w:right w:val="single" w:color="auto" w:sz="4" w:space="0"/>
            </w:tcBorders>
            <w:vAlign w:val="center"/>
            <w:hideMark/>
          </w:tcPr>
          <w:p w:rsidRPr="001D07BE" w:rsidR="007253C8" w:rsidP="00301BD8" w:rsidRDefault="007253C8" w14:paraId="1AC63268" w14:textId="23C6F3E2">
            <w:pPr>
              <w:pStyle w:val="TableText"/>
            </w:pPr>
            <w:r w:rsidRPr="001D07BE">
              <w:t>Initiative</w:t>
            </w:r>
          </w:p>
        </w:tc>
        <w:tc>
          <w:tcPr>
            <w:tcW w:w="1395" w:type="dxa"/>
            <w:tcBorders>
              <w:top w:val="single" w:color="auto" w:sz="4" w:space="0"/>
              <w:left w:val="nil"/>
              <w:bottom w:val="single" w:color="auto" w:sz="4" w:space="0"/>
              <w:right w:val="single" w:color="auto" w:sz="4" w:space="0"/>
            </w:tcBorders>
            <w:vAlign w:val="center"/>
            <w:hideMark/>
          </w:tcPr>
          <w:p w:rsidRPr="001D07BE" w:rsidR="007253C8" w:rsidP="00301BD8" w:rsidRDefault="007253C8" w14:paraId="40888397" w14:textId="77777777">
            <w:pPr>
              <w:pStyle w:val="TableText"/>
            </w:pPr>
            <w:r w:rsidRPr="550177A5">
              <w:rPr>
                <w:color w:val="000000" w:themeColor="text1"/>
              </w:rPr>
              <w:t>Auth. Capital</w:t>
            </w:r>
          </w:p>
        </w:tc>
        <w:tc>
          <w:tcPr>
            <w:tcW w:w="1065" w:type="dxa"/>
            <w:tcBorders>
              <w:top w:val="single" w:color="auto" w:sz="4" w:space="0"/>
              <w:left w:val="nil"/>
              <w:bottom w:val="single" w:color="auto" w:sz="4" w:space="0"/>
              <w:right w:val="single" w:color="auto" w:sz="4" w:space="0"/>
            </w:tcBorders>
            <w:vAlign w:val="center"/>
            <w:hideMark/>
          </w:tcPr>
          <w:p w:rsidRPr="001D07BE" w:rsidR="007253C8" w:rsidP="00301BD8" w:rsidRDefault="007253C8" w14:paraId="502D2074" w14:textId="77777777">
            <w:pPr>
              <w:pStyle w:val="TableText"/>
            </w:pPr>
            <w:r w:rsidRPr="001D07BE">
              <w:t>Actual Capital</w:t>
            </w:r>
          </w:p>
        </w:tc>
        <w:tc>
          <w:tcPr>
            <w:tcW w:w="1682" w:type="dxa"/>
            <w:tcBorders>
              <w:top w:val="single" w:color="auto" w:sz="4" w:space="0"/>
              <w:left w:val="single" w:color="auto" w:sz="4" w:space="0"/>
              <w:bottom w:val="single" w:color="auto" w:sz="4" w:space="0"/>
              <w:right w:val="nil"/>
            </w:tcBorders>
            <w:vAlign w:val="center"/>
            <w:hideMark/>
          </w:tcPr>
          <w:p w:rsidRPr="001D07BE" w:rsidR="007253C8" w:rsidP="00301BD8" w:rsidRDefault="007253C8" w14:paraId="6E42F1DB" w14:textId="77777777">
            <w:pPr>
              <w:pStyle w:val="TableText"/>
            </w:pPr>
            <w:r w:rsidRPr="001D07BE">
              <w:t>Differential Capital</w:t>
            </w:r>
          </w:p>
        </w:tc>
        <w:tc>
          <w:tcPr>
            <w:tcW w:w="1095" w:type="dxa"/>
            <w:tcBorders>
              <w:top w:val="single" w:color="auto" w:sz="4" w:space="0"/>
              <w:left w:val="double" w:color="auto" w:sz="6" w:space="0"/>
              <w:bottom w:val="single" w:color="auto" w:sz="4" w:space="0"/>
              <w:right w:val="single" w:color="auto" w:sz="4" w:space="0"/>
            </w:tcBorders>
            <w:vAlign w:val="center"/>
            <w:hideMark/>
          </w:tcPr>
          <w:p w:rsidRPr="001D07BE" w:rsidR="007253C8" w:rsidP="00301BD8" w:rsidRDefault="007253C8" w14:paraId="19455818" w14:textId="77777777">
            <w:pPr>
              <w:pStyle w:val="TableText"/>
            </w:pPr>
            <w:r w:rsidRPr="550177A5">
              <w:rPr>
                <w:color w:val="000000" w:themeColor="text1"/>
              </w:rPr>
              <w:t>Auth. O&amp;M</w:t>
            </w:r>
          </w:p>
        </w:tc>
        <w:tc>
          <w:tcPr>
            <w:tcW w:w="1260" w:type="dxa"/>
            <w:tcBorders>
              <w:top w:val="single" w:color="auto" w:sz="4" w:space="0"/>
              <w:left w:val="nil"/>
              <w:bottom w:val="single" w:color="auto" w:sz="4" w:space="0"/>
              <w:right w:val="single" w:color="auto" w:sz="4" w:space="0"/>
            </w:tcBorders>
            <w:vAlign w:val="center"/>
            <w:hideMark/>
          </w:tcPr>
          <w:p w:rsidRPr="001D07BE" w:rsidR="007253C8" w:rsidP="00301BD8" w:rsidRDefault="007253C8" w14:paraId="14515C2D" w14:textId="77777777">
            <w:pPr>
              <w:pStyle w:val="TableText"/>
            </w:pPr>
            <w:r w:rsidRPr="001D07BE">
              <w:t>Actual O&amp;M</w:t>
            </w:r>
          </w:p>
        </w:tc>
        <w:tc>
          <w:tcPr>
            <w:tcW w:w="1707" w:type="dxa"/>
            <w:tcBorders>
              <w:top w:val="single" w:color="auto" w:sz="4" w:space="0"/>
              <w:left w:val="nil"/>
              <w:bottom w:val="single" w:color="auto" w:sz="4" w:space="0"/>
              <w:right w:val="single" w:color="auto" w:sz="4" w:space="0"/>
            </w:tcBorders>
            <w:vAlign w:val="center"/>
            <w:hideMark/>
          </w:tcPr>
          <w:p w:rsidRPr="001D07BE" w:rsidR="007253C8" w:rsidP="00301BD8" w:rsidRDefault="007253C8" w14:paraId="1049DA74" w14:textId="77777777">
            <w:pPr>
              <w:pStyle w:val="TableText"/>
            </w:pPr>
            <w:r w:rsidRPr="001D07BE">
              <w:t>Differential O&amp;M</w:t>
            </w:r>
          </w:p>
        </w:tc>
      </w:tr>
      <w:tr w:rsidRPr="001D07BE" w:rsidR="007253C8" w:rsidTr="00301BD8" w14:paraId="0A2EEA69" w14:textId="77777777">
        <w:trPr>
          <w:trHeight w:val="1020"/>
        </w:trPr>
        <w:tc>
          <w:tcPr>
            <w:tcW w:w="2006" w:type="dxa"/>
            <w:tcBorders>
              <w:top w:val="nil"/>
              <w:left w:val="single" w:color="auto" w:sz="4" w:space="0"/>
              <w:bottom w:val="single" w:color="auto" w:sz="4" w:space="0"/>
              <w:right w:val="single" w:color="auto" w:sz="4" w:space="0"/>
            </w:tcBorders>
            <w:vAlign w:val="bottom"/>
            <w:hideMark/>
          </w:tcPr>
          <w:p w:rsidRPr="001D07BE" w:rsidR="007253C8" w:rsidP="00301BD8" w:rsidRDefault="007253C8" w14:paraId="65A4E176" w14:textId="77777777">
            <w:pPr>
              <w:pStyle w:val="TableText"/>
            </w:pPr>
            <w:r w:rsidRPr="001D07BE">
              <w:t>Centralized Repository for Data</w:t>
            </w:r>
          </w:p>
        </w:tc>
        <w:tc>
          <w:tcPr>
            <w:tcW w:w="1395" w:type="dxa"/>
            <w:tcBorders>
              <w:top w:val="nil"/>
              <w:left w:val="nil"/>
              <w:bottom w:val="single" w:color="auto" w:sz="4" w:space="0"/>
              <w:right w:val="single" w:color="auto" w:sz="4" w:space="0"/>
            </w:tcBorders>
            <w:vAlign w:val="center"/>
            <w:hideMark/>
          </w:tcPr>
          <w:p w:rsidRPr="001D07BE" w:rsidR="007253C8" w:rsidP="00301BD8" w:rsidRDefault="007253C8" w14:paraId="016A4F9A" w14:textId="77777777">
            <w:pPr>
              <w:pStyle w:val="TableText"/>
            </w:pPr>
            <w:r w:rsidRPr="001D07BE">
              <w:t>-</w:t>
            </w:r>
          </w:p>
        </w:tc>
        <w:tc>
          <w:tcPr>
            <w:tcW w:w="1065" w:type="dxa"/>
            <w:tcBorders>
              <w:top w:val="nil"/>
              <w:left w:val="nil"/>
              <w:bottom w:val="single" w:color="auto" w:sz="4" w:space="0"/>
              <w:right w:val="single" w:color="auto" w:sz="4" w:space="0"/>
            </w:tcBorders>
            <w:vAlign w:val="center"/>
            <w:hideMark/>
          </w:tcPr>
          <w:p w:rsidRPr="001D07BE" w:rsidR="007253C8" w:rsidP="00301BD8" w:rsidRDefault="007253C8" w14:paraId="667C715A" w14:textId="77777777">
            <w:pPr>
              <w:pStyle w:val="TableText"/>
            </w:pPr>
            <w:r w:rsidRPr="001D07BE">
              <w:t xml:space="preserve">$35,742 </w:t>
            </w:r>
          </w:p>
        </w:tc>
        <w:tc>
          <w:tcPr>
            <w:tcW w:w="1682" w:type="dxa"/>
            <w:tcBorders>
              <w:top w:val="nil"/>
              <w:left w:val="single" w:color="auto" w:sz="4" w:space="0"/>
              <w:bottom w:val="single" w:color="auto" w:sz="4" w:space="0"/>
              <w:right w:val="nil"/>
            </w:tcBorders>
            <w:vAlign w:val="center"/>
            <w:hideMark/>
          </w:tcPr>
          <w:p w:rsidRPr="001D07BE" w:rsidR="007253C8" w:rsidP="00301BD8" w:rsidRDefault="007253C8" w14:paraId="4F15828E" w14:textId="77777777">
            <w:pPr>
              <w:pStyle w:val="TableText"/>
            </w:pPr>
            <w:r w:rsidRPr="001D07BE">
              <w:t xml:space="preserve">$35,742 </w:t>
            </w:r>
          </w:p>
        </w:tc>
        <w:tc>
          <w:tcPr>
            <w:tcW w:w="1095" w:type="dxa"/>
            <w:tcBorders>
              <w:top w:val="nil"/>
              <w:left w:val="double" w:color="auto" w:sz="6" w:space="0"/>
              <w:bottom w:val="single" w:color="auto" w:sz="4" w:space="0"/>
              <w:right w:val="single" w:color="auto" w:sz="4" w:space="0"/>
            </w:tcBorders>
            <w:vAlign w:val="center"/>
            <w:hideMark/>
          </w:tcPr>
          <w:p w:rsidRPr="001D07BE" w:rsidR="007253C8" w:rsidP="00301BD8" w:rsidRDefault="007253C8" w14:paraId="073E665E" w14:textId="77777777">
            <w:pPr>
              <w:pStyle w:val="TableText"/>
            </w:pPr>
            <w:r w:rsidRPr="001D07BE">
              <w:t>-</w:t>
            </w:r>
          </w:p>
        </w:tc>
        <w:tc>
          <w:tcPr>
            <w:tcW w:w="1260" w:type="dxa"/>
            <w:tcBorders>
              <w:top w:val="nil"/>
              <w:left w:val="nil"/>
              <w:bottom w:val="single" w:color="auto" w:sz="4" w:space="0"/>
              <w:right w:val="single" w:color="auto" w:sz="4" w:space="0"/>
            </w:tcBorders>
            <w:vAlign w:val="center"/>
            <w:hideMark/>
          </w:tcPr>
          <w:p w:rsidRPr="001D07BE" w:rsidR="007253C8" w:rsidP="00301BD8" w:rsidRDefault="007253C8" w14:paraId="7FE9E362" w14:textId="77777777">
            <w:pPr>
              <w:pStyle w:val="TableText"/>
            </w:pPr>
            <w:r w:rsidRPr="001D07BE">
              <w:t>-</w:t>
            </w:r>
          </w:p>
        </w:tc>
        <w:tc>
          <w:tcPr>
            <w:tcW w:w="1707" w:type="dxa"/>
            <w:tcBorders>
              <w:top w:val="nil"/>
              <w:left w:val="nil"/>
              <w:bottom w:val="single" w:color="auto" w:sz="4" w:space="0"/>
              <w:right w:val="single" w:color="auto" w:sz="4" w:space="0"/>
            </w:tcBorders>
            <w:vAlign w:val="center"/>
            <w:hideMark/>
          </w:tcPr>
          <w:p w:rsidRPr="001D07BE" w:rsidR="007253C8" w:rsidP="00301BD8" w:rsidRDefault="007253C8" w14:paraId="4AC5327E" w14:textId="77777777">
            <w:pPr>
              <w:pStyle w:val="TableText"/>
            </w:pPr>
            <w:r w:rsidRPr="001D07BE">
              <w:t>-</w:t>
            </w:r>
          </w:p>
        </w:tc>
      </w:tr>
      <w:tr w:rsidRPr="001D07BE" w:rsidR="007253C8" w:rsidTr="00301BD8" w14:paraId="55141739" w14:textId="77777777">
        <w:trPr>
          <w:trHeight w:val="1700"/>
        </w:trPr>
        <w:tc>
          <w:tcPr>
            <w:tcW w:w="2006" w:type="dxa"/>
            <w:tcBorders>
              <w:top w:val="nil"/>
              <w:left w:val="single" w:color="auto" w:sz="4" w:space="0"/>
              <w:bottom w:val="single" w:color="auto" w:sz="4" w:space="0"/>
              <w:right w:val="single" w:color="auto" w:sz="4" w:space="0"/>
            </w:tcBorders>
            <w:vAlign w:val="bottom"/>
            <w:hideMark/>
          </w:tcPr>
          <w:p w:rsidRPr="001D07BE" w:rsidR="007253C8" w:rsidP="00301BD8" w:rsidRDefault="007253C8" w14:paraId="44E3816E" w14:textId="77777777">
            <w:pPr>
              <w:pStyle w:val="TableText"/>
            </w:pPr>
            <w:r w:rsidRPr="001D07BE">
              <w:t>Documentation and Disclosure of Wildfire-Related Data and Algorithms</w:t>
            </w:r>
          </w:p>
        </w:tc>
        <w:tc>
          <w:tcPr>
            <w:tcW w:w="1395" w:type="dxa"/>
            <w:tcBorders>
              <w:top w:val="nil"/>
              <w:left w:val="nil"/>
              <w:bottom w:val="single" w:color="auto" w:sz="4" w:space="0"/>
              <w:right w:val="single" w:color="auto" w:sz="4" w:space="0"/>
            </w:tcBorders>
            <w:vAlign w:val="center"/>
            <w:hideMark/>
          </w:tcPr>
          <w:p w:rsidRPr="001D07BE" w:rsidR="007253C8" w:rsidP="00301BD8" w:rsidRDefault="007253C8" w14:paraId="66E93725" w14:textId="77777777">
            <w:pPr>
              <w:pStyle w:val="TableText"/>
            </w:pPr>
            <w:r w:rsidRPr="001D07BE">
              <w:t>-</w:t>
            </w:r>
          </w:p>
        </w:tc>
        <w:tc>
          <w:tcPr>
            <w:tcW w:w="1065" w:type="dxa"/>
            <w:tcBorders>
              <w:top w:val="nil"/>
              <w:left w:val="nil"/>
              <w:bottom w:val="single" w:color="auto" w:sz="4" w:space="0"/>
              <w:right w:val="single" w:color="auto" w:sz="4" w:space="0"/>
            </w:tcBorders>
            <w:vAlign w:val="center"/>
            <w:hideMark/>
          </w:tcPr>
          <w:p w:rsidRPr="001D07BE" w:rsidR="007253C8" w:rsidP="00301BD8" w:rsidRDefault="007253C8" w14:paraId="1BF56CA5" w14:textId="77777777">
            <w:pPr>
              <w:pStyle w:val="TableText"/>
            </w:pPr>
            <w:r w:rsidRPr="001D07BE">
              <w:t xml:space="preserve">$8,714 </w:t>
            </w:r>
          </w:p>
        </w:tc>
        <w:tc>
          <w:tcPr>
            <w:tcW w:w="1682" w:type="dxa"/>
            <w:tcBorders>
              <w:top w:val="nil"/>
              <w:left w:val="single" w:color="auto" w:sz="4" w:space="0"/>
              <w:bottom w:val="single" w:color="auto" w:sz="4" w:space="0"/>
              <w:right w:val="nil"/>
            </w:tcBorders>
            <w:vAlign w:val="center"/>
            <w:hideMark/>
          </w:tcPr>
          <w:p w:rsidRPr="001D07BE" w:rsidR="007253C8" w:rsidP="00301BD8" w:rsidRDefault="007253C8" w14:paraId="3155C67E" w14:textId="77777777">
            <w:pPr>
              <w:pStyle w:val="TableText"/>
            </w:pPr>
            <w:r w:rsidRPr="001D07BE">
              <w:t xml:space="preserve">$8,714 </w:t>
            </w:r>
          </w:p>
        </w:tc>
        <w:tc>
          <w:tcPr>
            <w:tcW w:w="1095" w:type="dxa"/>
            <w:tcBorders>
              <w:top w:val="nil"/>
              <w:left w:val="double" w:color="auto" w:sz="6" w:space="0"/>
              <w:bottom w:val="single" w:color="auto" w:sz="4" w:space="0"/>
              <w:right w:val="single" w:color="auto" w:sz="4" w:space="0"/>
            </w:tcBorders>
            <w:vAlign w:val="center"/>
            <w:hideMark/>
          </w:tcPr>
          <w:p w:rsidRPr="001D07BE" w:rsidR="007253C8" w:rsidP="00301BD8" w:rsidRDefault="007253C8" w14:paraId="42AC8D5D" w14:textId="77777777">
            <w:pPr>
              <w:pStyle w:val="TableText"/>
            </w:pPr>
            <w:r w:rsidRPr="001D07BE">
              <w:t xml:space="preserve">$2,013 </w:t>
            </w:r>
          </w:p>
        </w:tc>
        <w:tc>
          <w:tcPr>
            <w:tcW w:w="1260" w:type="dxa"/>
            <w:tcBorders>
              <w:top w:val="nil"/>
              <w:left w:val="nil"/>
              <w:bottom w:val="single" w:color="auto" w:sz="4" w:space="0"/>
              <w:right w:val="single" w:color="auto" w:sz="4" w:space="0"/>
            </w:tcBorders>
            <w:vAlign w:val="center"/>
            <w:hideMark/>
          </w:tcPr>
          <w:p w:rsidRPr="001D07BE" w:rsidR="007253C8" w:rsidP="00301BD8" w:rsidRDefault="007253C8" w14:paraId="70B80E76" w14:textId="77777777">
            <w:pPr>
              <w:pStyle w:val="TableText"/>
            </w:pPr>
            <w:r w:rsidRPr="001D07BE">
              <w:t xml:space="preserve">$1,321 </w:t>
            </w:r>
          </w:p>
        </w:tc>
        <w:tc>
          <w:tcPr>
            <w:tcW w:w="1707" w:type="dxa"/>
            <w:tcBorders>
              <w:top w:val="nil"/>
              <w:left w:val="nil"/>
              <w:bottom w:val="single" w:color="auto" w:sz="4" w:space="0"/>
              <w:right w:val="single" w:color="auto" w:sz="4" w:space="0"/>
            </w:tcBorders>
            <w:vAlign w:val="center"/>
            <w:hideMark/>
          </w:tcPr>
          <w:p w:rsidRPr="001D07BE" w:rsidR="007253C8" w:rsidP="00301BD8" w:rsidRDefault="007253C8" w14:paraId="600FB15D" w14:textId="77777777">
            <w:pPr>
              <w:pStyle w:val="TableText"/>
            </w:pPr>
            <w:r w:rsidRPr="001D07BE">
              <w:t>($692)</w:t>
            </w:r>
          </w:p>
        </w:tc>
      </w:tr>
      <w:tr w:rsidRPr="001D07BE" w:rsidR="007253C8" w:rsidTr="00301BD8" w14:paraId="359E97E9" w14:textId="77777777">
        <w:trPr>
          <w:trHeight w:val="340"/>
        </w:trPr>
        <w:tc>
          <w:tcPr>
            <w:tcW w:w="2006" w:type="dxa"/>
            <w:tcBorders>
              <w:top w:val="nil"/>
              <w:left w:val="single" w:color="auto" w:sz="4" w:space="0"/>
              <w:bottom w:val="single" w:color="auto" w:sz="4" w:space="0"/>
              <w:right w:val="single" w:color="auto" w:sz="4" w:space="0"/>
            </w:tcBorders>
            <w:vAlign w:val="bottom"/>
            <w:hideMark/>
          </w:tcPr>
          <w:p w:rsidRPr="001D07BE" w:rsidR="007253C8" w:rsidP="00301BD8" w:rsidRDefault="007253C8" w14:paraId="7ECBC8C2" w14:textId="77777777">
            <w:pPr>
              <w:pStyle w:val="TableText"/>
              <w:rPr>
                <w:i/>
              </w:rPr>
            </w:pPr>
            <w:r w:rsidRPr="26D7ABF7">
              <w:rPr>
                <w:i/>
                <w:iCs/>
              </w:rPr>
              <w:t>Total</w:t>
            </w:r>
          </w:p>
        </w:tc>
        <w:tc>
          <w:tcPr>
            <w:tcW w:w="1395" w:type="dxa"/>
            <w:tcBorders>
              <w:top w:val="nil"/>
              <w:left w:val="nil"/>
              <w:bottom w:val="single" w:color="auto" w:sz="4" w:space="0"/>
              <w:right w:val="single" w:color="auto" w:sz="4" w:space="0"/>
            </w:tcBorders>
            <w:vAlign w:val="center"/>
            <w:hideMark/>
          </w:tcPr>
          <w:p w:rsidRPr="001D07BE" w:rsidR="007253C8" w:rsidP="00301BD8" w:rsidRDefault="007253C8" w14:paraId="6AE1BF9F" w14:textId="77777777">
            <w:pPr>
              <w:pStyle w:val="TableText"/>
              <w:rPr>
                <w:i/>
              </w:rPr>
            </w:pPr>
            <w:r w:rsidRPr="001D07BE">
              <w:rPr>
                <w:i/>
              </w:rPr>
              <w:t>-</w:t>
            </w:r>
          </w:p>
        </w:tc>
        <w:tc>
          <w:tcPr>
            <w:tcW w:w="1065" w:type="dxa"/>
            <w:tcBorders>
              <w:top w:val="nil"/>
              <w:left w:val="nil"/>
              <w:bottom w:val="single" w:color="auto" w:sz="4" w:space="0"/>
              <w:right w:val="single" w:color="auto" w:sz="4" w:space="0"/>
            </w:tcBorders>
            <w:vAlign w:val="center"/>
            <w:hideMark/>
          </w:tcPr>
          <w:p w:rsidRPr="001D07BE" w:rsidR="007253C8" w:rsidP="00301BD8" w:rsidRDefault="007253C8" w14:paraId="71812E6B" w14:textId="77777777">
            <w:pPr>
              <w:pStyle w:val="TableText"/>
              <w:rPr>
                <w:i/>
              </w:rPr>
            </w:pPr>
            <w:r w:rsidRPr="001D07BE">
              <w:rPr>
                <w:i/>
              </w:rPr>
              <w:t>$44,456</w:t>
            </w:r>
          </w:p>
        </w:tc>
        <w:tc>
          <w:tcPr>
            <w:tcW w:w="1682" w:type="dxa"/>
            <w:tcBorders>
              <w:top w:val="nil"/>
              <w:left w:val="single" w:color="auto" w:sz="4" w:space="0"/>
              <w:bottom w:val="single" w:color="auto" w:sz="4" w:space="0"/>
              <w:right w:val="nil"/>
            </w:tcBorders>
            <w:vAlign w:val="center"/>
            <w:hideMark/>
          </w:tcPr>
          <w:p w:rsidRPr="001D07BE" w:rsidR="007253C8" w:rsidP="00301BD8" w:rsidRDefault="007253C8" w14:paraId="03DEC239" w14:textId="77777777">
            <w:pPr>
              <w:pStyle w:val="TableText"/>
              <w:rPr>
                <w:i/>
              </w:rPr>
            </w:pPr>
            <w:r w:rsidRPr="001D07BE">
              <w:rPr>
                <w:i/>
              </w:rPr>
              <w:t>$44,456</w:t>
            </w:r>
          </w:p>
        </w:tc>
        <w:tc>
          <w:tcPr>
            <w:tcW w:w="1095" w:type="dxa"/>
            <w:tcBorders>
              <w:top w:val="nil"/>
              <w:left w:val="double" w:color="auto" w:sz="6" w:space="0"/>
              <w:bottom w:val="single" w:color="auto" w:sz="4" w:space="0"/>
              <w:right w:val="single" w:color="auto" w:sz="4" w:space="0"/>
            </w:tcBorders>
            <w:vAlign w:val="center"/>
            <w:hideMark/>
          </w:tcPr>
          <w:p w:rsidRPr="001D07BE" w:rsidR="007253C8" w:rsidP="00301BD8" w:rsidRDefault="007253C8" w14:paraId="13CDC838" w14:textId="77777777">
            <w:pPr>
              <w:pStyle w:val="TableText"/>
              <w:rPr>
                <w:i/>
              </w:rPr>
            </w:pPr>
            <w:r w:rsidRPr="001D07BE">
              <w:rPr>
                <w:i/>
              </w:rPr>
              <w:t>$2,013</w:t>
            </w:r>
          </w:p>
        </w:tc>
        <w:tc>
          <w:tcPr>
            <w:tcW w:w="1260" w:type="dxa"/>
            <w:tcBorders>
              <w:top w:val="nil"/>
              <w:left w:val="nil"/>
              <w:bottom w:val="single" w:color="auto" w:sz="4" w:space="0"/>
              <w:right w:val="single" w:color="auto" w:sz="4" w:space="0"/>
            </w:tcBorders>
            <w:vAlign w:val="center"/>
            <w:hideMark/>
          </w:tcPr>
          <w:p w:rsidRPr="001D07BE" w:rsidR="007253C8" w:rsidP="00301BD8" w:rsidRDefault="007253C8" w14:paraId="5886D912" w14:textId="77777777">
            <w:pPr>
              <w:pStyle w:val="TableText"/>
              <w:rPr>
                <w:i/>
              </w:rPr>
            </w:pPr>
            <w:r w:rsidRPr="001D07BE">
              <w:rPr>
                <w:i/>
              </w:rPr>
              <w:t>$1,321</w:t>
            </w:r>
          </w:p>
        </w:tc>
        <w:tc>
          <w:tcPr>
            <w:tcW w:w="1707" w:type="dxa"/>
            <w:tcBorders>
              <w:top w:val="nil"/>
              <w:left w:val="nil"/>
              <w:bottom w:val="single" w:color="auto" w:sz="4" w:space="0"/>
              <w:right w:val="single" w:color="auto" w:sz="4" w:space="0"/>
            </w:tcBorders>
            <w:vAlign w:val="center"/>
            <w:hideMark/>
          </w:tcPr>
          <w:p w:rsidRPr="001D07BE" w:rsidR="007253C8" w:rsidP="00301BD8" w:rsidRDefault="007253C8" w14:paraId="48426161" w14:textId="77777777">
            <w:pPr>
              <w:pStyle w:val="TableText"/>
              <w:rPr>
                <w:i/>
              </w:rPr>
            </w:pPr>
            <w:r w:rsidRPr="001D07BE">
              <w:rPr>
                <w:i/>
              </w:rPr>
              <w:t>($692)</w:t>
            </w:r>
          </w:p>
        </w:tc>
      </w:tr>
    </w:tbl>
    <w:p w:rsidR="007253C8" w:rsidP="007253C8" w:rsidRDefault="007253C8" w14:paraId="20369F09" w14:textId="77777777">
      <w:pPr>
        <w:pStyle w:val="Standard"/>
      </w:pPr>
    </w:p>
    <w:p w:rsidR="007253C8" w:rsidP="00A447AD" w:rsidRDefault="007253C8" w14:paraId="6A7FEA7E" w14:textId="4D411C5C">
      <w:pPr>
        <w:pStyle w:val="Heading2"/>
        <w:numPr>
          <w:ilvl w:val="1"/>
          <w:numId w:val="13"/>
        </w:numPr>
      </w:pPr>
      <w:bookmarkStart w:name="_Toc213312298" w:id="88"/>
      <w:r w:rsidRPr="00D459E9">
        <w:t>Centralized Repository for Data</w:t>
      </w:r>
      <w:bookmarkEnd w:id="88"/>
    </w:p>
    <w:p w:rsidR="007253C8" w:rsidP="007253C8" w:rsidRDefault="007253C8" w14:paraId="4853D5E4" w14:textId="77777777">
      <w:pPr>
        <w:pStyle w:val="Standard"/>
      </w:pPr>
      <w:r w:rsidRPr="00DA234E">
        <w:t>The WMP Centralized Repository for Data consolidat</w:t>
      </w:r>
      <w:r>
        <w:t>es</w:t>
      </w:r>
      <w:r w:rsidRPr="00DA234E">
        <w:t xml:space="preserve"> data from over 10 different sources into a central repository, with a focus on automating data processes </w:t>
      </w:r>
      <w:r>
        <w:t xml:space="preserve">for </w:t>
      </w:r>
      <w:r w:rsidRPr="00DA234E">
        <w:t>the WMP Quarterly Data Report as well as to advance SDG&amp;E's Asset Management capabilities as they relate to electric assets</w:t>
      </w:r>
      <w:r w:rsidRPr="00DA234E" w:rsidDel="00137343">
        <w:t xml:space="preserve">. </w:t>
      </w:r>
      <w:bookmarkStart w:name="_Hlk197087492" w:id="89"/>
      <w:r w:rsidRPr="004D324C">
        <w:t>For this activity</w:t>
      </w:r>
      <w:r>
        <w:t xml:space="preserve"> </w:t>
      </w:r>
      <w:r w:rsidRPr="001A698F">
        <w:t>for the 2019</w:t>
      </w:r>
      <w:r>
        <w:t>–20</w:t>
      </w:r>
      <w:r w:rsidRPr="001A698F">
        <w:t xml:space="preserve">22 period, SDG&amp;E </w:t>
      </w:r>
      <w:r>
        <w:t>requests recovery of $35.742 million in capital expenditures (plus associated indirect costs), none of which was authorized in the last GRC.</w:t>
      </w:r>
      <w:r w:rsidRPr="001A698F">
        <w:rPr>
          <w:vertAlign w:val="superscript"/>
        </w:rPr>
        <w:footnoteReference w:id="294"/>
      </w:r>
      <w:r>
        <w:t xml:space="preserve"> SDG&amp;E requests zero dollars for O&amp;M costs for this category.</w:t>
      </w:r>
      <w:bookmarkEnd w:id="89"/>
    </w:p>
    <w:p w:rsidR="007253C8" w:rsidP="007253C8" w:rsidRDefault="007253C8" w14:paraId="534157CE" w14:textId="32DC9D63">
      <w:pPr>
        <w:pStyle w:val="Standard"/>
      </w:pPr>
      <w:r>
        <w:t xml:space="preserve"> </w:t>
      </w:r>
    </w:p>
    <w:p w:rsidR="007253C8" w:rsidP="00A447AD" w:rsidRDefault="007253C8" w14:paraId="0CD25AB9" w14:textId="61C4F28F">
      <w:pPr>
        <w:pStyle w:val="Heading2"/>
        <w:numPr>
          <w:ilvl w:val="1"/>
          <w:numId w:val="13"/>
        </w:numPr>
      </w:pPr>
      <w:bookmarkStart w:name="_Toc213312299" w:id="90"/>
      <w:r>
        <w:lastRenderedPageBreak/>
        <w:t>Documentation and Disclosure of Wildfire-Related Data and Algorithms</w:t>
      </w:r>
      <w:bookmarkEnd w:id="90"/>
    </w:p>
    <w:p w:rsidR="007253C8" w:rsidP="007253C8" w:rsidRDefault="007253C8" w14:paraId="7CEF195C" w14:textId="6C12DE60">
      <w:pPr>
        <w:pStyle w:val="Standard"/>
      </w:pPr>
      <w:r>
        <w:t xml:space="preserve">OEIS </w:t>
      </w:r>
      <w:r w:rsidRPr="007F4B5F">
        <w:t xml:space="preserve">requires submission of a Quarterly Data Report (QDR) utilizing </w:t>
      </w:r>
      <w:r>
        <w:t xml:space="preserve">certain </w:t>
      </w:r>
      <w:r w:rsidRPr="007F4B5F">
        <w:t>feature</w:t>
      </w:r>
      <w:r>
        <w:t xml:space="preserve">s </w:t>
      </w:r>
      <w:r w:rsidRPr="007F4B5F">
        <w:t xml:space="preserve">for WMP data analysis. </w:t>
      </w:r>
      <w:r>
        <w:t xml:space="preserve">SDG&amp;E states that its requested cost recovery for the automation of documentation and disclosure of wildfire data supports submission of this report. </w:t>
      </w:r>
      <w:r w:rsidRPr="00A76B4E">
        <w:t xml:space="preserve">For this activity </w:t>
      </w:r>
      <w:r w:rsidRPr="001A698F">
        <w:t>for the 2019</w:t>
      </w:r>
      <w:r>
        <w:t>–20</w:t>
      </w:r>
      <w:r w:rsidRPr="001A698F">
        <w:t xml:space="preserve">22 period, SDG&amp;E </w:t>
      </w:r>
      <w:r>
        <w:t xml:space="preserve">states that it was authorized $2.013 million for O&amp;M and zero dollars for capital. Based on SDG&amp;E’s costs recorded in the WMPMA, SDG&amp;E </w:t>
      </w:r>
      <w:r w:rsidRPr="00A76B4E">
        <w:t>requests recovery of $</w:t>
      </w:r>
      <w:r>
        <w:t xml:space="preserve">8.714 </w:t>
      </w:r>
      <w:r w:rsidRPr="00A76B4E">
        <w:t>million in capital expenditures, none of which was authorized in the last GRC.</w:t>
      </w:r>
      <w:r w:rsidRPr="001A698F">
        <w:rPr>
          <w:vertAlign w:val="superscript"/>
        </w:rPr>
        <w:footnoteReference w:id="295"/>
      </w:r>
      <w:r w:rsidRPr="00A76B4E">
        <w:t xml:space="preserve"> SDG&amp;E requests zero dollars for O&amp;M costs for this category.</w:t>
      </w:r>
      <w:r>
        <w:t xml:space="preserve"> SDG&amp;E also requests recovery of the associated indirect costs.</w:t>
      </w:r>
    </w:p>
    <w:p w:rsidRPr="00AC67D4" w:rsidR="007253C8" w:rsidP="007253C8" w:rsidRDefault="007253C8" w14:paraId="7BACDA6D" w14:textId="77777777">
      <w:pPr>
        <w:pStyle w:val="Standard"/>
      </w:pPr>
      <w:r w:rsidRPr="00AC67D4">
        <w:t>Cal Advocates recommends denying cost recovery for data governance based on SDG&amp;E having underspent funds authorized for this category in the last GRC.</w:t>
      </w:r>
      <w:r w:rsidRPr="00AC67D4">
        <w:rPr>
          <w:vertAlign w:val="superscript"/>
        </w:rPr>
        <w:footnoteReference w:id="296"/>
      </w:r>
      <w:r w:rsidRPr="00373588">
        <w:t xml:space="preserve"> Cal Advocates, however, does not specify whether the amounts authorized in the last GRC are for capital expenditures, O&amp;M expenses, or the combined total.</w:t>
      </w:r>
    </w:p>
    <w:p w:rsidR="007253C8" w:rsidP="007253C8" w:rsidRDefault="007253C8" w14:paraId="3144791E" w14:textId="12045713">
      <w:pPr>
        <w:pStyle w:val="Standard"/>
      </w:pPr>
      <w:r w:rsidRPr="00AC67D4">
        <w:t xml:space="preserve">In rebuttal, SDG&amp;E claims that Cal Advocates’ recommendation should be denied because it is based on referencing an incorrect amount authorized in the last GRC. SDG&amp;E states that </w:t>
      </w:r>
      <w:r w:rsidRPr="00373588">
        <w:t xml:space="preserve">the </w:t>
      </w:r>
      <w:r w:rsidRPr="00AC67D4">
        <w:t xml:space="preserve">amount authorized </w:t>
      </w:r>
      <w:r w:rsidRPr="00373588">
        <w:t xml:space="preserve">for </w:t>
      </w:r>
      <w:r w:rsidRPr="00AC67D4">
        <w:t>this category</w:t>
      </w:r>
      <w:r w:rsidRPr="00373588">
        <w:t xml:space="preserve"> </w:t>
      </w:r>
      <w:r w:rsidRPr="00AC67D4">
        <w:t>was $2.013</w:t>
      </w:r>
      <w:r w:rsidR="00EB33A9">
        <w:t> </w:t>
      </w:r>
      <w:r w:rsidRPr="00AC67D4">
        <w:t>million</w:t>
      </w:r>
      <w:r w:rsidRPr="00373588">
        <w:t xml:space="preserve"> and that Cal Advocates’ figure of </w:t>
      </w:r>
      <w:r w:rsidRPr="00AC67D4">
        <w:t xml:space="preserve">$9.587 million </w:t>
      </w:r>
      <w:r w:rsidRPr="00373588">
        <w:t>corresponds to a different cost category.</w:t>
      </w:r>
      <w:r w:rsidRPr="00373588">
        <w:rPr>
          <w:rStyle w:val="FootnoteReference"/>
        </w:rPr>
        <w:footnoteReference w:id="297"/>
      </w:r>
    </w:p>
    <w:p w:rsidR="0087649C" w:rsidP="002061DD" w:rsidRDefault="00807149" w14:paraId="6E1D4841" w14:textId="7F6E4D77">
      <w:pPr>
        <w:pStyle w:val="Standard"/>
      </w:pPr>
      <w:r>
        <w:t xml:space="preserve">In SDG&amp;E’s Opening Comments </w:t>
      </w:r>
      <w:r w:rsidR="008A704A">
        <w:t xml:space="preserve">on the Proposed Decision, SDG&amp;E describes the </w:t>
      </w:r>
      <w:r w:rsidRPr="008A704A" w:rsidR="008A704A">
        <w:t>wildfire mitigation plan framework</w:t>
      </w:r>
      <w:r w:rsidR="008A704A">
        <w:t xml:space="preserve"> that supports Data Governance </w:t>
      </w:r>
      <w:r w:rsidR="008A704A">
        <w:lastRenderedPageBreak/>
        <w:t>costs in Table 10</w:t>
      </w:r>
      <w:r w:rsidRPr="008A704A" w:rsidR="008A704A">
        <w:t xml:space="preserve">, including the WMP Enterprise Asset Management Platform, WMP WSD Data Schema, WMP Electric Distribution Asset Investment Prioritization, WMP Advanced Analytics, and WMP Data Foundation and Reporting. These tools </w:t>
      </w:r>
      <w:r w:rsidRPr="008A704A" w:rsidR="00F62394">
        <w:t xml:space="preserve">were </w:t>
      </w:r>
      <w:r w:rsidRPr="008A704A" w:rsidR="008A704A">
        <w:t>all</w:t>
      </w:r>
      <w:r w:rsidR="000B4088">
        <w:t xml:space="preserve"> </w:t>
      </w:r>
      <w:r w:rsidRPr="008A704A" w:rsidR="008A704A">
        <w:t>developed in response to Data Guidelines requirements set forth by the WSD and the Office of Energy Infrastructure Safety (OEIS).</w:t>
      </w:r>
      <w:r w:rsidR="008A704A">
        <w:t xml:space="preserve"> The collection of wildfire </w:t>
      </w:r>
      <w:r w:rsidRPr="008A704A" w:rsidR="008A704A">
        <w:t>mitigation data</w:t>
      </w:r>
      <w:r w:rsidR="008A704A">
        <w:t xml:space="preserve"> and</w:t>
      </w:r>
      <w:r w:rsidRPr="008A704A" w:rsidR="008A704A">
        <w:t xml:space="preserve"> regulatory mandates required utilities to automate, consolidate, and report wildfire mitigation data in standardized formats, including the Quarterly Data Report (QDR). Further, over several WMP cycles, SDG&amp;E was required to bolster its data governance framework in response to several Areas for Continued Improvement in WMP approvals (e.g., creating centralized data repositories and improving data quality controls).</w:t>
      </w:r>
      <w:r w:rsidR="0087649C">
        <w:rPr>
          <w:rStyle w:val="FootnoteReference"/>
        </w:rPr>
        <w:footnoteReference w:id="298"/>
      </w:r>
      <w:r w:rsidRPr="008A704A" w:rsidR="008A704A">
        <w:t xml:space="preserve"> </w:t>
      </w:r>
      <w:bookmarkStart w:name="_Hlk216361686" w:id="91"/>
      <w:r w:rsidR="008A4882">
        <w:t xml:space="preserve">However, </w:t>
      </w:r>
      <w:r w:rsidR="00053BD7">
        <w:t xml:space="preserve">the </w:t>
      </w:r>
      <w:r w:rsidR="00765735">
        <w:t xml:space="preserve">information on the Wildfire Mitigation Plan framework </w:t>
      </w:r>
      <w:r w:rsidR="007E43F2">
        <w:t xml:space="preserve">in </w:t>
      </w:r>
      <w:r w:rsidR="007C4CB9">
        <w:t>SDG&amp;E</w:t>
      </w:r>
      <w:r w:rsidR="000236E2">
        <w:t xml:space="preserve">’s Opening Comments </w:t>
      </w:r>
      <w:r w:rsidR="004A3A36">
        <w:t>regarding</w:t>
      </w:r>
      <w:r w:rsidR="007E43F2">
        <w:t xml:space="preserve"> Data Governance </w:t>
      </w:r>
      <w:r w:rsidR="004A3A36">
        <w:t xml:space="preserve">in general </w:t>
      </w:r>
      <w:r w:rsidR="000236E2">
        <w:t>does</w:t>
      </w:r>
      <w:r w:rsidR="00053BD7">
        <w:t xml:space="preserve"> </w:t>
      </w:r>
      <w:r w:rsidR="004A3A36">
        <w:t xml:space="preserve">not support the separate capital requests </w:t>
      </w:r>
      <w:r w:rsidR="00430E02">
        <w:t xml:space="preserve">of </w:t>
      </w:r>
      <w:r w:rsidRPr="00111371" w:rsidR="00111371">
        <w:t>$35</w:t>
      </w:r>
      <w:r w:rsidR="00886B11">
        <w:t>.</w:t>
      </w:r>
      <w:r w:rsidRPr="00111371" w:rsidR="00111371">
        <w:t>742</w:t>
      </w:r>
      <w:r w:rsidR="00111371">
        <w:t xml:space="preserve"> and </w:t>
      </w:r>
      <w:r w:rsidR="00430E02">
        <w:t>$8.174 million</w:t>
      </w:r>
      <w:r w:rsidR="00976296">
        <w:t xml:space="preserve">. </w:t>
      </w:r>
      <w:r w:rsidR="00BF0BC8">
        <w:t>SDG&amp;E’s testimony</w:t>
      </w:r>
      <w:r w:rsidR="002B6813">
        <w:rPr>
          <w:rStyle w:val="FootnoteReference"/>
        </w:rPr>
        <w:footnoteReference w:id="299"/>
      </w:r>
      <w:r w:rsidR="00BF0BC8">
        <w:t xml:space="preserve"> </w:t>
      </w:r>
      <w:r w:rsidR="009F51A8">
        <w:t>d</w:t>
      </w:r>
      <w:r w:rsidR="00545630">
        <w:t>oes not articulate any connection to the workpapers supporting this reques</w:t>
      </w:r>
      <w:r w:rsidR="00A9329A">
        <w:t>t</w:t>
      </w:r>
      <w:r w:rsidR="00545630">
        <w:t xml:space="preserve"> or </w:t>
      </w:r>
      <w:r w:rsidR="00A9329A">
        <w:t xml:space="preserve">why the requests are capital </w:t>
      </w:r>
      <w:r w:rsidR="00961589">
        <w:t xml:space="preserve">expenditures </w:t>
      </w:r>
      <w:r w:rsidR="00A9329A">
        <w:t>versus</w:t>
      </w:r>
      <w:r w:rsidR="00961589">
        <w:t xml:space="preserve"> O&amp;M expenses. </w:t>
      </w:r>
      <w:bookmarkEnd w:id="91"/>
      <w:r w:rsidRPr="00373588" w:rsidR="007253C8">
        <w:t xml:space="preserve"> </w:t>
      </w:r>
      <w:r w:rsidRPr="00FE0701" w:rsidR="007253C8">
        <w:t xml:space="preserve">Workpapers breaking down costs by Capital (at the project level and </w:t>
      </w:r>
      <w:r w:rsidR="00BE2C63">
        <w:t>software or hardware</w:t>
      </w:r>
      <w:r w:rsidRPr="00FE0701" w:rsidR="007253C8">
        <w:t xml:space="preserve"> purchased), O&amp;M, and labor (e.g. FTEs</w:t>
      </w:r>
      <w:r w:rsidR="00ED2981">
        <w:t xml:space="preserve"> for new employees or existing resources</w:t>
      </w:r>
      <w:r w:rsidRPr="00FE0701" w:rsidR="007253C8">
        <w:t xml:space="preserve">) are incomplete. </w:t>
      </w:r>
      <w:r w:rsidRPr="00554A68" w:rsidR="007253C8">
        <w:t xml:space="preserve">More specifically, SDG&amp;E does not demonstrate </w:t>
      </w:r>
      <w:r w:rsidR="000F1C25">
        <w:t>the basis for this request being incremental</w:t>
      </w:r>
      <w:r w:rsidR="00ED2981">
        <w:t xml:space="preserve">, </w:t>
      </w:r>
      <w:r w:rsidR="00571318">
        <w:t>whether software was</w:t>
      </w:r>
      <w:r w:rsidR="00492AD0">
        <w:t xml:space="preserve"> purchased</w:t>
      </w:r>
      <w:r w:rsidR="00571318">
        <w:t xml:space="preserve">, </w:t>
      </w:r>
      <w:r w:rsidR="004F3F31">
        <w:t xml:space="preserve">whether new employees were hired, </w:t>
      </w:r>
      <w:r w:rsidR="00C364E4">
        <w:t xml:space="preserve">or whether existing resources were used and replaced </w:t>
      </w:r>
      <w:r w:rsidRPr="00554A68" w:rsidR="007253C8">
        <w:t>to provide data to produce additional report</w:t>
      </w:r>
      <w:r w:rsidR="004F3F31">
        <w:t>s</w:t>
      </w:r>
      <w:r w:rsidRPr="00554A68" w:rsidR="007253C8">
        <w:t xml:space="preserve"> . </w:t>
      </w:r>
      <w:r w:rsidR="00D551CC">
        <w:t xml:space="preserve">Nor does the record determine whether the request </w:t>
      </w:r>
      <w:r w:rsidR="00D71523">
        <w:t xml:space="preserve">could be </w:t>
      </w:r>
      <w:r w:rsidR="00D71523">
        <w:lastRenderedPageBreak/>
        <w:t xml:space="preserve">capital versus O&amp;M. </w:t>
      </w:r>
      <w:r w:rsidRPr="00554A68" w:rsidR="007253C8">
        <w:t xml:space="preserve">As a result, SDG&amp;E’s request for recovery of additional </w:t>
      </w:r>
      <w:r w:rsidR="00F9096C">
        <w:t xml:space="preserve">capital expenditures </w:t>
      </w:r>
      <w:r w:rsidRPr="00554A68" w:rsidR="007253C8">
        <w:t xml:space="preserve"> for the </w:t>
      </w:r>
      <w:r w:rsidR="007253C8">
        <w:t xml:space="preserve">Documentation and Disclosure of Wildfire-Related Data and Algorithms </w:t>
      </w:r>
      <w:r w:rsidRPr="00554A68" w:rsidR="007253C8">
        <w:t>is denied.</w:t>
      </w:r>
      <w:bookmarkStart w:name="_Toc213312300" w:id="92"/>
      <w:r w:rsidR="002061DD">
        <w:t xml:space="preserve"> </w:t>
      </w:r>
      <w:r w:rsidRPr="002061DD" w:rsidR="002061DD">
        <w:t xml:space="preserve"> </w:t>
      </w:r>
    </w:p>
    <w:p w:rsidR="007253C8" w:rsidP="0087649C" w:rsidRDefault="007253C8" w14:paraId="01F25323" w14:textId="5B9ED74F">
      <w:pPr>
        <w:pStyle w:val="Heading1"/>
      </w:pPr>
      <w:r w:rsidRPr="0078386B">
        <w:t>Resource</w:t>
      </w:r>
      <w:r w:rsidRPr="550177A5">
        <w:t xml:space="preserve"> Allocation </w:t>
      </w:r>
      <w:r w:rsidRPr="009F3AAA">
        <w:t>Methodology</w:t>
      </w:r>
      <w:r w:rsidRPr="550177A5">
        <w:t xml:space="preserve"> (RAM)</w:t>
      </w:r>
      <w:bookmarkEnd w:id="92"/>
    </w:p>
    <w:p w:rsidR="007253C8" w:rsidP="007253C8" w:rsidRDefault="007253C8" w14:paraId="486C0CC1" w14:textId="0CAEE199">
      <w:pPr>
        <w:pStyle w:val="Standard"/>
      </w:pPr>
      <w:r w:rsidRPr="00F11F2F">
        <w:t>SDG&amp;E represents that i</w:t>
      </w:r>
      <w:r>
        <w:t xml:space="preserve">t was authorized to spend </w:t>
      </w:r>
      <w:r w:rsidRPr="00F11F2F">
        <w:t>$5</w:t>
      </w:r>
      <w:r>
        <w:t>.</w:t>
      </w:r>
      <w:r w:rsidRPr="00F11F2F">
        <w:t>234</w:t>
      </w:r>
      <w:r>
        <w:t xml:space="preserve"> million</w:t>
      </w:r>
      <w:r w:rsidR="00D04916">
        <w:rPr>
          <w:rStyle w:val="FootnoteReference"/>
        </w:rPr>
        <w:footnoteReference w:id="300"/>
      </w:r>
      <w:r>
        <w:t xml:space="preserve"> on its </w:t>
      </w:r>
      <w:r w:rsidRPr="00F11F2F">
        <w:t>enterprise risk management process.</w:t>
      </w:r>
      <w:r>
        <w:rPr>
          <w:rStyle w:val="FootnoteReference"/>
        </w:rPr>
        <w:footnoteReference w:id="301"/>
      </w:r>
      <w:r w:rsidRPr="00F11F2F">
        <w:t xml:space="preserve"> That process includes risk-informed investment decision-making</w:t>
      </w:r>
      <w:r>
        <w:t xml:space="preserve"> related to its </w:t>
      </w:r>
      <w:r w:rsidRPr="001D08BD">
        <w:t xml:space="preserve">enterprise-wide investment prioritization </w:t>
      </w:r>
      <w:r>
        <w:t>process.</w:t>
      </w:r>
      <w:r>
        <w:rPr>
          <w:rStyle w:val="FootnoteReference"/>
        </w:rPr>
        <w:footnoteReference w:id="302"/>
      </w:r>
      <w:r>
        <w:t xml:space="preserve"> The latter process is </w:t>
      </w:r>
      <w:r w:rsidRPr="00F11F2F">
        <w:t>led by the Asset Management organization</w:t>
      </w:r>
      <w:r>
        <w:t>.</w:t>
      </w:r>
      <w:r>
        <w:rPr>
          <w:rStyle w:val="FootnoteReference"/>
        </w:rPr>
        <w:footnoteReference w:id="303"/>
      </w:r>
    </w:p>
    <w:p w:rsidRPr="00E065F5" w:rsidR="007253C8" w:rsidP="007253C8" w:rsidRDefault="007253C8" w14:paraId="743213F1" w14:textId="7607C71C">
      <w:pPr>
        <w:pStyle w:val="Standard"/>
        <w:rPr>
          <w:b/>
          <w:bCs/>
        </w:rPr>
      </w:pPr>
      <w:r w:rsidRPr="001D08BD">
        <w:t xml:space="preserve">For this activity </w:t>
      </w:r>
      <w:r>
        <w:t xml:space="preserve">specific to wildfire mitigation </w:t>
      </w:r>
      <w:r w:rsidRPr="001D08BD">
        <w:t>for the 2019</w:t>
      </w:r>
      <w:r>
        <w:t>–20</w:t>
      </w:r>
      <w:r w:rsidRPr="001D08BD">
        <w:t xml:space="preserve">22 period, SDG&amp;E requests recovery of </w:t>
      </w:r>
      <w:r>
        <w:t xml:space="preserve">an additional </w:t>
      </w:r>
      <w:r w:rsidRPr="001D08BD">
        <w:t>$7</w:t>
      </w:r>
      <w:r>
        <w:t>.</w:t>
      </w:r>
      <w:r w:rsidRPr="001D08BD">
        <w:t>964</w:t>
      </w:r>
      <w:r>
        <w:t xml:space="preserve"> million in direct O&amp;M expenses plus associated indirect costs. This request includes an </w:t>
      </w:r>
      <w:r w:rsidRPr="005B7134">
        <w:t xml:space="preserve">initiative </w:t>
      </w:r>
      <w:r>
        <w:t xml:space="preserve">using the </w:t>
      </w:r>
      <w:proofErr w:type="spellStart"/>
      <w:r w:rsidRPr="005B7134">
        <w:t>WiNGS</w:t>
      </w:r>
      <w:proofErr w:type="spellEnd"/>
      <w:r>
        <w:t xml:space="preserve"> wildfire mitigation model to a</w:t>
      </w:r>
      <w:r w:rsidRPr="005B7134">
        <w:t>pply more granular analytics to grid hardening projects.</w:t>
      </w:r>
      <w:r>
        <w:t xml:space="preserve"> More specifically, </w:t>
      </w:r>
      <w:r w:rsidRPr="0086306F">
        <w:t xml:space="preserve">SDG&amp;E </w:t>
      </w:r>
      <w:r>
        <w:t xml:space="preserve">states that it </w:t>
      </w:r>
      <w:r w:rsidRPr="0086306F">
        <w:t xml:space="preserve">needed to develop a more granular application of modeling to tackle specific wildfire-related issues such as targeted grid hardening to reduce PSPS. This includes the wildfire mitigation teams </w:t>
      </w:r>
      <w:r>
        <w:t xml:space="preserve">that </w:t>
      </w:r>
      <w:r w:rsidRPr="0086306F">
        <w:t xml:space="preserve">developed the </w:t>
      </w:r>
      <w:proofErr w:type="spellStart"/>
      <w:r w:rsidRPr="0086306F">
        <w:t>WiNGS</w:t>
      </w:r>
      <w:proofErr w:type="spellEnd"/>
      <w:r w:rsidRPr="0086306F">
        <w:t xml:space="preserve">-Planning model </w:t>
      </w:r>
      <w:r>
        <w:t xml:space="preserve">used </w:t>
      </w:r>
      <w:r w:rsidRPr="0086306F">
        <w:t xml:space="preserve">to quantify </w:t>
      </w:r>
      <w:r>
        <w:t xml:space="preserve">both </w:t>
      </w:r>
      <w:r w:rsidRPr="0086306F">
        <w:t>the impacts of wildfire and PSPS</w:t>
      </w:r>
      <w:r>
        <w:t>,</w:t>
      </w:r>
      <w:r w:rsidRPr="0086306F">
        <w:t xml:space="preserve"> and </w:t>
      </w:r>
      <w:r>
        <w:t xml:space="preserve">also </w:t>
      </w:r>
      <w:r w:rsidRPr="0086306F">
        <w:t xml:space="preserve">identify more optimal solutions to target both wildfire risk reduction and PSPS reduction. The </w:t>
      </w:r>
      <w:proofErr w:type="spellStart"/>
      <w:r w:rsidRPr="0086306F">
        <w:t>WiNGS</w:t>
      </w:r>
      <w:proofErr w:type="spellEnd"/>
      <w:r w:rsidRPr="0086306F">
        <w:t xml:space="preserve">-Planning model was developed internally with the support of third-party consultants to validate the methodology and provide external proxies to improve data used in </w:t>
      </w:r>
      <w:r w:rsidRPr="0086306F">
        <w:lastRenderedPageBreak/>
        <w:t>the model. A centralized wildfire mitigation team was also created with the responsibility of developing, executing, and overseeing SDG&amp;E’s wildfire mitigation plan across the organization.</w:t>
      </w:r>
      <w:r>
        <w:rPr>
          <w:rStyle w:val="FootnoteReference"/>
        </w:rPr>
        <w:footnoteReference w:id="304"/>
      </w:r>
    </w:p>
    <w:p w:rsidRPr="00446F1E" w:rsidR="007253C8" w:rsidP="007253C8" w:rsidRDefault="007253C8" w14:paraId="4033EE80" w14:textId="1B7F452C">
      <w:pPr>
        <w:pStyle w:val="Standard"/>
      </w:pPr>
      <w:r w:rsidRPr="00446F1E">
        <w:t xml:space="preserve">Cal Advocates </w:t>
      </w:r>
      <w:r>
        <w:t xml:space="preserve">recommends denying cost recovery for this category because SDG&amp;E was authorized a total of $36.176 million for the 2019–2022 period for </w:t>
      </w:r>
      <w:r w:rsidRPr="00446F1E">
        <w:t>Resource Allocation Methodology</w:t>
      </w:r>
      <w:r>
        <w:t xml:space="preserve"> </w:t>
      </w:r>
      <w:r w:rsidRPr="00446F1E">
        <w:t>O&amp;M</w:t>
      </w:r>
      <w:r>
        <w:t>, which SDG&amp;E did not spend.</w:t>
      </w:r>
      <w:r>
        <w:rPr>
          <w:rStyle w:val="FootnoteReference"/>
        </w:rPr>
        <w:footnoteReference w:id="305"/>
      </w:r>
    </w:p>
    <w:p w:rsidR="007253C8" w:rsidP="007253C8" w:rsidRDefault="007253C8" w14:paraId="23517859" w14:textId="1139895D">
      <w:pPr>
        <w:pStyle w:val="Standard"/>
      </w:pPr>
    </w:p>
    <w:p w:rsidR="007253C8" w:rsidP="00896E09" w:rsidRDefault="003E49EE" w14:paraId="0782ABA1" w14:textId="195E8581">
      <w:pPr>
        <w:pStyle w:val="Standard"/>
      </w:pPr>
      <w:r>
        <w:t xml:space="preserve">After finding insufficient </w:t>
      </w:r>
      <w:r w:rsidR="0088673C">
        <w:t xml:space="preserve">support for this request, SDG&amp;E provided additional information </w:t>
      </w:r>
      <w:r w:rsidR="00D04916">
        <w:t xml:space="preserve">in its Opening Comments. </w:t>
      </w:r>
      <w:r w:rsidR="003055E3">
        <w:t xml:space="preserve">SDG&amp;E clarified the difference between the costs associated with RAM and those associated with </w:t>
      </w:r>
      <w:r w:rsidRPr="00D04916" w:rsidR="00D04916">
        <w:t>Risk Assessment and Mapping (RA&amp;M), which address the “what and where” of risk reduction</w:t>
      </w:r>
      <w:r w:rsidR="003055E3">
        <w:t>; whereas,</w:t>
      </w:r>
      <w:r w:rsidRPr="00D04916" w:rsidR="00D04916">
        <w:t xml:space="preserve"> RAM reflects the “how and</w:t>
      </w:r>
      <w:r w:rsidR="003055E3">
        <w:t xml:space="preserve"> </w:t>
      </w:r>
      <w:r w:rsidRPr="003055E3" w:rsidR="003055E3">
        <w:t>how much</w:t>
      </w:r>
      <w:r w:rsidR="003055E3">
        <w:t>.</w:t>
      </w:r>
      <w:r w:rsidRPr="003055E3" w:rsidR="003055E3">
        <w:t xml:space="preserve">” </w:t>
      </w:r>
      <w:r w:rsidR="003055E3">
        <w:t xml:space="preserve">SDG&amp;E states that </w:t>
      </w:r>
      <w:r w:rsidRPr="003055E3" w:rsidR="003055E3">
        <w:t xml:space="preserve">both were essential to meeting regulatory compliance guidelines mentioned and </w:t>
      </w:r>
      <w:r w:rsidR="003055E3">
        <w:t xml:space="preserve">were </w:t>
      </w:r>
      <w:r w:rsidRPr="003055E3" w:rsidR="003055E3">
        <w:t>consisten</w:t>
      </w:r>
      <w:r w:rsidR="003055E3">
        <w:t>t</w:t>
      </w:r>
      <w:r w:rsidRPr="003055E3" w:rsidR="003055E3">
        <w:t xml:space="preserve"> with </w:t>
      </w:r>
      <w:r w:rsidR="00821A4D">
        <w:t>OEIS</w:t>
      </w:r>
      <w:r w:rsidRPr="003055E3" w:rsidR="003055E3">
        <w:t xml:space="preserve"> WMP initiative categories.</w:t>
      </w:r>
      <w:r w:rsidR="003055E3">
        <w:rPr>
          <w:rStyle w:val="FootnoteReference"/>
        </w:rPr>
        <w:footnoteReference w:id="306"/>
      </w:r>
      <w:r w:rsidRPr="00446F1E" w:rsidR="007253C8">
        <w:t xml:space="preserve">Although the Commission recognizes the value of </w:t>
      </w:r>
      <w:r w:rsidRPr="001D24C4" w:rsidR="007253C8">
        <w:t>risk-informed investment decision-making</w:t>
      </w:r>
      <w:r w:rsidR="007253C8">
        <w:t xml:space="preserve"> specific to wildfire mitigation work, </w:t>
      </w:r>
      <w:r w:rsidRPr="00446F1E" w:rsidR="007253C8">
        <w:t xml:space="preserve">the </w:t>
      </w:r>
      <w:r w:rsidRPr="36D925D2" w:rsidR="007253C8">
        <w:t xml:space="preserve">Commission finds that SDG&amp;E has </w:t>
      </w:r>
      <w:r w:rsidRPr="00446F1E" w:rsidR="007253C8">
        <w:t xml:space="preserve">failed to support </w:t>
      </w:r>
      <w:r w:rsidRPr="36D925D2" w:rsidR="007253C8">
        <w:t>this request</w:t>
      </w:r>
      <w:r w:rsidR="000F1486">
        <w:t xml:space="preserve"> sufficiently</w:t>
      </w:r>
      <w:r w:rsidRPr="00446F1E" w:rsidR="007253C8">
        <w:t xml:space="preserve">. </w:t>
      </w:r>
      <w:r w:rsidR="00BA6304">
        <w:t xml:space="preserve">This is not an </w:t>
      </w:r>
      <w:r w:rsidRPr="00B62FD4" w:rsidR="00BA6304">
        <w:t>activit</w:t>
      </w:r>
      <w:r w:rsidR="00BA6304">
        <w:t>y</w:t>
      </w:r>
      <w:r w:rsidRPr="00B62FD4" w:rsidR="00BA6304">
        <w:t xml:space="preserve"> with known</w:t>
      </w:r>
      <w:r w:rsidR="00BA6304">
        <w:t>,</w:t>
      </w:r>
      <w:r w:rsidRPr="00B62FD4" w:rsidR="00BA6304">
        <w:t xml:space="preserve"> </w:t>
      </w:r>
      <w:r w:rsidR="00BA6304">
        <w:t xml:space="preserve">reasonable </w:t>
      </w:r>
      <w:r w:rsidRPr="00B62FD4" w:rsidR="00BA6304">
        <w:t xml:space="preserve">metrics or targets. </w:t>
      </w:r>
      <w:r w:rsidRPr="36D925D2" w:rsidR="007253C8">
        <w:t>SDG&amp;E provides insufficient accounting to document the costs requested. Workpapers providing metrics for labor, such as FTEs, are lacking. Supporting material lacks an accounting of base data for the expense</w:t>
      </w:r>
      <w:r w:rsidR="008E719B">
        <w:t>.</w:t>
      </w:r>
      <w:r w:rsidRPr="36D925D2" w:rsidR="007253C8">
        <w:t xml:space="preserve"> </w:t>
      </w:r>
      <w:r w:rsidRPr="00051424" w:rsidR="00FD6C76">
        <w:t>SDG&amp;E also doesn’t break down O&amp;M expenses sufficiently to demonstrate wheth</w:t>
      </w:r>
      <w:r w:rsidR="00466053">
        <w:t xml:space="preserve">er </w:t>
      </w:r>
      <w:r w:rsidRPr="009E7273" w:rsidR="009E7273">
        <w:t xml:space="preserve">existing resources were redirected to achieve the work or </w:t>
      </w:r>
      <w:r w:rsidRPr="009E7273" w:rsidR="009E7273">
        <w:lastRenderedPageBreak/>
        <w:t>whether additional labor was required</w:t>
      </w:r>
      <w:r w:rsidRPr="00051424" w:rsidR="00FD6C76">
        <w:t xml:space="preserve">. </w:t>
      </w:r>
      <w:r w:rsidR="009E7273">
        <w:t>More specifica</w:t>
      </w:r>
      <w:r w:rsidRPr="36D925D2" w:rsidR="007253C8">
        <w:t xml:space="preserve">lly, SDG&amp;E does not provide base data for the activity authorized in the last GRC, for the additional amount of cost recovery requested, and the amount requested for development of the </w:t>
      </w:r>
      <w:proofErr w:type="spellStart"/>
      <w:r w:rsidRPr="36D925D2" w:rsidR="007253C8">
        <w:t>WiNGS</w:t>
      </w:r>
      <w:proofErr w:type="spellEnd"/>
      <w:r w:rsidRPr="36D925D2" w:rsidR="007253C8">
        <w:t xml:space="preserve"> model within Risk Assessment and Mapping.  </w:t>
      </w:r>
      <w:r w:rsidR="00B86443">
        <w:t xml:space="preserve">In addition, </w:t>
      </w:r>
      <w:r w:rsidRPr="00051424" w:rsidR="00B86443">
        <w:t xml:space="preserve">SDG&amp;E does not demonstrate whether new employees were hired or whether existing resources were </w:t>
      </w:r>
      <w:r w:rsidR="009E7273">
        <w:t>redirected to achieve the work or whether additional labor was required</w:t>
      </w:r>
      <w:r w:rsidRPr="00051424" w:rsidR="00B86443">
        <w:t xml:space="preserve">. </w:t>
      </w:r>
      <w:r w:rsidRPr="36D925D2" w:rsidR="007253C8">
        <w:t>As a result, SDG&amp;E’s request for recovery of additional costs for Resource Allocation Methodology is denied.</w:t>
      </w:r>
    </w:p>
    <w:p w:rsidR="007253C8" w:rsidP="00DA1C84" w:rsidRDefault="007253C8" w14:paraId="3AFEE2EE" w14:textId="5A346913">
      <w:pPr>
        <w:pStyle w:val="Heading1"/>
      </w:pPr>
      <w:bookmarkStart w:name="_Toc213312301" w:id="93"/>
      <w:r w:rsidRPr="009F3AAA">
        <w:t>Stakeholder</w:t>
      </w:r>
      <w:r>
        <w:t xml:space="preserve"> Cooperation &amp; Community Engagement (SC&amp;CE)</w:t>
      </w:r>
      <w:bookmarkEnd w:id="93"/>
    </w:p>
    <w:p w:rsidR="007253C8" w:rsidP="007253C8" w:rsidRDefault="007253C8" w14:paraId="5F549B14" w14:textId="25BF81A3">
      <w:pPr>
        <w:pStyle w:val="Standard"/>
      </w:pPr>
      <w:r w:rsidRPr="007D3176">
        <w:t>SDG&amp;E partner</w:t>
      </w:r>
      <w:r>
        <w:t>s</w:t>
      </w:r>
      <w:r w:rsidRPr="007D3176">
        <w:t xml:space="preserve"> with utility customers, elected officials, tribal nations, nonprofit support organizations, first responders, and other public safety and community partners</w:t>
      </w:r>
      <w:r>
        <w:t xml:space="preserve"> and stakeholders to </w:t>
      </w:r>
      <w:r w:rsidRPr="007D3176">
        <w:t>prevent and mitigat</w:t>
      </w:r>
      <w:r>
        <w:t>e wildfires</w:t>
      </w:r>
      <w:r w:rsidRPr="007D3176">
        <w:t xml:space="preserve"> in </w:t>
      </w:r>
      <w:r>
        <w:t xml:space="preserve">its </w:t>
      </w:r>
      <w:r w:rsidRPr="007D3176">
        <w:t>service territory.</w:t>
      </w:r>
      <w:r>
        <w:t xml:space="preserve"> SDG&amp;E also identifies and communicates separately with </w:t>
      </w:r>
      <w:r w:rsidRPr="73E4AAD3">
        <w:t>customers who have access and functional needs in Tier</w:t>
      </w:r>
      <w:r w:rsidR="00F47EB1">
        <w:t>s</w:t>
      </w:r>
      <w:r w:rsidRPr="73E4AAD3">
        <w:t xml:space="preserve"> 2 and 3 HFTDs.</w:t>
      </w:r>
      <w:r w:rsidRPr="73E4AAD3">
        <w:rPr>
          <w:rStyle w:val="FootnoteReference"/>
        </w:rPr>
        <w:footnoteReference w:id="307"/>
      </w:r>
      <w:r w:rsidRPr="73E4AAD3">
        <w:t xml:space="preserve"> </w:t>
      </w:r>
      <w:r>
        <w:t>D</w:t>
      </w:r>
      <w:r w:rsidRPr="007D3176">
        <w:t>uring PSPS</w:t>
      </w:r>
      <w:r>
        <w:t xml:space="preserve"> events, </w:t>
      </w:r>
      <w:r w:rsidRPr="007D3176">
        <w:t xml:space="preserve">communities depend on complete, accurate, and timely information for their safety. </w:t>
      </w:r>
      <w:r>
        <w:t xml:space="preserve">Consequently, </w:t>
      </w:r>
      <w:r w:rsidRPr="007D3176">
        <w:t>SDG&amp;E</w:t>
      </w:r>
      <w:r>
        <w:t xml:space="preserve"> provides information to stakeholders </w:t>
      </w:r>
      <w:r w:rsidRPr="002450C5">
        <w:t xml:space="preserve">to </w:t>
      </w:r>
      <w:r>
        <w:t>enable them to prepare to navi</w:t>
      </w:r>
      <w:r w:rsidRPr="002450C5">
        <w:t>gate the adversity of an emergency, wildfire, or PSPS event.</w:t>
      </w:r>
      <w:r>
        <w:rPr>
          <w:rStyle w:val="FootnoteReference"/>
        </w:rPr>
        <w:footnoteReference w:id="308"/>
      </w:r>
    </w:p>
    <w:p w:rsidRPr="009823B0" w:rsidR="007253C8" w:rsidP="007253C8" w:rsidRDefault="007253C8" w14:paraId="3EC2E708" w14:textId="77777777">
      <w:pPr>
        <w:pStyle w:val="Standard"/>
        <w:ind w:firstLine="0"/>
        <w:jc w:val="center"/>
        <w:rPr>
          <w:b/>
          <w:bCs/>
        </w:rPr>
      </w:pPr>
      <w:r w:rsidRPr="009823B0">
        <w:rPr>
          <w:b/>
        </w:rPr>
        <w:t>Table 12</w:t>
      </w:r>
    </w:p>
    <w:p w:rsidRPr="009823B0" w:rsidR="007253C8" w:rsidP="007253C8" w:rsidRDefault="007253C8" w14:paraId="56260262" w14:textId="77777777">
      <w:pPr>
        <w:pStyle w:val="Standard"/>
        <w:ind w:firstLine="0"/>
        <w:jc w:val="center"/>
        <w:rPr>
          <w:b/>
        </w:rPr>
      </w:pPr>
      <w:r w:rsidRPr="009823B0">
        <w:rPr>
          <w:b/>
        </w:rPr>
        <w:t>Stakeholder Cooperation and Community Engagement</w:t>
      </w:r>
    </w:p>
    <w:p w:rsidRPr="009823B0" w:rsidR="007253C8" w:rsidP="007253C8" w:rsidRDefault="007253C8" w14:paraId="0B3659B3" w14:textId="77777777">
      <w:pPr>
        <w:pStyle w:val="Standard"/>
        <w:ind w:firstLine="0"/>
        <w:jc w:val="center"/>
        <w:rPr>
          <w:b/>
        </w:rPr>
      </w:pPr>
      <w:r w:rsidRPr="009823B0">
        <w:rPr>
          <w:b/>
        </w:rPr>
        <w:t>Authorizations and Recorded Costs 2019–2022 ($000)</w:t>
      </w:r>
    </w:p>
    <w:tbl>
      <w:tblPr>
        <w:tblW w:w="9669" w:type="dxa"/>
        <w:tblLook w:val="04A0" w:firstRow="1" w:lastRow="0" w:firstColumn="1" w:lastColumn="0" w:noHBand="0" w:noVBand="1"/>
      </w:tblPr>
      <w:tblGrid>
        <w:gridCol w:w="1797"/>
        <w:gridCol w:w="1110"/>
        <w:gridCol w:w="1490"/>
        <w:gridCol w:w="1410"/>
        <w:gridCol w:w="1226"/>
        <w:gridCol w:w="1185"/>
        <w:gridCol w:w="1451"/>
      </w:tblGrid>
      <w:tr w:rsidRPr="00006ADC" w:rsidR="007253C8" w:rsidTr="00301BD8" w14:paraId="29222073" w14:textId="77777777">
        <w:trPr>
          <w:trHeight w:val="680"/>
        </w:trPr>
        <w:tc>
          <w:tcPr>
            <w:tcW w:w="1797" w:type="dxa"/>
            <w:tcBorders>
              <w:top w:val="single" w:color="auto" w:sz="4" w:space="0"/>
              <w:left w:val="single" w:color="auto" w:sz="4" w:space="0"/>
              <w:bottom w:val="single" w:color="auto" w:sz="4" w:space="0"/>
              <w:right w:val="single" w:color="auto" w:sz="4" w:space="0"/>
            </w:tcBorders>
            <w:vAlign w:val="center"/>
            <w:hideMark/>
          </w:tcPr>
          <w:p w:rsidRPr="00006ADC" w:rsidR="007253C8" w:rsidP="00301BD8" w:rsidRDefault="007253C8" w14:paraId="3F1BD150" w14:textId="77777777">
            <w:pPr>
              <w:pStyle w:val="TableText"/>
              <w:rPr>
                <w:color w:val="000000"/>
              </w:rPr>
            </w:pPr>
            <w:r w:rsidRPr="36D925D2">
              <w:t>Initiative</w:t>
            </w:r>
          </w:p>
        </w:tc>
        <w:tc>
          <w:tcPr>
            <w:tcW w:w="1110" w:type="dxa"/>
            <w:tcBorders>
              <w:top w:val="single" w:color="auto" w:sz="4" w:space="0"/>
              <w:left w:val="nil"/>
              <w:bottom w:val="single" w:color="auto" w:sz="4" w:space="0"/>
              <w:right w:val="single" w:color="auto" w:sz="4" w:space="0"/>
            </w:tcBorders>
            <w:vAlign w:val="bottom"/>
            <w:hideMark/>
          </w:tcPr>
          <w:p w:rsidRPr="00006ADC" w:rsidR="007253C8" w:rsidP="00301BD8" w:rsidRDefault="007253C8" w14:paraId="2939C720" w14:textId="77777777">
            <w:pPr>
              <w:pStyle w:val="TableText"/>
              <w:rPr>
                <w:color w:val="000000"/>
              </w:rPr>
            </w:pPr>
            <w:r w:rsidRPr="550177A5">
              <w:t>Auth.</w:t>
            </w:r>
            <w:r w:rsidRPr="36D925D2">
              <w:t xml:space="preserve"> Capital</w:t>
            </w:r>
          </w:p>
        </w:tc>
        <w:tc>
          <w:tcPr>
            <w:tcW w:w="1490" w:type="dxa"/>
            <w:tcBorders>
              <w:top w:val="single" w:color="auto" w:sz="4" w:space="0"/>
              <w:left w:val="nil"/>
              <w:bottom w:val="single" w:color="auto" w:sz="4" w:space="0"/>
              <w:right w:val="single" w:color="auto" w:sz="4" w:space="0"/>
            </w:tcBorders>
            <w:vAlign w:val="bottom"/>
            <w:hideMark/>
          </w:tcPr>
          <w:p w:rsidRPr="00006ADC" w:rsidR="007253C8" w:rsidP="00301BD8" w:rsidRDefault="007253C8" w14:paraId="2898E108" w14:textId="77777777">
            <w:pPr>
              <w:pStyle w:val="TableText"/>
              <w:rPr>
                <w:color w:val="000000"/>
              </w:rPr>
            </w:pPr>
            <w:r w:rsidRPr="36D925D2">
              <w:t>Actual Capital</w:t>
            </w:r>
          </w:p>
        </w:tc>
        <w:tc>
          <w:tcPr>
            <w:tcW w:w="1410" w:type="dxa"/>
            <w:tcBorders>
              <w:top w:val="single" w:color="auto" w:sz="4" w:space="0"/>
              <w:left w:val="single" w:color="auto" w:sz="4" w:space="0"/>
              <w:bottom w:val="single" w:color="auto" w:sz="4" w:space="0"/>
              <w:right w:val="nil"/>
            </w:tcBorders>
            <w:vAlign w:val="bottom"/>
            <w:hideMark/>
          </w:tcPr>
          <w:p w:rsidRPr="00006ADC" w:rsidR="007253C8" w:rsidP="00301BD8" w:rsidRDefault="007253C8" w14:paraId="0BFDB18C" w14:textId="77777777">
            <w:pPr>
              <w:pStyle w:val="TableText"/>
              <w:rPr>
                <w:color w:val="000000"/>
              </w:rPr>
            </w:pPr>
            <w:r w:rsidRPr="36D925D2">
              <w:t>Differential Capital</w:t>
            </w:r>
          </w:p>
        </w:tc>
        <w:tc>
          <w:tcPr>
            <w:tcW w:w="1226" w:type="dxa"/>
            <w:tcBorders>
              <w:top w:val="single" w:color="auto" w:sz="4" w:space="0"/>
              <w:left w:val="double" w:color="auto" w:sz="6" w:space="0"/>
              <w:bottom w:val="single" w:color="auto" w:sz="4" w:space="0"/>
              <w:right w:val="single" w:color="auto" w:sz="4" w:space="0"/>
            </w:tcBorders>
            <w:vAlign w:val="bottom"/>
            <w:hideMark/>
          </w:tcPr>
          <w:p w:rsidRPr="00006ADC" w:rsidR="007253C8" w:rsidP="00301BD8" w:rsidRDefault="007253C8" w14:paraId="1E90FFD5" w14:textId="77777777">
            <w:pPr>
              <w:pStyle w:val="TableText"/>
              <w:rPr>
                <w:color w:val="000000"/>
              </w:rPr>
            </w:pPr>
            <w:r w:rsidRPr="550177A5">
              <w:t>Auth. O&amp;M</w:t>
            </w:r>
          </w:p>
        </w:tc>
        <w:tc>
          <w:tcPr>
            <w:tcW w:w="1185" w:type="dxa"/>
            <w:tcBorders>
              <w:top w:val="single" w:color="auto" w:sz="4" w:space="0"/>
              <w:left w:val="nil"/>
              <w:bottom w:val="single" w:color="auto" w:sz="4" w:space="0"/>
              <w:right w:val="single" w:color="auto" w:sz="4" w:space="0"/>
            </w:tcBorders>
            <w:vAlign w:val="bottom"/>
            <w:hideMark/>
          </w:tcPr>
          <w:p w:rsidRPr="00006ADC" w:rsidR="007253C8" w:rsidP="00301BD8" w:rsidRDefault="007253C8" w14:paraId="3BB35C28" w14:textId="77777777">
            <w:pPr>
              <w:pStyle w:val="TableText"/>
              <w:rPr>
                <w:color w:val="000000"/>
              </w:rPr>
            </w:pPr>
            <w:r w:rsidRPr="36D925D2">
              <w:t>Actual O&amp;M</w:t>
            </w:r>
          </w:p>
        </w:tc>
        <w:tc>
          <w:tcPr>
            <w:tcW w:w="1451" w:type="dxa"/>
            <w:tcBorders>
              <w:top w:val="single" w:color="auto" w:sz="4" w:space="0"/>
              <w:left w:val="nil"/>
              <w:bottom w:val="single" w:color="auto" w:sz="4" w:space="0"/>
              <w:right w:val="single" w:color="auto" w:sz="4" w:space="0"/>
            </w:tcBorders>
            <w:vAlign w:val="bottom"/>
            <w:hideMark/>
          </w:tcPr>
          <w:p w:rsidRPr="00006ADC" w:rsidR="007253C8" w:rsidP="00301BD8" w:rsidRDefault="007253C8" w14:paraId="6AE332D6" w14:textId="77777777">
            <w:pPr>
              <w:pStyle w:val="TableText"/>
              <w:rPr>
                <w:color w:val="000000"/>
              </w:rPr>
            </w:pPr>
            <w:r w:rsidRPr="36D925D2">
              <w:t>Differential O&amp;M</w:t>
            </w:r>
          </w:p>
        </w:tc>
      </w:tr>
      <w:tr w:rsidRPr="00006ADC" w:rsidR="007253C8" w:rsidTr="00301BD8" w14:paraId="6720F78E" w14:textId="77777777">
        <w:trPr>
          <w:trHeight w:val="680"/>
        </w:trPr>
        <w:tc>
          <w:tcPr>
            <w:tcW w:w="1797" w:type="dxa"/>
            <w:tcBorders>
              <w:top w:val="nil"/>
              <w:left w:val="single" w:color="auto" w:sz="4" w:space="0"/>
              <w:bottom w:val="single" w:color="auto" w:sz="4" w:space="0"/>
              <w:right w:val="single" w:color="auto" w:sz="4" w:space="0"/>
            </w:tcBorders>
            <w:vAlign w:val="bottom"/>
            <w:hideMark/>
          </w:tcPr>
          <w:p w:rsidRPr="00006ADC" w:rsidR="007253C8" w:rsidP="00301BD8" w:rsidRDefault="007253C8" w14:paraId="1D43940D" w14:textId="77777777">
            <w:pPr>
              <w:pStyle w:val="TableText"/>
              <w:rPr>
                <w:color w:val="000000"/>
              </w:rPr>
            </w:pPr>
            <w:r w:rsidRPr="36D925D2">
              <w:lastRenderedPageBreak/>
              <w:t>Community Engagement</w:t>
            </w:r>
          </w:p>
        </w:tc>
        <w:tc>
          <w:tcPr>
            <w:tcW w:w="1110" w:type="dxa"/>
            <w:tcBorders>
              <w:top w:val="nil"/>
              <w:left w:val="nil"/>
              <w:bottom w:val="single" w:color="auto" w:sz="4" w:space="0"/>
              <w:right w:val="single" w:color="auto" w:sz="4" w:space="0"/>
            </w:tcBorders>
            <w:noWrap/>
            <w:vAlign w:val="center"/>
            <w:hideMark/>
          </w:tcPr>
          <w:p w:rsidRPr="00006ADC" w:rsidR="007253C8" w:rsidP="00301BD8" w:rsidRDefault="007253C8" w14:paraId="44937A02" w14:textId="77777777">
            <w:pPr>
              <w:pStyle w:val="TableText"/>
              <w:rPr>
                <w:color w:val="000000"/>
              </w:rPr>
            </w:pPr>
            <w:r w:rsidRPr="36D925D2">
              <w:t>-</w:t>
            </w:r>
          </w:p>
        </w:tc>
        <w:tc>
          <w:tcPr>
            <w:tcW w:w="1490" w:type="dxa"/>
            <w:tcBorders>
              <w:top w:val="nil"/>
              <w:left w:val="nil"/>
              <w:bottom w:val="single" w:color="auto" w:sz="4" w:space="0"/>
              <w:right w:val="single" w:color="auto" w:sz="4" w:space="0"/>
            </w:tcBorders>
            <w:noWrap/>
            <w:vAlign w:val="center"/>
            <w:hideMark/>
          </w:tcPr>
          <w:p w:rsidRPr="00006ADC" w:rsidR="007253C8" w:rsidP="00301BD8" w:rsidRDefault="007253C8" w14:paraId="68BC7CE9" w14:textId="77777777">
            <w:pPr>
              <w:pStyle w:val="TableText"/>
              <w:rPr>
                <w:color w:val="000000"/>
              </w:rPr>
            </w:pPr>
            <w:r w:rsidRPr="36D925D2">
              <w:t>-</w:t>
            </w:r>
          </w:p>
        </w:tc>
        <w:tc>
          <w:tcPr>
            <w:tcW w:w="1410" w:type="dxa"/>
            <w:tcBorders>
              <w:top w:val="nil"/>
              <w:left w:val="single" w:color="auto" w:sz="4" w:space="0"/>
              <w:bottom w:val="single" w:color="auto" w:sz="4" w:space="0"/>
              <w:right w:val="nil"/>
            </w:tcBorders>
            <w:noWrap/>
            <w:vAlign w:val="center"/>
            <w:hideMark/>
          </w:tcPr>
          <w:p w:rsidRPr="00006ADC" w:rsidR="007253C8" w:rsidP="00301BD8" w:rsidRDefault="007253C8" w14:paraId="2210DCD9" w14:textId="77777777">
            <w:pPr>
              <w:pStyle w:val="TableText"/>
              <w:rPr>
                <w:color w:val="000000"/>
              </w:rPr>
            </w:pPr>
            <w:r w:rsidRPr="36D925D2">
              <w:t>-</w:t>
            </w:r>
          </w:p>
        </w:tc>
        <w:tc>
          <w:tcPr>
            <w:tcW w:w="1226" w:type="dxa"/>
            <w:tcBorders>
              <w:top w:val="nil"/>
              <w:left w:val="double" w:color="auto" w:sz="6" w:space="0"/>
              <w:bottom w:val="single" w:color="auto" w:sz="4" w:space="0"/>
              <w:right w:val="single" w:color="auto" w:sz="4" w:space="0"/>
            </w:tcBorders>
            <w:noWrap/>
            <w:vAlign w:val="center"/>
            <w:hideMark/>
          </w:tcPr>
          <w:p w:rsidRPr="00006ADC" w:rsidR="007253C8" w:rsidP="00301BD8" w:rsidRDefault="007253C8" w14:paraId="7BF54160" w14:textId="77777777">
            <w:pPr>
              <w:pStyle w:val="TableText"/>
              <w:rPr>
                <w:color w:val="000000"/>
              </w:rPr>
            </w:pPr>
            <w:r w:rsidRPr="36D925D2">
              <w:t>-</w:t>
            </w:r>
          </w:p>
        </w:tc>
        <w:tc>
          <w:tcPr>
            <w:tcW w:w="1185" w:type="dxa"/>
            <w:tcBorders>
              <w:top w:val="nil"/>
              <w:left w:val="nil"/>
              <w:bottom w:val="single" w:color="auto" w:sz="4" w:space="0"/>
              <w:right w:val="single" w:color="auto" w:sz="4" w:space="0"/>
            </w:tcBorders>
            <w:noWrap/>
            <w:vAlign w:val="center"/>
            <w:hideMark/>
          </w:tcPr>
          <w:p w:rsidRPr="00006ADC" w:rsidR="007253C8" w:rsidP="00301BD8" w:rsidRDefault="007253C8" w14:paraId="0ADA0A32" w14:textId="77777777">
            <w:pPr>
              <w:pStyle w:val="TableText"/>
              <w:rPr>
                <w:color w:val="000000"/>
              </w:rPr>
            </w:pPr>
            <w:r w:rsidRPr="36D925D2">
              <w:t xml:space="preserve">$1,614 </w:t>
            </w:r>
          </w:p>
        </w:tc>
        <w:tc>
          <w:tcPr>
            <w:tcW w:w="1451" w:type="dxa"/>
            <w:tcBorders>
              <w:top w:val="nil"/>
              <w:left w:val="nil"/>
              <w:bottom w:val="single" w:color="auto" w:sz="4" w:space="0"/>
              <w:right w:val="single" w:color="auto" w:sz="4" w:space="0"/>
            </w:tcBorders>
            <w:noWrap/>
            <w:vAlign w:val="center"/>
            <w:hideMark/>
          </w:tcPr>
          <w:p w:rsidRPr="00006ADC" w:rsidR="007253C8" w:rsidP="00301BD8" w:rsidRDefault="007253C8" w14:paraId="69C5DFA0" w14:textId="77777777">
            <w:pPr>
              <w:pStyle w:val="TableText"/>
              <w:rPr>
                <w:color w:val="000000"/>
              </w:rPr>
            </w:pPr>
            <w:r w:rsidRPr="36D925D2">
              <w:t xml:space="preserve">$1,614 </w:t>
            </w:r>
          </w:p>
        </w:tc>
      </w:tr>
      <w:tr w:rsidRPr="00006ADC" w:rsidR="007253C8" w:rsidTr="00301BD8" w14:paraId="09CBD7D3" w14:textId="77777777">
        <w:trPr>
          <w:trHeight w:val="1020"/>
        </w:trPr>
        <w:tc>
          <w:tcPr>
            <w:tcW w:w="1797" w:type="dxa"/>
            <w:tcBorders>
              <w:top w:val="nil"/>
              <w:left w:val="single" w:color="auto" w:sz="4" w:space="0"/>
              <w:bottom w:val="single" w:color="auto" w:sz="4" w:space="0"/>
              <w:right w:val="single" w:color="auto" w:sz="4" w:space="0"/>
            </w:tcBorders>
            <w:vAlign w:val="bottom"/>
            <w:hideMark/>
          </w:tcPr>
          <w:p w:rsidRPr="00006ADC" w:rsidR="007253C8" w:rsidP="00301BD8" w:rsidRDefault="007253C8" w14:paraId="76C5FB24" w14:textId="77777777">
            <w:pPr>
              <w:pStyle w:val="TableText"/>
              <w:rPr>
                <w:color w:val="000000"/>
              </w:rPr>
            </w:pPr>
            <w:r w:rsidRPr="36D925D2">
              <w:t>PSPS Communication Practices</w:t>
            </w:r>
          </w:p>
        </w:tc>
        <w:tc>
          <w:tcPr>
            <w:tcW w:w="1110" w:type="dxa"/>
            <w:tcBorders>
              <w:top w:val="nil"/>
              <w:left w:val="nil"/>
              <w:bottom w:val="single" w:color="auto" w:sz="4" w:space="0"/>
              <w:right w:val="single" w:color="auto" w:sz="4" w:space="0"/>
            </w:tcBorders>
            <w:noWrap/>
            <w:vAlign w:val="center"/>
            <w:hideMark/>
          </w:tcPr>
          <w:p w:rsidRPr="00006ADC" w:rsidR="007253C8" w:rsidP="00301BD8" w:rsidRDefault="007253C8" w14:paraId="24409E3F" w14:textId="77777777">
            <w:pPr>
              <w:pStyle w:val="TableText"/>
              <w:rPr>
                <w:color w:val="000000"/>
              </w:rPr>
            </w:pPr>
            <w:r w:rsidRPr="36D925D2">
              <w:t>-</w:t>
            </w:r>
          </w:p>
        </w:tc>
        <w:tc>
          <w:tcPr>
            <w:tcW w:w="1490" w:type="dxa"/>
            <w:tcBorders>
              <w:top w:val="nil"/>
              <w:left w:val="nil"/>
              <w:bottom w:val="single" w:color="auto" w:sz="4" w:space="0"/>
              <w:right w:val="single" w:color="auto" w:sz="4" w:space="0"/>
            </w:tcBorders>
            <w:noWrap/>
            <w:vAlign w:val="center"/>
            <w:hideMark/>
          </w:tcPr>
          <w:p w:rsidRPr="00006ADC" w:rsidR="007253C8" w:rsidP="00301BD8" w:rsidRDefault="007253C8" w14:paraId="5E03AEA0" w14:textId="77777777">
            <w:pPr>
              <w:pStyle w:val="TableText"/>
              <w:rPr>
                <w:color w:val="000000"/>
              </w:rPr>
            </w:pPr>
            <w:r w:rsidRPr="36D925D2">
              <w:t xml:space="preserve">$15,809 </w:t>
            </w:r>
          </w:p>
        </w:tc>
        <w:tc>
          <w:tcPr>
            <w:tcW w:w="1410" w:type="dxa"/>
            <w:tcBorders>
              <w:top w:val="nil"/>
              <w:left w:val="single" w:color="auto" w:sz="4" w:space="0"/>
              <w:bottom w:val="single" w:color="auto" w:sz="4" w:space="0"/>
              <w:right w:val="nil"/>
            </w:tcBorders>
            <w:noWrap/>
            <w:vAlign w:val="center"/>
            <w:hideMark/>
          </w:tcPr>
          <w:p w:rsidRPr="00006ADC" w:rsidR="007253C8" w:rsidP="00301BD8" w:rsidRDefault="007253C8" w14:paraId="4E4F24DD" w14:textId="77777777">
            <w:pPr>
              <w:pStyle w:val="TableText"/>
              <w:rPr>
                <w:color w:val="000000"/>
              </w:rPr>
            </w:pPr>
            <w:r w:rsidRPr="36D925D2">
              <w:t xml:space="preserve">$15,809 </w:t>
            </w:r>
          </w:p>
        </w:tc>
        <w:tc>
          <w:tcPr>
            <w:tcW w:w="1226" w:type="dxa"/>
            <w:tcBorders>
              <w:top w:val="nil"/>
              <w:left w:val="double" w:color="auto" w:sz="6" w:space="0"/>
              <w:bottom w:val="single" w:color="auto" w:sz="4" w:space="0"/>
              <w:right w:val="single" w:color="auto" w:sz="4" w:space="0"/>
            </w:tcBorders>
            <w:noWrap/>
            <w:vAlign w:val="center"/>
            <w:hideMark/>
          </w:tcPr>
          <w:p w:rsidRPr="00006ADC" w:rsidR="007253C8" w:rsidP="00301BD8" w:rsidRDefault="007253C8" w14:paraId="4D460BF9" w14:textId="77777777">
            <w:pPr>
              <w:pStyle w:val="TableText"/>
              <w:rPr>
                <w:color w:val="000000"/>
              </w:rPr>
            </w:pPr>
            <w:r w:rsidRPr="36D925D2">
              <w:t xml:space="preserve">$1,096 </w:t>
            </w:r>
          </w:p>
        </w:tc>
        <w:tc>
          <w:tcPr>
            <w:tcW w:w="1185" w:type="dxa"/>
            <w:tcBorders>
              <w:top w:val="nil"/>
              <w:left w:val="nil"/>
              <w:bottom w:val="single" w:color="auto" w:sz="4" w:space="0"/>
              <w:right w:val="single" w:color="auto" w:sz="4" w:space="0"/>
            </w:tcBorders>
            <w:noWrap/>
            <w:vAlign w:val="center"/>
            <w:hideMark/>
          </w:tcPr>
          <w:p w:rsidRPr="00006ADC" w:rsidR="007253C8" w:rsidP="00301BD8" w:rsidRDefault="007253C8" w14:paraId="1346398F" w14:textId="77777777">
            <w:pPr>
              <w:pStyle w:val="TableText"/>
              <w:rPr>
                <w:color w:val="000000"/>
              </w:rPr>
            </w:pPr>
            <w:r w:rsidRPr="36D925D2">
              <w:t xml:space="preserve">$32,151 </w:t>
            </w:r>
          </w:p>
        </w:tc>
        <w:tc>
          <w:tcPr>
            <w:tcW w:w="1451" w:type="dxa"/>
            <w:tcBorders>
              <w:top w:val="nil"/>
              <w:left w:val="nil"/>
              <w:bottom w:val="single" w:color="auto" w:sz="4" w:space="0"/>
              <w:right w:val="single" w:color="auto" w:sz="4" w:space="0"/>
            </w:tcBorders>
            <w:noWrap/>
            <w:vAlign w:val="center"/>
            <w:hideMark/>
          </w:tcPr>
          <w:p w:rsidRPr="00006ADC" w:rsidR="007253C8" w:rsidP="00301BD8" w:rsidRDefault="007253C8" w14:paraId="081ADE39" w14:textId="77777777">
            <w:pPr>
              <w:pStyle w:val="TableText"/>
              <w:rPr>
                <w:color w:val="000000"/>
              </w:rPr>
            </w:pPr>
            <w:r w:rsidRPr="36D925D2">
              <w:t xml:space="preserve">$31,055 </w:t>
            </w:r>
          </w:p>
        </w:tc>
      </w:tr>
      <w:tr w:rsidRPr="00006ADC" w:rsidR="007253C8" w:rsidTr="00301BD8" w14:paraId="77DC71D2" w14:textId="77777777">
        <w:trPr>
          <w:trHeight w:val="320"/>
        </w:trPr>
        <w:tc>
          <w:tcPr>
            <w:tcW w:w="1797" w:type="dxa"/>
            <w:tcBorders>
              <w:top w:val="nil"/>
              <w:left w:val="single" w:color="auto" w:sz="4" w:space="0"/>
              <w:bottom w:val="single" w:color="auto" w:sz="4" w:space="0"/>
              <w:right w:val="single" w:color="auto" w:sz="4" w:space="0"/>
            </w:tcBorders>
            <w:noWrap/>
            <w:vAlign w:val="bottom"/>
            <w:hideMark/>
          </w:tcPr>
          <w:p w:rsidRPr="00006ADC" w:rsidR="007253C8" w:rsidP="00301BD8" w:rsidRDefault="007253C8" w14:paraId="6C236615" w14:textId="77777777">
            <w:pPr>
              <w:pStyle w:val="TableText"/>
              <w:rPr>
                <w:i/>
                <w:color w:val="000000"/>
              </w:rPr>
            </w:pPr>
            <w:r w:rsidRPr="26D7ABF7">
              <w:rPr>
                <w:i/>
                <w:iCs/>
              </w:rPr>
              <w:t>Total</w:t>
            </w:r>
          </w:p>
        </w:tc>
        <w:tc>
          <w:tcPr>
            <w:tcW w:w="1110" w:type="dxa"/>
            <w:tcBorders>
              <w:top w:val="nil"/>
              <w:left w:val="nil"/>
              <w:bottom w:val="single" w:color="auto" w:sz="4" w:space="0"/>
              <w:right w:val="single" w:color="auto" w:sz="4" w:space="0"/>
            </w:tcBorders>
            <w:noWrap/>
            <w:vAlign w:val="center"/>
            <w:hideMark/>
          </w:tcPr>
          <w:p w:rsidRPr="00006ADC" w:rsidR="007253C8" w:rsidP="00301BD8" w:rsidRDefault="007253C8" w14:paraId="251028D2" w14:textId="77777777">
            <w:pPr>
              <w:pStyle w:val="TableText"/>
              <w:rPr>
                <w:i/>
                <w:color w:val="000000"/>
              </w:rPr>
            </w:pPr>
            <w:r w:rsidRPr="36D925D2">
              <w:rPr>
                <w:i/>
              </w:rPr>
              <w:t>-</w:t>
            </w:r>
          </w:p>
        </w:tc>
        <w:tc>
          <w:tcPr>
            <w:tcW w:w="1490" w:type="dxa"/>
            <w:tcBorders>
              <w:top w:val="nil"/>
              <w:left w:val="nil"/>
              <w:bottom w:val="single" w:color="auto" w:sz="4" w:space="0"/>
              <w:right w:val="single" w:color="auto" w:sz="4" w:space="0"/>
            </w:tcBorders>
            <w:noWrap/>
            <w:vAlign w:val="center"/>
            <w:hideMark/>
          </w:tcPr>
          <w:p w:rsidRPr="00006ADC" w:rsidR="007253C8" w:rsidP="00301BD8" w:rsidRDefault="007253C8" w14:paraId="77FAB70F" w14:textId="77777777">
            <w:pPr>
              <w:pStyle w:val="TableText"/>
              <w:rPr>
                <w:i/>
                <w:color w:val="000000"/>
              </w:rPr>
            </w:pPr>
            <w:r w:rsidRPr="36D925D2">
              <w:rPr>
                <w:i/>
              </w:rPr>
              <w:t xml:space="preserve">$15,809 </w:t>
            </w:r>
          </w:p>
        </w:tc>
        <w:tc>
          <w:tcPr>
            <w:tcW w:w="1410" w:type="dxa"/>
            <w:tcBorders>
              <w:top w:val="nil"/>
              <w:left w:val="single" w:color="auto" w:sz="4" w:space="0"/>
              <w:bottom w:val="single" w:color="auto" w:sz="4" w:space="0"/>
              <w:right w:val="nil"/>
            </w:tcBorders>
            <w:noWrap/>
            <w:vAlign w:val="center"/>
            <w:hideMark/>
          </w:tcPr>
          <w:p w:rsidRPr="00006ADC" w:rsidR="007253C8" w:rsidP="00301BD8" w:rsidRDefault="007253C8" w14:paraId="684DB22F" w14:textId="77777777">
            <w:pPr>
              <w:pStyle w:val="TableText"/>
              <w:rPr>
                <w:i/>
                <w:color w:val="000000"/>
              </w:rPr>
            </w:pPr>
            <w:r w:rsidRPr="36D925D2">
              <w:rPr>
                <w:i/>
              </w:rPr>
              <w:t xml:space="preserve">$15,809 </w:t>
            </w:r>
          </w:p>
        </w:tc>
        <w:tc>
          <w:tcPr>
            <w:tcW w:w="1226" w:type="dxa"/>
            <w:tcBorders>
              <w:top w:val="nil"/>
              <w:left w:val="double" w:color="auto" w:sz="6" w:space="0"/>
              <w:bottom w:val="single" w:color="auto" w:sz="4" w:space="0"/>
              <w:right w:val="single" w:color="auto" w:sz="4" w:space="0"/>
            </w:tcBorders>
            <w:noWrap/>
            <w:vAlign w:val="center"/>
            <w:hideMark/>
          </w:tcPr>
          <w:p w:rsidRPr="00006ADC" w:rsidR="007253C8" w:rsidP="00301BD8" w:rsidRDefault="007253C8" w14:paraId="07B9991B" w14:textId="77777777">
            <w:pPr>
              <w:pStyle w:val="TableText"/>
              <w:rPr>
                <w:i/>
                <w:color w:val="000000"/>
              </w:rPr>
            </w:pPr>
            <w:r w:rsidRPr="36D925D2">
              <w:rPr>
                <w:i/>
              </w:rPr>
              <w:t xml:space="preserve">$1,096 </w:t>
            </w:r>
          </w:p>
        </w:tc>
        <w:tc>
          <w:tcPr>
            <w:tcW w:w="1185" w:type="dxa"/>
            <w:tcBorders>
              <w:top w:val="nil"/>
              <w:left w:val="nil"/>
              <w:bottom w:val="single" w:color="auto" w:sz="4" w:space="0"/>
              <w:right w:val="single" w:color="auto" w:sz="4" w:space="0"/>
            </w:tcBorders>
            <w:noWrap/>
            <w:vAlign w:val="center"/>
            <w:hideMark/>
          </w:tcPr>
          <w:p w:rsidRPr="00006ADC" w:rsidR="007253C8" w:rsidP="00301BD8" w:rsidRDefault="007253C8" w14:paraId="76336717" w14:textId="77777777">
            <w:pPr>
              <w:pStyle w:val="TableText"/>
              <w:rPr>
                <w:i/>
                <w:color w:val="000000"/>
              </w:rPr>
            </w:pPr>
            <w:r w:rsidRPr="36D925D2">
              <w:rPr>
                <w:i/>
              </w:rPr>
              <w:t xml:space="preserve">$33,765 </w:t>
            </w:r>
          </w:p>
        </w:tc>
        <w:tc>
          <w:tcPr>
            <w:tcW w:w="1451" w:type="dxa"/>
            <w:tcBorders>
              <w:top w:val="nil"/>
              <w:left w:val="nil"/>
              <w:bottom w:val="single" w:color="auto" w:sz="4" w:space="0"/>
              <w:right w:val="single" w:color="auto" w:sz="4" w:space="0"/>
            </w:tcBorders>
            <w:noWrap/>
            <w:vAlign w:val="center"/>
            <w:hideMark/>
          </w:tcPr>
          <w:p w:rsidRPr="00006ADC" w:rsidR="007253C8" w:rsidP="00301BD8" w:rsidRDefault="007253C8" w14:paraId="2D06C5BB" w14:textId="22991D57">
            <w:pPr>
              <w:pStyle w:val="TableText"/>
              <w:rPr>
                <w:i/>
                <w:color w:val="000000"/>
              </w:rPr>
            </w:pPr>
            <w:r w:rsidRPr="36D925D2">
              <w:rPr>
                <w:i/>
              </w:rPr>
              <w:t xml:space="preserve">$32,669 </w:t>
            </w:r>
          </w:p>
        </w:tc>
      </w:tr>
    </w:tbl>
    <w:p w:rsidR="007253C8" w:rsidP="006E4CA6" w:rsidRDefault="007253C8" w14:paraId="3ABF10CE" w14:textId="1E6C1F05">
      <w:pPr>
        <w:pStyle w:val="Heading2"/>
        <w:numPr>
          <w:ilvl w:val="1"/>
          <w:numId w:val="16"/>
        </w:numPr>
        <w:spacing w:before="240"/>
      </w:pPr>
      <w:bookmarkStart w:name="_Toc213312302" w:id="94"/>
      <w:r>
        <w:t>Community Engagement</w:t>
      </w:r>
      <w:bookmarkEnd w:id="94"/>
    </w:p>
    <w:p w:rsidRPr="00C67050" w:rsidR="007253C8" w:rsidP="007253C8" w:rsidRDefault="007253C8" w14:paraId="4EF4824E" w14:textId="35612723">
      <w:pPr>
        <w:pStyle w:val="Standard"/>
      </w:pPr>
      <w:r>
        <w:t xml:space="preserve">SDG&amp;E developed a </w:t>
      </w:r>
      <w:r w:rsidRPr="00C67050">
        <w:t>comprehensive wildfire safety communications and outreach plan</w:t>
      </w:r>
      <w:r>
        <w:t xml:space="preserve"> that provides information to the community prior to</w:t>
      </w:r>
      <w:r w:rsidRPr="135C542A">
        <w:rPr>
          <w:b/>
          <w:bCs/>
        </w:rPr>
        <w:t xml:space="preserve"> </w:t>
      </w:r>
      <w:r>
        <w:t xml:space="preserve">a PSPS event, thereby increasing </w:t>
      </w:r>
      <w:r w:rsidRPr="00C67050">
        <w:t>emergency preparedness and</w:t>
      </w:r>
      <w:r>
        <w:t xml:space="preserve"> </w:t>
      </w:r>
      <w:r w:rsidRPr="00C67050">
        <w:t xml:space="preserve">community resiliency to wildfires. </w:t>
      </w:r>
      <w:r>
        <w:t xml:space="preserve">This plan is implemented through outreach advisors, providing </w:t>
      </w:r>
      <w:r w:rsidRPr="00C67050">
        <w:t>webinars, Wildfire Safety Fairs</w:t>
      </w:r>
      <w:r>
        <w:t xml:space="preserve">, and working with the </w:t>
      </w:r>
      <w:r w:rsidRPr="00456DE4">
        <w:t>Wildfire Safety Community Advisory Council (WSCAC)</w:t>
      </w:r>
      <w:r>
        <w:t xml:space="preserve"> and the </w:t>
      </w:r>
      <w:r w:rsidRPr="00D07FAC">
        <w:t>Energy Solutions Partner Network</w:t>
      </w:r>
      <w:r w:rsidRPr="00C67050">
        <w:t>. T</w:t>
      </w:r>
      <w:r>
        <w:t xml:space="preserve">his </w:t>
      </w:r>
      <w:r w:rsidRPr="00C67050">
        <w:t>network is comprised of nearly 200 C</w:t>
      </w:r>
      <w:r>
        <w:t xml:space="preserve">ommunity </w:t>
      </w:r>
      <w:r w:rsidRPr="00C67050">
        <w:t>B</w:t>
      </w:r>
      <w:r>
        <w:t xml:space="preserve">ased </w:t>
      </w:r>
      <w:r w:rsidRPr="00C67050">
        <w:t>O</w:t>
      </w:r>
      <w:r>
        <w:t xml:space="preserve">rganizations, which help to disseminate information to </w:t>
      </w:r>
      <w:r w:rsidRPr="00C67050">
        <w:t xml:space="preserve">multicultural, multilingual, senior, special needs, disadvantaged, and </w:t>
      </w:r>
      <w:r>
        <w:t xml:space="preserve">Access and </w:t>
      </w:r>
      <w:r w:rsidRPr="00C67050">
        <w:t>F</w:t>
      </w:r>
      <w:r>
        <w:t>unction</w:t>
      </w:r>
      <w:r w:rsidR="003763C9">
        <w:t>al</w:t>
      </w:r>
      <w:r>
        <w:t xml:space="preserve"> </w:t>
      </w:r>
      <w:r w:rsidRPr="00C67050">
        <w:t>N</w:t>
      </w:r>
      <w:r>
        <w:t xml:space="preserve">eeds </w:t>
      </w:r>
      <w:r w:rsidRPr="00C67050">
        <w:t>communities.</w:t>
      </w:r>
      <w:r>
        <w:t xml:space="preserve"> </w:t>
      </w:r>
      <w:r w:rsidRPr="00C67050">
        <w:t>The WSCAC is a forum</w:t>
      </w:r>
      <w:r>
        <w:t xml:space="preserve"> that </w:t>
      </w:r>
      <w:r w:rsidRPr="00C67050">
        <w:t>allow</w:t>
      </w:r>
      <w:r>
        <w:t>s</w:t>
      </w:r>
      <w:r w:rsidRPr="00C67050">
        <w:t xml:space="preserve"> well</w:t>
      </w:r>
      <w:r>
        <w:t>-</w:t>
      </w:r>
      <w:r w:rsidRPr="00C67050">
        <w:t>connected and trusted community leaders to provide feedback recommendations and support to SDG&amp;E senior management and the Safety Committee of SDG&amp;E’s Board of Directors.</w:t>
      </w:r>
      <w:r>
        <w:rPr>
          <w:rStyle w:val="FootnoteReference"/>
        </w:rPr>
        <w:footnoteReference w:id="309"/>
      </w:r>
    </w:p>
    <w:p w:rsidR="007253C8" w:rsidP="007253C8" w:rsidRDefault="007253C8" w14:paraId="1537D184" w14:textId="32387FE9">
      <w:pPr>
        <w:pStyle w:val="Standard"/>
        <w:rPr>
          <w:b/>
          <w:bCs/>
        </w:rPr>
      </w:pPr>
      <w:r>
        <w:t xml:space="preserve">For </w:t>
      </w:r>
      <w:r w:rsidRPr="000175A5">
        <w:t>the 2019</w:t>
      </w:r>
      <w:r>
        <w:t>–20</w:t>
      </w:r>
      <w:r w:rsidRPr="000175A5">
        <w:t>22 period, SDG&amp;E represents that the</w:t>
      </w:r>
      <w:r w:rsidRPr="00456DE4">
        <w:t xml:space="preserve"> Commission did not </w:t>
      </w:r>
      <w:r w:rsidRPr="000175A5">
        <w:t>authorize</w:t>
      </w:r>
      <w:r w:rsidRPr="00456DE4">
        <w:t xml:space="preserve"> funding for this activity because it was unforeseen </w:t>
      </w:r>
      <w:r>
        <w:t xml:space="preserve">at the time of </w:t>
      </w:r>
      <w:r w:rsidRPr="00456DE4">
        <w:t xml:space="preserve">SDG&amp;E’s last GRC. </w:t>
      </w:r>
      <w:r w:rsidRPr="000175A5">
        <w:t xml:space="preserve">SDG&amp;E </w:t>
      </w:r>
      <w:r>
        <w:t xml:space="preserve">now </w:t>
      </w:r>
      <w:r w:rsidRPr="000175A5">
        <w:t>requests recovery of $</w:t>
      </w:r>
      <w:r w:rsidRPr="00456DE4">
        <w:t>1</w:t>
      </w:r>
      <w:r>
        <w:t>.</w:t>
      </w:r>
      <w:r w:rsidRPr="00456DE4">
        <w:t>614</w:t>
      </w:r>
      <w:r>
        <w:t xml:space="preserve"> million </w:t>
      </w:r>
      <w:r w:rsidRPr="00456DE4">
        <w:t xml:space="preserve">in </w:t>
      </w:r>
      <w:r w:rsidRPr="000175A5">
        <w:t>O&amp;M</w:t>
      </w:r>
      <w:r w:rsidRPr="00456DE4">
        <w:t xml:space="preserve"> costs</w:t>
      </w:r>
      <w:r>
        <w:t xml:space="preserve"> (plus associated indirect costs) based on its actual costs recorded in the WMPMA</w:t>
      </w:r>
      <w:r w:rsidRPr="000175A5">
        <w:t>.</w:t>
      </w:r>
      <w:r w:rsidRPr="000175A5">
        <w:rPr>
          <w:vertAlign w:val="superscript"/>
        </w:rPr>
        <w:footnoteReference w:id="310"/>
      </w:r>
    </w:p>
    <w:p w:rsidR="007253C8" w:rsidP="007253C8" w:rsidRDefault="1BFE1C55" w14:paraId="196D6D01" w14:textId="557AA249">
      <w:pPr>
        <w:pStyle w:val="Standard"/>
      </w:pPr>
      <w:r w:rsidRPr="00B9181B">
        <w:lastRenderedPageBreak/>
        <w:t xml:space="preserve">Although the Commission agrees with SDG&amp;E regarding </w:t>
      </w:r>
      <w:r>
        <w:t>the need to</w:t>
      </w:r>
      <w:r w:rsidR="5F7115FE">
        <w:t xml:space="preserve"> </w:t>
      </w:r>
      <w:r>
        <w:t xml:space="preserve">provide information to stakeholders to prepare the community for PSPS events, </w:t>
      </w:r>
      <w:r w:rsidRPr="00B9181B">
        <w:t xml:space="preserve">the Commission </w:t>
      </w:r>
      <w:r>
        <w:t xml:space="preserve">finds that </w:t>
      </w:r>
      <w:r w:rsidRPr="00B9181B">
        <w:t xml:space="preserve">SDG&amp;E has not </w:t>
      </w:r>
      <w:r>
        <w:t xml:space="preserve">provided </w:t>
      </w:r>
      <w:r w:rsidRPr="00B9181B">
        <w:t>sufficient</w:t>
      </w:r>
      <w:r>
        <w:t xml:space="preserve"> information to evaluate the reasonableness of its request. This includes failure to provide adequate</w:t>
      </w:r>
      <w:r w:rsidDel="659A9D86">
        <w:t xml:space="preserve"> </w:t>
      </w:r>
      <w:r>
        <w:t>information on the number of</w:t>
      </w:r>
      <w:r w:rsidR="0E9A028B">
        <w:t xml:space="preserve"> </w:t>
      </w:r>
      <w:r w:rsidR="5F7115FE">
        <w:t>FTEs</w:t>
      </w:r>
      <w:r>
        <w:t xml:space="preserve"> employed for this activity. It also includes failure to provide adequate information on whether and how SDG&amp;E coordinated the amount requested here (to avoid duplication and inefficiencies) with similar work in the category of Community Outreach, Public Awareness, and Communication Efforts under Emergency Planning and Preparedness.</w:t>
      </w:r>
      <w:r w:rsidR="007253C8">
        <w:rPr>
          <w:rStyle w:val="FootnoteReference"/>
        </w:rPr>
        <w:footnoteReference w:id="311"/>
      </w:r>
      <w:r>
        <w:t xml:space="preserve"> SG&amp;E has failed to meet its burden of proof. </w:t>
      </w:r>
      <w:r w:rsidRPr="00B9181B">
        <w:t>As a result, SDG&amp;E</w:t>
      </w:r>
      <w:r>
        <w:t>’s</w:t>
      </w:r>
      <w:r w:rsidRPr="00B9181B">
        <w:t xml:space="preserve"> </w:t>
      </w:r>
      <w:r>
        <w:t xml:space="preserve">request for </w:t>
      </w:r>
      <w:r w:rsidRPr="00B9181B">
        <w:t xml:space="preserve">recovery </w:t>
      </w:r>
      <w:r>
        <w:t xml:space="preserve">of this cost </w:t>
      </w:r>
      <w:r w:rsidRPr="00B9181B">
        <w:t>is denied.</w:t>
      </w:r>
    </w:p>
    <w:p w:rsidRPr="0042155A" w:rsidR="007253C8" w:rsidP="00A447AD" w:rsidRDefault="007253C8" w14:paraId="15FB6DBF" w14:textId="23BA2474">
      <w:pPr>
        <w:pStyle w:val="Heading2"/>
        <w:numPr>
          <w:ilvl w:val="1"/>
          <w:numId w:val="16"/>
        </w:numPr>
      </w:pPr>
      <w:bookmarkStart w:name="_Toc213312303" w:id="95"/>
      <w:r>
        <w:t>Communication Practices</w:t>
      </w:r>
      <w:bookmarkEnd w:id="95"/>
    </w:p>
    <w:p w:rsidR="007253C8" w:rsidP="007253C8" w:rsidRDefault="007253C8" w14:paraId="69ADFC92" w14:textId="30EE55CD">
      <w:pPr>
        <w:pStyle w:val="Standard"/>
      </w:pPr>
      <w:r w:rsidRPr="00A07018">
        <w:t xml:space="preserve">SDG&amp;E conducts PSPS-specific communications in three phases: prior to, during, and following a PSPS event. In 2020, SDG&amp;E expanded its public education and outreach efforts associated with its PSPS Communications Plan. In light of COVID-19 considerations, </w:t>
      </w:r>
      <w:r>
        <w:t xml:space="preserve">SDG&amp;E </w:t>
      </w:r>
      <w:r w:rsidRPr="00A07018">
        <w:t xml:space="preserve">launched </w:t>
      </w:r>
      <w:r>
        <w:t xml:space="preserve">a </w:t>
      </w:r>
      <w:r w:rsidRPr="00A07018">
        <w:t xml:space="preserve">PSPS Mobile App </w:t>
      </w:r>
      <w:r>
        <w:t xml:space="preserve">called </w:t>
      </w:r>
      <w:r w:rsidRPr="00446F1E">
        <w:t>“</w:t>
      </w:r>
      <w:r w:rsidRPr="00A07018">
        <w:t>Alerts by SDG&amp;E.</w:t>
      </w:r>
      <w:r w:rsidRPr="00446F1E">
        <w:t>”</w:t>
      </w:r>
      <w:r w:rsidRPr="00A07018">
        <w:t xml:space="preserve"> This new tool enables customers to receive information including, but not limited to, notifications, Community Resource Center information with GPS directions, and other real-time updates and safety information related to PSPS activities. </w:t>
      </w:r>
      <w:r>
        <w:t xml:space="preserve">SDG&amp;E has also </w:t>
      </w:r>
      <w:r w:rsidRPr="00A07018">
        <w:t>employ</w:t>
      </w:r>
      <w:r>
        <w:t>ed</w:t>
      </w:r>
      <w:r w:rsidRPr="00A07018">
        <w:t xml:space="preserve"> standard communication channels to promote 2-1-1 service resources</w:t>
      </w:r>
      <w:r w:rsidR="008D3471">
        <w:t>,</w:t>
      </w:r>
      <w:r w:rsidRPr="00A07018">
        <w:t xml:space="preserve"> including but not limited to social media channels, broadcast and print media, and the SDG&amp;E News Center and website. Lastly, following a PSPS</w:t>
      </w:r>
      <w:r>
        <w:t xml:space="preserve"> event</w:t>
      </w:r>
      <w:r w:rsidRPr="00A07018">
        <w:t xml:space="preserve">, </w:t>
      </w:r>
      <w:r w:rsidR="00F47EB1">
        <w:t>SDG&amp;E</w:t>
      </w:r>
      <w:r w:rsidRPr="00A07018">
        <w:t xml:space="preserve"> examines communications and solicits customer feedback with the intent of refining and </w:t>
      </w:r>
      <w:r w:rsidRPr="00A07018">
        <w:lastRenderedPageBreak/>
        <w:t xml:space="preserve">improving communication efforts for the following year. Specifically, SDG&amp;E reaches out to customers, through formal surveys, to establish a baseline awareness of PSPS-related messaging and communications at the beginning of wildfire season. At the end of wildfire season, customers </w:t>
      </w:r>
      <w:r>
        <w:t xml:space="preserve">have been </w:t>
      </w:r>
      <w:r w:rsidRPr="00A07018">
        <w:t>surveyed</w:t>
      </w:r>
      <w:r>
        <w:t xml:space="preserve"> again</w:t>
      </w:r>
      <w:r w:rsidRPr="00A07018">
        <w:t xml:space="preserve"> to measure the effectiveness of public education efforts and communications.</w:t>
      </w:r>
      <w:r>
        <w:rPr>
          <w:rStyle w:val="FootnoteReference"/>
        </w:rPr>
        <w:footnoteReference w:id="312"/>
      </w:r>
    </w:p>
    <w:p w:rsidRPr="00F50D2E" w:rsidR="007253C8" w:rsidP="007253C8" w:rsidRDefault="007253C8" w14:paraId="52BF521E" w14:textId="275330D6">
      <w:pPr>
        <w:pStyle w:val="Standard"/>
        <w:rPr>
          <w:b/>
        </w:rPr>
      </w:pPr>
      <w:r w:rsidRPr="001E144E">
        <w:t>For this activity during the 2019</w:t>
      </w:r>
      <w:r>
        <w:t>–20</w:t>
      </w:r>
      <w:r w:rsidRPr="001E144E">
        <w:t>22 period, SDG&amp;E represents that the Commission authorize</w:t>
      </w:r>
      <w:r>
        <w:t xml:space="preserve">d $1.096 million in O&amp;M, and zero dollars in capital expenditures. </w:t>
      </w:r>
      <w:r w:rsidRPr="001E144E">
        <w:t>Based on its actual costs recorded in the WMPMA, SDG&amp;E requests recovery of $</w:t>
      </w:r>
      <w:r>
        <w:t xml:space="preserve">15.809 million in capital expenditures and $31.055 million in </w:t>
      </w:r>
      <w:r w:rsidRPr="001E144E">
        <w:t>O&amp;M costs</w:t>
      </w:r>
      <w:r>
        <w:t xml:space="preserve"> (plus associated indirect costs)</w:t>
      </w:r>
      <w:r w:rsidRPr="001E144E">
        <w:t>.</w:t>
      </w:r>
      <w:r w:rsidRPr="001E144E">
        <w:rPr>
          <w:vertAlign w:val="superscript"/>
        </w:rPr>
        <w:footnoteReference w:id="313"/>
      </w:r>
      <w:r w:rsidRPr="001E144E">
        <w:rPr>
          <w:b/>
          <w:bCs/>
        </w:rPr>
        <w:t xml:space="preserve"> </w:t>
      </w:r>
    </w:p>
    <w:p w:rsidR="007253C8" w:rsidP="007253C8" w:rsidRDefault="007253C8" w14:paraId="10BE2404" w14:textId="77777777">
      <w:pPr>
        <w:pStyle w:val="Standard"/>
      </w:pPr>
      <w:r>
        <w:t xml:space="preserve">Cal Advocates </w:t>
      </w:r>
      <w:r w:rsidRPr="00643739">
        <w:t xml:space="preserve">recommends no ratepayer funding for the </w:t>
      </w:r>
      <w:r>
        <w:t>“</w:t>
      </w:r>
      <w:r w:rsidRPr="00643739">
        <w:t xml:space="preserve">Alerts by SDG&amp;E” </w:t>
      </w:r>
      <w:r>
        <w:t xml:space="preserve">application (app) based on it being unnecessary, redundant, and inconsistent with Commission directives. </w:t>
      </w:r>
      <w:r w:rsidRPr="00FE459D">
        <w:t>In</w:t>
      </w:r>
      <w:r w:rsidDel="4253D5EA">
        <w:t xml:space="preserve"> </w:t>
      </w:r>
      <w:r w:rsidRPr="00FE459D">
        <w:t>support, Cal Advocates contends that the County of San Diego (County) had already established a county-wide emergency notification system known as “</w:t>
      </w:r>
      <w:proofErr w:type="spellStart"/>
      <w:r w:rsidRPr="00FE459D">
        <w:t>AlertSanDiego</w:t>
      </w:r>
      <w:proofErr w:type="spellEnd"/>
      <w:r w:rsidRPr="00FE459D">
        <w:t>.” The County’s alert system sends emergency notifications to every landline phone (listed or unlisted) in the County as well as to any cell phone, internet phone, or email that is registered with the County.</w:t>
      </w:r>
      <w:r>
        <w:rPr>
          <w:rStyle w:val="FootnoteReference"/>
        </w:rPr>
        <w:footnoteReference w:id="314"/>
      </w:r>
      <w:r>
        <w:t xml:space="preserve"> Cal Advocates contends that the app thereby fragments the emergency alert system into two separate entities, rather than uniting them into one, pursuant to the objectives of the Commission’s direction.</w:t>
      </w:r>
    </w:p>
    <w:p w:rsidRPr="00EF5580" w:rsidR="00EF5580" w:rsidP="00902734" w:rsidRDefault="007253C8" w14:paraId="727F0B63" w14:textId="3D2B98D3">
      <w:pPr>
        <w:pStyle w:val="Standard"/>
      </w:pPr>
      <w:r>
        <w:t>In reply, SDG&amp;E contends that d</w:t>
      </w:r>
      <w:r w:rsidRPr="00FE459D">
        <w:t xml:space="preserve">evelopment of the Alerts by SDG&amp;E </w:t>
      </w:r>
      <w:r>
        <w:t>a</w:t>
      </w:r>
      <w:r w:rsidRPr="00FE459D">
        <w:t xml:space="preserve">pp was prudent and reasonable </w:t>
      </w:r>
      <w:r>
        <w:t xml:space="preserve">for several reasons. First, SDG&amp;E notes that the </w:t>
      </w:r>
      <w:r>
        <w:lastRenderedPageBreak/>
        <w:t>Commission directed utilities to integrate local governments in their communication of de-energization notifications.</w:t>
      </w:r>
      <w:r w:rsidRPr="135C542A">
        <w:rPr>
          <w:rStyle w:val="FootnoteReference"/>
        </w:rPr>
        <w:footnoteReference w:id="315"/>
      </w:r>
      <w:r>
        <w:t xml:space="preserve"> Second, SDG&amp;E claims that the app</w:t>
      </w:r>
      <w:r w:rsidRPr="00FE459D">
        <w:t xml:space="preserve"> implements the requirements of </w:t>
      </w:r>
      <w:r w:rsidRPr="000C65BE">
        <w:t>D.19-05-042</w:t>
      </w:r>
      <w:r w:rsidRPr="00FE459D">
        <w:t xml:space="preserve">, which </w:t>
      </w:r>
      <w:r>
        <w:t xml:space="preserve">compels </w:t>
      </w:r>
      <w:r w:rsidRPr="00FE459D">
        <w:t>utilities to bear the “primary” burden of “initial” PSPS notifications</w:t>
      </w:r>
      <w:r>
        <w:t>, but allows u</w:t>
      </w:r>
      <w:r w:rsidRPr="00FE459D">
        <w:t>se of county notification systems “at their discretion.”</w:t>
      </w:r>
      <w:r>
        <w:rPr>
          <w:rStyle w:val="FootnoteReference"/>
        </w:rPr>
        <w:footnoteReference w:id="316"/>
      </w:r>
      <w:r>
        <w:t xml:space="preserve"> Third, SDG&amp;E states that a</w:t>
      </w:r>
      <w:r w:rsidRPr="00C56E7E">
        <w:t xml:space="preserve"> PSPS </w:t>
      </w:r>
      <w:r>
        <w:t xml:space="preserve">event </w:t>
      </w:r>
      <w:r w:rsidRPr="00C56E7E">
        <w:t xml:space="preserve">does not meet the criteria for a wireless emergency alert </w:t>
      </w:r>
      <w:r>
        <w:t xml:space="preserve">from the </w:t>
      </w:r>
      <w:r w:rsidRPr="00C56E7E">
        <w:t>San Diego County Alerts system</w:t>
      </w:r>
      <w:r>
        <w:t xml:space="preserve"> and therefore, a PSPS app alert does not duplicate the county’s notification system. Fourth, </w:t>
      </w:r>
      <w:r w:rsidRPr="00DB4255">
        <w:t xml:space="preserve">PSPS information </w:t>
      </w:r>
      <w:r>
        <w:t xml:space="preserve">does not meet the criteria to be </w:t>
      </w:r>
      <w:r w:rsidRPr="00DB4255">
        <w:t xml:space="preserve">sent through the </w:t>
      </w:r>
      <w:r>
        <w:t xml:space="preserve">separate </w:t>
      </w:r>
      <w:r w:rsidRPr="00DB4255">
        <w:t>S</w:t>
      </w:r>
      <w:r>
        <w:t xml:space="preserve">an </w:t>
      </w:r>
      <w:r w:rsidRPr="00DB4255">
        <w:t>D</w:t>
      </w:r>
      <w:r>
        <w:t xml:space="preserve">iego </w:t>
      </w:r>
      <w:r w:rsidRPr="00DB4255">
        <w:t>County</w:t>
      </w:r>
      <w:r>
        <w:t xml:space="preserve"> </w:t>
      </w:r>
      <w:r w:rsidRPr="00DB4255">
        <w:t>Emergency app</w:t>
      </w:r>
      <w:r>
        <w:t xml:space="preserve"> because the County system is limited to </w:t>
      </w:r>
      <w:r w:rsidRPr="00DB4255">
        <w:t xml:space="preserve">notifications </w:t>
      </w:r>
      <w:r>
        <w:t xml:space="preserve">that </w:t>
      </w:r>
      <w:r w:rsidRPr="00DB4255">
        <w:t>provide information on emergency preparedness, response, and recovery activitie</w:t>
      </w:r>
      <w:r>
        <w:t>s, whereas a PSPS event is not considered an emergency</w:t>
      </w:r>
      <w:r w:rsidRPr="00DB4255">
        <w:t>. Fifth</w:t>
      </w:r>
      <w:r w:rsidRPr="00633676">
        <w:t>, SDG&amp;E states that its alert system also needs to provide notification to Orange County customers. Sixth</w:t>
      </w:r>
      <w:r>
        <w:t>, SDG&amp;E claims that i</w:t>
      </w:r>
      <w:r w:rsidRPr="00DB4255">
        <w:t xml:space="preserve">f the San Diego County Alerts system was used to send SDG&amp;E messages </w:t>
      </w:r>
      <w:r>
        <w:t xml:space="preserve">then </w:t>
      </w:r>
      <w:r w:rsidRPr="00DB4255">
        <w:t>the associated cost could be passed on to the ratepayers, further supporting the reasonableness of using an app-based system, which reduces the potential for ongoing, long term notification costs.</w:t>
      </w:r>
      <w:r>
        <w:rPr>
          <w:rStyle w:val="FootnoteReference"/>
        </w:rPr>
        <w:footnoteReference w:id="317"/>
      </w:r>
      <w:r>
        <w:t xml:space="preserve"> Finally, on the issue of whether the Alerts by SDG&amp;E app is unnecessary or redundant, SDG&amp;E states that </w:t>
      </w:r>
      <w:r w:rsidRPr="000C65BE">
        <w:t xml:space="preserve">not all of the costs </w:t>
      </w:r>
      <w:r>
        <w:t xml:space="preserve">in this cost category </w:t>
      </w:r>
      <w:r w:rsidRPr="000C65BE">
        <w:t xml:space="preserve">are correlated with development of the Alerts by SDG&amp;E </w:t>
      </w:r>
      <w:r>
        <w:t>a</w:t>
      </w:r>
      <w:r w:rsidRPr="000C65BE">
        <w:t>pp</w:t>
      </w:r>
      <w:r>
        <w:t>.</w:t>
      </w:r>
      <w:r>
        <w:rPr>
          <w:rStyle w:val="FootnoteReference"/>
        </w:rPr>
        <w:footnoteReference w:id="318"/>
      </w:r>
      <w:r w:rsidR="00902734">
        <w:t xml:space="preserve"> </w:t>
      </w:r>
      <w:bookmarkStart w:name="_Hlk216355826" w:id="96"/>
      <w:r w:rsidR="00EF5580">
        <w:t xml:space="preserve">In its Opening Comments on the Proposed Decision, </w:t>
      </w:r>
      <w:r w:rsidRPr="00EF5580" w:rsidR="00EF5580">
        <w:t xml:space="preserve">SDG&amp;E </w:t>
      </w:r>
      <w:r w:rsidR="00902734">
        <w:t>reiterates several of these points and adds</w:t>
      </w:r>
      <w:r w:rsidR="00745CE6">
        <w:t xml:space="preserve"> </w:t>
      </w:r>
      <w:r w:rsidR="002D098C">
        <w:t>more</w:t>
      </w:r>
      <w:r w:rsidR="00745CE6">
        <w:t xml:space="preserve"> with cit</w:t>
      </w:r>
      <w:r w:rsidR="002D098C">
        <w:t>ation</w:t>
      </w:r>
      <w:r w:rsidR="00745CE6">
        <w:t xml:space="preserve">s to the requirements of </w:t>
      </w:r>
      <w:r w:rsidRPr="00745CE6" w:rsidR="00745CE6">
        <w:t>D.19-05-042</w:t>
      </w:r>
      <w:r w:rsidR="00745CE6">
        <w:t>, including</w:t>
      </w:r>
      <w:r w:rsidR="00902734">
        <w:t xml:space="preserve"> that: </w:t>
      </w:r>
      <w:r w:rsidR="008D3471">
        <w:t xml:space="preserve">1) the costs </w:t>
      </w:r>
      <w:r w:rsidR="00902734">
        <w:t xml:space="preserve">were incurred </w:t>
      </w:r>
      <w:r w:rsidRPr="00EF5580" w:rsidR="00EF5580">
        <w:t xml:space="preserve">to </w:t>
      </w:r>
      <w:r w:rsidRPr="00EF5580" w:rsidR="00EF5580">
        <w:lastRenderedPageBreak/>
        <w:t xml:space="preserve">broadly reach customers no matter where the customer is located and </w:t>
      </w:r>
      <w:r w:rsidR="00745CE6">
        <w:t xml:space="preserve">to </w:t>
      </w:r>
      <w:r w:rsidRPr="00EF5580" w:rsidR="00EF5580">
        <w:t>deliver messaging in an understandable manner</w:t>
      </w:r>
      <w:r w:rsidR="00F052AB">
        <w:t>;</w:t>
      </w:r>
      <w:r w:rsidRPr="00EF5580" w:rsidR="00EF5580">
        <w:t xml:space="preserve"> </w:t>
      </w:r>
      <w:r w:rsidR="00745CE6">
        <w:t xml:space="preserve">2) </w:t>
      </w:r>
      <w:r w:rsidRPr="00EF5580" w:rsidR="00EF5580">
        <w:t>the app strategy was reasonable to satisfy Commission-imposed requirements</w:t>
      </w:r>
      <w:r w:rsidR="003620AC">
        <w:t xml:space="preserve"> at the time</w:t>
      </w:r>
      <w:r w:rsidRPr="00EF5580" w:rsidR="00EF5580">
        <w:t>.</w:t>
      </w:r>
      <w:r w:rsidR="00745CE6">
        <w:rPr>
          <w:rStyle w:val="FootnoteReference"/>
        </w:rPr>
        <w:footnoteReference w:id="319"/>
      </w:r>
    </w:p>
    <w:bookmarkEnd w:id="96"/>
    <w:p w:rsidR="004D60C8" w:rsidP="00902734" w:rsidRDefault="00F052AB" w14:paraId="55A4C1B6" w14:textId="679B63F9">
      <w:pPr>
        <w:pStyle w:val="Standard"/>
      </w:pPr>
      <w:r>
        <w:t>T</w:t>
      </w:r>
      <w:r w:rsidR="007253C8">
        <w:t>he Commission has several concerns regarding the reasonableness and prudency of PSPS Communications costs. The concerns are substantially based on the limited information provided by SDG&amp;E years after the development of the “Alerts by SDG&amp;E” app.</w:t>
      </w:r>
      <w:r w:rsidR="005C1E2B">
        <w:t xml:space="preserve"> </w:t>
      </w:r>
    </w:p>
    <w:p w:rsidR="004B4C50" w:rsidP="007253C8" w:rsidRDefault="007253C8" w14:paraId="60CC015D" w14:textId="452BFD9D">
      <w:pPr>
        <w:pStyle w:val="Standard"/>
      </w:pPr>
      <w:r>
        <w:t>First, it appears that SDG&amp;E overstates the requirements of</w:t>
      </w:r>
      <w:r w:rsidRPr="00D54679">
        <w:t xml:space="preserve"> D.19-05-042 </w:t>
      </w:r>
      <w:r>
        <w:t xml:space="preserve">regarding making initial notifications of PSPS events. </w:t>
      </w:r>
    </w:p>
    <w:p w:rsidR="007253C8" w:rsidP="007253C8" w:rsidRDefault="007253C8" w14:paraId="6ADFE4BC" w14:textId="5191C8AA">
      <w:pPr>
        <w:pStyle w:val="Standard"/>
      </w:pPr>
      <w:r>
        <w:t>Second, a</w:t>
      </w:r>
      <w:r w:rsidRPr="002E5BC3">
        <w:t>lthough SDG&amp;E acknowledges its role in coordinating PSPS notifications with local governments, the Commission</w:t>
      </w:r>
      <w:r>
        <w:t xml:space="preserve"> </w:t>
      </w:r>
      <w:r w:rsidRPr="002E5BC3">
        <w:t xml:space="preserve">finds that SDG&amp;E fails to </w:t>
      </w:r>
      <w:r>
        <w:t xml:space="preserve">provide </w:t>
      </w:r>
      <w:r w:rsidRPr="002E5BC3">
        <w:t xml:space="preserve">any evidence that it sought the feedback of San Diego and Orange County governments and customers regarding PSPS notifications, especially regarding costs. </w:t>
      </w:r>
      <w:r>
        <w:t>For example, a fundamental consideration before unilaterally deciding to develop an app would be whether communication through a website, email, or texts to phone numbers might have sufficed rather than requiring customers and residents to download an app, which continues to be a suboptimal method of communicating such notifications.</w:t>
      </w:r>
    </w:p>
    <w:p w:rsidR="00745CE6" w:rsidP="007253C8" w:rsidRDefault="007253C8" w14:paraId="0677A1D2" w14:textId="77777777">
      <w:pPr>
        <w:pStyle w:val="Standard"/>
      </w:pPr>
      <w:r>
        <w:t xml:space="preserve">Third, the Commission finds the claim that the development and deployment of an app would save money to be wholly unsupported. That is, SDG&amp;E provides insufficient information regarding the cost of the app separate from other costs requested, and fails to show cost savings. Further, a more prudent course would have been for SDG&amp;E to coordinate with stakeholders </w:t>
      </w:r>
      <w:r>
        <w:lastRenderedPageBreak/>
        <w:t xml:space="preserve">regarding options for communications along with associated costs rather than unilaterally incurring them. </w:t>
      </w:r>
    </w:p>
    <w:p w:rsidR="0067750B" w:rsidP="0067750B" w:rsidRDefault="0067750B" w14:paraId="0EAFA64C" w14:textId="259357D4">
      <w:pPr>
        <w:pStyle w:val="Standard"/>
      </w:pPr>
      <w:r>
        <w:t>Fourth</w:t>
      </w:r>
      <w:r w:rsidR="007253C8">
        <w:t>, the Commission finds insufficient information regarding the reasonableness of SDG&amp;E developing its own app, including the FTEs of the annual O&amp;M costs, relative to the costs of other tasks in this cost category.</w:t>
      </w:r>
    </w:p>
    <w:p w:rsidR="007253C8" w:rsidP="00A17B76" w:rsidRDefault="0067750B" w14:paraId="67255B62" w14:textId="1FE31BB3">
      <w:pPr>
        <w:pStyle w:val="Standard"/>
      </w:pPr>
      <w:r>
        <w:t>Finally, although Cal Advocates appears to acknowledge that not all the costs in this category are tied to the app, SDG&amp;E fails to state what portion of such costs are tied to the app.</w:t>
      </w:r>
      <w:r w:rsidR="00885761">
        <w:rPr>
          <w:rStyle w:val="FootnoteReference"/>
        </w:rPr>
        <w:footnoteReference w:id="320"/>
      </w:r>
      <w:r>
        <w:t xml:space="preserve"> C</w:t>
      </w:r>
      <w:r w:rsidR="007253C8">
        <w:t xml:space="preserve">onsidering all of the above, </w:t>
      </w:r>
      <w:r w:rsidRPr="00902734" w:rsidR="00902734">
        <w:t>SDG&amp;E</w:t>
      </w:r>
      <w:r w:rsidR="00A17B76">
        <w:t xml:space="preserve">’s </w:t>
      </w:r>
      <w:r w:rsidR="00AC38D0">
        <w:t xml:space="preserve">has </w:t>
      </w:r>
      <w:r w:rsidR="00A17B76">
        <w:t>not met its burden to prove the reasonableness of the costs requested with no alternative figure in the record. As a result, this</w:t>
      </w:r>
      <w:r w:rsidR="007253C8">
        <w:t xml:space="preserve"> leaves the Commission with little choice but to deny the total request as unreasonable.</w:t>
      </w:r>
    </w:p>
    <w:p w:rsidRPr="00293403" w:rsidR="007253C8" w:rsidP="00DA1C84" w:rsidRDefault="007253C8" w14:paraId="1F2FBF55" w14:textId="24593A2A">
      <w:pPr>
        <w:pStyle w:val="Heading1"/>
      </w:pPr>
      <w:bookmarkStart w:name="_Toc213312304" w:id="97"/>
      <w:r>
        <w:t xml:space="preserve">Labor and </w:t>
      </w:r>
      <w:r w:rsidRPr="009F3AAA">
        <w:t>Indirect</w:t>
      </w:r>
      <w:r>
        <w:t xml:space="preserve"> Costs along with Independent Review by Ernst and Young</w:t>
      </w:r>
      <w:bookmarkEnd w:id="97"/>
    </w:p>
    <w:p w:rsidRPr="00293403" w:rsidR="007253C8" w:rsidP="00A447AD" w:rsidRDefault="007253C8" w14:paraId="05CBD59B" w14:textId="115575D3">
      <w:pPr>
        <w:pStyle w:val="Heading2"/>
        <w:numPr>
          <w:ilvl w:val="1"/>
          <w:numId w:val="17"/>
        </w:numPr>
        <w:rPr>
          <w:b w:val="0"/>
        </w:rPr>
      </w:pPr>
      <w:bookmarkStart w:name="_Toc213312305" w:id="98"/>
      <w:r w:rsidRPr="0078386B">
        <w:t>Additional</w:t>
      </w:r>
      <w:r w:rsidRPr="00293403">
        <w:t xml:space="preserve"> </w:t>
      </w:r>
      <w:r w:rsidRPr="009F3AAA">
        <w:t>Straight</w:t>
      </w:r>
      <w:r w:rsidRPr="00293403">
        <w:t>-Time Labor</w:t>
      </w:r>
      <w:bookmarkEnd w:id="98"/>
    </w:p>
    <w:p w:rsidRPr="00293403" w:rsidR="007253C8" w:rsidP="007253C8" w:rsidRDefault="007253C8" w14:paraId="77CE57D9" w14:textId="1FEF2BAF">
      <w:pPr>
        <w:pStyle w:val="Standard"/>
      </w:pPr>
      <w:r w:rsidRPr="00293403">
        <w:t xml:space="preserve">In addition to SDG&amp;E’s capital-related costs, SDG&amp;E’s Track 2 request includes </w:t>
      </w:r>
      <w:r>
        <w:t xml:space="preserve">cost recovery for </w:t>
      </w:r>
      <w:r w:rsidRPr="00293403">
        <w:t>additional total labor performed, including over 40 new FTEs to support SDG&amp;E’s wildfire mitigation efforts.</w:t>
      </w:r>
      <w:r w:rsidRPr="00293403">
        <w:rPr>
          <w:vertAlign w:val="superscript"/>
        </w:rPr>
        <w:footnoteReference w:id="321"/>
      </w:r>
      <w:r w:rsidRPr="00293403">
        <w:t xml:space="preserve"> Within the additional total labor claimed, SDG&amp;E includes new employees in the following areas:</w:t>
      </w:r>
      <w:r w:rsidRPr="00293403">
        <w:rPr>
          <w:vertAlign w:val="superscript"/>
        </w:rPr>
        <w:footnoteReference w:id="322"/>
      </w:r>
    </w:p>
    <w:p w:rsidRPr="00293403" w:rsidR="007253C8" w:rsidP="0078386B" w:rsidRDefault="007253C8" w14:paraId="420D170B" w14:textId="77777777">
      <w:pPr>
        <w:pStyle w:val="ListBullet"/>
        <w:ind w:right="2160"/>
      </w:pPr>
      <w:r w:rsidRPr="00293403">
        <w:t xml:space="preserve">35 FTEs within </w:t>
      </w:r>
      <w:r w:rsidRPr="0078386B">
        <w:t>the</w:t>
      </w:r>
      <w:r w:rsidRPr="00293403">
        <w:t xml:space="preserve"> Wildfire &amp; Climate Science Division;</w:t>
      </w:r>
    </w:p>
    <w:p w:rsidRPr="00293403" w:rsidR="007253C8" w:rsidP="0078386B" w:rsidRDefault="007253C8" w14:paraId="0B39DA8A" w14:textId="66AA6995">
      <w:pPr>
        <w:pStyle w:val="ListBullet"/>
        <w:ind w:right="2160"/>
      </w:pPr>
      <w:r w:rsidRPr="00293403">
        <w:t>17 FTEs within the new Wildfire Mitigation Department formed in mid</w:t>
      </w:r>
      <w:r w:rsidR="007B3C07">
        <w:t>-</w:t>
      </w:r>
      <w:r>
        <w:t>20</w:t>
      </w:r>
      <w:r w:rsidRPr="00293403">
        <w:t>19;</w:t>
      </w:r>
    </w:p>
    <w:p w:rsidRPr="00293403" w:rsidR="007253C8" w:rsidP="0078386B" w:rsidRDefault="007253C8" w14:paraId="458195EE" w14:textId="77777777">
      <w:pPr>
        <w:pStyle w:val="ListBullet"/>
        <w:ind w:right="2160"/>
      </w:pPr>
      <w:r w:rsidRPr="00293403">
        <w:t xml:space="preserve">10 FTEs within </w:t>
      </w:r>
      <w:r w:rsidRPr="0078386B">
        <w:t>Emergency</w:t>
      </w:r>
      <w:r w:rsidRPr="00293403">
        <w:t xml:space="preserve"> Management;</w:t>
      </w:r>
    </w:p>
    <w:p w:rsidRPr="00293403" w:rsidR="007253C8" w:rsidP="0078386B" w:rsidRDefault="007253C8" w14:paraId="1761B556" w14:textId="77777777">
      <w:pPr>
        <w:pStyle w:val="ListBullet"/>
        <w:ind w:right="2160"/>
      </w:pPr>
      <w:r w:rsidRPr="00293403">
        <w:lastRenderedPageBreak/>
        <w:t xml:space="preserve">8 FTEs within the </w:t>
      </w:r>
      <w:r w:rsidRPr="0078386B">
        <w:t>Fire</w:t>
      </w:r>
      <w:r w:rsidRPr="00293403">
        <w:t xml:space="preserve"> Science &amp; Climate Adaptation Department; and</w:t>
      </w:r>
    </w:p>
    <w:p w:rsidRPr="00293403" w:rsidR="007253C8" w:rsidP="0078386B" w:rsidRDefault="007253C8" w14:paraId="1A7670F9" w14:textId="77777777">
      <w:pPr>
        <w:pStyle w:val="ListBullet"/>
        <w:ind w:right="2160"/>
      </w:pPr>
      <w:r w:rsidRPr="00293403">
        <w:t xml:space="preserve">5 FTEs within the new </w:t>
      </w:r>
      <w:r w:rsidRPr="0078386B">
        <w:t>Access</w:t>
      </w:r>
      <w:r w:rsidRPr="00293403">
        <w:t xml:space="preserve"> &amp; Functional Needs Department.</w:t>
      </w:r>
    </w:p>
    <w:p w:rsidRPr="00293403" w:rsidR="007253C8" w:rsidP="007253C8" w:rsidRDefault="007253C8" w14:paraId="4CD8B3EF" w14:textId="77777777">
      <w:pPr>
        <w:pStyle w:val="Standard"/>
      </w:pPr>
      <w:r w:rsidRPr="00293403">
        <w:t>The amount requested by SDG&amp;E for the additional labor described above is included in SDG&amp;E’s capital and O&amp;M expense requests.</w:t>
      </w:r>
    </w:p>
    <w:p w:rsidRPr="00293403" w:rsidR="007253C8" w:rsidP="007253C8" w:rsidRDefault="007253C8" w14:paraId="307BA97F" w14:textId="724580D4">
      <w:pPr>
        <w:pStyle w:val="Standard"/>
      </w:pPr>
      <w:r w:rsidRPr="00293403">
        <w:t xml:space="preserve">Cal Advocates recommends a reduction in SDG&amp;E’s capital request by $10.899 million and reduction </w:t>
      </w:r>
      <w:r w:rsidR="0087535B">
        <w:t xml:space="preserve">in </w:t>
      </w:r>
      <w:r w:rsidRPr="00293403">
        <w:t>its O&amp;M expense request by $25.107 million</w:t>
      </w:r>
      <w:r>
        <w:t>. This would remove</w:t>
      </w:r>
      <w:r w:rsidDel="4FABDCA0">
        <w:t xml:space="preserve"> </w:t>
      </w:r>
      <w:r w:rsidRPr="00293403">
        <w:t xml:space="preserve">costs </w:t>
      </w:r>
      <w:r>
        <w:t xml:space="preserve">Cal Advocates says are </w:t>
      </w:r>
      <w:r w:rsidRPr="00293403">
        <w:t>associated with straight-time labor and executive labor because</w:t>
      </w:r>
      <w:r>
        <w:t>, according to Cal Advocates,</w:t>
      </w:r>
      <w:r w:rsidRPr="00293403">
        <w:t xml:space="preserve"> SDG&amp;E fails to provide any analysis to substantiate that these requested costs are incremental and are not already being recovered in rates.</w:t>
      </w:r>
      <w:r w:rsidRPr="00293403">
        <w:rPr>
          <w:vertAlign w:val="superscript"/>
        </w:rPr>
        <w:footnoteReference w:id="323"/>
      </w:r>
      <w:r w:rsidRPr="00293403">
        <w:t xml:space="preserve"> In support</w:t>
      </w:r>
      <w:r>
        <w:t xml:space="preserve">, </w:t>
      </w:r>
      <w:r w:rsidRPr="00293403">
        <w:t>Cal Advocates claims that SDG&amp;E failed to provide any data documenting new hires associated with the work it claimed to be incremental in this application. Cal Advocates states that</w:t>
      </w:r>
      <w:r w:rsidDel="4FABDCA0">
        <w:t xml:space="preserve"> </w:t>
      </w:r>
      <w:r w:rsidRPr="00293403">
        <w:t xml:space="preserve">SDG&amp;E </w:t>
      </w:r>
      <w:r>
        <w:t xml:space="preserve">instead </w:t>
      </w:r>
      <w:r w:rsidRPr="00293403">
        <w:t>admitted that it was unable to identify the employees or hiring dates “as the employees charging labor to WMP</w:t>
      </w:r>
      <w:r w:rsidR="005130B7">
        <w:t>-</w:t>
      </w:r>
      <w:r w:rsidRPr="00293403">
        <w:t>related activities do so on an allocation basis and are not hired specifically for this purpose.”</w:t>
      </w:r>
      <w:r w:rsidRPr="00293403">
        <w:rPr>
          <w:vertAlign w:val="superscript"/>
        </w:rPr>
        <w:footnoteReference w:id="324"/>
      </w:r>
      <w:r w:rsidRPr="00293403">
        <w:t xml:space="preserve"> Based on such information, Cal Advocates argues that ”b</w:t>
      </w:r>
      <w:r w:rsidRPr="01D7CAC1">
        <w:t>ecause</w:t>
      </w:r>
      <w:r w:rsidRPr="5CC76974">
        <w:t xml:space="preserve"> the labor for those existing positions is already embedded in rates from its prior GRC cycle, SDG&amp;E’s reliance on supplemental contractors and overtime, and its redeployment of existing employees, demonstrate that its straight-time labor is not incremental</w:t>
      </w:r>
      <w:r w:rsidRPr="7FBA2DA5">
        <w:t xml:space="preserve">” and </w:t>
      </w:r>
      <w:r w:rsidRPr="5CC76974">
        <w:t>should be removed from SDG&amp;E’s request.</w:t>
      </w:r>
      <w:r w:rsidRPr="7154D2E1">
        <w:rPr>
          <w:rStyle w:val="FootnoteReference"/>
        </w:rPr>
        <w:footnoteReference w:id="325"/>
      </w:r>
      <w:r w:rsidRPr="00293403">
        <w:t xml:space="preserve"> </w:t>
      </w:r>
    </w:p>
    <w:p w:rsidRPr="00293403" w:rsidR="007253C8" w:rsidP="007253C8" w:rsidRDefault="007253C8" w14:paraId="13224687" w14:textId="77777777">
      <w:pPr>
        <w:pStyle w:val="Standard"/>
      </w:pPr>
      <w:r w:rsidRPr="00293403">
        <w:lastRenderedPageBreak/>
        <w:t xml:space="preserve">In rebuttal, SDG&amp;E claims that Cal Advocates misrepresents SDG&amp;E’s responses to data requests related to straight-time labor </w:t>
      </w:r>
      <w:r>
        <w:t>(</w:t>
      </w:r>
      <w:r w:rsidRPr="00293403">
        <w:t xml:space="preserve">in </w:t>
      </w:r>
      <w:r>
        <w:t xml:space="preserve">an attempt </w:t>
      </w:r>
      <w:r w:rsidRPr="00293403">
        <w:t>to argue that SDG&amp;E did not hire additional staff to implement its WMP), ignores evidence of new hires, and ignores testimony regarding accounting procedures.</w:t>
      </w:r>
      <w:r w:rsidRPr="00293403">
        <w:rPr>
          <w:vertAlign w:val="superscript"/>
        </w:rPr>
        <w:footnoteReference w:id="326"/>
      </w:r>
      <w:r w:rsidRPr="00293403">
        <w:t xml:space="preserve"> Cal Advocates does not address SDG&amp;E’s rebuttal testimony. </w:t>
      </w:r>
    </w:p>
    <w:p w:rsidRPr="00293403" w:rsidR="007253C8" w:rsidP="007253C8" w:rsidRDefault="007253C8" w14:paraId="24F87745" w14:textId="74A7C6DB">
      <w:pPr>
        <w:pStyle w:val="Standard"/>
      </w:pPr>
      <w:r w:rsidRPr="00293403">
        <w:t xml:space="preserve">The Commission finds that SDG&amp;E’s </w:t>
      </w:r>
      <w:r>
        <w:t>testimony</w:t>
      </w:r>
      <w:r w:rsidRPr="00293403">
        <w:t xml:space="preserve"> provided sufficient evidence of its capital and O&amp;M labor cost by WMP work categories, including evidence of the new FTEs</w:t>
      </w:r>
      <w:r w:rsidR="003910E5">
        <w:t xml:space="preserve"> and </w:t>
      </w:r>
      <w:r w:rsidR="00F31FCA">
        <w:t>accounting procedures</w:t>
      </w:r>
      <w:r w:rsidR="003910E5">
        <w:t xml:space="preserve"> </w:t>
      </w:r>
      <w:r w:rsidR="00F31FCA">
        <w:t>discussed above unaddressed by Cal Advocates</w:t>
      </w:r>
      <w:r w:rsidRPr="00293403">
        <w:t xml:space="preserve">. The Commission is not persuaded to the contrary by Cal Advocates. </w:t>
      </w:r>
      <w:r>
        <w:t>The</w:t>
      </w:r>
      <w:r w:rsidRPr="00293403">
        <w:t xml:space="preserve"> Commission finds SDG&amp;E’s request for cost recovery for increased and unforeseen responsibilities for wildfire safety, climate science, PSPS communications and awareness, and emergency response discussed above to be reasonable and incremental. </w:t>
      </w:r>
    </w:p>
    <w:p w:rsidRPr="00293403" w:rsidR="007253C8" w:rsidP="00A447AD" w:rsidRDefault="007253C8" w14:paraId="6B045DD1" w14:textId="32D0D610">
      <w:pPr>
        <w:pStyle w:val="Heading2"/>
        <w:numPr>
          <w:ilvl w:val="1"/>
          <w:numId w:val="17"/>
        </w:numPr>
        <w:rPr>
          <w:b w:val="0"/>
        </w:rPr>
      </w:pPr>
      <w:bookmarkStart w:name="_Toc213312306" w:id="99"/>
      <w:r w:rsidRPr="0078386B">
        <w:t>Employee</w:t>
      </w:r>
      <w:r w:rsidRPr="00293403">
        <w:t xml:space="preserve"> Benefits</w:t>
      </w:r>
      <w:bookmarkEnd w:id="99"/>
    </w:p>
    <w:p w:rsidRPr="00293403" w:rsidR="007253C8" w:rsidP="007253C8" w:rsidRDefault="007253C8" w14:paraId="21900D45" w14:textId="77777777">
      <w:pPr>
        <w:pStyle w:val="Standard"/>
      </w:pPr>
      <w:r w:rsidRPr="00293403">
        <w:t xml:space="preserve">SDG&amp;E requests cost recovery for employee benefit costs it claims it incurred in addition to the amount of employee benefit costs relating to WMP activities authorized in the 2019 GRC. This request is for $0.221 million in capital and $0.261 million for O&amp;M expenses associated with </w:t>
      </w:r>
      <w:r>
        <w:t xml:space="preserve">these additional </w:t>
      </w:r>
      <w:r w:rsidRPr="00293403">
        <w:t xml:space="preserve">employee benefits </w:t>
      </w:r>
      <w:r>
        <w:t>(</w:t>
      </w:r>
      <w:r w:rsidRPr="00293403">
        <w:t>such as event tickets, cash awards, recognition awards, signing bonuses, employee relocation, and gift cards</w:t>
      </w:r>
      <w:r>
        <w:t>)</w:t>
      </w:r>
      <w:r w:rsidRPr="00293403">
        <w:t>.</w:t>
      </w:r>
      <w:r w:rsidRPr="00293403">
        <w:rPr>
          <w:vertAlign w:val="superscript"/>
        </w:rPr>
        <w:footnoteReference w:id="327"/>
      </w:r>
    </w:p>
    <w:p w:rsidRPr="00293403" w:rsidR="007253C8" w:rsidP="007253C8" w:rsidRDefault="007253C8" w14:paraId="2E59CABD" w14:textId="77777777">
      <w:pPr>
        <w:pStyle w:val="Standard"/>
      </w:pPr>
      <w:r w:rsidRPr="00293403">
        <w:t xml:space="preserve">Cal Advocates argues that these costs are already embedded in rates through the GRC and are redundant and unreasonable. In addition, Cal Advocates </w:t>
      </w:r>
      <w:r>
        <w:t xml:space="preserve">asserts </w:t>
      </w:r>
      <w:r w:rsidRPr="00293403">
        <w:t xml:space="preserve">SDG&amp;E acknowledged that it did not hire new employees or </w:t>
      </w:r>
      <w:r w:rsidRPr="00293403">
        <w:lastRenderedPageBreak/>
        <w:t xml:space="preserve">create new positions to perform the work recorded in the WMPMA. As a result, Cal Advocates </w:t>
      </w:r>
      <w:r>
        <w:t xml:space="preserve">concludes </w:t>
      </w:r>
      <w:r w:rsidRPr="00293403">
        <w:t>that the employee benefit costs related to those employees should be removed because they cannot be incremental if the labor to which they are associated is not incremental.</w:t>
      </w:r>
      <w:r w:rsidRPr="00293403">
        <w:rPr>
          <w:vertAlign w:val="superscript"/>
        </w:rPr>
        <w:footnoteReference w:id="328"/>
      </w:r>
    </w:p>
    <w:p w:rsidR="00A01C47" w:rsidP="00A01C47" w:rsidRDefault="001967AC" w14:paraId="2767BDA1" w14:textId="3A44AC22">
      <w:pPr>
        <w:pStyle w:val="Standard"/>
      </w:pPr>
      <w:r>
        <w:t>However,</w:t>
      </w:r>
      <w:r w:rsidR="007253C8">
        <w:t xml:space="preserve"> the Commission finds that SDG&amp;E hired new employees to perform work recorded in the WMPMA</w:t>
      </w:r>
      <w:r>
        <w:t>. Since the Commission has found hiring of new employees to be incremental</w:t>
      </w:r>
      <w:r w:rsidR="00C12A72">
        <w:t xml:space="preserve"> </w:t>
      </w:r>
      <w:r>
        <w:t xml:space="preserve">and the amount of these costs is not in dispute, </w:t>
      </w:r>
      <w:r w:rsidR="007253C8">
        <w:t xml:space="preserve">, the Commission </w:t>
      </w:r>
      <w:r>
        <w:t xml:space="preserve">finds SDG&amp;E’s request </w:t>
      </w:r>
      <w:r w:rsidR="007253C8">
        <w:t xml:space="preserve">for  cost recovery </w:t>
      </w:r>
      <w:r w:rsidRPr="001967AC">
        <w:t xml:space="preserve">for $0.221 million in capital and $0.261 million for O&amp;M expenses </w:t>
      </w:r>
      <w:r>
        <w:t xml:space="preserve">for </w:t>
      </w:r>
      <w:r w:rsidRPr="001967AC">
        <w:t xml:space="preserve"> employee benefits</w:t>
      </w:r>
      <w:r>
        <w:t xml:space="preserve"> to </w:t>
      </w:r>
      <w:r w:rsidR="007253C8">
        <w:t>be reasonable.</w:t>
      </w:r>
    </w:p>
    <w:p w:rsidRPr="00293403" w:rsidR="007253C8" w:rsidP="00A447AD" w:rsidRDefault="007253C8" w14:paraId="75C96983" w14:textId="77777777">
      <w:pPr>
        <w:pStyle w:val="Heading2"/>
        <w:numPr>
          <w:ilvl w:val="1"/>
          <w:numId w:val="17"/>
        </w:numPr>
        <w:rPr>
          <w:b w:val="0"/>
        </w:rPr>
      </w:pPr>
      <w:bookmarkStart w:name="_Toc213312307" w:id="100"/>
      <w:r w:rsidRPr="0078386B">
        <w:t>Indirect</w:t>
      </w:r>
      <w:r w:rsidRPr="1E57921A">
        <w:t xml:space="preserve"> or Overhead Costs</w:t>
      </w:r>
      <w:bookmarkEnd w:id="100"/>
    </w:p>
    <w:p w:rsidRPr="00293403" w:rsidR="007253C8" w:rsidP="007253C8" w:rsidRDefault="007253C8" w14:paraId="4AE1B8C8" w14:textId="77777777">
      <w:pPr>
        <w:pStyle w:val="Standard"/>
      </w:pPr>
      <w:r w:rsidRPr="00293403">
        <w:t>Consistent with Commission precedent, SDG&amp;E’s request for cost recovery includes indirect or overhead costs added to both capital expenditures and O&amp;M direct costs</w:t>
      </w:r>
      <w:r>
        <w:t>. These include</w:t>
      </w:r>
      <w:r w:rsidDel="4FABDCA0">
        <w:t xml:space="preserve"> </w:t>
      </w:r>
      <w:r w:rsidRPr="00293403">
        <w:t>additional labor-related costs, such as pension and benefits, incentive compensation plan (ICP), payroll taxes, contract administration, small tools, and purchasing and warehouse. Other overhead costs, such as engineering, department overheads, and administrative &amp; general, are added for capital work only. Such overhead costs are generally understood to mean expenses that are necessary for a business to operate but that are not directly related to the production of goods or services.</w:t>
      </w:r>
      <w:r w:rsidRPr="00293403">
        <w:rPr>
          <w:vertAlign w:val="superscript"/>
        </w:rPr>
        <w:footnoteReference w:id="329"/>
      </w:r>
    </w:p>
    <w:p w:rsidR="007253C8" w:rsidP="007253C8" w:rsidRDefault="007253C8" w14:paraId="507AA39A" w14:textId="77777777">
      <w:pPr>
        <w:pStyle w:val="Standard"/>
      </w:pPr>
      <w:r>
        <w:t xml:space="preserve">As discussed above, various intervenors contested the direct costs underlying SDG&amp;E’s overhead costs, but did not contest SDG&amp;E’s methodology for adding overhead costs. The Commission denies some of SDG&amp;E’s direct </w:t>
      </w:r>
      <w:r>
        <w:lastRenderedPageBreak/>
        <w:t>costs, however, and therefore adopts proportional reductions to SDG&amp;E’s indirect costs below.</w:t>
      </w:r>
    </w:p>
    <w:p w:rsidRPr="00293403" w:rsidR="007253C8" w:rsidP="00A447AD" w:rsidRDefault="007253C8" w14:paraId="0BE327B6" w14:textId="77777777">
      <w:pPr>
        <w:pStyle w:val="Heading2"/>
        <w:numPr>
          <w:ilvl w:val="1"/>
          <w:numId w:val="17"/>
        </w:numPr>
        <w:rPr>
          <w:b w:val="0"/>
        </w:rPr>
      </w:pPr>
      <w:bookmarkStart w:name="_Toc213312308" w:id="101"/>
      <w:r w:rsidRPr="0078386B">
        <w:t>Dues</w:t>
      </w:r>
      <w:bookmarkEnd w:id="101"/>
    </w:p>
    <w:p w:rsidRPr="00293403" w:rsidR="007253C8" w:rsidP="007253C8" w:rsidRDefault="007253C8" w14:paraId="24771FA6" w14:textId="2BC98273">
      <w:pPr>
        <w:pStyle w:val="Standard"/>
      </w:pPr>
      <w:r w:rsidRPr="00293403">
        <w:t>SDG&amp;E requests cost recovery of $0.003 million in capital and $0.218 million in O&amp;M expenses for dues relating to memberships in joint Investor-Owned Utility (IOU) collaborative and other organizations including: the International Wildfire Risk Mitigation Consortium (IWRMC)</w:t>
      </w:r>
      <w:r>
        <w:t>;</w:t>
      </w:r>
      <w:r w:rsidRPr="00293403">
        <w:t xml:space="preserve"> the California Utilities Emergency Association (CUE</w:t>
      </w:r>
      <w:r>
        <w:t>A</w:t>
      </w:r>
      <w:r w:rsidRPr="00293403">
        <w:t xml:space="preserve">); </w:t>
      </w:r>
      <w:r>
        <w:t xml:space="preserve">and </w:t>
      </w:r>
      <w:r w:rsidRPr="00293403">
        <w:t xml:space="preserve">the San Jose State University </w:t>
      </w:r>
      <w:r>
        <w:t xml:space="preserve">sponsored </w:t>
      </w:r>
      <w:r w:rsidRPr="00293403">
        <w:t xml:space="preserve">Industry-University Cooperative Research Center – Wildfire Interdisciplinary Research Center (IUCRC-WIRC).  In addition, this cost category includes O&amp;M costs totaling roughly $11,000 for employee reimbursements </w:t>
      </w:r>
      <w:r>
        <w:t xml:space="preserve">relative to </w:t>
      </w:r>
      <w:r w:rsidRPr="00293403">
        <w:t xml:space="preserve">professional licensing renewals and the capital payment for dues </w:t>
      </w:r>
      <w:r>
        <w:t xml:space="preserve">relative to </w:t>
      </w:r>
      <w:r w:rsidRPr="00293403">
        <w:t>fees paid for engineering staff working on capital work and attending technical conferences.</w:t>
      </w:r>
      <w:r w:rsidRPr="00293403">
        <w:rPr>
          <w:vertAlign w:val="superscript"/>
        </w:rPr>
        <w:footnoteReference w:id="330"/>
      </w:r>
    </w:p>
    <w:p w:rsidRPr="00293403" w:rsidR="007253C8" w:rsidP="007253C8" w:rsidRDefault="007253C8" w14:paraId="0905F56E" w14:textId="77777777">
      <w:pPr>
        <w:pStyle w:val="Standard"/>
      </w:pPr>
      <w:r w:rsidRPr="00293403">
        <w:t>Cal Advocates recommends denial of this request because such dues are typically paid to organizations that engage in lobbying.</w:t>
      </w:r>
      <w:r w:rsidRPr="00293403">
        <w:rPr>
          <w:vertAlign w:val="superscript"/>
        </w:rPr>
        <w:footnoteReference w:id="331"/>
      </w:r>
    </w:p>
    <w:p w:rsidRPr="00293403" w:rsidR="007253C8" w:rsidP="007253C8" w:rsidRDefault="007253C8" w14:paraId="44A5336F" w14:textId="13BE2D8A">
      <w:pPr>
        <w:pStyle w:val="Standard"/>
      </w:pPr>
      <w:r w:rsidRPr="00293403">
        <w:t>In response, SDG&amp;E contends that the above costs are unrelated to any lobbying activity. Instead, SDG&amp;E claims that the activities support collaborative research work in furtherance of safety objectives by sharing information, lessons learned, and data</w:t>
      </w:r>
      <w:r>
        <w:t>,</w:t>
      </w:r>
      <w:r w:rsidRPr="00293403">
        <w:t xml:space="preserve"> which may result in potential benefits </w:t>
      </w:r>
      <w:r>
        <w:t xml:space="preserve">in </w:t>
      </w:r>
      <w:r w:rsidRPr="00293403">
        <w:t>cost efficiencies and reduction of overlapping work.</w:t>
      </w:r>
    </w:p>
    <w:p w:rsidRPr="00293403" w:rsidR="007253C8" w:rsidP="007253C8" w:rsidRDefault="007253C8" w14:paraId="10B30531" w14:textId="77777777">
      <w:pPr>
        <w:pStyle w:val="Standard"/>
      </w:pPr>
      <w:r w:rsidRPr="00293403">
        <w:t xml:space="preserve">Professional membership costs such as the above may provide some value, but that </w:t>
      </w:r>
      <w:r>
        <w:t>value</w:t>
      </w:r>
      <w:r w:rsidRPr="00293403">
        <w:t xml:space="preserve"> must be demonstrated in each rate case.</w:t>
      </w:r>
      <w:r w:rsidRPr="00293403">
        <w:rPr>
          <w:vertAlign w:val="superscript"/>
        </w:rPr>
        <w:footnoteReference w:id="332"/>
      </w:r>
      <w:r w:rsidRPr="00293403">
        <w:t xml:space="preserve"> In this case, the </w:t>
      </w:r>
      <w:r w:rsidRPr="00293403">
        <w:lastRenderedPageBreak/>
        <w:t xml:space="preserve">Commission finds insufficient evidence of </w:t>
      </w:r>
      <w:r>
        <w:t xml:space="preserve">realized benefits from </w:t>
      </w:r>
      <w:r w:rsidRPr="00293403">
        <w:t xml:space="preserve">potential cost efficiencies and reduction </w:t>
      </w:r>
      <w:r>
        <w:t xml:space="preserve">in </w:t>
      </w:r>
      <w:r w:rsidRPr="00293403">
        <w:t xml:space="preserve">overlapping work </w:t>
      </w:r>
      <w:r>
        <w:t xml:space="preserve">compared to costs. As a result, the Commission </w:t>
      </w:r>
      <w:r w:rsidRPr="00293403">
        <w:t>denies these costs consistent with the denial of similar costs in this proceeding.</w:t>
      </w:r>
    </w:p>
    <w:p w:rsidRPr="00293403" w:rsidR="007253C8" w:rsidP="00A447AD" w:rsidRDefault="007253C8" w14:paraId="3EDAD070" w14:textId="2A132511">
      <w:pPr>
        <w:pStyle w:val="Heading2"/>
        <w:numPr>
          <w:ilvl w:val="1"/>
          <w:numId w:val="17"/>
        </w:numPr>
        <w:rPr>
          <w:b w:val="0"/>
        </w:rPr>
      </w:pPr>
      <w:bookmarkStart w:name="_Toc213312309" w:id="102"/>
      <w:r w:rsidRPr="00293403">
        <w:t>Market Research</w:t>
      </w:r>
      <w:bookmarkEnd w:id="102"/>
    </w:p>
    <w:p w:rsidRPr="00293403" w:rsidR="007253C8" w:rsidP="007253C8" w:rsidRDefault="007253C8" w14:paraId="6B7B35E5" w14:textId="01E5B106">
      <w:pPr>
        <w:pStyle w:val="Standard"/>
      </w:pPr>
      <w:r w:rsidRPr="5F19F788">
        <w:t xml:space="preserve">SDG&amp;E requests cost recovery of $1.056 million in O&amp;M expenses associated with costs allocated to market research based on the requirements of </w:t>
      </w:r>
      <w:r w:rsidR="00A867AC">
        <w:t>OEIS</w:t>
      </w:r>
      <w:r w:rsidRPr="5F19F788">
        <w:t>’s WMP guidelines and Commission directives and orders implemented through the De-Energization proceedings.</w:t>
      </w:r>
      <w:r w:rsidRPr="00293403">
        <w:rPr>
          <w:bCs/>
        </w:rPr>
        <w:t xml:space="preserve"> </w:t>
      </w:r>
      <w:r w:rsidRPr="5F19F788">
        <w:t>To successfully implement PSPS events, these guidelines, directives, and orders require PSPS communications, outreach, and ongoing awareness. For example, SDG&amp;E personnel participate in monthly meetings during high fire seasons. These meetings provide ongoing updates on utility activities to support PSPS notifications, outreach, and collaboration with community safety partners</w:t>
      </w:r>
      <w:r>
        <w:t>. The meetings also</w:t>
      </w:r>
      <w:r w:rsidDel="4FABDCA0">
        <w:t xml:space="preserve"> </w:t>
      </w:r>
      <w:r w:rsidRPr="5F19F788">
        <w:t xml:space="preserve">address critical infrastructure resources, including </w:t>
      </w:r>
      <w:r>
        <w:t xml:space="preserve">educating </w:t>
      </w:r>
      <w:r w:rsidRPr="5F19F788">
        <w:t>the Communication Infrastructure Providers on the call to understand their needs during PSPS.</w:t>
      </w:r>
      <w:r w:rsidRPr="5F19F788">
        <w:rPr>
          <w:vertAlign w:val="superscript"/>
        </w:rPr>
        <w:footnoteReference w:id="333"/>
      </w:r>
    </w:p>
    <w:p w:rsidRPr="00293403" w:rsidR="007253C8" w:rsidP="007253C8" w:rsidRDefault="007253C8" w14:paraId="70CF90E4" w14:textId="63C4D4E5">
      <w:pPr>
        <w:pStyle w:val="Standard"/>
      </w:pPr>
      <w:r w:rsidRPr="00293403">
        <w:t>To support PSPS communications and awareness, SDG&amp;E performed market research to better understand customer needs and tailor PSPS alerts. For example, SDG&amp;E conducted surveys committed to educating customers year-round about wildfire safety, preparedness, and P</w:t>
      </w:r>
      <w:r w:rsidR="00A867AC">
        <w:t>SPS</w:t>
      </w:r>
      <w:r w:rsidR="009A5FFC">
        <w:t xml:space="preserve"> events</w:t>
      </w:r>
      <w:r w:rsidRPr="00293403">
        <w:t>. SDG&amp;E leverages more than 20 diverse communications platforms to reach the public. Some of them include hyperlocal social media messaging, in-community signage and mobile marquees, and a dedicated Spanish media team, to name a few.</w:t>
      </w:r>
      <w:r w:rsidRPr="00293403">
        <w:rPr>
          <w:vertAlign w:val="superscript"/>
        </w:rPr>
        <w:footnoteReference w:id="334"/>
      </w:r>
    </w:p>
    <w:p w:rsidRPr="00293403" w:rsidR="007253C8" w:rsidP="007253C8" w:rsidRDefault="007253C8" w14:paraId="65F68106" w14:textId="7D3AFED1">
      <w:pPr>
        <w:pStyle w:val="Standard"/>
        <w:rPr>
          <w:bCs/>
        </w:rPr>
      </w:pPr>
      <w:r w:rsidRPr="5F19F788">
        <w:lastRenderedPageBreak/>
        <w:t xml:space="preserve">Cal Advocates argues that rate recovery for such market research is inappropriate because 1) it does not </w:t>
      </w:r>
      <w:r>
        <w:t>focus</w:t>
      </w:r>
      <w:r w:rsidRPr="5F19F788">
        <w:t xml:space="preserve"> on distribution assets or facilities in a Tier 2 or Tier 3 HFTD, and 2) SDG&amp;E received ratepayer funding through the revenue requirement </w:t>
      </w:r>
      <w:r w:rsidR="00BB107E">
        <w:t>track</w:t>
      </w:r>
      <w:r w:rsidRPr="5F19F788">
        <w:t xml:space="preserve"> of the GRC to support market research activities.</w:t>
      </w:r>
      <w:r w:rsidRPr="5F19F788">
        <w:rPr>
          <w:vertAlign w:val="superscript"/>
        </w:rPr>
        <w:footnoteReference w:id="335"/>
      </w:r>
    </w:p>
    <w:p w:rsidRPr="00293403" w:rsidR="007253C8" w:rsidP="007253C8" w:rsidRDefault="007253C8" w14:paraId="3CC0A94F" w14:textId="11284B5C">
      <w:pPr>
        <w:pStyle w:val="Standard"/>
      </w:pPr>
      <w:r w:rsidRPr="00293403">
        <w:t xml:space="preserve">In response, SDG&amp;E notes that these activities were in support of SDG&amp;E’s WMPs and wholly unforeseen in SDG&amp;E’s TY 2019 GRC, as the PSPS requirements evolved after SDG&amp;E’s GRC </w:t>
      </w:r>
      <w:r w:rsidR="00A867AC">
        <w:t>d</w:t>
      </w:r>
      <w:r w:rsidRPr="00293403">
        <w:t>ecision. The Commission agrees. Cal Advocates provides no authority for its criteria for cost recovery. Nor does</w:t>
      </w:r>
      <w:r>
        <w:t xml:space="preserve"> Cal Advocates</w:t>
      </w:r>
      <w:r w:rsidRPr="00293403">
        <w:t xml:space="preserve"> address SDG&amp;E’s</w:t>
      </w:r>
      <w:r>
        <w:t xml:space="preserve"> points</w:t>
      </w:r>
      <w:r w:rsidRPr="00293403">
        <w:t>.</w:t>
      </w:r>
    </w:p>
    <w:p w:rsidRPr="00293403" w:rsidR="007253C8" w:rsidP="007253C8" w:rsidRDefault="007253C8" w14:paraId="462C0547" w14:textId="77777777">
      <w:pPr>
        <w:pStyle w:val="Standard"/>
      </w:pPr>
      <w:r w:rsidRPr="00293403">
        <w:t xml:space="preserve">The Commission finds that the market research activity described above is required by </w:t>
      </w:r>
      <w:r>
        <w:t xml:space="preserve">both </w:t>
      </w:r>
      <w:r w:rsidRPr="00293403">
        <w:t xml:space="preserve">OEIS and Commission directives and is necessary for the successful implementation of PSPS events </w:t>
      </w:r>
      <w:r>
        <w:t>(</w:t>
      </w:r>
      <w:r w:rsidRPr="00293403">
        <w:t>to prevent fires and protect the public</w:t>
      </w:r>
      <w:r>
        <w:t>). These costs are both</w:t>
      </w:r>
      <w:r w:rsidRPr="00293403">
        <w:t xml:space="preserve"> reasonable</w:t>
      </w:r>
      <w:r>
        <w:t xml:space="preserve"> and </w:t>
      </w:r>
      <w:r w:rsidRPr="00293403">
        <w:t xml:space="preserve">incremental </w:t>
      </w:r>
      <w:r>
        <w:t>(</w:t>
      </w:r>
      <w:r w:rsidRPr="00293403">
        <w:t>since they were not authorized in the last GRC</w:t>
      </w:r>
      <w:r>
        <w:t>).</w:t>
      </w:r>
    </w:p>
    <w:p w:rsidRPr="00293403" w:rsidR="007253C8" w:rsidP="00A447AD" w:rsidRDefault="007253C8" w14:paraId="21D35CDF" w14:textId="5B4EA22B">
      <w:pPr>
        <w:pStyle w:val="Heading2"/>
        <w:numPr>
          <w:ilvl w:val="1"/>
          <w:numId w:val="17"/>
        </w:numPr>
      </w:pPr>
      <w:bookmarkStart w:name="_Toc213312310" w:id="103"/>
      <w:r w:rsidRPr="0078386B">
        <w:t>Ernst</w:t>
      </w:r>
      <w:r w:rsidRPr="00293403">
        <w:t xml:space="preserve"> </w:t>
      </w:r>
      <w:r w:rsidR="009A5FFC">
        <w:t>&amp;</w:t>
      </w:r>
      <w:r w:rsidRPr="00293403">
        <w:t xml:space="preserve"> Young </w:t>
      </w:r>
      <w:bookmarkEnd w:id="103"/>
      <w:r w:rsidR="00E97279">
        <w:t>Report</w:t>
      </w:r>
    </w:p>
    <w:p w:rsidRPr="00293403" w:rsidR="007253C8" w:rsidP="007253C8" w:rsidRDefault="007253C8" w14:paraId="449E95F4" w14:textId="4F11E9C5">
      <w:pPr>
        <w:pStyle w:val="Standard"/>
      </w:pPr>
      <w:r w:rsidRPr="00293403">
        <w:t>SDG&amp;E retained Ernst &amp; Young (E&amp;Y) to independently review a sampling of the $2.2 billion in wildfire mitigation costs SDG&amp;E incurred in 2019</w:t>
      </w:r>
      <w:r>
        <w:t>–20</w:t>
      </w:r>
      <w:r w:rsidRPr="00293403">
        <w:t>22 and booked to the WMPMAs for the purpose of evaluating whether they were incremental and reasonable.</w:t>
      </w:r>
      <w:r w:rsidRPr="00293403">
        <w:rPr>
          <w:vertAlign w:val="superscript"/>
        </w:rPr>
        <w:footnoteReference w:id="336"/>
      </w:r>
      <w:r w:rsidRPr="00293403">
        <w:t xml:space="preserve"> E&amp;Y tested approximately $405 million of the $2.2 billion in total incurred costs. As a result, E&amp;Y identified items totaling approximately $0.8 million (extrapolated to $2.6 million) that were not properly evidenced for inclusion in the WMPMA for the following reasons: Non-incremental, Does Not Align to Contract, Contract Not Reasonable/Prudent, </w:t>
      </w:r>
      <w:r w:rsidRPr="00293403">
        <w:lastRenderedPageBreak/>
        <w:t xml:space="preserve">Contract Out of Scope, Contract Transmission, Trip to Unrelated City, Transmission instead of Distribution, and Events/Tickets Unrelated to PSPS </w:t>
      </w:r>
      <w:r w:rsidR="00AF4741">
        <w:t>E</w:t>
      </w:r>
      <w:r w:rsidRPr="00293403">
        <w:t xml:space="preserve">vents. </w:t>
      </w:r>
      <w:r w:rsidRPr="16287259">
        <w:t>SDG&amp;E has agreed to forgo seeking E&amp;Y’s full extrapolated amount of $2.6 million in its request for recovery in this proceeding.</w:t>
      </w:r>
      <w:r w:rsidRPr="16287259">
        <w:rPr>
          <w:rStyle w:val="FootnoteReference"/>
        </w:rPr>
        <w:footnoteReference w:id="337"/>
      </w:r>
    </w:p>
    <w:p w:rsidRPr="00293403" w:rsidR="007253C8" w:rsidP="007253C8" w:rsidRDefault="007253C8" w14:paraId="12EB7B4C" w14:textId="15B882AA">
      <w:pPr>
        <w:pStyle w:val="Standard"/>
      </w:pPr>
      <w:r w:rsidRPr="00293403">
        <w:t>In addition to the adjustments identified by E&amp;Y, SDG&amp;E identified additional electric O&amp;M costs of $1.4 million that have been removed from the costs being requested.</w:t>
      </w:r>
      <w:r w:rsidRPr="594E653A">
        <w:rPr>
          <w:rStyle w:val="FootnoteReference"/>
        </w:rPr>
        <w:footnoteReference w:id="338"/>
      </w:r>
      <w:r w:rsidRPr="00293403">
        <w:t xml:space="preserve"> These reductions result in </w:t>
      </w:r>
      <w:r w:rsidR="009A5FFC">
        <w:t xml:space="preserve">the </w:t>
      </w:r>
      <w:r w:rsidRPr="00293403">
        <w:t xml:space="preserve">revised WMPMA electric </w:t>
      </w:r>
      <w:proofErr w:type="spellStart"/>
      <w:r w:rsidRPr="00293403">
        <w:t>undercollection</w:t>
      </w:r>
      <w:proofErr w:type="spellEnd"/>
      <w:r w:rsidRPr="00293403">
        <w:t xml:space="preserve"> revenue requirement shown in</w:t>
      </w:r>
      <w:r>
        <w:t xml:space="preserve"> Appendix C</w:t>
      </w:r>
      <w:r w:rsidRPr="00293403">
        <w:t>.</w:t>
      </w:r>
      <w:r w:rsidRPr="00293403">
        <w:rPr>
          <w:vertAlign w:val="superscript"/>
        </w:rPr>
        <w:footnoteReference w:id="339"/>
      </w:r>
    </w:p>
    <w:p w:rsidRPr="00293403" w:rsidR="007253C8" w:rsidP="007253C8" w:rsidRDefault="007253C8" w14:paraId="6EE5DB4A" w14:textId="04BBBCEB">
      <w:pPr>
        <w:pStyle w:val="Standard"/>
      </w:pPr>
      <w:r>
        <w:t xml:space="preserve">Cal Advocates contends that E&amp;Y’s analysis includes uneven category sampling and skewed extrapolation and recommends a different method of determining the number of costs improperly included in the WMPMA. E&amp;Y </w:t>
      </w:r>
      <w:r w:rsidRPr="73E4AAD3">
        <w:t>identifies $0.745 million or 89.76% of its $0.830 million recommended exclusion as transmission-related. Of the $0.745 million in transmission-related costs, the O&amp;M portion is $0.239 million (or 32%) and capital is $0.506 million (or 68%). Cal</w:t>
      </w:r>
      <w:r w:rsidR="00EB33A9">
        <w:t> </w:t>
      </w:r>
      <w:r w:rsidRPr="73E4AAD3">
        <w:t xml:space="preserve">Advocates then uses the 89.76% ratio of improperly evidenced transmission costs and compares this rate of occurrence to the total population of costs to </w:t>
      </w:r>
      <w:r>
        <w:t>extrapolate $9.128 million in unsupported costs related to transmission assets.</w:t>
      </w:r>
      <w:r w:rsidRPr="73E4AAD3">
        <w:t xml:space="preserve"> Cal Advocates contends that this method provides a more accurate way to estimate improperly evidenced costs and </w:t>
      </w:r>
      <w:r>
        <w:t>recommends that $9.128 million be removed from SDG&amp;E’s rate recovery request in the Asset Management and Inspections work category.</w:t>
      </w:r>
    </w:p>
    <w:p w:rsidRPr="00293403" w:rsidR="007253C8" w:rsidP="007253C8" w:rsidRDefault="007253C8" w14:paraId="031A8712" w14:textId="77777777">
      <w:pPr>
        <w:pStyle w:val="Standard"/>
      </w:pPr>
      <w:r w:rsidRPr="00293403">
        <w:t>SDG&amp;E claims that Cal Advocates’ argument</w:t>
      </w:r>
      <w:r>
        <w:t>,</w:t>
      </w:r>
      <w:r w:rsidRPr="00293403">
        <w:t xml:space="preserve"> that E&amp;Y’s exclusions relating to transmission should be extrapolated to $9.128 million</w:t>
      </w:r>
      <w:r>
        <w:t>,</w:t>
      </w:r>
      <w:r w:rsidRPr="00293403">
        <w:t xml:space="preserve"> should be </w:t>
      </w:r>
      <w:r w:rsidRPr="00293403">
        <w:lastRenderedPageBreak/>
        <w:t>rejected for its lack of statistically valid support and failure to take into account the expanded procedures E&amp;Y performed to address transmission costs,</w:t>
      </w:r>
      <w:r w:rsidRPr="00293403">
        <w:rPr>
          <w:vertAlign w:val="superscript"/>
        </w:rPr>
        <w:footnoteReference w:id="340"/>
      </w:r>
      <w:r w:rsidRPr="00293403">
        <w:t xml:space="preserve"> as detailed further in rebuttal testimony.</w:t>
      </w:r>
      <w:r w:rsidRPr="00293403">
        <w:rPr>
          <w:vertAlign w:val="superscript"/>
        </w:rPr>
        <w:footnoteReference w:id="341"/>
      </w:r>
      <w:r w:rsidRPr="00293403">
        <w:t xml:space="preserve"> </w:t>
      </w:r>
      <w:r>
        <w:t>The Commission agrees.</w:t>
      </w:r>
    </w:p>
    <w:p w:rsidRPr="00293403" w:rsidR="007253C8" w:rsidP="007253C8" w:rsidRDefault="007253C8" w14:paraId="2BBC6148" w14:textId="7D421736">
      <w:pPr>
        <w:pStyle w:val="Standard"/>
      </w:pPr>
      <w:r w:rsidRPr="00293403">
        <w:t>The Commission finds insufficient support for Cal Advocates’ claim that E&amp;Y’s analysis includes uneven category sampling</w:t>
      </w:r>
      <w:r w:rsidR="005F6B8A">
        <w:t xml:space="preserve"> and</w:t>
      </w:r>
      <w:r w:rsidRPr="00293403">
        <w:t xml:space="preserve"> skewed extrapolation, and that Cal Advocates’ extrapolation method is more accurate according to professional statistical and accounting standards. Accordingly, the Commission finds that $2.6 million in costs, as discussed above, were not properly included in the </w:t>
      </w:r>
      <w:r>
        <w:t>WMPMA</w:t>
      </w:r>
      <w:r w:rsidRPr="00293403">
        <w:t xml:space="preserve">. </w:t>
      </w:r>
      <w:r>
        <w:t>In addition, within 90 days of the effective date of this decision, SDG&amp;E shall file a Tier 1 Advice Letter verifying that SDG&amp;E removed $1.4 million in additional electric O&amp;M costs from the cost recovery requested.</w:t>
      </w:r>
    </w:p>
    <w:p w:rsidRPr="00293403" w:rsidR="007253C8" w:rsidP="00A447AD" w:rsidRDefault="007253C8" w14:paraId="74ECD348" w14:textId="77777777">
      <w:pPr>
        <w:pStyle w:val="Heading2"/>
        <w:numPr>
          <w:ilvl w:val="1"/>
          <w:numId w:val="17"/>
        </w:numPr>
      </w:pPr>
      <w:bookmarkStart w:name="_Toc213312311" w:id="104"/>
      <w:r w:rsidRPr="0078386B">
        <w:t>Proportional</w:t>
      </w:r>
      <w:r w:rsidRPr="6CE44806">
        <w:t xml:space="preserve"> Reductions to Indirect Costs</w:t>
      </w:r>
      <w:bookmarkEnd w:id="104"/>
    </w:p>
    <w:p w:rsidR="007253C8" w:rsidP="007253C8" w:rsidRDefault="007253C8" w14:paraId="3C7276FB" w14:textId="77777777">
      <w:pPr>
        <w:pStyle w:val="Standard"/>
        <w:rPr>
          <w:szCs w:val="26"/>
        </w:rPr>
      </w:pPr>
      <w:r w:rsidRPr="4615CA94">
        <w:t xml:space="preserve">SDG&amp;E’s request for cost recovery includes indirect </w:t>
      </w:r>
      <w:r w:rsidRPr="594E653A">
        <w:t>or overhead costs associated with direct costs that are necessary for a business to operate but are not directly related to the production of goods or services. Indirect costs include labor-related costs (including pension and benefits, incentive compensation plan (ICP), and payroll taxes), contract administration, shop order, small tools, and purchasing and warehouse. Other overhead costs, such as engineering, department overheads, and administrative &amp; general, are added for capital work only.</w:t>
      </w:r>
      <w:r w:rsidRPr="73E4AAD3">
        <w:rPr>
          <w:rStyle w:val="FootnoteReference"/>
          <w:rFonts w:eastAsia="Palatino" w:cs="Palatino"/>
        </w:rPr>
        <w:footnoteReference w:id="342"/>
      </w:r>
    </w:p>
    <w:p w:rsidRPr="00F97714" w:rsidR="007253C8" w:rsidP="007253C8" w:rsidRDefault="007253C8" w14:paraId="0E4B3E8C" w14:textId="77777777">
      <w:pPr>
        <w:pStyle w:val="Standard"/>
      </w:pPr>
      <w:r w:rsidRPr="4615CA94">
        <w:t xml:space="preserve">Based on the Commission’s adopted reductions to direct costs, the Commission reduces cost recovery for indirect costs proportionally to the amount of the reductions for direct costs. The proportional deductions to indirect </w:t>
      </w:r>
      <w:r w:rsidRPr="4615CA94">
        <w:lastRenderedPageBreak/>
        <w:t>costs are shown in</w:t>
      </w:r>
      <w:r>
        <w:t xml:space="preserve"> Appendix B</w:t>
      </w:r>
      <w:r w:rsidRPr="4615CA94">
        <w:t>. The Commission finds these deductions to indirect costs proportional to the reductions to direct costs to be reasonable and adopts them.</w:t>
      </w:r>
    </w:p>
    <w:p w:rsidR="007253C8" w:rsidP="00C32E1C" w:rsidRDefault="007253C8" w14:paraId="77AB3FA5" w14:textId="04EC2A67">
      <w:pPr>
        <w:pStyle w:val="Heading1"/>
      </w:pPr>
      <w:bookmarkStart w:name="_Toc213312312" w:id="105"/>
      <w:r w:rsidRPr="00A44344">
        <w:t>R</w:t>
      </w:r>
      <w:r w:rsidR="00192F8A">
        <w:t xml:space="preserve">ecovery of the </w:t>
      </w:r>
      <w:r>
        <w:t>T</w:t>
      </w:r>
      <w:r w:rsidR="00192F8A">
        <w:t xml:space="preserve">otal </w:t>
      </w:r>
      <w:proofErr w:type="spellStart"/>
      <w:r>
        <w:t>U</w:t>
      </w:r>
      <w:r w:rsidR="00192F8A">
        <w:t>ndercollected</w:t>
      </w:r>
      <w:proofErr w:type="spellEnd"/>
      <w:r w:rsidR="00192F8A">
        <w:t xml:space="preserve"> </w:t>
      </w:r>
      <w:r w:rsidRPr="00A44344">
        <w:t>R</w:t>
      </w:r>
      <w:r w:rsidR="00192F8A">
        <w:t>evenue</w:t>
      </w:r>
      <w:r w:rsidRPr="00A44344">
        <w:t xml:space="preserve"> R</w:t>
      </w:r>
      <w:r w:rsidR="00192F8A">
        <w:t xml:space="preserve">equirement </w:t>
      </w:r>
      <w:r>
        <w:t>F</w:t>
      </w:r>
      <w:r w:rsidR="00192F8A">
        <w:t xml:space="preserve">or </w:t>
      </w:r>
      <w:r w:rsidRPr="00A44344">
        <w:t>A</w:t>
      </w:r>
      <w:r w:rsidR="00192F8A">
        <w:t>uthorized 2</w:t>
      </w:r>
      <w:r w:rsidRPr="00A44344">
        <w:t>019</w:t>
      </w:r>
      <w:r>
        <w:t>–20</w:t>
      </w:r>
      <w:r w:rsidRPr="00A44344">
        <w:t>22 WMPMA R</w:t>
      </w:r>
      <w:r w:rsidR="00192F8A">
        <w:t xml:space="preserve">ecorded </w:t>
      </w:r>
      <w:r w:rsidRPr="00A44344">
        <w:t>C</w:t>
      </w:r>
      <w:r w:rsidR="00192F8A">
        <w:t xml:space="preserve">osts and </w:t>
      </w:r>
      <w:r>
        <w:t>F</w:t>
      </w:r>
      <w:r w:rsidR="00192F8A">
        <w:t>orecast for 2</w:t>
      </w:r>
      <w:r w:rsidRPr="00A44344">
        <w:t>02</w:t>
      </w:r>
      <w:r w:rsidR="00202602">
        <w:t>3</w:t>
      </w:r>
      <w:r>
        <w:t>–20</w:t>
      </w:r>
      <w:r w:rsidRPr="00A44344">
        <w:t>27</w:t>
      </w:r>
      <w:bookmarkEnd w:id="105"/>
    </w:p>
    <w:p w:rsidR="007253C8" w:rsidP="007253C8" w:rsidRDefault="007253C8" w14:paraId="7FB5A562" w14:textId="77777777">
      <w:pPr>
        <w:pStyle w:val="Standard"/>
      </w:pPr>
      <w:bookmarkStart w:name="_Hlk194411245" w:id="106"/>
      <w:r>
        <w:t>The sections above determine the total authorized O&amp;M expenses and capital expenditures for the 2019–2022 period. This section determines remaining components of the total revenue requirement requested by SDG&amp;E for this period. The remaining components of the revenue requirement are the depreciation, taxes, and return on rate base according to the following revenue requirement (RRQ) formula:</w:t>
      </w:r>
    </w:p>
    <w:p w:rsidR="007253C8" w:rsidP="007253C8" w:rsidRDefault="007253C8" w14:paraId="769697F6" w14:textId="77777777">
      <w:pPr>
        <w:pStyle w:val="Standard"/>
      </w:pPr>
      <w:r>
        <w:t>RRQ = [</w:t>
      </w:r>
      <w:r w:rsidRPr="008543CD">
        <w:t>E</w:t>
      </w:r>
      <w:r>
        <w:t>xpenses</w:t>
      </w:r>
      <w:r w:rsidRPr="008543CD">
        <w:t xml:space="preserve"> + D</w:t>
      </w:r>
      <w:r>
        <w:t>epreciation</w:t>
      </w:r>
      <w:r w:rsidRPr="008543CD">
        <w:t xml:space="preserve"> + T</w:t>
      </w:r>
      <w:r>
        <w:t>axes</w:t>
      </w:r>
      <w:r w:rsidRPr="008543CD">
        <w:t xml:space="preserve"> + (</w:t>
      </w:r>
      <w:r>
        <w:t>Rate of Return</w:t>
      </w:r>
      <w:r w:rsidRPr="008543CD">
        <w:t xml:space="preserve"> × R</w:t>
      </w:r>
      <w:r>
        <w:t>ate Base</w:t>
      </w:r>
      <w:r w:rsidRPr="008543CD">
        <w:t>)]</w:t>
      </w:r>
      <w:r>
        <w:t>.</w:t>
      </w:r>
      <w:r>
        <w:rPr>
          <w:rStyle w:val="FootnoteReference"/>
        </w:rPr>
        <w:footnoteReference w:id="343"/>
      </w:r>
    </w:p>
    <w:p w:rsidR="007253C8" w:rsidP="007253C8" w:rsidRDefault="007253C8" w14:paraId="0A509FD9" w14:textId="19761479">
      <w:pPr>
        <w:pStyle w:val="standard0"/>
        <w:ind w:firstLine="0"/>
      </w:pPr>
      <w:r>
        <w:t xml:space="preserve">The total amount of </w:t>
      </w:r>
      <w:proofErr w:type="spellStart"/>
      <w:r>
        <w:t>undercollected</w:t>
      </w:r>
      <w:proofErr w:type="spellEnd"/>
      <w:r>
        <w:t xml:space="preserve"> revenue requirement SDG&amp;E requests is $774.</w:t>
      </w:r>
      <w:r w:rsidR="00487DFE">
        <w:t>7</w:t>
      </w:r>
      <w:r>
        <w:t xml:space="preserve"> million for the 2023–2027 period. The depreciated capital captures the recovery of capital on an annual basis over the life of each asset. With the exception of the rate of return, the three capital-related costs (depreciation, taxes, rate base) were not addressed in Track 1 of this proceeding because the associated costs are determined in this track. The revenue requirement below is based on the rate of return (ROR) of 7.55% adopted for 2020</w:t>
      </w:r>
      <w:r w:rsidR="002F4048">
        <w:t>–</w:t>
      </w:r>
      <w:r>
        <w:t>2022.</w:t>
      </w:r>
      <w:r w:rsidRPr="13745B57">
        <w:rPr>
          <w:rStyle w:val="FootnoteReference"/>
        </w:rPr>
        <w:footnoteReference w:id="344"/>
      </w:r>
      <w:r>
        <w:t xml:space="preserve"> SDG&amp;E shall use the R</w:t>
      </w:r>
      <w:r w:rsidR="00713538">
        <w:t>O</w:t>
      </w:r>
      <w:r>
        <w:t>R adopted for each year to calculate the return on rate base for years 2023</w:t>
      </w:r>
      <w:r w:rsidR="002F4048">
        <w:t>–</w:t>
      </w:r>
      <w:r>
        <w:t>2027.</w:t>
      </w:r>
    </w:p>
    <w:p w:rsidR="007253C8" w:rsidP="007253C8" w:rsidRDefault="007253C8" w14:paraId="5210F576" w14:textId="61FC32FB">
      <w:pPr>
        <w:pStyle w:val="Standard"/>
      </w:pPr>
      <w:r w:rsidRPr="003869E1">
        <w:lastRenderedPageBreak/>
        <w:t>SDG&amp;E requests recovery of th</w:t>
      </w:r>
      <w:r>
        <w:t>e three</w:t>
      </w:r>
      <w:r w:rsidRPr="003869E1">
        <w:t xml:space="preserve"> costs</w:t>
      </w:r>
      <w:r>
        <w:t xml:space="preserve"> in the tables below for electric WMP and gas assets net of already authorized (interim) revenues.</w:t>
      </w:r>
      <w:r>
        <w:rPr>
          <w:rStyle w:val="FootnoteReference"/>
        </w:rPr>
        <w:footnoteReference w:id="345"/>
      </w:r>
      <w:r w:rsidR="00EB33A9">
        <w:br/>
      </w:r>
    </w:p>
    <w:p w:rsidRPr="009823B0" w:rsidR="007253C8" w:rsidP="007253C8" w:rsidRDefault="007253C8" w14:paraId="6FA5A175" w14:textId="77777777">
      <w:pPr>
        <w:pStyle w:val="Standard"/>
        <w:ind w:firstLine="0"/>
        <w:jc w:val="center"/>
        <w:rPr>
          <w:b/>
        </w:rPr>
      </w:pPr>
      <w:r w:rsidRPr="009823B0">
        <w:rPr>
          <w:b/>
        </w:rPr>
        <w:t>Table 14A</w:t>
      </w:r>
    </w:p>
    <w:p w:rsidR="007253C8" w:rsidP="007253C8" w:rsidRDefault="007253C8" w14:paraId="402FED6E" w14:textId="77777777">
      <w:pPr>
        <w:pStyle w:val="Standard"/>
        <w:ind w:firstLine="0"/>
        <w:jc w:val="center"/>
        <w:rPr>
          <w:b/>
        </w:rPr>
      </w:pPr>
      <w:r w:rsidRPr="00042BA3">
        <w:rPr>
          <w:b/>
          <w:bCs/>
        </w:rPr>
        <w:t>Ongoing Electric O&amp;M, Capital, and Related Costs for Projects Put Into Service Between 2019–2022</w:t>
      </w:r>
      <w:r w:rsidRPr="13745B57">
        <w:rPr>
          <w:rStyle w:val="FootnoteReference"/>
          <w:bCs/>
        </w:rPr>
        <w:footnoteReference w:id="346"/>
      </w:r>
    </w:p>
    <w:tbl>
      <w:tblPr>
        <w:tblW w:w="90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3418"/>
        <w:gridCol w:w="2112"/>
        <w:gridCol w:w="2273"/>
        <w:gridCol w:w="984"/>
      </w:tblGrid>
      <w:tr w:rsidRPr="00BF0D65" w:rsidR="007253C8" w:rsidTr="00301BD8" w14:paraId="69AF8448" w14:textId="77777777">
        <w:trPr>
          <w:trHeight w:val="300"/>
        </w:trPr>
        <w:tc>
          <w:tcPr>
            <w:tcW w:w="9009" w:type="dxa"/>
            <w:gridSpan w:val="5"/>
            <w:noWrap/>
            <w:vAlign w:val="bottom"/>
            <w:hideMark/>
          </w:tcPr>
          <w:p w:rsidRPr="00BF0D65" w:rsidR="007253C8" w:rsidP="00301BD8" w:rsidRDefault="007253C8" w14:paraId="09B46C68" w14:textId="77777777">
            <w:pPr>
              <w:pStyle w:val="TableText"/>
              <w:jc w:val="center"/>
              <w:rPr>
                <w:color w:val="000000"/>
              </w:rPr>
            </w:pPr>
            <w:r w:rsidRPr="7C868A38">
              <w:t>WMP Electric Costs</w:t>
            </w:r>
          </w:p>
        </w:tc>
      </w:tr>
      <w:tr w:rsidRPr="00BF0D65" w:rsidR="007253C8" w:rsidTr="00301BD8" w14:paraId="02B0871F" w14:textId="77777777">
        <w:trPr>
          <w:trHeight w:val="300"/>
        </w:trPr>
        <w:tc>
          <w:tcPr>
            <w:tcW w:w="9009" w:type="dxa"/>
            <w:gridSpan w:val="5"/>
            <w:noWrap/>
            <w:vAlign w:val="bottom"/>
            <w:hideMark/>
          </w:tcPr>
          <w:p w:rsidRPr="00BF0D65" w:rsidR="007253C8" w:rsidP="00301BD8" w:rsidRDefault="007253C8" w14:paraId="0D72A855" w14:textId="77777777">
            <w:pPr>
              <w:pStyle w:val="TableText"/>
              <w:jc w:val="center"/>
              <w:rPr>
                <w:color w:val="000000"/>
              </w:rPr>
            </w:pPr>
            <w:r w:rsidRPr="7C868A38">
              <w:t>($ in millions)</w:t>
            </w:r>
          </w:p>
        </w:tc>
      </w:tr>
      <w:tr w:rsidRPr="00BF0D65" w:rsidR="007253C8" w:rsidTr="00301BD8" w14:paraId="511AAE41" w14:textId="77777777">
        <w:trPr>
          <w:trHeight w:val="900"/>
        </w:trPr>
        <w:tc>
          <w:tcPr>
            <w:tcW w:w="3640" w:type="dxa"/>
            <w:gridSpan w:val="2"/>
            <w:noWrap/>
            <w:vAlign w:val="bottom"/>
            <w:hideMark/>
          </w:tcPr>
          <w:p w:rsidRPr="00BF0D65" w:rsidR="007253C8" w:rsidP="00301BD8" w:rsidRDefault="007253C8" w14:paraId="493C5341" w14:textId="77777777">
            <w:pPr>
              <w:pStyle w:val="TableText"/>
              <w:rPr>
                <w:color w:val="000000"/>
              </w:rPr>
            </w:pPr>
            <w:r w:rsidRPr="7C868A38">
              <w:t>Track 2 (2019-2022)</w:t>
            </w:r>
          </w:p>
        </w:tc>
        <w:tc>
          <w:tcPr>
            <w:tcW w:w="2112" w:type="dxa"/>
            <w:vAlign w:val="center"/>
            <w:hideMark/>
          </w:tcPr>
          <w:p w:rsidRPr="00BF0D65" w:rsidR="007253C8" w:rsidP="00301BD8" w:rsidRDefault="007253C8" w14:paraId="2A52B7CA" w14:textId="77777777">
            <w:pPr>
              <w:pStyle w:val="TableText"/>
              <w:rPr>
                <w:color w:val="000000"/>
              </w:rPr>
            </w:pPr>
            <w:r w:rsidRPr="7C868A38">
              <w:t xml:space="preserve">Actuals </w:t>
            </w:r>
            <w:r>
              <w:br/>
            </w:r>
            <w:r w:rsidRPr="7C868A38">
              <w:t>5/30/2019 to 12/31/22</w:t>
            </w:r>
          </w:p>
        </w:tc>
        <w:tc>
          <w:tcPr>
            <w:tcW w:w="2273" w:type="dxa"/>
            <w:vAlign w:val="center"/>
            <w:hideMark/>
          </w:tcPr>
          <w:p w:rsidRPr="00BF0D65" w:rsidR="007253C8" w:rsidP="00301BD8" w:rsidRDefault="007253C8" w14:paraId="42617C53" w14:textId="77777777">
            <w:pPr>
              <w:pStyle w:val="TableText"/>
              <w:rPr>
                <w:color w:val="000000"/>
              </w:rPr>
            </w:pPr>
            <w:r w:rsidRPr="7C868A38">
              <w:t>Forecasts</w:t>
            </w:r>
            <w:r>
              <w:br/>
            </w:r>
            <w:r w:rsidRPr="7C868A38">
              <w:t>2023 to 2027</w:t>
            </w:r>
          </w:p>
        </w:tc>
        <w:tc>
          <w:tcPr>
            <w:tcW w:w="984" w:type="dxa"/>
            <w:noWrap/>
            <w:vAlign w:val="center"/>
            <w:hideMark/>
          </w:tcPr>
          <w:p w:rsidRPr="00BF0D65" w:rsidR="007253C8" w:rsidP="00301BD8" w:rsidRDefault="007253C8" w14:paraId="30EB61FB" w14:textId="77777777">
            <w:pPr>
              <w:pStyle w:val="TableText"/>
              <w:rPr>
                <w:color w:val="000000"/>
              </w:rPr>
            </w:pPr>
            <w:r w:rsidRPr="7C868A38">
              <w:t>Totals</w:t>
            </w:r>
          </w:p>
        </w:tc>
      </w:tr>
      <w:tr w:rsidRPr="00BF0D65" w:rsidR="007253C8" w:rsidTr="00301BD8" w14:paraId="2A9DC6B6" w14:textId="77777777">
        <w:trPr>
          <w:trHeight w:val="900"/>
        </w:trPr>
        <w:tc>
          <w:tcPr>
            <w:tcW w:w="3640" w:type="dxa"/>
            <w:gridSpan w:val="2"/>
            <w:noWrap/>
            <w:vAlign w:val="bottom"/>
          </w:tcPr>
          <w:p w:rsidRPr="7C868A38" w:rsidR="007253C8" w:rsidP="00301BD8" w:rsidRDefault="007253C8" w14:paraId="079BC5D0" w14:textId="77777777">
            <w:pPr>
              <w:pStyle w:val="TableText"/>
            </w:pPr>
          </w:p>
        </w:tc>
        <w:tc>
          <w:tcPr>
            <w:tcW w:w="2112" w:type="dxa"/>
            <w:vAlign w:val="center"/>
          </w:tcPr>
          <w:p w:rsidRPr="7C868A38" w:rsidR="007253C8" w:rsidP="00301BD8" w:rsidRDefault="007253C8" w14:paraId="7E007A00" w14:textId="77777777">
            <w:pPr>
              <w:pStyle w:val="TableText"/>
            </w:pPr>
          </w:p>
        </w:tc>
        <w:tc>
          <w:tcPr>
            <w:tcW w:w="2273" w:type="dxa"/>
            <w:vAlign w:val="center"/>
          </w:tcPr>
          <w:p w:rsidRPr="7C868A38" w:rsidR="007253C8" w:rsidP="00301BD8" w:rsidRDefault="007253C8" w14:paraId="7355501A" w14:textId="77777777">
            <w:pPr>
              <w:pStyle w:val="TableText"/>
            </w:pPr>
          </w:p>
        </w:tc>
        <w:tc>
          <w:tcPr>
            <w:tcW w:w="984" w:type="dxa"/>
            <w:noWrap/>
            <w:vAlign w:val="center"/>
          </w:tcPr>
          <w:p w:rsidRPr="7C868A38" w:rsidR="007253C8" w:rsidP="00301BD8" w:rsidRDefault="007253C8" w14:paraId="2AEEEA43" w14:textId="77777777">
            <w:pPr>
              <w:pStyle w:val="TableText"/>
            </w:pPr>
          </w:p>
        </w:tc>
      </w:tr>
      <w:tr w:rsidRPr="00BF0D65" w:rsidR="007253C8" w:rsidTr="00301BD8" w14:paraId="2E955E0B" w14:textId="77777777">
        <w:trPr>
          <w:trHeight w:val="300"/>
        </w:trPr>
        <w:tc>
          <w:tcPr>
            <w:tcW w:w="222" w:type="dxa"/>
            <w:noWrap/>
            <w:vAlign w:val="bottom"/>
            <w:hideMark/>
          </w:tcPr>
          <w:p w:rsidRPr="00BF0D65" w:rsidR="007253C8" w:rsidP="00301BD8" w:rsidRDefault="007253C8" w14:paraId="01DCFAB4" w14:textId="77777777">
            <w:pPr>
              <w:pStyle w:val="TableText"/>
              <w:rPr>
                <w:color w:val="000000"/>
              </w:rPr>
            </w:pPr>
          </w:p>
        </w:tc>
        <w:tc>
          <w:tcPr>
            <w:tcW w:w="3418" w:type="dxa"/>
            <w:noWrap/>
            <w:vAlign w:val="bottom"/>
            <w:hideMark/>
          </w:tcPr>
          <w:p w:rsidRPr="00BF0D65" w:rsidR="007253C8" w:rsidP="00301BD8" w:rsidRDefault="007253C8" w14:paraId="158A82EA" w14:textId="77777777">
            <w:pPr>
              <w:pStyle w:val="TableText"/>
              <w:rPr>
                <w:color w:val="000000"/>
              </w:rPr>
            </w:pPr>
            <w:r w:rsidRPr="7C868A38">
              <w:t>Authorized Revenues</w:t>
            </w:r>
          </w:p>
        </w:tc>
        <w:tc>
          <w:tcPr>
            <w:tcW w:w="2112" w:type="dxa"/>
            <w:noWrap/>
            <w:vAlign w:val="bottom"/>
            <w:hideMark/>
          </w:tcPr>
          <w:p w:rsidRPr="00BF0D65" w:rsidR="007253C8" w:rsidP="00301BD8" w:rsidRDefault="007253C8" w14:paraId="7DCD1556" w14:textId="77777777">
            <w:pPr>
              <w:pStyle w:val="TableText"/>
              <w:rPr>
                <w:color w:val="000000"/>
              </w:rPr>
            </w:pPr>
            <w:r w:rsidRPr="7C868A38">
              <w:t>(244.8)</w:t>
            </w:r>
          </w:p>
        </w:tc>
        <w:tc>
          <w:tcPr>
            <w:tcW w:w="2273" w:type="dxa"/>
            <w:noWrap/>
            <w:vAlign w:val="bottom"/>
            <w:hideMark/>
          </w:tcPr>
          <w:p w:rsidRPr="00BF0D65" w:rsidR="007253C8" w:rsidP="00301BD8" w:rsidRDefault="007253C8" w14:paraId="3FB87C47" w14:textId="77777777">
            <w:pPr>
              <w:pStyle w:val="TableText"/>
              <w:rPr>
                <w:color w:val="000000"/>
              </w:rPr>
            </w:pPr>
            <w:r w:rsidRPr="7C868A38">
              <w:t>(53.1)</w:t>
            </w:r>
          </w:p>
        </w:tc>
        <w:tc>
          <w:tcPr>
            <w:tcW w:w="984" w:type="dxa"/>
            <w:noWrap/>
            <w:vAlign w:val="bottom"/>
            <w:hideMark/>
          </w:tcPr>
          <w:p w:rsidRPr="00BF0D65" w:rsidR="007253C8" w:rsidP="00301BD8" w:rsidRDefault="007253C8" w14:paraId="23848956" w14:textId="77777777">
            <w:pPr>
              <w:pStyle w:val="TableText"/>
              <w:rPr>
                <w:color w:val="000000"/>
              </w:rPr>
            </w:pPr>
            <w:r w:rsidRPr="7C868A38">
              <w:t>(297.9)</w:t>
            </w:r>
          </w:p>
        </w:tc>
      </w:tr>
      <w:tr w:rsidRPr="00BF0D65" w:rsidR="007253C8" w:rsidTr="00301BD8" w14:paraId="4109C201" w14:textId="77777777">
        <w:trPr>
          <w:trHeight w:val="300"/>
        </w:trPr>
        <w:tc>
          <w:tcPr>
            <w:tcW w:w="222" w:type="dxa"/>
            <w:noWrap/>
            <w:vAlign w:val="bottom"/>
            <w:hideMark/>
          </w:tcPr>
          <w:p w:rsidRPr="00BF0D65" w:rsidR="007253C8" w:rsidP="00301BD8" w:rsidRDefault="007253C8" w14:paraId="33458F82" w14:textId="77777777">
            <w:pPr>
              <w:pStyle w:val="TableText"/>
              <w:rPr>
                <w:color w:val="000000"/>
              </w:rPr>
            </w:pPr>
          </w:p>
        </w:tc>
        <w:tc>
          <w:tcPr>
            <w:tcW w:w="3418" w:type="dxa"/>
            <w:noWrap/>
            <w:vAlign w:val="bottom"/>
            <w:hideMark/>
          </w:tcPr>
          <w:p w:rsidRPr="00BF0D65" w:rsidR="007253C8" w:rsidP="00301BD8" w:rsidRDefault="007253C8" w14:paraId="0E9F3AF5" w14:textId="77777777">
            <w:pPr>
              <w:pStyle w:val="TableText"/>
              <w:rPr>
                <w:color w:val="000000"/>
              </w:rPr>
            </w:pPr>
            <w:r w:rsidRPr="7C868A38">
              <w:t>O&amp;M</w:t>
            </w:r>
          </w:p>
        </w:tc>
        <w:tc>
          <w:tcPr>
            <w:tcW w:w="2112" w:type="dxa"/>
            <w:noWrap/>
            <w:vAlign w:val="bottom"/>
            <w:hideMark/>
          </w:tcPr>
          <w:p w:rsidRPr="00BF0D65" w:rsidR="007253C8" w:rsidP="00301BD8" w:rsidRDefault="007253C8" w14:paraId="0DA57C7C" w14:textId="77777777">
            <w:pPr>
              <w:pStyle w:val="TableText"/>
              <w:rPr>
                <w:color w:val="000000"/>
              </w:rPr>
            </w:pPr>
            <w:r w:rsidRPr="7C868A38">
              <w:t>42</w:t>
            </w:r>
            <w:r>
              <w:t>7.4</w:t>
            </w:r>
            <w:r w:rsidRPr="7C868A38">
              <w:t xml:space="preserve"> </w:t>
            </w:r>
          </w:p>
        </w:tc>
        <w:tc>
          <w:tcPr>
            <w:tcW w:w="2273" w:type="dxa"/>
            <w:noWrap/>
            <w:vAlign w:val="bottom"/>
            <w:hideMark/>
          </w:tcPr>
          <w:p w:rsidRPr="00BF0D65" w:rsidR="007253C8" w:rsidP="00301BD8" w:rsidRDefault="007253C8" w14:paraId="20A54C5C" w14:textId="77777777">
            <w:pPr>
              <w:pStyle w:val="TableText"/>
              <w:rPr>
                <w:color w:val="000000"/>
              </w:rPr>
            </w:pPr>
            <w:r w:rsidRPr="7C868A38">
              <w:t xml:space="preserve">0.0 </w:t>
            </w:r>
          </w:p>
        </w:tc>
        <w:tc>
          <w:tcPr>
            <w:tcW w:w="984" w:type="dxa"/>
            <w:noWrap/>
            <w:vAlign w:val="bottom"/>
            <w:hideMark/>
          </w:tcPr>
          <w:p w:rsidRPr="00BF0D65" w:rsidR="007253C8" w:rsidP="00301BD8" w:rsidRDefault="007253C8" w14:paraId="006F1874" w14:textId="77777777">
            <w:pPr>
              <w:pStyle w:val="TableText"/>
              <w:rPr>
                <w:color w:val="000000"/>
              </w:rPr>
            </w:pPr>
            <w:r w:rsidRPr="7C868A38">
              <w:t>42</w:t>
            </w:r>
            <w:r>
              <w:t>7.4</w:t>
            </w:r>
            <w:r w:rsidRPr="7C868A38">
              <w:t xml:space="preserve"> </w:t>
            </w:r>
          </w:p>
        </w:tc>
      </w:tr>
      <w:tr w:rsidRPr="00BF0D65" w:rsidR="007253C8" w:rsidTr="00301BD8" w14:paraId="287EDC31" w14:textId="77777777">
        <w:trPr>
          <w:trHeight w:val="300"/>
        </w:trPr>
        <w:tc>
          <w:tcPr>
            <w:tcW w:w="222" w:type="dxa"/>
            <w:noWrap/>
            <w:vAlign w:val="bottom"/>
            <w:hideMark/>
          </w:tcPr>
          <w:p w:rsidRPr="00BF0D65" w:rsidR="007253C8" w:rsidP="00301BD8" w:rsidRDefault="007253C8" w14:paraId="2E646C1E" w14:textId="77777777">
            <w:pPr>
              <w:pStyle w:val="TableText"/>
              <w:rPr>
                <w:color w:val="000000"/>
              </w:rPr>
            </w:pPr>
          </w:p>
        </w:tc>
        <w:tc>
          <w:tcPr>
            <w:tcW w:w="3418" w:type="dxa"/>
            <w:noWrap/>
            <w:vAlign w:val="bottom"/>
            <w:hideMark/>
          </w:tcPr>
          <w:p w:rsidRPr="00BF0D65" w:rsidR="007253C8" w:rsidP="00301BD8" w:rsidRDefault="007253C8" w14:paraId="5D949257" w14:textId="77777777">
            <w:pPr>
              <w:pStyle w:val="TableText"/>
              <w:rPr>
                <w:color w:val="000000"/>
              </w:rPr>
            </w:pPr>
            <w:r w:rsidRPr="7C868A38">
              <w:t>Capital Related Costs</w:t>
            </w:r>
          </w:p>
        </w:tc>
        <w:tc>
          <w:tcPr>
            <w:tcW w:w="2112" w:type="dxa"/>
            <w:noWrap/>
            <w:vAlign w:val="bottom"/>
            <w:hideMark/>
          </w:tcPr>
          <w:p w:rsidRPr="00BF0D65" w:rsidR="007253C8" w:rsidP="00301BD8" w:rsidRDefault="007253C8" w14:paraId="27BEEC79" w14:textId="77777777">
            <w:pPr>
              <w:pStyle w:val="TableText"/>
              <w:rPr>
                <w:color w:val="000000"/>
              </w:rPr>
            </w:pPr>
            <w:r w:rsidRPr="7C868A38">
              <w:t>188.</w:t>
            </w:r>
            <w:r>
              <w:t>2</w:t>
            </w:r>
            <w:r w:rsidRPr="7C868A38">
              <w:t xml:space="preserve"> </w:t>
            </w:r>
          </w:p>
        </w:tc>
        <w:tc>
          <w:tcPr>
            <w:tcW w:w="2273" w:type="dxa"/>
            <w:noWrap/>
            <w:vAlign w:val="bottom"/>
            <w:hideMark/>
          </w:tcPr>
          <w:p w:rsidRPr="00BF0D65" w:rsidR="007253C8" w:rsidP="00301BD8" w:rsidRDefault="007253C8" w14:paraId="6282A1C4" w14:textId="77777777">
            <w:pPr>
              <w:pStyle w:val="TableText"/>
              <w:rPr>
                <w:color w:val="000000"/>
              </w:rPr>
            </w:pPr>
            <w:r w:rsidRPr="7C868A38">
              <w:t>80</w:t>
            </w:r>
            <w:r>
              <w:t>7.3</w:t>
            </w:r>
            <w:r w:rsidRPr="7C868A38">
              <w:t xml:space="preserve"> </w:t>
            </w:r>
          </w:p>
        </w:tc>
        <w:tc>
          <w:tcPr>
            <w:tcW w:w="984" w:type="dxa"/>
            <w:noWrap/>
            <w:vAlign w:val="bottom"/>
            <w:hideMark/>
          </w:tcPr>
          <w:p w:rsidRPr="00BF0D65" w:rsidR="007253C8" w:rsidP="00301BD8" w:rsidRDefault="007253C8" w14:paraId="4884C4CE" w14:textId="77777777">
            <w:pPr>
              <w:pStyle w:val="TableText"/>
              <w:rPr>
                <w:color w:val="000000"/>
              </w:rPr>
            </w:pPr>
            <w:r w:rsidRPr="7C868A38">
              <w:t>99</w:t>
            </w:r>
            <w:r>
              <w:t>5.5</w:t>
            </w:r>
            <w:r w:rsidRPr="7C868A38">
              <w:t xml:space="preserve"> </w:t>
            </w:r>
          </w:p>
        </w:tc>
      </w:tr>
      <w:tr w:rsidRPr="00BF0D65" w:rsidR="007253C8" w:rsidTr="00301BD8" w14:paraId="4C909329" w14:textId="77777777">
        <w:trPr>
          <w:trHeight w:val="300"/>
        </w:trPr>
        <w:tc>
          <w:tcPr>
            <w:tcW w:w="222" w:type="dxa"/>
            <w:noWrap/>
            <w:vAlign w:val="bottom"/>
            <w:hideMark/>
          </w:tcPr>
          <w:p w:rsidRPr="00BF0D65" w:rsidR="007253C8" w:rsidP="00301BD8" w:rsidRDefault="007253C8" w14:paraId="25D216F9" w14:textId="77777777">
            <w:pPr>
              <w:pStyle w:val="TableText"/>
              <w:rPr>
                <w:color w:val="000000"/>
              </w:rPr>
            </w:pPr>
          </w:p>
        </w:tc>
        <w:tc>
          <w:tcPr>
            <w:tcW w:w="3418" w:type="dxa"/>
            <w:noWrap/>
            <w:vAlign w:val="bottom"/>
            <w:hideMark/>
          </w:tcPr>
          <w:p w:rsidRPr="00BF0D65" w:rsidR="007253C8" w:rsidP="00301BD8" w:rsidRDefault="007253C8" w14:paraId="07C819C4" w14:textId="77777777">
            <w:pPr>
              <w:pStyle w:val="TableText"/>
              <w:rPr>
                <w:color w:val="000000"/>
              </w:rPr>
            </w:pPr>
            <w:r w:rsidRPr="7C868A38">
              <w:t>Interest @ 3 month CP rate</w:t>
            </w:r>
          </w:p>
        </w:tc>
        <w:tc>
          <w:tcPr>
            <w:tcW w:w="2112" w:type="dxa"/>
            <w:noWrap/>
            <w:vAlign w:val="bottom"/>
            <w:hideMark/>
          </w:tcPr>
          <w:p w:rsidRPr="00BF0D65" w:rsidR="007253C8" w:rsidP="00301BD8" w:rsidRDefault="007253C8" w14:paraId="2291165F" w14:textId="77777777">
            <w:pPr>
              <w:pStyle w:val="TableText"/>
              <w:rPr>
                <w:color w:val="000000"/>
              </w:rPr>
            </w:pPr>
            <w:r w:rsidRPr="7C868A38">
              <w:t xml:space="preserve">5.6 </w:t>
            </w:r>
          </w:p>
        </w:tc>
        <w:tc>
          <w:tcPr>
            <w:tcW w:w="2273" w:type="dxa"/>
            <w:noWrap/>
            <w:vAlign w:val="bottom"/>
            <w:hideMark/>
          </w:tcPr>
          <w:p w:rsidRPr="00BF0D65" w:rsidR="007253C8" w:rsidP="00301BD8" w:rsidRDefault="007253C8" w14:paraId="33140DC2" w14:textId="77777777">
            <w:pPr>
              <w:pStyle w:val="TableText"/>
              <w:rPr>
                <w:color w:val="000000"/>
              </w:rPr>
            </w:pPr>
            <w:r w:rsidRPr="7C868A38">
              <w:t xml:space="preserve">0.0 </w:t>
            </w:r>
          </w:p>
        </w:tc>
        <w:tc>
          <w:tcPr>
            <w:tcW w:w="984" w:type="dxa"/>
            <w:noWrap/>
            <w:vAlign w:val="bottom"/>
            <w:hideMark/>
          </w:tcPr>
          <w:p w:rsidRPr="00BF0D65" w:rsidR="007253C8" w:rsidP="00301BD8" w:rsidRDefault="007253C8" w14:paraId="23609DC0" w14:textId="77777777">
            <w:pPr>
              <w:pStyle w:val="TableText"/>
              <w:rPr>
                <w:color w:val="000000"/>
              </w:rPr>
            </w:pPr>
            <w:r w:rsidRPr="7C868A38">
              <w:t xml:space="preserve">5.6 </w:t>
            </w:r>
          </w:p>
        </w:tc>
      </w:tr>
      <w:tr w:rsidRPr="00BF0D65" w:rsidR="007253C8" w:rsidTr="00301BD8" w14:paraId="183282D2" w14:textId="77777777">
        <w:trPr>
          <w:trHeight w:val="315"/>
        </w:trPr>
        <w:tc>
          <w:tcPr>
            <w:tcW w:w="222" w:type="dxa"/>
            <w:noWrap/>
            <w:vAlign w:val="bottom"/>
            <w:hideMark/>
          </w:tcPr>
          <w:p w:rsidRPr="00BF0D65" w:rsidR="007253C8" w:rsidP="00301BD8" w:rsidRDefault="007253C8" w14:paraId="616A5F83" w14:textId="77777777">
            <w:pPr>
              <w:pStyle w:val="TableText"/>
              <w:rPr>
                <w:color w:val="000000"/>
              </w:rPr>
            </w:pPr>
          </w:p>
        </w:tc>
        <w:tc>
          <w:tcPr>
            <w:tcW w:w="3418" w:type="dxa"/>
            <w:noWrap/>
            <w:vAlign w:val="bottom"/>
            <w:hideMark/>
          </w:tcPr>
          <w:p w:rsidRPr="00BF0D65" w:rsidR="007253C8" w:rsidP="00301BD8" w:rsidRDefault="007253C8" w14:paraId="48DF19B4" w14:textId="77777777">
            <w:pPr>
              <w:pStyle w:val="TableText"/>
              <w:rPr>
                <w:color w:val="000000"/>
              </w:rPr>
            </w:pPr>
            <w:r w:rsidRPr="7C868A38">
              <w:t>Totals</w:t>
            </w:r>
          </w:p>
        </w:tc>
        <w:tc>
          <w:tcPr>
            <w:tcW w:w="2112" w:type="dxa"/>
            <w:noWrap/>
            <w:vAlign w:val="bottom"/>
            <w:hideMark/>
          </w:tcPr>
          <w:p w:rsidRPr="00BF0D65" w:rsidR="007253C8" w:rsidP="00301BD8" w:rsidRDefault="007253C8" w14:paraId="31E9E48F" w14:textId="77777777">
            <w:pPr>
              <w:pStyle w:val="TableText"/>
              <w:rPr>
                <w:color w:val="000000"/>
              </w:rPr>
            </w:pPr>
            <w:r>
              <w:t>376</w:t>
            </w:r>
            <w:r w:rsidRPr="7C868A38">
              <w:t xml:space="preserve">.4 </w:t>
            </w:r>
          </w:p>
        </w:tc>
        <w:tc>
          <w:tcPr>
            <w:tcW w:w="2273" w:type="dxa"/>
            <w:noWrap/>
            <w:vAlign w:val="bottom"/>
            <w:hideMark/>
          </w:tcPr>
          <w:p w:rsidRPr="00BF0D65" w:rsidR="007253C8" w:rsidP="00301BD8" w:rsidRDefault="007253C8" w14:paraId="74F21771" w14:textId="77777777">
            <w:pPr>
              <w:pStyle w:val="TableText"/>
              <w:rPr>
                <w:color w:val="000000"/>
              </w:rPr>
            </w:pPr>
            <w:r w:rsidRPr="7C868A38">
              <w:t>75</w:t>
            </w:r>
            <w:r>
              <w:t>4.2</w:t>
            </w:r>
            <w:r w:rsidRPr="7C868A38">
              <w:t xml:space="preserve"> </w:t>
            </w:r>
          </w:p>
        </w:tc>
        <w:tc>
          <w:tcPr>
            <w:tcW w:w="984" w:type="dxa"/>
            <w:noWrap/>
            <w:vAlign w:val="bottom"/>
            <w:hideMark/>
          </w:tcPr>
          <w:p w:rsidRPr="00BF0D65" w:rsidR="007253C8" w:rsidP="00301BD8" w:rsidRDefault="007253C8" w14:paraId="067A2D8F" w14:textId="77777777">
            <w:pPr>
              <w:pStyle w:val="TableText"/>
              <w:rPr>
                <w:color w:val="000000"/>
              </w:rPr>
            </w:pPr>
            <w:r w:rsidRPr="7C868A38">
              <w:t>1,1</w:t>
            </w:r>
            <w:r>
              <w:t>30.6</w:t>
            </w:r>
            <w:r w:rsidRPr="7C868A38">
              <w:t xml:space="preserve"> </w:t>
            </w:r>
          </w:p>
        </w:tc>
      </w:tr>
    </w:tbl>
    <w:p w:rsidR="007253C8" w:rsidP="007253C8" w:rsidRDefault="007253C8" w14:paraId="50FA7936" w14:textId="77777777">
      <w:pPr>
        <w:pStyle w:val="Standard"/>
        <w:ind w:firstLine="0"/>
        <w:jc w:val="center"/>
        <w:rPr>
          <w:b/>
          <w:bCs/>
        </w:rPr>
      </w:pPr>
    </w:p>
    <w:p w:rsidR="007253C8" w:rsidP="007253C8" w:rsidRDefault="007253C8" w14:paraId="65D29D6F" w14:textId="77777777">
      <w:pPr>
        <w:pStyle w:val="Standard"/>
        <w:ind w:firstLine="0"/>
        <w:jc w:val="center"/>
        <w:rPr>
          <w:b/>
          <w:bCs/>
        </w:rPr>
      </w:pPr>
      <w:r w:rsidRPr="550177A5">
        <w:rPr>
          <w:b/>
          <w:bCs/>
        </w:rPr>
        <w:t>Table 14B</w:t>
      </w:r>
    </w:p>
    <w:p w:rsidR="007253C8" w:rsidP="007253C8" w:rsidRDefault="007253C8" w14:paraId="5BEE9E30" w14:textId="77777777">
      <w:pPr>
        <w:pStyle w:val="Standard"/>
        <w:ind w:firstLine="0"/>
        <w:jc w:val="center"/>
        <w:rPr>
          <w:b/>
        </w:rPr>
      </w:pPr>
      <w:r w:rsidRPr="009B41EF">
        <w:rPr>
          <w:b/>
        </w:rPr>
        <w:t>Ongoing Gas O&amp;M, Capital, and Related</w:t>
      </w:r>
    </w:p>
    <w:p w:rsidRPr="009B41EF" w:rsidR="007253C8" w:rsidP="007253C8" w:rsidRDefault="007253C8" w14:paraId="6C3782BC" w14:textId="77777777">
      <w:pPr>
        <w:pStyle w:val="Standard"/>
        <w:ind w:firstLine="0"/>
        <w:jc w:val="center"/>
        <w:rPr>
          <w:b/>
        </w:rPr>
      </w:pPr>
      <w:r w:rsidRPr="009B41EF">
        <w:rPr>
          <w:b/>
          <w:bCs/>
        </w:rPr>
        <w:t xml:space="preserve"> Costs for Capital Projects Put Into Service Between 2019–2022</w:t>
      </w:r>
      <w:r w:rsidRPr="13745B57">
        <w:rPr>
          <w:b/>
          <w:bCs/>
          <w:vertAlign w:val="superscript"/>
        </w:rPr>
        <w:footnoteReference w:id="347"/>
      </w:r>
    </w:p>
    <w:tbl>
      <w:tblPr>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6"/>
        <w:gridCol w:w="3474"/>
        <w:gridCol w:w="2155"/>
        <w:gridCol w:w="2319"/>
        <w:gridCol w:w="824"/>
      </w:tblGrid>
      <w:tr w:rsidRPr="00394FE0" w:rsidR="007253C8" w:rsidTr="00301BD8" w14:paraId="010D4939" w14:textId="77777777">
        <w:trPr>
          <w:trHeight w:val="300"/>
          <w:jc w:val="center"/>
        </w:trPr>
        <w:tc>
          <w:tcPr>
            <w:tcW w:w="9008" w:type="dxa"/>
            <w:gridSpan w:val="5"/>
            <w:noWrap/>
            <w:vAlign w:val="bottom"/>
            <w:hideMark/>
          </w:tcPr>
          <w:bookmarkEnd w:id="106"/>
          <w:p w:rsidRPr="00394FE0" w:rsidR="007253C8" w:rsidP="00301BD8" w:rsidRDefault="007253C8" w14:paraId="289F4455" w14:textId="77777777">
            <w:pPr>
              <w:pStyle w:val="TableText"/>
              <w:jc w:val="center"/>
              <w:rPr>
                <w:color w:val="000000"/>
              </w:rPr>
            </w:pPr>
            <w:r w:rsidRPr="706B62ED">
              <w:t>WMP Gas Costs</w:t>
            </w:r>
          </w:p>
        </w:tc>
      </w:tr>
      <w:tr w:rsidRPr="00394FE0" w:rsidR="007253C8" w:rsidTr="00301BD8" w14:paraId="3335C988" w14:textId="77777777">
        <w:trPr>
          <w:trHeight w:val="300"/>
          <w:jc w:val="center"/>
        </w:trPr>
        <w:tc>
          <w:tcPr>
            <w:tcW w:w="9008" w:type="dxa"/>
            <w:gridSpan w:val="5"/>
            <w:noWrap/>
            <w:vAlign w:val="bottom"/>
            <w:hideMark/>
          </w:tcPr>
          <w:p w:rsidRPr="00394FE0" w:rsidR="007253C8" w:rsidP="00301BD8" w:rsidRDefault="007253C8" w14:paraId="75BEC919" w14:textId="77777777">
            <w:pPr>
              <w:pStyle w:val="TableText"/>
              <w:jc w:val="center"/>
              <w:rPr>
                <w:color w:val="000000"/>
              </w:rPr>
            </w:pPr>
            <w:r w:rsidRPr="706B62ED">
              <w:t>($ in millions)</w:t>
            </w:r>
          </w:p>
        </w:tc>
      </w:tr>
      <w:tr w:rsidRPr="00394FE0" w:rsidR="007253C8" w:rsidTr="00301BD8" w14:paraId="7F1290AE" w14:textId="77777777">
        <w:trPr>
          <w:trHeight w:val="300"/>
          <w:jc w:val="center"/>
        </w:trPr>
        <w:tc>
          <w:tcPr>
            <w:tcW w:w="236" w:type="dxa"/>
            <w:noWrap/>
            <w:vAlign w:val="bottom"/>
            <w:hideMark/>
          </w:tcPr>
          <w:p w:rsidRPr="00394FE0" w:rsidR="007253C8" w:rsidP="00301BD8" w:rsidRDefault="007253C8" w14:paraId="318138C1" w14:textId="77777777">
            <w:pPr>
              <w:pStyle w:val="TableText"/>
              <w:rPr>
                <w:color w:val="000000"/>
              </w:rPr>
            </w:pPr>
          </w:p>
        </w:tc>
        <w:tc>
          <w:tcPr>
            <w:tcW w:w="3474" w:type="dxa"/>
            <w:noWrap/>
            <w:vAlign w:val="bottom"/>
            <w:hideMark/>
          </w:tcPr>
          <w:p w:rsidRPr="00394FE0" w:rsidR="007253C8" w:rsidP="00301BD8" w:rsidRDefault="007253C8" w14:paraId="456B0F7E" w14:textId="77777777">
            <w:pPr>
              <w:pStyle w:val="TableText"/>
              <w:rPr>
                <w:rFonts w:ascii="Times New Roman" w:hAnsi="Times New Roman" w:eastAsia="Times New Roman"/>
                <w:sz w:val="20"/>
              </w:rPr>
            </w:pPr>
          </w:p>
        </w:tc>
        <w:tc>
          <w:tcPr>
            <w:tcW w:w="2155" w:type="dxa"/>
            <w:noWrap/>
            <w:vAlign w:val="bottom"/>
            <w:hideMark/>
          </w:tcPr>
          <w:p w:rsidRPr="00394FE0" w:rsidR="007253C8" w:rsidP="00301BD8" w:rsidRDefault="007253C8" w14:paraId="373E2446" w14:textId="77777777">
            <w:pPr>
              <w:pStyle w:val="TableText"/>
              <w:rPr>
                <w:rFonts w:ascii="Times New Roman" w:hAnsi="Times New Roman" w:eastAsia="Times New Roman"/>
                <w:sz w:val="20"/>
              </w:rPr>
            </w:pPr>
          </w:p>
        </w:tc>
        <w:tc>
          <w:tcPr>
            <w:tcW w:w="2319" w:type="dxa"/>
            <w:noWrap/>
            <w:vAlign w:val="bottom"/>
            <w:hideMark/>
          </w:tcPr>
          <w:p w:rsidRPr="00394FE0" w:rsidR="007253C8" w:rsidP="00301BD8" w:rsidRDefault="007253C8" w14:paraId="6602608D" w14:textId="77777777">
            <w:pPr>
              <w:pStyle w:val="TableText"/>
              <w:rPr>
                <w:rFonts w:ascii="Times New Roman" w:hAnsi="Times New Roman" w:eastAsia="Times New Roman"/>
                <w:sz w:val="20"/>
              </w:rPr>
            </w:pPr>
          </w:p>
        </w:tc>
        <w:tc>
          <w:tcPr>
            <w:tcW w:w="824" w:type="dxa"/>
            <w:noWrap/>
            <w:vAlign w:val="bottom"/>
            <w:hideMark/>
          </w:tcPr>
          <w:p w:rsidRPr="00394FE0" w:rsidR="007253C8" w:rsidP="00301BD8" w:rsidRDefault="007253C8" w14:paraId="043EFA3C" w14:textId="77777777">
            <w:pPr>
              <w:pStyle w:val="TableText"/>
              <w:rPr>
                <w:rFonts w:ascii="Times New Roman" w:hAnsi="Times New Roman" w:eastAsia="Times New Roman"/>
                <w:sz w:val="20"/>
              </w:rPr>
            </w:pPr>
          </w:p>
        </w:tc>
      </w:tr>
      <w:tr w:rsidRPr="00394FE0" w:rsidR="007253C8" w:rsidTr="00301BD8" w14:paraId="3C47FD44" w14:textId="77777777">
        <w:trPr>
          <w:trHeight w:val="900"/>
          <w:jc w:val="center"/>
        </w:trPr>
        <w:tc>
          <w:tcPr>
            <w:tcW w:w="3710" w:type="dxa"/>
            <w:gridSpan w:val="2"/>
            <w:noWrap/>
            <w:vAlign w:val="bottom"/>
            <w:hideMark/>
          </w:tcPr>
          <w:p w:rsidRPr="00394FE0" w:rsidR="007253C8" w:rsidP="00301BD8" w:rsidRDefault="007253C8" w14:paraId="06456EF5" w14:textId="77777777">
            <w:pPr>
              <w:pStyle w:val="TableText"/>
              <w:rPr>
                <w:color w:val="000000"/>
              </w:rPr>
            </w:pPr>
            <w:r w:rsidRPr="706B62ED">
              <w:lastRenderedPageBreak/>
              <w:t>Track 2 (2019-2022)</w:t>
            </w:r>
          </w:p>
        </w:tc>
        <w:tc>
          <w:tcPr>
            <w:tcW w:w="2155" w:type="dxa"/>
            <w:vAlign w:val="center"/>
            <w:hideMark/>
          </w:tcPr>
          <w:p w:rsidRPr="00394FE0" w:rsidR="007253C8" w:rsidP="00301BD8" w:rsidRDefault="007253C8" w14:paraId="30BE5757" w14:textId="77777777">
            <w:pPr>
              <w:pStyle w:val="TableText"/>
              <w:rPr>
                <w:color w:val="000000"/>
              </w:rPr>
            </w:pPr>
            <w:r w:rsidRPr="706B62ED">
              <w:t xml:space="preserve">Actuals </w:t>
            </w:r>
            <w:r>
              <w:br/>
            </w:r>
            <w:r w:rsidRPr="706B62ED">
              <w:t>5/30/2019 to 12/31/22</w:t>
            </w:r>
          </w:p>
        </w:tc>
        <w:tc>
          <w:tcPr>
            <w:tcW w:w="2319" w:type="dxa"/>
            <w:vAlign w:val="center"/>
            <w:hideMark/>
          </w:tcPr>
          <w:p w:rsidRPr="00394FE0" w:rsidR="007253C8" w:rsidP="00301BD8" w:rsidRDefault="007253C8" w14:paraId="11297023" w14:textId="77777777">
            <w:pPr>
              <w:pStyle w:val="TableText"/>
              <w:rPr>
                <w:color w:val="000000"/>
              </w:rPr>
            </w:pPr>
            <w:r w:rsidRPr="706B62ED">
              <w:t>Forecasts</w:t>
            </w:r>
            <w:r>
              <w:br/>
            </w:r>
            <w:r w:rsidRPr="706B62ED">
              <w:t>2023 to 2027</w:t>
            </w:r>
          </w:p>
        </w:tc>
        <w:tc>
          <w:tcPr>
            <w:tcW w:w="824" w:type="dxa"/>
            <w:noWrap/>
            <w:vAlign w:val="center"/>
            <w:hideMark/>
          </w:tcPr>
          <w:p w:rsidRPr="00394FE0" w:rsidR="007253C8" w:rsidP="00301BD8" w:rsidRDefault="007253C8" w14:paraId="7DBFA5C9" w14:textId="77777777">
            <w:pPr>
              <w:pStyle w:val="TableText"/>
              <w:rPr>
                <w:color w:val="000000"/>
              </w:rPr>
            </w:pPr>
            <w:r w:rsidRPr="706B62ED">
              <w:t>Totals</w:t>
            </w:r>
          </w:p>
        </w:tc>
      </w:tr>
      <w:tr w:rsidRPr="00394FE0" w:rsidR="007253C8" w:rsidTr="00301BD8" w14:paraId="62F28C8C" w14:textId="77777777">
        <w:trPr>
          <w:trHeight w:val="300"/>
          <w:jc w:val="center"/>
        </w:trPr>
        <w:tc>
          <w:tcPr>
            <w:tcW w:w="236" w:type="dxa"/>
            <w:noWrap/>
            <w:vAlign w:val="bottom"/>
            <w:hideMark/>
          </w:tcPr>
          <w:p w:rsidRPr="00394FE0" w:rsidR="007253C8" w:rsidP="00301BD8" w:rsidRDefault="007253C8" w14:paraId="30CBED40" w14:textId="77777777">
            <w:pPr>
              <w:pStyle w:val="TableText"/>
              <w:rPr>
                <w:color w:val="000000"/>
              </w:rPr>
            </w:pPr>
          </w:p>
        </w:tc>
        <w:tc>
          <w:tcPr>
            <w:tcW w:w="3474" w:type="dxa"/>
            <w:noWrap/>
            <w:vAlign w:val="bottom"/>
            <w:hideMark/>
          </w:tcPr>
          <w:p w:rsidRPr="00394FE0" w:rsidR="007253C8" w:rsidP="00301BD8" w:rsidRDefault="007253C8" w14:paraId="1A597809" w14:textId="77777777">
            <w:pPr>
              <w:pStyle w:val="TableText"/>
              <w:rPr>
                <w:color w:val="000000"/>
              </w:rPr>
            </w:pPr>
            <w:r w:rsidRPr="706B62ED">
              <w:t>Authorized Revenues</w:t>
            </w:r>
          </w:p>
        </w:tc>
        <w:tc>
          <w:tcPr>
            <w:tcW w:w="2155" w:type="dxa"/>
            <w:noWrap/>
            <w:vAlign w:val="bottom"/>
            <w:hideMark/>
          </w:tcPr>
          <w:p w:rsidRPr="00394FE0" w:rsidR="007253C8" w:rsidP="00301BD8" w:rsidRDefault="007253C8" w14:paraId="755EA531" w14:textId="77777777">
            <w:pPr>
              <w:pStyle w:val="TableText"/>
              <w:rPr>
                <w:color w:val="000000"/>
              </w:rPr>
            </w:pPr>
            <w:r w:rsidRPr="706B62ED">
              <w:t>(10.0)</w:t>
            </w:r>
          </w:p>
        </w:tc>
        <w:tc>
          <w:tcPr>
            <w:tcW w:w="2319" w:type="dxa"/>
            <w:noWrap/>
            <w:vAlign w:val="bottom"/>
            <w:hideMark/>
          </w:tcPr>
          <w:p w:rsidRPr="00394FE0" w:rsidR="007253C8" w:rsidP="00301BD8" w:rsidRDefault="007253C8" w14:paraId="4AF44448" w14:textId="77777777">
            <w:pPr>
              <w:pStyle w:val="TableText"/>
              <w:rPr>
                <w:color w:val="000000"/>
              </w:rPr>
            </w:pPr>
            <w:r w:rsidRPr="706B62ED">
              <w:t xml:space="preserve">0.0 </w:t>
            </w:r>
          </w:p>
        </w:tc>
        <w:tc>
          <w:tcPr>
            <w:tcW w:w="824" w:type="dxa"/>
            <w:noWrap/>
            <w:vAlign w:val="bottom"/>
            <w:hideMark/>
          </w:tcPr>
          <w:p w:rsidRPr="00394FE0" w:rsidR="007253C8" w:rsidP="00301BD8" w:rsidRDefault="007253C8" w14:paraId="17EC652F" w14:textId="77777777">
            <w:pPr>
              <w:pStyle w:val="TableText"/>
              <w:rPr>
                <w:color w:val="000000"/>
              </w:rPr>
            </w:pPr>
            <w:r w:rsidRPr="706B62ED">
              <w:t>(10.0)</w:t>
            </w:r>
          </w:p>
        </w:tc>
      </w:tr>
      <w:tr w:rsidRPr="00394FE0" w:rsidR="007253C8" w:rsidTr="00301BD8" w14:paraId="30C1F8CB" w14:textId="77777777">
        <w:trPr>
          <w:trHeight w:val="300"/>
          <w:jc w:val="center"/>
        </w:trPr>
        <w:tc>
          <w:tcPr>
            <w:tcW w:w="236" w:type="dxa"/>
            <w:noWrap/>
            <w:vAlign w:val="bottom"/>
            <w:hideMark/>
          </w:tcPr>
          <w:p w:rsidRPr="00394FE0" w:rsidR="007253C8" w:rsidP="00301BD8" w:rsidRDefault="007253C8" w14:paraId="0E06B3D9" w14:textId="77777777">
            <w:pPr>
              <w:pStyle w:val="TableText"/>
              <w:rPr>
                <w:color w:val="000000"/>
              </w:rPr>
            </w:pPr>
          </w:p>
        </w:tc>
        <w:tc>
          <w:tcPr>
            <w:tcW w:w="3474" w:type="dxa"/>
            <w:noWrap/>
            <w:vAlign w:val="bottom"/>
            <w:hideMark/>
          </w:tcPr>
          <w:p w:rsidRPr="00394FE0" w:rsidR="007253C8" w:rsidP="00301BD8" w:rsidRDefault="007253C8" w14:paraId="322E4F45" w14:textId="77777777">
            <w:pPr>
              <w:pStyle w:val="TableText"/>
              <w:rPr>
                <w:color w:val="000000"/>
              </w:rPr>
            </w:pPr>
            <w:r w:rsidRPr="706B62ED">
              <w:t>O&amp;M</w:t>
            </w:r>
          </w:p>
        </w:tc>
        <w:tc>
          <w:tcPr>
            <w:tcW w:w="2155" w:type="dxa"/>
            <w:noWrap/>
            <w:vAlign w:val="bottom"/>
            <w:hideMark/>
          </w:tcPr>
          <w:p w:rsidRPr="00394FE0" w:rsidR="007253C8" w:rsidP="00301BD8" w:rsidRDefault="007253C8" w14:paraId="35A3CFD3" w14:textId="77777777">
            <w:pPr>
              <w:pStyle w:val="TableText"/>
              <w:rPr>
                <w:color w:val="000000"/>
              </w:rPr>
            </w:pPr>
            <w:r w:rsidRPr="706B62ED">
              <w:t xml:space="preserve">7.1 </w:t>
            </w:r>
          </w:p>
        </w:tc>
        <w:tc>
          <w:tcPr>
            <w:tcW w:w="2319" w:type="dxa"/>
            <w:noWrap/>
            <w:vAlign w:val="bottom"/>
            <w:hideMark/>
          </w:tcPr>
          <w:p w:rsidRPr="00394FE0" w:rsidR="007253C8" w:rsidP="00301BD8" w:rsidRDefault="007253C8" w14:paraId="6868AF9C" w14:textId="77777777">
            <w:pPr>
              <w:pStyle w:val="TableText"/>
              <w:rPr>
                <w:color w:val="000000"/>
              </w:rPr>
            </w:pPr>
            <w:r w:rsidRPr="706B62ED">
              <w:t xml:space="preserve">0.0 </w:t>
            </w:r>
          </w:p>
        </w:tc>
        <w:tc>
          <w:tcPr>
            <w:tcW w:w="824" w:type="dxa"/>
            <w:noWrap/>
            <w:vAlign w:val="bottom"/>
            <w:hideMark/>
          </w:tcPr>
          <w:p w:rsidRPr="00394FE0" w:rsidR="007253C8" w:rsidP="00301BD8" w:rsidRDefault="007253C8" w14:paraId="1325EB56" w14:textId="77777777">
            <w:pPr>
              <w:pStyle w:val="TableText"/>
              <w:rPr>
                <w:color w:val="000000"/>
              </w:rPr>
            </w:pPr>
            <w:r w:rsidRPr="706B62ED">
              <w:t xml:space="preserve">7.1 </w:t>
            </w:r>
          </w:p>
        </w:tc>
      </w:tr>
      <w:tr w:rsidRPr="00394FE0" w:rsidR="007253C8" w:rsidTr="00301BD8" w14:paraId="05544D8D" w14:textId="77777777">
        <w:trPr>
          <w:trHeight w:val="300"/>
          <w:jc w:val="center"/>
        </w:trPr>
        <w:tc>
          <w:tcPr>
            <w:tcW w:w="236" w:type="dxa"/>
            <w:noWrap/>
            <w:vAlign w:val="bottom"/>
            <w:hideMark/>
          </w:tcPr>
          <w:p w:rsidRPr="00394FE0" w:rsidR="007253C8" w:rsidP="00301BD8" w:rsidRDefault="007253C8" w14:paraId="1C724037" w14:textId="77777777">
            <w:pPr>
              <w:pStyle w:val="TableText"/>
              <w:rPr>
                <w:color w:val="000000"/>
              </w:rPr>
            </w:pPr>
          </w:p>
        </w:tc>
        <w:tc>
          <w:tcPr>
            <w:tcW w:w="3474" w:type="dxa"/>
            <w:noWrap/>
            <w:vAlign w:val="bottom"/>
            <w:hideMark/>
          </w:tcPr>
          <w:p w:rsidRPr="00394FE0" w:rsidR="007253C8" w:rsidP="00301BD8" w:rsidRDefault="007253C8" w14:paraId="661647DC" w14:textId="77777777">
            <w:pPr>
              <w:pStyle w:val="TableText"/>
              <w:rPr>
                <w:color w:val="000000"/>
              </w:rPr>
            </w:pPr>
            <w:r w:rsidRPr="706B62ED">
              <w:t>Capital Related Costs</w:t>
            </w:r>
          </w:p>
        </w:tc>
        <w:tc>
          <w:tcPr>
            <w:tcW w:w="2155" w:type="dxa"/>
            <w:noWrap/>
            <w:vAlign w:val="bottom"/>
            <w:hideMark/>
          </w:tcPr>
          <w:p w:rsidRPr="00394FE0" w:rsidR="007253C8" w:rsidP="00301BD8" w:rsidRDefault="007253C8" w14:paraId="7FCFA081" w14:textId="77777777">
            <w:pPr>
              <w:pStyle w:val="TableText"/>
              <w:rPr>
                <w:color w:val="000000"/>
              </w:rPr>
            </w:pPr>
            <w:r w:rsidRPr="706B62ED">
              <w:t>(0.7)</w:t>
            </w:r>
          </w:p>
        </w:tc>
        <w:tc>
          <w:tcPr>
            <w:tcW w:w="2319" w:type="dxa"/>
            <w:noWrap/>
            <w:vAlign w:val="bottom"/>
            <w:hideMark/>
          </w:tcPr>
          <w:p w:rsidRPr="00394FE0" w:rsidR="007253C8" w:rsidP="00301BD8" w:rsidRDefault="007253C8" w14:paraId="5B4D700B" w14:textId="77777777">
            <w:pPr>
              <w:pStyle w:val="TableText"/>
              <w:rPr>
                <w:color w:val="000000"/>
              </w:rPr>
            </w:pPr>
            <w:r w:rsidRPr="706B62ED">
              <w:t xml:space="preserve">20.6 </w:t>
            </w:r>
          </w:p>
        </w:tc>
        <w:tc>
          <w:tcPr>
            <w:tcW w:w="824" w:type="dxa"/>
            <w:noWrap/>
            <w:vAlign w:val="bottom"/>
            <w:hideMark/>
          </w:tcPr>
          <w:p w:rsidRPr="00394FE0" w:rsidR="007253C8" w:rsidP="00301BD8" w:rsidRDefault="007253C8" w14:paraId="44D04783" w14:textId="77777777">
            <w:pPr>
              <w:pStyle w:val="TableText"/>
              <w:rPr>
                <w:color w:val="000000"/>
              </w:rPr>
            </w:pPr>
            <w:r w:rsidRPr="706B62ED">
              <w:t xml:space="preserve">19.9 </w:t>
            </w:r>
          </w:p>
        </w:tc>
      </w:tr>
      <w:tr w:rsidRPr="00394FE0" w:rsidR="007253C8" w:rsidTr="00301BD8" w14:paraId="162097AA" w14:textId="77777777">
        <w:trPr>
          <w:trHeight w:val="300"/>
          <w:jc w:val="center"/>
        </w:trPr>
        <w:tc>
          <w:tcPr>
            <w:tcW w:w="236" w:type="dxa"/>
            <w:noWrap/>
            <w:vAlign w:val="bottom"/>
            <w:hideMark/>
          </w:tcPr>
          <w:p w:rsidRPr="00394FE0" w:rsidR="007253C8" w:rsidP="00301BD8" w:rsidRDefault="007253C8" w14:paraId="0E2FCF5A" w14:textId="77777777">
            <w:pPr>
              <w:pStyle w:val="TableText"/>
              <w:rPr>
                <w:color w:val="000000"/>
              </w:rPr>
            </w:pPr>
          </w:p>
        </w:tc>
        <w:tc>
          <w:tcPr>
            <w:tcW w:w="3474" w:type="dxa"/>
            <w:noWrap/>
            <w:vAlign w:val="bottom"/>
            <w:hideMark/>
          </w:tcPr>
          <w:p w:rsidRPr="00394FE0" w:rsidR="007253C8" w:rsidP="00301BD8" w:rsidRDefault="007253C8" w14:paraId="5B325ADA" w14:textId="529A6776">
            <w:pPr>
              <w:pStyle w:val="TableText"/>
              <w:rPr>
                <w:color w:val="000000"/>
              </w:rPr>
            </w:pPr>
            <w:r w:rsidRPr="706B62ED">
              <w:t>Interest @ 3</w:t>
            </w:r>
            <w:r w:rsidR="00016A7B">
              <w:t>%/</w:t>
            </w:r>
            <w:r w:rsidRPr="706B62ED">
              <w:t xml:space="preserve"> month </w:t>
            </w:r>
            <w:r w:rsidR="00E622BD">
              <w:t>(</w:t>
            </w:r>
            <w:r w:rsidRPr="706B62ED">
              <w:t>C</w:t>
            </w:r>
            <w:r w:rsidR="00E622BD">
              <w:t xml:space="preserve">ommercial </w:t>
            </w:r>
            <w:r w:rsidRPr="706B62ED">
              <w:t>P</w:t>
            </w:r>
            <w:r w:rsidR="00E622BD">
              <w:t>aper</w:t>
            </w:r>
            <w:r w:rsidRPr="706B62ED">
              <w:t xml:space="preserve"> rate</w:t>
            </w:r>
            <w:r w:rsidR="00E622BD">
              <w:t>)</w:t>
            </w:r>
          </w:p>
        </w:tc>
        <w:tc>
          <w:tcPr>
            <w:tcW w:w="2155" w:type="dxa"/>
            <w:noWrap/>
            <w:vAlign w:val="bottom"/>
            <w:hideMark/>
          </w:tcPr>
          <w:p w:rsidRPr="00394FE0" w:rsidR="007253C8" w:rsidP="00301BD8" w:rsidRDefault="007253C8" w14:paraId="35D44F03" w14:textId="77777777">
            <w:pPr>
              <w:pStyle w:val="TableText"/>
              <w:rPr>
                <w:color w:val="000000"/>
              </w:rPr>
            </w:pPr>
            <w:r w:rsidRPr="706B62ED">
              <w:t xml:space="preserve">0.1 </w:t>
            </w:r>
          </w:p>
        </w:tc>
        <w:tc>
          <w:tcPr>
            <w:tcW w:w="2319" w:type="dxa"/>
            <w:noWrap/>
            <w:vAlign w:val="bottom"/>
            <w:hideMark/>
          </w:tcPr>
          <w:p w:rsidRPr="00394FE0" w:rsidR="007253C8" w:rsidP="00301BD8" w:rsidRDefault="007253C8" w14:paraId="2CE7FC8F" w14:textId="77777777">
            <w:pPr>
              <w:pStyle w:val="TableText"/>
              <w:rPr>
                <w:color w:val="000000"/>
              </w:rPr>
            </w:pPr>
            <w:r w:rsidRPr="706B62ED">
              <w:t xml:space="preserve">0.0 </w:t>
            </w:r>
          </w:p>
        </w:tc>
        <w:tc>
          <w:tcPr>
            <w:tcW w:w="824" w:type="dxa"/>
            <w:noWrap/>
            <w:vAlign w:val="bottom"/>
            <w:hideMark/>
          </w:tcPr>
          <w:p w:rsidRPr="00394FE0" w:rsidR="007253C8" w:rsidP="00301BD8" w:rsidRDefault="007253C8" w14:paraId="5AD0C4F3" w14:textId="77777777">
            <w:pPr>
              <w:pStyle w:val="TableText"/>
              <w:rPr>
                <w:color w:val="000000"/>
              </w:rPr>
            </w:pPr>
            <w:r w:rsidRPr="706B62ED">
              <w:t xml:space="preserve">0.1 </w:t>
            </w:r>
          </w:p>
        </w:tc>
      </w:tr>
      <w:tr w:rsidRPr="00394FE0" w:rsidR="007253C8" w:rsidTr="00301BD8" w14:paraId="75EB8458" w14:textId="77777777">
        <w:trPr>
          <w:trHeight w:val="315"/>
          <w:jc w:val="center"/>
        </w:trPr>
        <w:tc>
          <w:tcPr>
            <w:tcW w:w="236" w:type="dxa"/>
            <w:noWrap/>
            <w:vAlign w:val="bottom"/>
            <w:hideMark/>
          </w:tcPr>
          <w:p w:rsidRPr="00394FE0" w:rsidR="007253C8" w:rsidP="00301BD8" w:rsidRDefault="007253C8" w14:paraId="7B67121F" w14:textId="77777777">
            <w:pPr>
              <w:pStyle w:val="TableText"/>
              <w:rPr>
                <w:color w:val="000000"/>
              </w:rPr>
            </w:pPr>
          </w:p>
        </w:tc>
        <w:tc>
          <w:tcPr>
            <w:tcW w:w="3474" w:type="dxa"/>
            <w:noWrap/>
            <w:vAlign w:val="bottom"/>
            <w:hideMark/>
          </w:tcPr>
          <w:p w:rsidRPr="00394FE0" w:rsidR="007253C8" w:rsidP="00301BD8" w:rsidRDefault="007253C8" w14:paraId="3C2F2666" w14:textId="77777777">
            <w:pPr>
              <w:pStyle w:val="TableText"/>
              <w:rPr>
                <w:color w:val="000000"/>
              </w:rPr>
            </w:pPr>
            <w:r w:rsidRPr="706B62ED">
              <w:t>Totals</w:t>
            </w:r>
          </w:p>
        </w:tc>
        <w:tc>
          <w:tcPr>
            <w:tcW w:w="2155" w:type="dxa"/>
            <w:noWrap/>
            <w:vAlign w:val="bottom"/>
            <w:hideMark/>
          </w:tcPr>
          <w:p w:rsidRPr="00394FE0" w:rsidR="007253C8" w:rsidP="00301BD8" w:rsidRDefault="007253C8" w14:paraId="77E0E9B3" w14:textId="77777777">
            <w:pPr>
              <w:pStyle w:val="TableText"/>
              <w:rPr>
                <w:color w:val="000000"/>
              </w:rPr>
            </w:pPr>
            <w:r w:rsidRPr="706B62ED">
              <w:t>(3.7)</w:t>
            </w:r>
          </w:p>
        </w:tc>
        <w:tc>
          <w:tcPr>
            <w:tcW w:w="2319" w:type="dxa"/>
            <w:noWrap/>
            <w:vAlign w:val="bottom"/>
            <w:hideMark/>
          </w:tcPr>
          <w:p w:rsidRPr="00394FE0" w:rsidR="007253C8" w:rsidP="00301BD8" w:rsidRDefault="007253C8" w14:paraId="0A725F48" w14:textId="77777777">
            <w:pPr>
              <w:pStyle w:val="TableText"/>
              <w:rPr>
                <w:color w:val="000000"/>
              </w:rPr>
            </w:pPr>
            <w:r w:rsidRPr="706B62ED">
              <w:t xml:space="preserve">20.6 </w:t>
            </w:r>
          </w:p>
        </w:tc>
        <w:tc>
          <w:tcPr>
            <w:tcW w:w="824" w:type="dxa"/>
            <w:noWrap/>
            <w:vAlign w:val="bottom"/>
            <w:hideMark/>
          </w:tcPr>
          <w:p w:rsidRPr="00394FE0" w:rsidR="007253C8" w:rsidP="00301BD8" w:rsidRDefault="007253C8" w14:paraId="60BE0C52" w14:textId="77777777">
            <w:pPr>
              <w:pStyle w:val="TableText"/>
              <w:rPr>
                <w:color w:val="000000"/>
              </w:rPr>
            </w:pPr>
            <w:r w:rsidRPr="706B62ED">
              <w:t xml:space="preserve">16.9 </w:t>
            </w:r>
          </w:p>
        </w:tc>
      </w:tr>
    </w:tbl>
    <w:p w:rsidR="007253C8" w:rsidP="009F3AAA" w:rsidRDefault="007253C8" w14:paraId="4A68AE78" w14:textId="1D2E01CC">
      <w:pPr>
        <w:pStyle w:val="Standard"/>
        <w:spacing w:before="120"/>
      </w:pPr>
      <w:r>
        <w:t>Cal Advocates, PCF, and SBUA assert the forecast costs for 2023</w:t>
      </w:r>
      <w:r w:rsidR="001F5E61">
        <w:t>–</w:t>
      </w:r>
      <w:r>
        <w:t xml:space="preserve">2027 cannot be approved here. For example, Cal Advocates </w:t>
      </w:r>
      <w:r w:rsidRPr="00162E60">
        <w:t xml:space="preserve">recommends that these costs be reviewed separately in a future proceeding because </w:t>
      </w:r>
      <w:r>
        <w:t xml:space="preserve">it contends that it is </w:t>
      </w:r>
      <w:r w:rsidRPr="00162E60">
        <w:t xml:space="preserve">currently not possible to determine the incrementality or reasonableness of these future costs, or their appropriateness for ratepayer funding, without a complete showing and adequate supporting documentation of the recorded costs. </w:t>
      </w:r>
      <w:r>
        <w:t>According to Cal Advocates, these</w:t>
      </w:r>
      <w:r w:rsidRPr="00162E60">
        <w:t xml:space="preserve"> costs should be subject to their own reasonableness review at a later date when SDG&amp;E can produce the necessary supporting documentation such as time records, journal entries, and invoices for subcontractors.</w:t>
      </w:r>
      <w:r>
        <w:rPr>
          <w:rStyle w:val="FootnoteReference"/>
        </w:rPr>
        <w:footnoteReference w:id="348"/>
      </w:r>
    </w:p>
    <w:p w:rsidR="007253C8" w:rsidP="007253C8" w:rsidRDefault="007253C8" w14:paraId="2CFA1E64" w14:textId="25F33485">
      <w:pPr>
        <w:pStyle w:val="Standard"/>
      </w:pPr>
      <w:r>
        <w:t xml:space="preserve">PCF contends that </w:t>
      </w:r>
      <w:r w:rsidRPr="00162E60">
        <w:t>SDG&amp;E’s request for capital-related revenue requirements for 202</w:t>
      </w:r>
      <w:r>
        <w:t>3–20</w:t>
      </w:r>
      <w:r w:rsidRPr="00162E60">
        <w:t xml:space="preserve">27 </w:t>
      </w:r>
      <w:r>
        <w:t xml:space="preserve">for </w:t>
      </w:r>
      <w:r w:rsidRPr="00162E60">
        <w:t>WMP spending encompasses spending for years that are outside the scope of Track 2 of the Scoping Memo</w:t>
      </w:r>
      <w:r w:rsidR="004915D9">
        <w:t>randum</w:t>
      </w:r>
      <w:r w:rsidRPr="00162E60">
        <w:t xml:space="preserve"> published in this proceeding.</w:t>
      </w:r>
      <w:r>
        <w:rPr>
          <w:rStyle w:val="FootnoteReference"/>
        </w:rPr>
        <w:footnoteReference w:id="349"/>
      </w:r>
    </w:p>
    <w:p w:rsidR="007253C8" w:rsidP="007253C8" w:rsidRDefault="007253C8" w14:paraId="126CB248" w14:textId="091C8850">
      <w:pPr>
        <w:pStyle w:val="Standard"/>
      </w:pPr>
      <w:r>
        <w:t xml:space="preserve">Similarly, SBUA contends that </w:t>
      </w:r>
      <w:r w:rsidRPr="000367DC">
        <w:t xml:space="preserve">SDG&amp;E’s Track 2 application and testimony </w:t>
      </w:r>
      <w:r w:rsidRPr="000367DC" w:rsidR="00BF1650">
        <w:t>do</w:t>
      </w:r>
      <w:r w:rsidRPr="000367DC">
        <w:t xml:space="preserve"> not meaningfully discuss the programs or activities over th</w:t>
      </w:r>
      <w:r>
        <w:t>e</w:t>
      </w:r>
      <w:r w:rsidRPr="000367DC">
        <w:t xml:space="preserve"> </w:t>
      </w:r>
      <w:r>
        <w:t>20</w:t>
      </w:r>
      <w:r w:rsidR="00202602">
        <w:t>24</w:t>
      </w:r>
      <w:r>
        <w:t>-202</w:t>
      </w:r>
      <w:r w:rsidR="00202602">
        <w:t>7</w:t>
      </w:r>
      <w:r>
        <w:t xml:space="preserve"> </w:t>
      </w:r>
      <w:r w:rsidRPr="000367DC">
        <w:t xml:space="preserve">period, </w:t>
      </w:r>
      <w:r>
        <w:lastRenderedPageBreak/>
        <w:t xml:space="preserve">nor </w:t>
      </w:r>
      <w:r w:rsidRPr="000367DC">
        <w:t>how</w:t>
      </w:r>
      <w:r w:rsidRPr="000367DC" w:rsidDel="003B4286">
        <w:t xml:space="preserve"> </w:t>
      </w:r>
      <w:r w:rsidRPr="000367DC">
        <w:t>the costs associated with them</w:t>
      </w:r>
      <w:r>
        <w:t xml:space="preserve"> </w:t>
      </w:r>
      <w:r w:rsidRPr="000367DC">
        <w:t>should change over time</w:t>
      </w:r>
      <w:r>
        <w:t>,</w:t>
      </w:r>
      <w:r w:rsidRPr="000367DC">
        <w:t xml:space="preserve"> and assume that future capital projects will be put into service as planned.</w:t>
      </w:r>
      <w:r>
        <w:rPr>
          <w:rStyle w:val="FootnoteReference"/>
        </w:rPr>
        <w:footnoteReference w:id="350"/>
      </w:r>
    </w:p>
    <w:p w:rsidR="007253C8" w:rsidP="007253C8" w:rsidRDefault="007253C8" w14:paraId="6F00205D" w14:textId="77777777">
      <w:pPr>
        <w:pStyle w:val="Standard"/>
      </w:pPr>
      <w:r>
        <w:t>In reply, SDG&amp;E addresses the intervenors</w:t>
      </w:r>
      <w:r w:rsidRPr="000367DC">
        <w:t>’</w:t>
      </w:r>
      <w:r>
        <w:t xml:space="preserve"> arguments as follows. First, SDG&amp;E states that the </w:t>
      </w:r>
      <w:r w:rsidRPr="00293403">
        <w:t>“</w:t>
      </w:r>
      <w:r w:rsidRPr="000367DC">
        <w:t>ongoing</w:t>
      </w:r>
      <w:r w:rsidRPr="00293403">
        <w:t>”</w:t>
      </w:r>
      <w:r>
        <w:t xml:space="preserve"> </w:t>
      </w:r>
      <w:r w:rsidRPr="000367DC">
        <w:t>capital</w:t>
      </w:r>
      <w:r>
        <w:t>-</w:t>
      </w:r>
      <w:r w:rsidRPr="000367DC">
        <w:t>related costs</w:t>
      </w:r>
      <w:r>
        <w:t xml:space="preserve"> </w:t>
      </w:r>
      <w:r w:rsidRPr="000367DC">
        <w:t>are not new costs</w:t>
      </w:r>
      <w:r>
        <w:t>;</w:t>
      </w:r>
      <w:r w:rsidRPr="000367DC">
        <w:t xml:space="preserve"> nor do they support new assets. Rather, </w:t>
      </w:r>
      <w:r>
        <w:t xml:space="preserve">the capital-related costs are the </w:t>
      </w:r>
      <w:r w:rsidRPr="000367DC">
        <w:t>depreciation,</w:t>
      </w:r>
      <w:r>
        <w:t xml:space="preserve"> </w:t>
      </w:r>
      <w:r w:rsidRPr="000367DC">
        <w:t>taxes, and the return</w:t>
      </w:r>
      <w:r>
        <w:t xml:space="preserve"> on rate base. As a result, SDG&amp;E states that </w:t>
      </w:r>
      <w:r w:rsidRPr="000367DC">
        <w:t xml:space="preserve">there </w:t>
      </w:r>
      <w:r>
        <w:t xml:space="preserve">are no </w:t>
      </w:r>
      <w:r w:rsidRPr="000367DC">
        <w:t>new invoices or time records to support these costs, as the capital projects have already been placed in service</w:t>
      </w:r>
      <w:r>
        <w:t xml:space="preserve"> during 2019-2022</w:t>
      </w:r>
      <w:r w:rsidRPr="000367DC">
        <w:t xml:space="preserve">. </w:t>
      </w:r>
      <w:r>
        <w:t xml:space="preserve">As such, SDG&amp;E states that ongoing </w:t>
      </w:r>
      <w:r w:rsidRPr="000367DC">
        <w:t>costs</w:t>
      </w:r>
      <w:r>
        <w:t xml:space="preserve"> will not change </w:t>
      </w:r>
      <w:r w:rsidRPr="000367DC">
        <w:t xml:space="preserve">over time. </w:t>
      </w:r>
      <w:r>
        <w:t xml:space="preserve">Second, SDG&amp;E states that the </w:t>
      </w:r>
      <w:r w:rsidRPr="000367DC">
        <w:t>ongoing capital costs are within the scope of this proceeding</w:t>
      </w:r>
      <w:r>
        <w:t xml:space="preserve"> because they are</w:t>
      </w:r>
      <w:r w:rsidRPr="000367DC">
        <w:t xml:space="preserve"> directly tied to costs recorded to the WMPMAs for 2019</w:t>
      </w:r>
      <w:r>
        <w:t>–20</w:t>
      </w:r>
      <w:r w:rsidRPr="000367DC">
        <w:t>22</w:t>
      </w:r>
      <w:r>
        <w:t xml:space="preserve"> and request for recovery of them in this track is consistent with </w:t>
      </w:r>
      <w:r w:rsidRPr="000367DC">
        <w:t>Commission</w:t>
      </w:r>
      <w:r>
        <w:t xml:space="preserve"> directives.</w:t>
      </w:r>
      <w:r>
        <w:rPr>
          <w:rStyle w:val="FootnoteReference"/>
        </w:rPr>
        <w:footnoteReference w:id="351"/>
      </w:r>
    </w:p>
    <w:p w:rsidR="00016A7B" w:rsidP="007253C8" w:rsidRDefault="00016A7B" w14:paraId="4C84B78F" w14:textId="7D212AF6">
      <w:pPr>
        <w:pStyle w:val="Standard"/>
      </w:pPr>
      <w:r>
        <w:t xml:space="preserve">In its Opening Comments, SDG&amp;E requests correction </w:t>
      </w:r>
      <w:r w:rsidR="00E622BD">
        <w:t xml:space="preserve">of </w:t>
      </w:r>
      <w:r>
        <w:t xml:space="preserve">what appears to be the omission </w:t>
      </w:r>
      <w:r w:rsidR="00E622BD">
        <w:t xml:space="preserve">of </w:t>
      </w:r>
      <w:r w:rsidRPr="00016A7B">
        <w:t xml:space="preserve">interest </w:t>
      </w:r>
      <w:r>
        <w:t xml:space="preserve">on the </w:t>
      </w:r>
      <w:proofErr w:type="spellStart"/>
      <w:r>
        <w:t>undercollected</w:t>
      </w:r>
      <w:proofErr w:type="spellEnd"/>
      <w:r>
        <w:t xml:space="preserve"> revenue requirement for the authorized time period.</w:t>
      </w:r>
      <w:r w:rsidR="00E622BD">
        <w:t xml:space="preserve"> </w:t>
      </w:r>
      <w:r w:rsidRPr="00016A7B">
        <w:t>SDG&amp;E</w:t>
      </w:r>
      <w:r w:rsidR="00E622BD">
        <w:t xml:space="preserve"> states that it</w:t>
      </w:r>
      <w:r w:rsidRPr="00016A7B">
        <w:t>s approved WMPMA preliminary statement includes the recording of interest</w:t>
      </w:r>
      <w:r w:rsidR="00E622BD">
        <w:t xml:space="preserve"> at the three-month commercial paper rate</w:t>
      </w:r>
      <w:r w:rsidRPr="00016A7B">
        <w:t xml:space="preserve">, and SDG&amp;E should similarly be authorized to collect interest expense for costs authorized in a final decision. </w:t>
      </w:r>
      <w:r w:rsidR="00E622BD">
        <w:t xml:space="preserve">SDG&amp;E claims this interest rate is the standard for </w:t>
      </w:r>
      <w:proofErr w:type="spellStart"/>
      <w:r w:rsidRPr="00016A7B">
        <w:t>undercollections</w:t>
      </w:r>
      <w:proofErr w:type="spellEnd"/>
      <w:r w:rsidR="00E622BD">
        <w:t xml:space="preserve"> and is </w:t>
      </w:r>
      <w:r w:rsidRPr="00016A7B">
        <w:t xml:space="preserve">a tangible financing cost borne by SDG&amp;E. </w:t>
      </w:r>
    </w:p>
    <w:p w:rsidR="00466053" w:rsidP="003E6EAF" w:rsidRDefault="00E622BD" w14:paraId="32FF7523" w14:textId="26A60D9A">
      <w:pPr>
        <w:pStyle w:val="Standard"/>
      </w:pPr>
      <w:r>
        <w:t xml:space="preserve">SDG&amp;E’s approved preliminary statement for its WMPMA </w:t>
      </w:r>
      <w:r w:rsidR="002A095D">
        <w:t>states that a</w:t>
      </w:r>
      <w:r w:rsidRPr="00E622BD">
        <w:t xml:space="preserve">n </w:t>
      </w:r>
      <w:r w:rsidR="003662FB">
        <w:t>“</w:t>
      </w:r>
      <w:r w:rsidRPr="00E622BD">
        <w:t xml:space="preserve">entry equal to the interest on the average of the balance at the beginning of the month and the balance in this account after the above entries, at a rate equal to one-twelfth of the interest rate on three-month nonfinancial Commercial Paper </w:t>
      </w:r>
      <w:r w:rsidRPr="00E622BD">
        <w:lastRenderedPageBreak/>
        <w:t>for the previous month, as reported in the Federal Reserve Statistical Release, H.15, or its successor publication.</w:t>
      </w:r>
      <w:r w:rsidR="00252BFC">
        <w:t>”</w:t>
      </w:r>
      <w:r w:rsidR="002A095D">
        <w:rPr>
          <w:rStyle w:val="FootnoteReference"/>
        </w:rPr>
        <w:footnoteReference w:id="352"/>
      </w:r>
    </w:p>
    <w:p w:rsidR="00A27DE3" w:rsidP="003E6EAF" w:rsidRDefault="002A095D" w14:paraId="445DCA0C" w14:textId="0F584A9C">
      <w:pPr>
        <w:pStyle w:val="Standard"/>
      </w:pPr>
      <w:r>
        <w:t xml:space="preserve">SDG&amp;E </w:t>
      </w:r>
      <w:r w:rsidR="003E6EAF">
        <w:t xml:space="preserve">is authorized </w:t>
      </w:r>
      <w:r w:rsidR="004B69FD">
        <w:t xml:space="preserve">to </w:t>
      </w:r>
      <w:r w:rsidR="00371142">
        <w:t xml:space="preserve">recover </w:t>
      </w:r>
      <w:r w:rsidR="004B69FD">
        <w:t>interest accrued on</w:t>
      </w:r>
      <w:r w:rsidR="00466053">
        <w:t xml:space="preserve"> </w:t>
      </w:r>
      <w:r w:rsidR="00371142">
        <w:t xml:space="preserve">the </w:t>
      </w:r>
      <w:proofErr w:type="spellStart"/>
      <w:r w:rsidR="00371142">
        <w:t>undercollected</w:t>
      </w:r>
      <w:proofErr w:type="spellEnd"/>
      <w:r w:rsidR="00371142">
        <w:t xml:space="preserve"> revenue requirement through years 2026 and 2027 via a Tier 2 advice letter. In the advice letter, SDG&amp;E shall (1) propose an amortization period and any accrued interest from that amortization (per </w:t>
      </w:r>
      <w:r w:rsidR="009E4B32">
        <w:t xml:space="preserve">the </w:t>
      </w:r>
      <w:r w:rsidR="00371142">
        <w:t>WMPMA Preliminary Statement</w:t>
      </w:r>
      <w:r w:rsidR="00823ECB">
        <w:rPr>
          <w:rStyle w:val="FootnoteReference"/>
        </w:rPr>
        <w:footnoteReference w:id="353"/>
      </w:r>
      <w:r w:rsidR="00371142">
        <w:t xml:space="preserve">); (2) include annual accrued interest from approved 2019–2025 amortized balance for the respective year; and (3) include associated bill impacts, to be effective at the beginning of years 2026 and 2027. </w:t>
      </w:r>
      <w:r w:rsidR="00A27DE3">
        <w:t xml:space="preserve">However, </w:t>
      </w:r>
      <w:r w:rsidR="00F06812">
        <w:t xml:space="preserve">the Commission finds it reasonable to suspend the accrual of interest on </w:t>
      </w:r>
      <w:r w:rsidR="001E5168">
        <w:t xml:space="preserve">recorded </w:t>
      </w:r>
      <w:r w:rsidR="00F06812">
        <w:t>drone inspection and repair costs because it’s not reasonable for SDG&amp;E to accrue memorandum account interest caused for any cost authorization delay</w:t>
      </w:r>
      <w:r w:rsidR="004060A2">
        <w:t xml:space="preserve">ed by </w:t>
      </w:r>
      <w:r w:rsidR="00F06812">
        <w:t xml:space="preserve">SDG&amp;E’s inadequate showing. As a result, the </w:t>
      </w:r>
      <w:r w:rsidR="00A27DE3">
        <w:t xml:space="preserve">accrual of interest on </w:t>
      </w:r>
      <w:r w:rsidR="001E5168">
        <w:t xml:space="preserve">recorded </w:t>
      </w:r>
      <w:r w:rsidR="00A27DE3">
        <w:t xml:space="preserve">drone inspection and repair costs is suspended </w:t>
      </w:r>
      <w:r w:rsidR="00D3408E">
        <w:t>effective January 15, 202</w:t>
      </w:r>
      <w:r w:rsidR="00466053">
        <w:t>6</w:t>
      </w:r>
      <w:r w:rsidR="00F06812">
        <w:t xml:space="preserve">. This is consistent with </w:t>
      </w:r>
      <w:r w:rsidR="00D3408E">
        <w:t>the scope of Track 3 of this proceeding</w:t>
      </w:r>
      <w:r w:rsidR="004060A2">
        <w:t xml:space="preserve"> for delayed PSEP cost determinations</w:t>
      </w:r>
      <w:r w:rsidR="00D3408E">
        <w:rPr>
          <w:rStyle w:val="FootnoteReference"/>
        </w:rPr>
        <w:footnoteReference w:id="354"/>
      </w:r>
      <w:r w:rsidR="00D3408E">
        <w:t xml:space="preserve"> and the </w:t>
      </w:r>
      <w:r w:rsidR="00F06812">
        <w:t xml:space="preserve">recommendation </w:t>
      </w:r>
      <w:r w:rsidR="00D3408E">
        <w:t>made by TURN.</w:t>
      </w:r>
      <w:r w:rsidR="00D3408E">
        <w:rPr>
          <w:rStyle w:val="FootnoteReference"/>
        </w:rPr>
        <w:footnoteReference w:id="355"/>
      </w:r>
    </w:p>
    <w:p w:rsidR="007253C8" w:rsidP="007253C8" w:rsidRDefault="002A095D" w14:paraId="72E67011" w14:textId="6E3DD44E">
      <w:pPr>
        <w:pStyle w:val="Standard"/>
      </w:pPr>
      <w:r>
        <w:t>C</w:t>
      </w:r>
      <w:r w:rsidR="1BFE1C55">
        <w:t>onsidering all of the above, the Commission finds that a separate proceeding to determine the authorized ongoing electric costs recorded to the WMPMA for 2019–2022 that are forecast to continue over 2023</w:t>
      </w:r>
      <w:r w:rsidR="00CB75DC">
        <w:t>–</w:t>
      </w:r>
      <w:r w:rsidR="1BFE1C55">
        <w:t xml:space="preserve">2027 is </w:t>
      </w:r>
      <w:r w:rsidR="1BFE1C55">
        <w:lastRenderedPageBreak/>
        <w:t>unnecessary. This is reasonable because the annual depreciation, taxes, and return on rate base for approved WMPMA capital costs over 2019</w:t>
      </w:r>
      <w:r w:rsidR="00CB75DC">
        <w:t>–</w:t>
      </w:r>
      <w:r w:rsidR="1BFE1C55">
        <w:t>2022 are determined in the Results of Operation Model for 2019</w:t>
      </w:r>
      <w:r w:rsidR="00CB75DC">
        <w:t>–</w:t>
      </w:r>
      <w:r w:rsidR="1BFE1C55">
        <w:t>2022 and also for 2023</w:t>
      </w:r>
      <w:r w:rsidR="00CB75DC">
        <w:t>–</w:t>
      </w:r>
      <w:r w:rsidR="1BFE1C55">
        <w:t>2027 (just as they were for Track 1). Here, in Track 2, they are based on the totals for the 2019–2022 period. These costs are shown in the table below and detailed in Appendices A, B, and C</w:t>
      </w:r>
      <w:r w:rsidR="39D5CCCB">
        <w:t>,</w:t>
      </w:r>
      <w:r w:rsidR="1BFE1C55">
        <w:t xml:space="preserve"> along </w:t>
      </w:r>
      <w:r w:rsidR="39D5CCCB">
        <w:t xml:space="preserve">with </w:t>
      </w:r>
      <w:r w:rsidR="1BFE1C55">
        <w:t xml:space="preserve">the Results of Operations Modeling Results for Track 1. The total requested </w:t>
      </w:r>
      <w:proofErr w:type="spellStart"/>
      <w:r w:rsidR="1BFE1C55">
        <w:t>undercollection</w:t>
      </w:r>
      <w:proofErr w:type="spellEnd"/>
      <w:r w:rsidR="1BFE1C55">
        <w:t xml:space="preserve"> of O&amp;M is $434 million and the total </w:t>
      </w:r>
      <w:proofErr w:type="spellStart"/>
      <w:r w:rsidR="1BFE1C55">
        <w:t>undercollection</w:t>
      </w:r>
      <w:proofErr w:type="spellEnd"/>
      <w:r w:rsidR="1BFE1C55">
        <w:t xml:space="preserve"> of capital expenditures is $1,015 million, less the 2019 authorized GRC revenue requirement of $308 million, results in a total requested </w:t>
      </w:r>
      <w:proofErr w:type="spellStart"/>
      <w:r w:rsidR="1BFE1C55">
        <w:t>undercollection</w:t>
      </w:r>
      <w:proofErr w:type="spellEnd"/>
      <w:r w:rsidR="1BFE1C55">
        <w:t xml:space="preserve"> of $1,141 million for both electric and gas.</w:t>
      </w:r>
      <w:r w:rsidR="007253C8">
        <w:rPr>
          <w:rStyle w:val="FootnoteReference"/>
        </w:rPr>
        <w:footnoteReference w:id="356"/>
      </w:r>
      <w:r w:rsidR="1BFE1C55">
        <w:t xml:space="preserve"> The total </w:t>
      </w:r>
      <w:proofErr w:type="spellStart"/>
      <w:r w:rsidR="1BFE1C55">
        <w:t>undercollection</w:t>
      </w:r>
      <w:proofErr w:type="spellEnd"/>
      <w:r w:rsidR="1BFE1C55">
        <w:t xml:space="preserve"> of capital expenditures is determined by reducing SDG&amp;E’s </w:t>
      </w:r>
      <w:r w:rsidR="3CB5B68F">
        <w:t xml:space="preserve">total </w:t>
      </w:r>
      <w:r w:rsidR="1BFE1C55">
        <w:t>request of $1,188.37 million</w:t>
      </w:r>
      <w:r w:rsidR="007253C8">
        <w:rPr>
          <w:rStyle w:val="FootnoteReference"/>
        </w:rPr>
        <w:footnoteReference w:id="357"/>
      </w:r>
      <w:r w:rsidR="1BFE1C55">
        <w:t xml:space="preserve"> by the amount of direct cost reductions shown in Appendix B, totaling $213.</w:t>
      </w:r>
      <w:r w:rsidR="00997376">
        <w:t>700</w:t>
      </w:r>
      <w:r w:rsidR="1BFE1C55">
        <w:t xml:space="preserve"> m</w:t>
      </w:r>
      <w:r w:rsidR="74096435">
        <w:t>illion</w:t>
      </w:r>
      <w:r w:rsidR="1BFE1C55">
        <w:t xml:space="preserve"> and $28.76</w:t>
      </w:r>
      <w:r w:rsidR="002716F2">
        <w:t>6</w:t>
      </w:r>
      <w:r w:rsidR="1BFE1C55">
        <w:t xml:space="preserve"> million in indirect cost reductions, totaling $242.</w:t>
      </w:r>
      <w:r w:rsidR="00D80035">
        <w:t>466</w:t>
      </w:r>
      <w:r w:rsidR="1BFE1C55">
        <w:t xml:space="preserve"> million in capital cost reduction.</w:t>
      </w:r>
      <w:r w:rsidR="007253C8">
        <w:rPr>
          <w:rStyle w:val="FootnoteReference"/>
        </w:rPr>
        <w:footnoteReference w:id="358"/>
      </w:r>
      <w:r w:rsidR="1BFE1C55">
        <w:t xml:space="preserve"> They are within the scope of Track 2, reasonable, and incremental. The revenue requirements requested for 2023</w:t>
      </w:r>
      <w:r w:rsidR="00204448">
        <w:t>–</w:t>
      </w:r>
      <w:r w:rsidR="1BFE1C55">
        <w:t>2027 with supporting documentation (e.g., time records, journal entries, invoices) are not needed to determine reasonableness for ratepayer funding because these revenue requirements are based on what has been found reasonable for 2019</w:t>
      </w:r>
      <w:r w:rsidR="00204448">
        <w:t>–</w:t>
      </w:r>
      <w:r w:rsidR="1BFE1C55">
        <w:t>2022.</w:t>
      </w:r>
    </w:p>
    <w:p w:rsidR="007253C8" w:rsidP="0037110F" w:rsidRDefault="1BFE1C55" w14:paraId="22C30E0B" w14:textId="1EDA0B95">
      <w:pPr>
        <w:pStyle w:val="Standard"/>
      </w:pPr>
      <w:r>
        <w:t xml:space="preserve">The total amount of authorized </w:t>
      </w:r>
      <w:proofErr w:type="spellStart"/>
      <w:r>
        <w:t>undercollected</w:t>
      </w:r>
      <w:proofErr w:type="spellEnd"/>
      <w:r>
        <w:t xml:space="preserve"> revenue requirement for electric O&amp;M and capital-related costs for capital projects placed into service between 2019</w:t>
      </w:r>
      <w:r w:rsidR="0064496A">
        <w:t>–</w:t>
      </w:r>
      <w:r>
        <w:t>2022 determined by the Results of Operation Model is $7</w:t>
      </w:r>
      <w:r w:rsidR="001E1406">
        <w:t>07.21</w:t>
      </w:r>
      <w:r>
        <w:t xml:space="preserve">0 million. The </w:t>
      </w:r>
      <w:proofErr w:type="spellStart"/>
      <w:r>
        <w:t>undercollected</w:t>
      </w:r>
      <w:proofErr w:type="spellEnd"/>
      <w:r>
        <w:t xml:space="preserve"> revenue requirement for 2019</w:t>
      </w:r>
      <w:r w:rsidR="0064496A">
        <w:t>–</w:t>
      </w:r>
      <w:r>
        <w:t>2022 is $1</w:t>
      </w:r>
      <w:r w:rsidR="00FE3A5E">
        <w:t>31.752</w:t>
      </w:r>
      <w:r>
        <w:t xml:space="preserve"> </w:t>
      </w:r>
      <w:r>
        <w:lastRenderedPageBreak/>
        <w:t xml:space="preserve">million and </w:t>
      </w:r>
      <w:r w:rsidR="007253C8">
        <w:t>$57</w:t>
      </w:r>
      <w:r w:rsidR="00E6162A">
        <w:t>5.459</w:t>
      </w:r>
      <w:r w:rsidR="007253C8">
        <w:t xml:space="preserve"> million for 2023</w:t>
      </w:r>
      <w:r w:rsidR="0064496A">
        <w:t>–</w:t>
      </w:r>
      <w:r w:rsidR="007253C8">
        <w:t>2027.</w:t>
      </w:r>
      <w:r w:rsidR="007253C8">
        <w:rPr>
          <w:rStyle w:val="FootnoteReference"/>
        </w:rPr>
        <w:footnoteReference w:id="359"/>
      </w:r>
      <w:r w:rsidR="007253C8">
        <w:t xml:space="preserve"> The 2019</w:t>
      </w:r>
      <w:r w:rsidR="0064496A">
        <w:t>–</w:t>
      </w:r>
      <w:r w:rsidR="007253C8">
        <w:t>2027 total revenue requirement is $1,0</w:t>
      </w:r>
      <w:r w:rsidR="006A1D45">
        <w:t>05.144</w:t>
      </w:r>
      <w:r w:rsidR="007253C8">
        <w:t xml:space="preserve"> million, including interest, and less the TY 2019 GRC authorized revenue requirement of $297.934 million.</w:t>
      </w:r>
      <w:r w:rsidR="007253C8">
        <w:rPr>
          <w:rStyle w:val="FootnoteReference"/>
        </w:rPr>
        <w:footnoteReference w:id="360"/>
      </w:r>
      <w:r w:rsidR="007253C8">
        <w:t xml:space="preserve"> For electric costs this is a reduction of $4</w:t>
      </w:r>
      <w:r w:rsidR="007A60A0">
        <w:t>23.417</w:t>
      </w:r>
      <w:r w:rsidR="007253C8">
        <w:t xml:space="preserve"> million from the amount requested of $1,130.627 million with interest (shown in Table 14A above). The calculation for this amount is shown in Appendix C and summarized </w:t>
      </w:r>
      <w:r w:rsidR="00A02688">
        <w:t>i</w:t>
      </w:r>
      <w:r w:rsidR="007253C8">
        <w:t>n Table C-1 below. As discussed in Section 15, SDG&amp;E is authorized to recover the under-collected amount over a three-year period.</w:t>
      </w:r>
    </w:p>
    <w:p w:rsidR="007253C8" w:rsidP="007253C8" w:rsidRDefault="007253C8" w14:paraId="2245006E" w14:textId="77777777">
      <w:pPr>
        <w:pStyle w:val="Standard"/>
        <w:ind w:firstLine="0"/>
        <w:jc w:val="center"/>
        <w:rPr>
          <w:b/>
          <w:bCs/>
        </w:rPr>
      </w:pPr>
      <w:r w:rsidRPr="7BD5343F">
        <w:rPr>
          <w:b/>
          <w:bCs/>
        </w:rPr>
        <w:t>Table C-1</w:t>
      </w:r>
    </w:p>
    <w:p w:rsidRPr="00EB33A9" w:rsidR="00A02688" w:rsidP="0037110F" w:rsidRDefault="00A02688" w14:paraId="7824B23E" w14:textId="4C2A74FD">
      <w:pPr>
        <w:pStyle w:val="Standard"/>
        <w:jc w:val="center"/>
        <w:rPr>
          <w:b/>
          <w:bCs/>
        </w:rPr>
      </w:pPr>
      <w:r w:rsidRPr="00AE3209">
        <w:rPr>
          <w:b/>
          <w:bCs/>
        </w:rPr>
        <w:t xml:space="preserve">Authorized Total </w:t>
      </w:r>
      <w:proofErr w:type="spellStart"/>
      <w:r w:rsidRPr="00AE3209">
        <w:rPr>
          <w:b/>
          <w:bCs/>
        </w:rPr>
        <w:t>Undercollected</w:t>
      </w:r>
      <w:proofErr w:type="spellEnd"/>
      <w:r w:rsidRPr="00AE3209">
        <w:rPr>
          <w:b/>
          <w:bCs/>
        </w:rPr>
        <w:t xml:space="preserve"> Revenue Requirement of Electric O&amp;M and Capital-Related Costs for Capital Projects Put into Service Between 2019–2022</w:t>
      </w:r>
    </w:p>
    <w:tbl>
      <w:tblPr>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
        <w:gridCol w:w="3488"/>
        <w:gridCol w:w="2155"/>
        <w:gridCol w:w="2319"/>
        <w:gridCol w:w="858"/>
      </w:tblGrid>
      <w:tr w:rsidRPr="00394FE0" w:rsidR="007253C8" w:rsidTr="00301BD8" w14:paraId="280BD1BE" w14:textId="77777777">
        <w:trPr>
          <w:trHeight w:val="300"/>
          <w:jc w:val="center"/>
        </w:trPr>
        <w:tc>
          <w:tcPr>
            <w:tcW w:w="8796" w:type="dxa"/>
            <w:gridSpan w:val="5"/>
            <w:noWrap/>
            <w:vAlign w:val="bottom"/>
            <w:hideMark/>
          </w:tcPr>
          <w:p w:rsidRPr="00394FE0" w:rsidR="007253C8" w:rsidP="00301BD8" w:rsidRDefault="007253C8" w14:paraId="4C2E51FA" w14:textId="77777777">
            <w:pPr>
              <w:pStyle w:val="TableText"/>
              <w:jc w:val="center"/>
            </w:pPr>
            <w:r w:rsidRPr="706B62ED">
              <w:t xml:space="preserve">WMP </w:t>
            </w:r>
            <w:r>
              <w:t>Electric</w:t>
            </w:r>
            <w:r w:rsidRPr="706B62ED">
              <w:t xml:space="preserve"> </w:t>
            </w:r>
            <w:r>
              <w:t>Revenue Requirement</w:t>
            </w:r>
          </w:p>
        </w:tc>
      </w:tr>
      <w:tr w:rsidRPr="00394FE0" w:rsidR="007253C8" w:rsidTr="00301BD8" w14:paraId="31E01644" w14:textId="77777777">
        <w:trPr>
          <w:trHeight w:val="300"/>
          <w:jc w:val="center"/>
        </w:trPr>
        <w:tc>
          <w:tcPr>
            <w:tcW w:w="8796" w:type="dxa"/>
            <w:gridSpan w:val="5"/>
            <w:noWrap/>
            <w:vAlign w:val="bottom"/>
            <w:hideMark/>
          </w:tcPr>
          <w:p w:rsidRPr="00394FE0" w:rsidR="007253C8" w:rsidP="00301BD8" w:rsidRDefault="007253C8" w14:paraId="687A2B68" w14:textId="77777777">
            <w:pPr>
              <w:pStyle w:val="TableText"/>
              <w:jc w:val="center"/>
              <w:rPr>
                <w:color w:val="000000"/>
              </w:rPr>
            </w:pPr>
            <w:r w:rsidRPr="706B62ED">
              <w:t>($ in millions)</w:t>
            </w:r>
          </w:p>
        </w:tc>
      </w:tr>
      <w:tr w:rsidRPr="00394FE0" w:rsidR="007253C8" w:rsidTr="00301BD8" w14:paraId="70C185BA" w14:textId="77777777">
        <w:trPr>
          <w:trHeight w:val="300"/>
          <w:jc w:val="center"/>
        </w:trPr>
        <w:tc>
          <w:tcPr>
            <w:tcW w:w="10" w:type="dxa"/>
            <w:noWrap/>
            <w:vAlign w:val="bottom"/>
            <w:hideMark/>
          </w:tcPr>
          <w:p w:rsidRPr="00394FE0" w:rsidR="007253C8" w:rsidP="00301BD8" w:rsidRDefault="007253C8" w14:paraId="7CC2EE3D" w14:textId="77777777">
            <w:pPr>
              <w:pStyle w:val="TableText"/>
              <w:rPr>
                <w:color w:val="000000"/>
              </w:rPr>
            </w:pPr>
          </w:p>
        </w:tc>
        <w:tc>
          <w:tcPr>
            <w:tcW w:w="3488" w:type="dxa"/>
            <w:noWrap/>
            <w:vAlign w:val="bottom"/>
            <w:hideMark/>
          </w:tcPr>
          <w:p w:rsidRPr="00394FE0" w:rsidR="007253C8" w:rsidP="00301BD8" w:rsidRDefault="007253C8" w14:paraId="5D3A9B8F" w14:textId="77777777">
            <w:pPr>
              <w:pStyle w:val="TableText"/>
              <w:rPr>
                <w:rFonts w:ascii="Times New Roman" w:hAnsi="Times New Roman" w:eastAsia="Times New Roman"/>
                <w:sz w:val="20"/>
                <w:szCs w:val="20"/>
              </w:rPr>
            </w:pPr>
          </w:p>
        </w:tc>
        <w:tc>
          <w:tcPr>
            <w:tcW w:w="2155" w:type="dxa"/>
            <w:noWrap/>
            <w:vAlign w:val="bottom"/>
            <w:hideMark/>
          </w:tcPr>
          <w:p w:rsidRPr="00394FE0" w:rsidR="007253C8" w:rsidP="00301BD8" w:rsidRDefault="007253C8" w14:paraId="2C6EB177" w14:textId="77777777">
            <w:pPr>
              <w:pStyle w:val="TableText"/>
              <w:rPr>
                <w:rFonts w:ascii="Times New Roman" w:hAnsi="Times New Roman" w:eastAsia="Times New Roman"/>
                <w:sz w:val="20"/>
                <w:szCs w:val="20"/>
              </w:rPr>
            </w:pPr>
          </w:p>
        </w:tc>
        <w:tc>
          <w:tcPr>
            <w:tcW w:w="2319" w:type="dxa"/>
            <w:noWrap/>
            <w:vAlign w:val="bottom"/>
            <w:hideMark/>
          </w:tcPr>
          <w:p w:rsidRPr="00394FE0" w:rsidR="007253C8" w:rsidP="00301BD8" w:rsidRDefault="007253C8" w14:paraId="2D9AE704" w14:textId="77777777">
            <w:pPr>
              <w:pStyle w:val="TableText"/>
              <w:rPr>
                <w:rFonts w:ascii="Times New Roman" w:hAnsi="Times New Roman" w:eastAsia="Times New Roman"/>
                <w:sz w:val="20"/>
                <w:szCs w:val="20"/>
              </w:rPr>
            </w:pPr>
          </w:p>
        </w:tc>
        <w:tc>
          <w:tcPr>
            <w:tcW w:w="824" w:type="dxa"/>
            <w:noWrap/>
            <w:vAlign w:val="bottom"/>
            <w:hideMark/>
          </w:tcPr>
          <w:p w:rsidRPr="00394FE0" w:rsidR="007253C8" w:rsidP="00301BD8" w:rsidRDefault="007253C8" w14:paraId="2A9D548E" w14:textId="77777777">
            <w:pPr>
              <w:pStyle w:val="TableText"/>
              <w:rPr>
                <w:rFonts w:ascii="Times New Roman" w:hAnsi="Times New Roman" w:eastAsia="Times New Roman"/>
                <w:sz w:val="20"/>
                <w:szCs w:val="20"/>
              </w:rPr>
            </w:pPr>
          </w:p>
        </w:tc>
      </w:tr>
      <w:tr w:rsidRPr="00394FE0" w:rsidR="007253C8" w:rsidTr="00301BD8" w14:paraId="7587E9B1" w14:textId="77777777">
        <w:trPr>
          <w:trHeight w:val="900"/>
          <w:jc w:val="center"/>
        </w:trPr>
        <w:tc>
          <w:tcPr>
            <w:tcW w:w="3498" w:type="dxa"/>
            <w:gridSpan w:val="2"/>
            <w:noWrap/>
            <w:vAlign w:val="bottom"/>
            <w:hideMark/>
          </w:tcPr>
          <w:p w:rsidRPr="00394FE0" w:rsidR="007253C8" w:rsidP="00301BD8" w:rsidRDefault="007253C8" w14:paraId="4B342EF9" w14:textId="77777777">
            <w:pPr>
              <w:pStyle w:val="TableText"/>
              <w:rPr>
                <w:color w:val="000000"/>
              </w:rPr>
            </w:pPr>
            <w:r w:rsidRPr="706B62ED">
              <w:t>Track 2 (2019-2022)</w:t>
            </w:r>
          </w:p>
        </w:tc>
        <w:tc>
          <w:tcPr>
            <w:tcW w:w="2155" w:type="dxa"/>
            <w:vAlign w:val="center"/>
            <w:hideMark/>
          </w:tcPr>
          <w:p w:rsidRPr="00394FE0" w:rsidR="007253C8" w:rsidP="00301BD8" w:rsidRDefault="007253C8" w14:paraId="2BFAF0C8" w14:textId="77777777">
            <w:pPr>
              <w:pStyle w:val="TableText"/>
              <w:rPr>
                <w:color w:val="000000"/>
              </w:rPr>
            </w:pPr>
            <w:r w:rsidRPr="706B62ED">
              <w:t xml:space="preserve">Actuals </w:t>
            </w:r>
            <w:r>
              <w:br/>
            </w:r>
            <w:r w:rsidRPr="706B62ED">
              <w:t>5/30/2019 to 12/31/22</w:t>
            </w:r>
          </w:p>
        </w:tc>
        <w:tc>
          <w:tcPr>
            <w:tcW w:w="2319" w:type="dxa"/>
            <w:vAlign w:val="center"/>
            <w:hideMark/>
          </w:tcPr>
          <w:p w:rsidRPr="00394FE0" w:rsidR="007253C8" w:rsidP="00301BD8" w:rsidRDefault="007253C8" w14:paraId="54F3F8D4" w14:textId="77777777">
            <w:pPr>
              <w:pStyle w:val="TableText"/>
              <w:rPr>
                <w:color w:val="000000"/>
              </w:rPr>
            </w:pPr>
            <w:r w:rsidRPr="706B62ED">
              <w:t>Forecasts</w:t>
            </w:r>
            <w:r>
              <w:br/>
            </w:r>
            <w:r w:rsidRPr="706B62ED">
              <w:t>2023 to 2027</w:t>
            </w:r>
          </w:p>
        </w:tc>
        <w:tc>
          <w:tcPr>
            <w:tcW w:w="824" w:type="dxa"/>
            <w:noWrap/>
            <w:vAlign w:val="center"/>
            <w:hideMark/>
          </w:tcPr>
          <w:p w:rsidRPr="00394FE0" w:rsidR="007253C8" w:rsidP="00301BD8" w:rsidRDefault="007253C8" w14:paraId="2E9DC47E" w14:textId="77777777">
            <w:pPr>
              <w:pStyle w:val="TableText"/>
              <w:rPr>
                <w:color w:val="000000"/>
              </w:rPr>
            </w:pPr>
            <w:r w:rsidRPr="706B62ED">
              <w:t>Totals</w:t>
            </w:r>
          </w:p>
        </w:tc>
      </w:tr>
      <w:tr w:rsidRPr="00394FE0" w:rsidR="007253C8" w:rsidTr="00301BD8" w14:paraId="3FDFD9F3" w14:textId="77777777">
        <w:trPr>
          <w:trHeight w:val="300"/>
          <w:jc w:val="center"/>
        </w:trPr>
        <w:tc>
          <w:tcPr>
            <w:tcW w:w="10" w:type="dxa"/>
            <w:noWrap/>
            <w:vAlign w:val="bottom"/>
            <w:hideMark/>
          </w:tcPr>
          <w:p w:rsidRPr="00394FE0" w:rsidR="007253C8" w:rsidP="00301BD8" w:rsidRDefault="007253C8" w14:paraId="7A1D15EC" w14:textId="77777777">
            <w:pPr>
              <w:pStyle w:val="TableText"/>
              <w:rPr>
                <w:color w:val="000000"/>
              </w:rPr>
            </w:pPr>
          </w:p>
        </w:tc>
        <w:tc>
          <w:tcPr>
            <w:tcW w:w="3488" w:type="dxa"/>
            <w:noWrap/>
            <w:vAlign w:val="bottom"/>
            <w:hideMark/>
          </w:tcPr>
          <w:p w:rsidRPr="00394FE0" w:rsidR="007253C8" w:rsidP="00301BD8" w:rsidRDefault="007253C8" w14:paraId="48DEEADB" w14:textId="77777777">
            <w:pPr>
              <w:pStyle w:val="TableText"/>
              <w:rPr>
                <w:color w:val="000000"/>
              </w:rPr>
            </w:pPr>
            <w:r w:rsidRPr="706B62ED">
              <w:t>Authorized Revenues</w:t>
            </w:r>
          </w:p>
        </w:tc>
        <w:tc>
          <w:tcPr>
            <w:tcW w:w="2155" w:type="dxa"/>
            <w:noWrap/>
            <w:vAlign w:val="bottom"/>
            <w:hideMark/>
          </w:tcPr>
          <w:p w:rsidRPr="00394FE0" w:rsidR="007253C8" w:rsidP="00301BD8" w:rsidRDefault="007253C8" w14:paraId="2AE4B198" w14:textId="77777777">
            <w:pPr>
              <w:pStyle w:val="TableText"/>
              <w:rPr>
                <w:color w:val="000000"/>
              </w:rPr>
            </w:pPr>
            <w:r w:rsidRPr="706B62ED">
              <w:t>(</w:t>
            </w:r>
            <w:r>
              <w:t>244.8</w:t>
            </w:r>
            <w:r w:rsidRPr="706B62ED">
              <w:t>)</w:t>
            </w:r>
          </w:p>
        </w:tc>
        <w:tc>
          <w:tcPr>
            <w:tcW w:w="2319" w:type="dxa"/>
            <w:noWrap/>
            <w:vAlign w:val="bottom"/>
            <w:hideMark/>
          </w:tcPr>
          <w:p w:rsidRPr="00394FE0" w:rsidR="007253C8" w:rsidP="00301BD8" w:rsidRDefault="007253C8" w14:paraId="227DEC7D" w14:textId="77777777">
            <w:pPr>
              <w:pStyle w:val="TableText"/>
              <w:rPr>
                <w:color w:val="000000"/>
              </w:rPr>
            </w:pPr>
            <w:r>
              <w:t>(53.1)</w:t>
            </w:r>
            <w:r w:rsidRPr="706B62ED">
              <w:t xml:space="preserve"> </w:t>
            </w:r>
          </w:p>
        </w:tc>
        <w:tc>
          <w:tcPr>
            <w:tcW w:w="824" w:type="dxa"/>
            <w:noWrap/>
            <w:vAlign w:val="bottom"/>
            <w:hideMark/>
          </w:tcPr>
          <w:p w:rsidRPr="00394FE0" w:rsidR="007253C8" w:rsidP="00301BD8" w:rsidRDefault="007253C8" w14:paraId="53E629D6" w14:textId="77777777">
            <w:pPr>
              <w:pStyle w:val="TableText"/>
              <w:rPr>
                <w:color w:val="000000"/>
              </w:rPr>
            </w:pPr>
            <w:r w:rsidRPr="706B62ED">
              <w:t>(</w:t>
            </w:r>
            <w:r>
              <w:t>297.9</w:t>
            </w:r>
            <w:r w:rsidRPr="706B62ED">
              <w:t>)</w:t>
            </w:r>
          </w:p>
        </w:tc>
      </w:tr>
      <w:tr w:rsidRPr="00394FE0" w:rsidR="007253C8" w:rsidTr="00301BD8" w14:paraId="74B24A1A" w14:textId="77777777">
        <w:trPr>
          <w:trHeight w:val="300"/>
          <w:jc w:val="center"/>
        </w:trPr>
        <w:tc>
          <w:tcPr>
            <w:tcW w:w="10" w:type="dxa"/>
            <w:noWrap/>
            <w:vAlign w:val="bottom"/>
            <w:hideMark/>
          </w:tcPr>
          <w:p w:rsidRPr="00394FE0" w:rsidR="007253C8" w:rsidP="00301BD8" w:rsidRDefault="007253C8" w14:paraId="09B905A3" w14:textId="77777777">
            <w:pPr>
              <w:pStyle w:val="TableText"/>
              <w:rPr>
                <w:color w:val="000000"/>
              </w:rPr>
            </w:pPr>
          </w:p>
        </w:tc>
        <w:tc>
          <w:tcPr>
            <w:tcW w:w="3488" w:type="dxa"/>
            <w:noWrap/>
            <w:vAlign w:val="bottom"/>
            <w:hideMark/>
          </w:tcPr>
          <w:p w:rsidRPr="00394FE0" w:rsidR="007253C8" w:rsidP="00301BD8" w:rsidRDefault="007253C8" w14:paraId="1A1A0733" w14:textId="77777777">
            <w:pPr>
              <w:pStyle w:val="TableText"/>
              <w:rPr>
                <w:color w:val="000000"/>
              </w:rPr>
            </w:pPr>
            <w:r w:rsidRPr="706B62ED">
              <w:t>O&amp;M</w:t>
            </w:r>
          </w:p>
        </w:tc>
        <w:tc>
          <w:tcPr>
            <w:tcW w:w="2155" w:type="dxa"/>
            <w:noWrap/>
            <w:vAlign w:val="bottom"/>
            <w:hideMark/>
          </w:tcPr>
          <w:p w:rsidRPr="00394FE0" w:rsidR="007253C8" w:rsidP="00301BD8" w:rsidRDefault="008B7013" w14:paraId="7392DFDA" w14:textId="15AEB61B">
            <w:pPr>
              <w:pStyle w:val="TableText"/>
              <w:rPr>
                <w:color w:val="000000"/>
              </w:rPr>
            </w:pPr>
            <w:r>
              <w:t>222.2</w:t>
            </w:r>
            <w:r w:rsidRPr="706B62ED" w:rsidR="007253C8">
              <w:t xml:space="preserve"> </w:t>
            </w:r>
          </w:p>
        </w:tc>
        <w:tc>
          <w:tcPr>
            <w:tcW w:w="2319" w:type="dxa"/>
            <w:noWrap/>
            <w:vAlign w:val="bottom"/>
            <w:hideMark/>
          </w:tcPr>
          <w:p w:rsidRPr="00394FE0" w:rsidR="007253C8" w:rsidP="00301BD8" w:rsidRDefault="00A0799F" w14:paraId="64A2B477" w14:textId="6A8CEEF7">
            <w:pPr>
              <w:pStyle w:val="TableText"/>
              <w:rPr>
                <w:color w:val="000000"/>
              </w:rPr>
            </w:pPr>
            <w:r>
              <w:t>(</w:t>
            </w:r>
            <w:r w:rsidR="008B270E">
              <w:t>0.9</w:t>
            </w:r>
            <w:r>
              <w:t>)</w:t>
            </w:r>
          </w:p>
        </w:tc>
        <w:tc>
          <w:tcPr>
            <w:tcW w:w="824" w:type="dxa"/>
            <w:noWrap/>
            <w:vAlign w:val="bottom"/>
            <w:hideMark/>
          </w:tcPr>
          <w:p w:rsidRPr="00394FE0" w:rsidR="007253C8" w:rsidP="00301BD8" w:rsidRDefault="007253C8" w14:paraId="50F22640" w14:textId="3BB86CAC">
            <w:pPr>
              <w:pStyle w:val="TableText"/>
              <w:rPr>
                <w:color w:val="000000"/>
              </w:rPr>
            </w:pPr>
            <w:r>
              <w:t>2</w:t>
            </w:r>
            <w:r w:rsidR="00977FB2">
              <w:t>221.3</w:t>
            </w:r>
            <w:r w:rsidRPr="706B62ED">
              <w:t xml:space="preserve"> </w:t>
            </w:r>
          </w:p>
        </w:tc>
      </w:tr>
      <w:tr w:rsidRPr="00394FE0" w:rsidR="007253C8" w:rsidTr="00301BD8" w14:paraId="36485FD8" w14:textId="77777777">
        <w:trPr>
          <w:trHeight w:val="300"/>
          <w:jc w:val="center"/>
        </w:trPr>
        <w:tc>
          <w:tcPr>
            <w:tcW w:w="10" w:type="dxa"/>
            <w:noWrap/>
            <w:vAlign w:val="bottom"/>
            <w:hideMark/>
          </w:tcPr>
          <w:p w:rsidRPr="00394FE0" w:rsidR="007253C8" w:rsidP="00301BD8" w:rsidRDefault="007253C8" w14:paraId="76D1B403" w14:textId="77777777">
            <w:pPr>
              <w:pStyle w:val="TableText"/>
              <w:rPr>
                <w:color w:val="000000"/>
              </w:rPr>
            </w:pPr>
          </w:p>
        </w:tc>
        <w:tc>
          <w:tcPr>
            <w:tcW w:w="3488" w:type="dxa"/>
            <w:noWrap/>
            <w:vAlign w:val="bottom"/>
            <w:hideMark/>
          </w:tcPr>
          <w:p w:rsidRPr="00394FE0" w:rsidR="007253C8" w:rsidP="00301BD8" w:rsidRDefault="007253C8" w14:paraId="65F3DEEF" w14:textId="77777777">
            <w:pPr>
              <w:pStyle w:val="TableText"/>
              <w:rPr>
                <w:color w:val="000000"/>
              </w:rPr>
            </w:pPr>
            <w:r w:rsidRPr="706B62ED">
              <w:t>Capital Related Costs</w:t>
            </w:r>
          </w:p>
        </w:tc>
        <w:tc>
          <w:tcPr>
            <w:tcW w:w="2155" w:type="dxa"/>
            <w:noWrap/>
            <w:vAlign w:val="bottom"/>
            <w:hideMark/>
          </w:tcPr>
          <w:p w:rsidRPr="00394FE0" w:rsidR="007253C8" w:rsidP="00301BD8" w:rsidRDefault="007253C8" w14:paraId="57BC5CCD" w14:textId="2D2DCE63">
            <w:pPr>
              <w:pStyle w:val="TableText"/>
              <w:rPr>
                <w:color w:val="000000"/>
              </w:rPr>
            </w:pPr>
            <w:r>
              <w:t>152.</w:t>
            </w:r>
            <w:r w:rsidR="00486882">
              <w:t>8</w:t>
            </w:r>
          </w:p>
        </w:tc>
        <w:tc>
          <w:tcPr>
            <w:tcW w:w="2319" w:type="dxa"/>
            <w:noWrap/>
            <w:vAlign w:val="bottom"/>
            <w:hideMark/>
          </w:tcPr>
          <w:p w:rsidRPr="00394FE0" w:rsidR="007253C8" w:rsidP="00301BD8" w:rsidRDefault="007253C8" w14:paraId="7041067A" w14:textId="515385E1">
            <w:pPr>
              <w:pStyle w:val="TableText"/>
              <w:rPr>
                <w:color w:val="000000"/>
              </w:rPr>
            </w:pPr>
            <w:r>
              <w:t>629.</w:t>
            </w:r>
            <w:r w:rsidR="00173D58">
              <w:t>4</w:t>
            </w:r>
            <w:r w:rsidRPr="706B62ED">
              <w:t xml:space="preserve"> </w:t>
            </w:r>
          </w:p>
        </w:tc>
        <w:tc>
          <w:tcPr>
            <w:tcW w:w="824" w:type="dxa"/>
            <w:noWrap/>
            <w:vAlign w:val="bottom"/>
            <w:hideMark/>
          </w:tcPr>
          <w:p w:rsidRPr="00394FE0" w:rsidR="007253C8" w:rsidP="00301BD8" w:rsidRDefault="007253C8" w14:paraId="09A266A4" w14:textId="0C43E162">
            <w:pPr>
              <w:pStyle w:val="TableText"/>
              <w:rPr>
                <w:color w:val="000000"/>
              </w:rPr>
            </w:pPr>
            <w:r>
              <w:t>782.</w:t>
            </w:r>
            <w:r w:rsidR="00B75080">
              <w:t>3</w:t>
            </w:r>
            <w:r>
              <w:t xml:space="preserve"> </w:t>
            </w:r>
          </w:p>
        </w:tc>
      </w:tr>
      <w:tr w:rsidRPr="00394FE0" w:rsidR="007253C8" w:rsidTr="00301BD8" w14:paraId="51F0CCDB" w14:textId="77777777">
        <w:trPr>
          <w:trHeight w:val="300"/>
          <w:jc w:val="center"/>
        </w:trPr>
        <w:tc>
          <w:tcPr>
            <w:tcW w:w="10" w:type="dxa"/>
            <w:noWrap/>
            <w:vAlign w:val="bottom"/>
            <w:hideMark/>
          </w:tcPr>
          <w:p w:rsidRPr="00394FE0" w:rsidR="007253C8" w:rsidP="00301BD8" w:rsidRDefault="007253C8" w14:paraId="1191B923" w14:textId="77777777">
            <w:pPr>
              <w:pStyle w:val="TableText"/>
              <w:rPr>
                <w:color w:val="000000"/>
              </w:rPr>
            </w:pPr>
          </w:p>
        </w:tc>
        <w:tc>
          <w:tcPr>
            <w:tcW w:w="3488" w:type="dxa"/>
            <w:noWrap/>
            <w:vAlign w:val="bottom"/>
            <w:hideMark/>
          </w:tcPr>
          <w:p w:rsidRPr="00394FE0" w:rsidR="007253C8" w:rsidP="00301BD8" w:rsidRDefault="007253C8" w14:paraId="1E783B20" w14:textId="77777777">
            <w:pPr>
              <w:pStyle w:val="TableText"/>
              <w:rPr>
                <w:color w:val="000000"/>
              </w:rPr>
            </w:pPr>
            <w:r w:rsidRPr="706B62ED">
              <w:t>Interest @ 3</w:t>
            </w:r>
            <w:r>
              <w:t>%/</w:t>
            </w:r>
            <w:r w:rsidRPr="706B62ED">
              <w:t xml:space="preserve"> month CP rate</w:t>
            </w:r>
          </w:p>
        </w:tc>
        <w:tc>
          <w:tcPr>
            <w:tcW w:w="2155" w:type="dxa"/>
            <w:noWrap/>
            <w:vAlign w:val="bottom"/>
            <w:hideMark/>
          </w:tcPr>
          <w:p w:rsidRPr="00394FE0" w:rsidR="007253C8" w:rsidP="00301BD8" w:rsidRDefault="007253C8" w14:paraId="0580F213" w14:textId="232A1B82">
            <w:pPr>
              <w:pStyle w:val="TableText"/>
              <w:rPr>
                <w:color w:val="000000"/>
              </w:rPr>
            </w:pPr>
            <w:r>
              <w:t>1.</w:t>
            </w:r>
            <w:r w:rsidR="006E1453">
              <w:t>5</w:t>
            </w:r>
            <w:r w:rsidRPr="706B62ED">
              <w:t xml:space="preserve"> </w:t>
            </w:r>
          </w:p>
        </w:tc>
        <w:tc>
          <w:tcPr>
            <w:tcW w:w="2319" w:type="dxa"/>
            <w:noWrap/>
            <w:vAlign w:val="bottom"/>
            <w:hideMark/>
          </w:tcPr>
          <w:p w:rsidRPr="00394FE0" w:rsidR="007253C8" w:rsidP="00301BD8" w:rsidRDefault="007253C8" w14:paraId="3ED38643" w14:textId="216E18D4">
            <w:pPr>
              <w:pStyle w:val="TableText"/>
              <w:rPr>
                <w:color w:val="000000"/>
              </w:rPr>
            </w:pPr>
            <w:r w:rsidRPr="706B62ED">
              <w:t xml:space="preserve"> </w:t>
            </w:r>
            <w:r w:rsidR="009332B0">
              <w:t>-</w:t>
            </w:r>
          </w:p>
        </w:tc>
        <w:tc>
          <w:tcPr>
            <w:tcW w:w="824" w:type="dxa"/>
            <w:noWrap/>
            <w:vAlign w:val="bottom"/>
            <w:hideMark/>
          </w:tcPr>
          <w:p w:rsidRPr="00394FE0" w:rsidR="007253C8" w:rsidP="0037110F" w:rsidRDefault="007253C8" w14:paraId="53D29D7E" w14:textId="17BB4540">
            <w:pPr>
              <w:pStyle w:val="TableText"/>
              <w:rPr>
                <w:color w:val="000000"/>
              </w:rPr>
            </w:pPr>
            <w:r>
              <w:t>1.</w:t>
            </w:r>
            <w:r w:rsidR="0065514B">
              <w:t>5</w:t>
            </w:r>
          </w:p>
        </w:tc>
      </w:tr>
      <w:tr w:rsidRPr="00394FE0" w:rsidR="007253C8" w:rsidTr="00301BD8" w14:paraId="70915C91" w14:textId="77777777">
        <w:trPr>
          <w:trHeight w:val="315"/>
          <w:jc w:val="center"/>
        </w:trPr>
        <w:tc>
          <w:tcPr>
            <w:tcW w:w="10" w:type="dxa"/>
            <w:noWrap/>
            <w:vAlign w:val="bottom"/>
            <w:hideMark/>
          </w:tcPr>
          <w:p w:rsidRPr="00394FE0" w:rsidR="007253C8" w:rsidP="00301BD8" w:rsidRDefault="007253C8" w14:paraId="1DEFBE7C" w14:textId="77777777">
            <w:pPr>
              <w:pStyle w:val="TableText"/>
              <w:rPr>
                <w:color w:val="000000"/>
              </w:rPr>
            </w:pPr>
          </w:p>
        </w:tc>
        <w:tc>
          <w:tcPr>
            <w:tcW w:w="3488" w:type="dxa"/>
            <w:noWrap/>
            <w:vAlign w:val="bottom"/>
            <w:hideMark/>
          </w:tcPr>
          <w:p w:rsidRPr="00394FE0" w:rsidR="007253C8" w:rsidP="00301BD8" w:rsidRDefault="007253C8" w14:paraId="116B551F" w14:textId="77777777">
            <w:pPr>
              <w:pStyle w:val="TableText"/>
              <w:rPr>
                <w:color w:val="000000"/>
              </w:rPr>
            </w:pPr>
            <w:r w:rsidRPr="706B62ED">
              <w:t>Totals</w:t>
            </w:r>
          </w:p>
        </w:tc>
        <w:tc>
          <w:tcPr>
            <w:tcW w:w="2155" w:type="dxa"/>
            <w:noWrap/>
            <w:vAlign w:val="bottom"/>
            <w:hideMark/>
          </w:tcPr>
          <w:p w:rsidRPr="00394FE0" w:rsidR="007253C8" w:rsidP="00301BD8" w:rsidRDefault="007253C8" w14:paraId="5DAD30F8" w14:textId="065C5FA0">
            <w:pPr>
              <w:pStyle w:val="TableText"/>
              <w:rPr>
                <w:color w:val="000000"/>
              </w:rPr>
            </w:pPr>
            <w:r>
              <w:t>1</w:t>
            </w:r>
            <w:r w:rsidR="00BE59F3">
              <w:t>31.8</w:t>
            </w:r>
          </w:p>
        </w:tc>
        <w:tc>
          <w:tcPr>
            <w:tcW w:w="2319" w:type="dxa"/>
            <w:noWrap/>
            <w:vAlign w:val="bottom"/>
            <w:hideMark/>
          </w:tcPr>
          <w:p w:rsidRPr="00394FE0" w:rsidR="007253C8" w:rsidP="00301BD8" w:rsidRDefault="007253C8" w14:paraId="583C8876" w14:textId="7C246639">
            <w:pPr>
              <w:pStyle w:val="TableText"/>
              <w:rPr>
                <w:color w:val="000000"/>
              </w:rPr>
            </w:pPr>
            <w:r>
              <w:t>57</w:t>
            </w:r>
            <w:r w:rsidR="00F71D6C">
              <w:t>5.4</w:t>
            </w:r>
            <w:r w:rsidRPr="706B62ED">
              <w:t xml:space="preserve"> </w:t>
            </w:r>
          </w:p>
        </w:tc>
        <w:tc>
          <w:tcPr>
            <w:tcW w:w="824" w:type="dxa"/>
            <w:noWrap/>
            <w:vAlign w:val="bottom"/>
            <w:hideMark/>
          </w:tcPr>
          <w:p w:rsidRPr="00394FE0" w:rsidR="007253C8" w:rsidP="00301BD8" w:rsidRDefault="007253C8" w14:paraId="254C0610" w14:textId="178EC6BD">
            <w:pPr>
              <w:pStyle w:val="TableText"/>
              <w:rPr>
                <w:color w:val="000000"/>
              </w:rPr>
            </w:pPr>
            <w:r>
              <w:t>7</w:t>
            </w:r>
            <w:r w:rsidR="00094011">
              <w:t>07.</w:t>
            </w:r>
            <w:r w:rsidR="0000011E">
              <w:t>2</w:t>
            </w:r>
            <w:r w:rsidRPr="706B62ED">
              <w:t xml:space="preserve"> </w:t>
            </w:r>
          </w:p>
        </w:tc>
      </w:tr>
    </w:tbl>
    <w:p w:rsidR="0078386B" w:rsidP="007253C8" w:rsidRDefault="0078386B" w14:paraId="5421417E" w14:textId="77777777">
      <w:pPr>
        <w:pStyle w:val="Standard"/>
      </w:pPr>
    </w:p>
    <w:p w:rsidR="00251670" w:rsidP="00810E94" w:rsidRDefault="00846861" w14:paraId="272B0DDD" w14:textId="5330AF0C">
      <w:pPr>
        <w:pStyle w:val="Standard"/>
      </w:pPr>
      <w:bookmarkStart w:name="_Hlk217662814" w:id="107"/>
      <w:r>
        <w:t xml:space="preserve">For ongoing </w:t>
      </w:r>
      <w:r w:rsidR="00735F43">
        <w:t xml:space="preserve">gas </w:t>
      </w:r>
      <w:r>
        <w:t>capital</w:t>
      </w:r>
      <w:r w:rsidR="00735F43">
        <w:t>-related</w:t>
      </w:r>
      <w:r>
        <w:t xml:space="preserve"> costs for </w:t>
      </w:r>
      <w:r w:rsidR="00735F43">
        <w:t>capital projects put into service between 2019</w:t>
      </w:r>
      <w:r w:rsidR="00454E47">
        <w:t>–</w:t>
      </w:r>
      <w:r w:rsidR="00735F43">
        <w:t>2022</w:t>
      </w:r>
      <w:r>
        <w:t>, SDG&amp;E</w:t>
      </w:r>
      <w:r w:rsidR="00735F43">
        <w:t xml:space="preserve"> requests $16.9 million</w:t>
      </w:r>
      <w:r w:rsidR="00DA0911">
        <w:t xml:space="preserve">, which is calculated </w:t>
      </w:r>
      <w:r w:rsidR="00735F43">
        <w:t>in</w:t>
      </w:r>
      <w:r w:rsidR="00FF5E2A">
        <w:t xml:space="preserve"> </w:t>
      </w:r>
      <w:r w:rsidR="00FF5E2A">
        <w:lastRenderedPageBreak/>
        <w:t>testimony.</w:t>
      </w:r>
      <w:r w:rsidR="00FF5E2A">
        <w:rPr>
          <w:rStyle w:val="FootnoteReference"/>
        </w:rPr>
        <w:footnoteReference w:id="361"/>
      </w:r>
      <w:r w:rsidR="00FF5E2A">
        <w:t xml:space="preserve"> </w:t>
      </w:r>
      <w:r w:rsidR="007253C8">
        <w:t xml:space="preserve">A separate proceeding </w:t>
      </w:r>
      <w:r w:rsidR="00FF5E2A">
        <w:t xml:space="preserve">would </w:t>
      </w:r>
      <w:r w:rsidR="007253C8">
        <w:t xml:space="preserve">also </w:t>
      </w:r>
      <w:r w:rsidR="00FF5E2A">
        <w:t>be un</w:t>
      </w:r>
      <w:r w:rsidR="007253C8">
        <w:t>necessary to review SDG&amp;E’s request for ongoing capital costs for gas projects</w:t>
      </w:r>
      <w:r w:rsidR="00FF5E2A">
        <w:t>,</w:t>
      </w:r>
      <w:r w:rsidRPr="7ED2919C" w:rsidR="007253C8">
        <w:rPr>
          <w:rStyle w:val="FootnoteReference"/>
        </w:rPr>
        <w:footnoteReference w:id="362"/>
      </w:r>
      <w:r w:rsidR="007253C8">
        <w:t xml:space="preserve"> </w:t>
      </w:r>
      <w:r w:rsidR="00FF5E2A">
        <w:t xml:space="preserve">but in the Proposed Decision the Commission found that </w:t>
      </w:r>
      <w:r w:rsidR="007253C8">
        <w:t>SDG&amp;E ha</w:t>
      </w:r>
      <w:r w:rsidR="00FF5E2A">
        <w:t>d</w:t>
      </w:r>
      <w:r w:rsidR="007253C8">
        <w:t xml:space="preserve"> failed to meet its burden of proof to demonstrate their connection to wildfire mitigation costs</w:t>
      </w:r>
      <w:r w:rsidR="00FF5E2A">
        <w:t xml:space="preserve"> and denied such costs as</w:t>
      </w:r>
      <w:r w:rsidR="007253C8">
        <w:t xml:space="preserve"> unsupported.</w:t>
      </w:r>
      <w:r w:rsidR="00251670">
        <w:t xml:space="preserve"> </w:t>
      </w:r>
      <w:bookmarkStart w:name="_Hlk216103770" w:id="108"/>
      <w:r w:rsidR="00251670">
        <w:t xml:space="preserve">In Sempra’s Opening Comments on the proposed decision, SDG&amp;E states that the requested $16.9 million is based on </w:t>
      </w:r>
      <w:r w:rsidR="00AE5735">
        <w:t xml:space="preserve">an allocation of costs for SDG&amp;E’s </w:t>
      </w:r>
      <w:r w:rsidR="00047331">
        <w:t xml:space="preserve">Distribution Communication Reliability Improvement </w:t>
      </w:r>
      <w:r w:rsidR="00C72431">
        <w:t xml:space="preserve">Program </w:t>
      </w:r>
      <w:r w:rsidR="00047331">
        <w:t>(</w:t>
      </w:r>
      <w:r w:rsidR="00AE5735">
        <w:t>DCRI</w:t>
      </w:r>
      <w:r w:rsidR="00047331">
        <w:t>)</w:t>
      </w:r>
      <w:r w:rsidR="00BB5737">
        <w:rPr>
          <w:rStyle w:val="FootnoteReference"/>
        </w:rPr>
        <w:footnoteReference w:id="363"/>
      </w:r>
      <w:r w:rsidR="00AE5735">
        <w:t xml:space="preserve"> based on an allocation process approved in the decision approving SDG&amp;E’s last GRC.</w:t>
      </w:r>
      <w:r w:rsidR="00AE5735">
        <w:rPr>
          <w:rStyle w:val="FootnoteReference"/>
        </w:rPr>
        <w:footnoteReference w:id="364"/>
      </w:r>
      <w:r w:rsidR="00810E94">
        <w:t xml:space="preserve"> The last GRC does not contain the rules for allocating revenue requirement that may be in Preliminary Statement. As such, SDG&amp;E </w:t>
      </w:r>
      <w:r w:rsidR="00AE5735">
        <w:t xml:space="preserve">fails to explain what the DCRI program is, </w:t>
      </w:r>
      <w:bookmarkStart w:name="_Hlk217663505" w:id="109"/>
      <w:r w:rsidR="000C6AB8">
        <w:t>how any allocation method is implemented,</w:t>
      </w:r>
      <w:r w:rsidR="00AE5735">
        <w:t xml:space="preserve"> </w:t>
      </w:r>
      <w:r w:rsidR="000C6AB8">
        <w:t xml:space="preserve">and </w:t>
      </w:r>
      <w:r w:rsidR="00AE5735">
        <w:t xml:space="preserve">how SDG&amp;E arrived at $16.9 million. </w:t>
      </w:r>
      <w:bookmarkEnd w:id="109"/>
      <w:r w:rsidR="00AE5735">
        <w:t>In the alternative, SDG&amp;E proposes that i</w:t>
      </w:r>
      <w:r w:rsidRPr="00AE5735" w:rsidR="00AE5735">
        <w:t xml:space="preserve">f the Commission finds that segmentation, in this case, is inappropriate, the Commission should authorize these costs </w:t>
      </w:r>
      <w:r w:rsidR="00033B00">
        <w:t xml:space="preserve">allocated </w:t>
      </w:r>
      <w:r w:rsidRPr="00AE5735" w:rsidR="00AE5735">
        <w:t>100% to electric customers because the Commission found the direct costs to be reasonable.</w:t>
      </w:r>
      <w:r w:rsidR="00AE5735">
        <w:t xml:space="preserve"> The Commission </w:t>
      </w:r>
      <w:r w:rsidR="000C6AB8">
        <w:t xml:space="preserve">also </w:t>
      </w:r>
      <w:r w:rsidR="00AE5735">
        <w:t>find</w:t>
      </w:r>
      <w:r w:rsidR="000C6AB8">
        <w:t>s</w:t>
      </w:r>
      <w:r w:rsidR="00AE5735">
        <w:t xml:space="preserve"> this request to be </w:t>
      </w:r>
      <w:r w:rsidR="00B30EBE">
        <w:t>un</w:t>
      </w:r>
      <w:r w:rsidR="00AE5735">
        <w:t>supported</w:t>
      </w:r>
      <w:r w:rsidR="000C6AB8">
        <w:t xml:space="preserve"> and denies this request. </w:t>
      </w:r>
      <w:bookmarkEnd w:id="108"/>
    </w:p>
    <w:bookmarkEnd w:id="107"/>
    <w:p w:rsidRPr="00AB08C5" w:rsidR="00AB08C5" w:rsidP="00AB08C5" w:rsidRDefault="005935CC" w14:paraId="20B2C7C4" w14:textId="56E047E8">
      <w:pPr>
        <w:pStyle w:val="Standard"/>
      </w:pPr>
      <w:r>
        <w:t>PCF and other i</w:t>
      </w:r>
      <w:r w:rsidRPr="0037110F" w:rsidR="008466C0">
        <w:t xml:space="preserve">ntervenors </w:t>
      </w:r>
      <w:r w:rsidR="00AB08C5">
        <w:t xml:space="preserve">recommend </w:t>
      </w:r>
      <w:r w:rsidRPr="00AB08C5" w:rsidR="00AB08C5">
        <w:t>denying SDG&amp;E’s request for capital-related revenue requirements for its 2023</w:t>
      </w:r>
      <w:r w:rsidR="003904F3">
        <w:t>–</w:t>
      </w:r>
      <w:r w:rsidRPr="00AB08C5" w:rsidR="00AB08C5">
        <w:t>2027</w:t>
      </w:r>
      <w:r>
        <w:t xml:space="preserve">. This recommendation is </w:t>
      </w:r>
      <w:r w:rsidRPr="00AB08C5" w:rsidR="00AB08C5">
        <w:t>b</w:t>
      </w:r>
      <w:r w:rsidR="00A77A6D">
        <w:t xml:space="preserve">ased on the contention that such costs are </w:t>
      </w:r>
      <w:r w:rsidRPr="00AB08C5" w:rsidR="00AB08C5">
        <w:t xml:space="preserve">out of scope </w:t>
      </w:r>
      <w:r>
        <w:t xml:space="preserve">because the request is </w:t>
      </w:r>
      <w:r>
        <w:lastRenderedPageBreak/>
        <w:t xml:space="preserve">based on </w:t>
      </w:r>
      <w:r w:rsidRPr="00AB08C5" w:rsidR="00AB08C5">
        <w:t xml:space="preserve">spending </w:t>
      </w:r>
      <w:r>
        <w:t xml:space="preserve">that </w:t>
      </w:r>
      <w:r w:rsidR="00A77A6D">
        <w:t>occur</w:t>
      </w:r>
      <w:r>
        <w:t>red</w:t>
      </w:r>
      <w:r w:rsidR="00A77A6D">
        <w:t xml:space="preserve"> </w:t>
      </w:r>
      <w:r w:rsidRPr="00AB08C5" w:rsidR="00AB08C5">
        <w:t>after the 2019</w:t>
      </w:r>
      <w:r w:rsidR="0002387F">
        <w:t>–</w:t>
      </w:r>
      <w:r w:rsidRPr="00AB08C5" w:rsidR="00AB08C5">
        <w:t>2022 period of costs</w:t>
      </w:r>
      <w:r>
        <w:t>,</w:t>
      </w:r>
      <w:r w:rsidRPr="00AB08C5" w:rsidR="00AB08C5">
        <w:t xml:space="preserve"> </w:t>
      </w:r>
      <w:r>
        <w:t>and the request lacks sufficient support.</w:t>
      </w:r>
      <w:r w:rsidR="00A77A6D">
        <w:rPr>
          <w:rStyle w:val="FootnoteReference"/>
        </w:rPr>
        <w:footnoteReference w:id="365"/>
      </w:r>
    </w:p>
    <w:p w:rsidR="008466C0" w:rsidP="00846861" w:rsidRDefault="00D1386B" w14:paraId="245D9B6A" w14:textId="31127369">
      <w:pPr>
        <w:pStyle w:val="Standard"/>
      </w:pPr>
      <w:r>
        <w:t xml:space="preserve">We reject this </w:t>
      </w:r>
      <w:r w:rsidR="005935CC">
        <w:t xml:space="preserve">argument  because </w:t>
      </w:r>
      <w:r w:rsidRPr="0037110F" w:rsidR="008466C0">
        <w:t xml:space="preserve">SDG&amp;E’s request </w:t>
      </w:r>
      <w:r w:rsidR="005935CC">
        <w:t>is for</w:t>
      </w:r>
      <w:r w:rsidRPr="0037110F" w:rsidR="008466C0">
        <w:t xml:space="preserve"> </w:t>
      </w:r>
      <w:proofErr w:type="spellStart"/>
      <w:r w:rsidRPr="0037110F" w:rsidR="008466C0">
        <w:t>undercollected</w:t>
      </w:r>
      <w:proofErr w:type="spellEnd"/>
      <w:r w:rsidRPr="0037110F" w:rsidR="008466C0">
        <w:t xml:space="preserve"> revenue requirement </w:t>
      </w:r>
      <w:r w:rsidR="005935CC">
        <w:t xml:space="preserve">that results from components of the rate formula that are only associated with costs authorized during the </w:t>
      </w:r>
      <w:r w:rsidRPr="0037110F" w:rsidR="008466C0">
        <w:t xml:space="preserve">May 2019 through December 31, 2023 </w:t>
      </w:r>
      <w:r w:rsidR="005935CC">
        <w:t xml:space="preserve">time </w:t>
      </w:r>
      <w:r w:rsidRPr="0037110F" w:rsidR="008466C0">
        <w:t>period</w:t>
      </w:r>
      <w:r w:rsidR="005935CC">
        <w:t xml:space="preserve">. </w:t>
      </w:r>
      <w:r w:rsidR="00F34A8F">
        <w:t>W</w:t>
      </w:r>
      <w:r w:rsidR="005935CC">
        <w:t xml:space="preserve">hen these costs </w:t>
      </w:r>
      <w:r w:rsidR="003F551E">
        <w:t>were</w:t>
      </w:r>
      <w:r w:rsidR="005935CC">
        <w:t xml:space="preserve"> placed in service </w:t>
      </w:r>
      <w:r w:rsidR="002B3093">
        <w:t>is</w:t>
      </w:r>
      <w:r w:rsidR="005935CC">
        <w:t xml:space="preserve"> also </w:t>
      </w:r>
      <w:r w:rsidR="00F34A8F">
        <w:t xml:space="preserve">evident throughout the </w:t>
      </w:r>
      <w:r w:rsidR="005935CC">
        <w:t>record</w:t>
      </w:r>
      <w:r w:rsidR="00F34A8F">
        <w:t xml:space="preserve"> of this proceeding</w:t>
      </w:r>
      <w:r w:rsidR="005935CC">
        <w:t>.</w:t>
      </w:r>
      <w:r w:rsidR="00D77F0D">
        <w:t xml:space="preserve"> When the capital costs authorized for the 2019</w:t>
      </w:r>
      <w:r w:rsidR="0041183C">
        <w:t>–</w:t>
      </w:r>
      <w:r w:rsidR="00D77F0D">
        <w:t xml:space="preserve">2022 period are authorized, the Commission also authorizes the revenue requirement, including the depreciated capital and other associated costs, that are partly recovered through 2027. </w:t>
      </w:r>
      <w:r w:rsidR="002B3093">
        <w:t xml:space="preserve">Finally, the determination and financing of </w:t>
      </w:r>
      <w:proofErr w:type="spellStart"/>
      <w:r w:rsidR="002B3093">
        <w:t>undercollected</w:t>
      </w:r>
      <w:proofErr w:type="spellEnd"/>
      <w:r w:rsidR="002B3093">
        <w:t xml:space="preserve"> revenue requirement is also </w:t>
      </w:r>
      <w:r w:rsidR="00D77F0D">
        <w:t>p</w:t>
      </w:r>
      <w:r w:rsidR="002B3093">
        <w:t>art of SDG&amp;E’s regulatory account proposal and includes the manner by which authorized costs are recovered in rates</w:t>
      </w:r>
      <w:r w:rsidR="00F34A8F">
        <w:t>,</w:t>
      </w:r>
      <w:r w:rsidR="002B3093">
        <w:t xml:space="preserve"> as noted in the October 3, 2022 Scoping Memo</w:t>
      </w:r>
      <w:r w:rsidR="004915D9">
        <w:t>randum</w:t>
      </w:r>
      <w:r w:rsidR="002B3093">
        <w:t xml:space="preserve"> governing this proceeding. Accordingly, this recommendation is </w:t>
      </w:r>
      <w:r w:rsidR="000B7C84">
        <w:t>not adopted</w:t>
      </w:r>
      <w:r w:rsidR="002B3093">
        <w:t>.</w:t>
      </w:r>
    </w:p>
    <w:p w:rsidR="00484D20" w:rsidP="00C32E1C" w:rsidRDefault="007253C8" w14:paraId="58FFDA7F" w14:textId="4F5CF05E">
      <w:pPr>
        <w:pStyle w:val="Heading1"/>
      </w:pPr>
      <w:bookmarkStart w:name="_Toc213312313" w:id="110"/>
      <w:proofErr w:type="spellStart"/>
      <w:r w:rsidRPr="6D109D40">
        <w:t>Undercollection</w:t>
      </w:r>
      <w:proofErr w:type="spellEnd"/>
      <w:r w:rsidRPr="6D109D40">
        <w:t xml:space="preserve"> Financing</w:t>
      </w:r>
      <w:bookmarkEnd w:id="110"/>
    </w:p>
    <w:p w:rsidR="007253C8" w:rsidP="007253C8" w:rsidRDefault="007253C8" w14:paraId="2FDA08D7" w14:textId="2BE244C9">
      <w:pPr>
        <w:pStyle w:val="Standard"/>
      </w:pPr>
      <w:r>
        <w:t xml:space="preserve">The amount of </w:t>
      </w:r>
      <w:proofErr w:type="spellStart"/>
      <w:r>
        <w:t>undercollected</w:t>
      </w:r>
      <w:proofErr w:type="spellEnd"/>
      <w:r>
        <w:t xml:space="preserve"> revenue requirement associated with 2019</w:t>
      </w:r>
      <w:r w:rsidR="009B07B3">
        <w:t>–</w:t>
      </w:r>
      <w:r>
        <w:t>2022 capital expenditures accrues annually in the amounts shown in the table below:</w:t>
      </w:r>
    </w:p>
    <w:p w:rsidRPr="009F3AAA" w:rsidR="007253C8" w:rsidP="007253C8" w:rsidRDefault="007253C8" w14:paraId="5A91E62A" w14:textId="77777777">
      <w:pPr>
        <w:pStyle w:val="Standard"/>
        <w:ind w:firstLine="0"/>
        <w:jc w:val="center"/>
        <w:rPr>
          <w:b/>
          <w:bCs/>
        </w:rPr>
      </w:pPr>
      <w:r w:rsidRPr="009F3AAA">
        <w:rPr>
          <w:b/>
          <w:bCs/>
        </w:rPr>
        <w:t>Table 15</w:t>
      </w:r>
      <w:r w:rsidRPr="009F3AAA">
        <w:rPr>
          <w:rStyle w:val="FootnoteReference"/>
          <w:b/>
          <w:bCs/>
        </w:rPr>
        <w:footnoteReference w:id="366"/>
      </w:r>
    </w:p>
    <w:tbl>
      <w:tblPr>
        <w:tblW w:w="10070" w:type="dxa"/>
        <w:jc w:val="center"/>
        <w:tblLook w:val="04A0" w:firstRow="1" w:lastRow="0" w:firstColumn="1" w:lastColumn="0" w:noHBand="0" w:noVBand="1"/>
      </w:tblPr>
      <w:tblGrid>
        <w:gridCol w:w="236"/>
        <w:gridCol w:w="3629"/>
        <w:gridCol w:w="1350"/>
        <w:gridCol w:w="1530"/>
        <w:gridCol w:w="1620"/>
        <w:gridCol w:w="1705"/>
      </w:tblGrid>
      <w:tr w:rsidRPr="009F3AAA" w:rsidR="007253C8" w:rsidTr="00301BD8" w14:paraId="34EA42BF" w14:textId="77777777">
        <w:trPr>
          <w:trHeight w:val="300"/>
          <w:jc w:val="center"/>
        </w:trPr>
        <w:tc>
          <w:tcPr>
            <w:tcW w:w="10070" w:type="dxa"/>
            <w:gridSpan w:val="6"/>
            <w:noWrap/>
            <w:vAlign w:val="bottom"/>
            <w:hideMark/>
          </w:tcPr>
          <w:p w:rsidRPr="009F3AAA" w:rsidR="007253C8" w:rsidP="00301BD8" w:rsidRDefault="007253C8" w14:paraId="2A37ACBB" w14:textId="77777777">
            <w:pPr>
              <w:pStyle w:val="TableText"/>
              <w:jc w:val="center"/>
              <w:rPr>
                <w:b/>
                <w:bCs/>
              </w:rPr>
            </w:pPr>
            <w:r w:rsidRPr="009F3AAA">
              <w:rPr>
                <w:b/>
                <w:bCs/>
              </w:rPr>
              <w:t>WMP Electric Costs</w:t>
            </w:r>
          </w:p>
        </w:tc>
      </w:tr>
      <w:tr w:rsidRPr="009F3AAA" w:rsidR="007253C8" w:rsidTr="00301BD8" w14:paraId="5E73A1DA" w14:textId="77777777">
        <w:trPr>
          <w:trHeight w:val="300"/>
          <w:jc w:val="center"/>
        </w:trPr>
        <w:tc>
          <w:tcPr>
            <w:tcW w:w="10070" w:type="dxa"/>
            <w:gridSpan w:val="6"/>
            <w:noWrap/>
            <w:vAlign w:val="bottom"/>
            <w:hideMark/>
          </w:tcPr>
          <w:p w:rsidRPr="009F3AAA" w:rsidR="007253C8" w:rsidP="00301BD8" w:rsidRDefault="007253C8" w14:paraId="1A0F77CD" w14:textId="77777777">
            <w:pPr>
              <w:pStyle w:val="TableText"/>
              <w:jc w:val="center"/>
              <w:rPr>
                <w:b/>
                <w:bCs/>
              </w:rPr>
            </w:pPr>
            <w:r w:rsidRPr="009F3AAA">
              <w:rPr>
                <w:b/>
                <w:bCs/>
              </w:rPr>
              <w:t>($ in millions)</w:t>
            </w:r>
          </w:p>
        </w:tc>
      </w:tr>
      <w:tr w:rsidRPr="00BF0D65" w:rsidR="007253C8" w:rsidTr="00301BD8" w14:paraId="3E47ED92" w14:textId="77777777">
        <w:trPr>
          <w:trHeight w:val="342"/>
          <w:jc w:val="center"/>
        </w:trPr>
        <w:tc>
          <w:tcPr>
            <w:tcW w:w="3865" w:type="dxa"/>
            <w:gridSpan w:val="2"/>
            <w:tcBorders>
              <w:bottom w:val="single" w:color="auto" w:sz="12" w:space="0"/>
            </w:tcBorders>
            <w:noWrap/>
            <w:vAlign w:val="bottom"/>
            <w:hideMark/>
          </w:tcPr>
          <w:p w:rsidRPr="00BF0D65" w:rsidR="007253C8" w:rsidP="00301BD8" w:rsidRDefault="007253C8" w14:paraId="151512BF" w14:textId="77777777">
            <w:pPr>
              <w:pStyle w:val="TableText"/>
              <w:jc w:val="center"/>
              <w:rPr>
                <w:color w:val="000000"/>
              </w:rPr>
            </w:pPr>
            <w:r w:rsidRPr="7C868A38">
              <w:t>Track 2 (</w:t>
            </w:r>
            <w:r>
              <w:t>2019</w:t>
            </w:r>
            <w:r w:rsidRPr="7C868A38">
              <w:t>-2022)</w:t>
            </w:r>
          </w:p>
        </w:tc>
        <w:tc>
          <w:tcPr>
            <w:tcW w:w="1350" w:type="dxa"/>
            <w:tcBorders>
              <w:bottom w:val="single" w:color="auto" w:sz="12" w:space="0"/>
            </w:tcBorders>
            <w:vAlign w:val="bottom"/>
          </w:tcPr>
          <w:p w:rsidRPr="00BF0D65" w:rsidR="007253C8" w:rsidP="00301BD8" w:rsidRDefault="007253C8" w14:paraId="647CE81A" w14:textId="77777777">
            <w:pPr>
              <w:pStyle w:val="TableText"/>
              <w:jc w:val="center"/>
              <w:rPr>
                <w:color w:val="000000"/>
              </w:rPr>
            </w:pPr>
            <w:r>
              <w:rPr>
                <w:color w:val="000000"/>
              </w:rPr>
              <w:t>2019</w:t>
            </w:r>
          </w:p>
        </w:tc>
        <w:tc>
          <w:tcPr>
            <w:tcW w:w="1530" w:type="dxa"/>
            <w:tcBorders>
              <w:bottom w:val="single" w:color="auto" w:sz="12" w:space="0"/>
            </w:tcBorders>
            <w:vAlign w:val="bottom"/>
          </w:tcPr>
          <w:p w:rsidRPr="00BF0D65" w:rsidR="007253C8" w:rsidP="00301BD8" w:rsidRDefault="007253C8" w14:paraId="26E1088F" w14:textId="77777777">
            <w:pPr>
              <w:pStyle w:val="TableText"/>
              <w:jc w:val="right"/>
              <w:rPr>
                <w:color w:val="000000"/>
              </w:rPr>
            </w:pPr>
            <w:r>
              <w:rPr>
                <w:color w:val="000000"/>
              </w:rPr>
              <w:t>2020</w:t>
            </w:r>
          </w:p>
        </w:tc>
        <w:tc>
          <w:tcPr>
            <w:tcW w:w="1620" w:type="dxa"/>
            <w:tcBorders>
              <w:bottom w:val="single" w:color="auto" w:sz="12" w:space="0"/>
            </w:tcBorders>
            <w:noWrap/>
            <w:vAlign w:val="bottom"/>
          </w:tcPr>
          <w:p w:rsidRPr="00BF0D65" w:rsidR="007253C8" w:rsidP="00301BD8" w:rsidRDefault="007253C8" w14:paraId="22122AFF" w14:textId="77777777">
            <w:pPr>
              <w:pStyle w:val="TableText"/>
              <w:jc w:val="right"/>
              <w:rPr>
                <w:color w:val="000000"/>
              </w:rPr>
            </w:pPr>
            <w:r>
              <w:rPr>
                <w:color w:val="000000"/>
              </w:rPr>
              <w:t>2021</w:t>
            </w:r>
          </w:p>
        </w:tc>
        <w:tc>
          <w:tcPr>
            <w:tcW w:w="1705" w:type="dxa"/>
            <w:tcBorders>
              <w:bottom w:val="single" w:color="auto" w:sz="12" w:space="0"/>
            </w:tcBorders>
            <w:vAlign w:val="bottom"/>
          </w:tcPr>
          <w:p w:rsidR="007253C8" w:rsidP="00301BD8" w:rsidRDefault="007253C8" w14:paraId="2E083255" w14:textId="77777777">
            <w:pPr>
              <w:pStyle w:val="TableText"/>
              <w:jc w:val="right"/>
              <w:rPr>
                <w:color w:val="000000"/>
              </w:rPr>
            </w:pPr>
          </w:p>
          <w:p w:rsidRPr="00BF0D65" w:rsidR="007253C8" w:rsidP="00301BD8" w:rsidRDefault="007253C8" w14:paraId="0B7FBB7A" w14:textId="77777777">
            <w:pPr>
              <w:pStyle w:val="TableText"/>
              <w:jc w:val="right"/>
              <w:rPr>
                <w:color w:val="000000"/>
              </w:rPr>
            </w:pPr>
            <w:r>
              <w:rPr>
                <w:color w:val="000000"/>
              </w:rPr>
              <w:t>2022</w:t>
            </w:r>
          </w:p>
        </w:tc>
      </w:tr>
      <w:tr w:rsidRPr="00BF0D65" w:rsidR="007253C8" w:rsidTr="00301BD8" w14:paraId="15DBB280" w14:textId="77777777">
        <w:trPr>
          <w:trHeight w:val="300"/>
          <w:jc w:val="center"/>
        </w:trPr>
        <w:tc>
          <w:tcPr>
            <w:tcW w:w="236" w:type="dxa"/>
            <w:tcBorders>
              <w:top w:val="single" w:color="auto" w:sz="12" w:space="0"/>
            </w:tcBorders>
            <w:noWrap/>
            <w:vAlign w:val="bottom"/>
            <w:hideMark/>
          </w:tcPr>
          <w:p w:rsidRPr="00BF0D65" w:rsidR="007253C8" w:rsidP="00301BD8" w:rsidRDefault="007253C8" w14:paraId="6871C0FE" w14:textId="77777777">
            <w:pPr>
              <w:pStyle w:val="TableText"/>
              <w:rPr>
                <w:color w:val="000000"/>
              </w:rPr>
            </w:pPr>
          </w:p>
        </w:tc>
        <w:tc>
          <w:tcPr>
            <w:tcW w:w="3629" w:type="dxa"/>
            <w:tcBorders>
              <w:top w:val="single" w:color="auto" w:sz="12" w:space="0"/>
            </w:tcBorders>
            <w:noWrap/>
            <w:vAlign w:val="bottom"/>
            <w:hideMark/>
          </w:tcPr>
          <w:p w:rsidRPr="00BF0D65" w:rsidR="007253C8" w:rsidP="00301BD8" w:rsidRDefault="007253C8" w14:paraId="6F05D0FF" w14:textId="77777777">
            <w:pPr>
              <w:pStyle w:val="TableText"/>
              <w:rPr>
                <w:color w:val="000000"/>
              </w:rPr>
            </w:pPr>
            <w:r w:rsidRPr="7C868A38">
              <w:t>Authorized Revenues</w:t>
            </w:r>
          </w:p>
        </w:tc>
        <w:tc>
          <w:tcPr>
            <w:tcW w:w="1350" w:type="dxa"/>
            <w:tcBorders>
              <w:top w:val="single" w:color="auto" w:sz="12" w:space="0"/>
            </w:tcBorders>
            <w:noWrap/>
            <w:vAlign w:val="bottom"/>
          </w:tcPr>
          <w:p w:rsidRPr="00BF0D65" w:rsidR="007253C8" w:rsidP="00301BD8" w:rsidRDefault="007253C8" w14:paraId="4D2FC916" w14:textId="77777777">
            <w:pPr>
              <w:pStyle w:val="TableText"/>
              <w:rPr>
                <w:color w:val="000000"/>
              </w:rPr>
            </w:pPr>
          </w:p>
        </w:tc>
        <w:tc>
          <w:tcPr>
            <w:tcW w:w="1530" w:type="dxa"/>
            <w:tcBorders>
              <w:top w:val="single" w:color="auto" w:sz="12" w:space="0"/>
            </w:tcBorders>
            <w:noWrap/>
            <w:vAlign w:val="bottom"/>
          </w:tcPr>
          <w:p w:rsidRPr="00BF0D65" w:rsidR="007253C8" w:rsidP="00301BD8" w:rsidRDefault="007253C8" w14:paraId="3D4233F9" w14:textId="77777777">
            <w:pPr>
              <w:pStyle w:val="TableText"/>
              <w:jc w:val="right"/>
              <w:rPr>
                <w:color w:val="000000"/>
              </w:rPr>
            </w:pPr>
            <w:r>
              <w:rPr>
                <w:color w:val="000000"/>
              </w:rPr>
              <w:t>(88.7)</w:t>
            </w:r>
          </w:p>
        </w:tc>
        <w:tc>
          <w:tcPr>
            <w:tcW w:w="1620" w:type="dxa"/>
            <w:tcBorders>
              <w:top w:val="single" w:color="auto" w:sz="12" w:space="0"/>
            </w:tcBorders>
            <w:noWrap/>
            <w:vAlign w:val="bottom"/>
          </w:tcPr>
          <w:p w:rsidRPr="00BF0D65" w:rsidR="007253C8" w:rsidP="00301BD8" w:rsidRDefault="007253C8" w14:paraId="2FD0AF46" w14:textId="77777777">
            <w:pPr>
              <w:pStyle w:val="TableText"/>
              <w:jc w:val="right"/>
              <w:rPr>
                <w:color w:val="000000"/>
              </w:rPr>
            </w:pPr>
            <w:r>
              <w:rPr>
                <w:color w:val="000000"/>
              </w:rPr>
              <w:t>(73.7)</w:t>
            </w:r>
          </w:p>
        </w:tc>
        <w:tc>
          <w:tcPr>
            <w:tcW w:w="1705" w:type="dxa"/>
            <w:tcBorders>
              <w:top w:val="single" w:color="auto" w:sz="12" w:space="0"/>
            </w:tcBorders>
          </w:tcPr>
          <w:p w:rsidRPr="00BF0D65" w:rsidR="007253C8" w:rsidP="00301BD8" w:rsidRDefault="007253C8" w14:paraId="73E0E5C5" w14:textId="77777777">
            <w:pPr>
              <w:pStyle w:val="TableText"/>
              <w:jc w:val="right"/>
              <w:rPr>
                <w:color w:val="000000"/>
              </w:rPr>
            </w:pPr>
            <w:r>
              <w:rPr>
                <w:color w:val="000000"/>
              </w:rPr>
              <w:t>(82.4)</w:t>
            </w:r>
          </w:p>
        </w:tc>
      </w:tr>
      <w:tr w:rsidRPr="00BF0D65" w:rsidR="007253C8" w:rsidTr="00301BD8" w14:paraId="2188F643" w14:textId="77777777">
        <w:trPr>
          <w:trHeight w:val="300"/>
          <w:jc w:val="center"/>
        </w:trPr>
        <w:tc>
          <w:tcPr>
            <w:tcW w:w="236" w:type="dxa"/>
            <w:noWrap/>
            <w:vAlign w:val="bottom"/>
            <w:hideMark/>
          </w:tcPr>
          <w:p w:rsidRPr="00BF0D65" w:rsidR="007253C8" w:rsidP="00301BD8" w:rsidRDefault="007253C8" w14:paraId="285B9CC3" w14:textId="77777777">
            <w:pPr>
              <w:pStyle w:val="TableText"/>
              <w:rPr>
                <w:color w:val="000000"/>
              </w:rPr>
            </w:pPr>
          </w:p>
        </w:tc>
        <w:tc>
          <w:tcPr>
            <w:tcW w:w="3629" w:type="dxa"/>
            <w:noWrap/>
            <w:vAlign w:val="bottom"/>
            <w:hideMark/>
          </w:tcPr>
          <w:p w:rsidRPr="00BF0D65" w:rsidR="007253C8" w:rsidP="00301BD8" w:rsidRDefault="007253C8" w14:paraId="5D99AA86" w14:textId="77777777">
            <w:pPr>
              <w:pStyle w:val="TableText"/>
              <w:rPr>
                <w:color w:val="000000"/>
              </w:rPr>
            </w:pPr>
            <w:r w:rsidRPr="7C868A38">
              <w:t>O&amp;M</w:t>
            </w:r>
          </w:p>
        </w:tc>
        <w:tc>
          <w:tcPr>
            <w:tcW w:w="1350" w:type="dxa"/>
            <w:noWrap/>
            <w:vAlign w:val="bottom"/>
          </w:tcPr>
          <w:p w:rsidRPr="00BF0D65" w:rsidR="007253C8" w:rsidP="00301BD8" w:rsidRDefault="007253C8" w14:paraId="6B2FADAB" w14:textId="77777777">
            <w:pPr>
              <w:pStyle w:val="TableText"/>
              <w:rPr>
                <w:color w:val="000000"/>
              </w:rPr>
            </w:pPr>
          </w:p>
        </w:tc>
        <w:tc>
          <w:tcPr>
            <w:tcW w:w="1530" w:type="dxa"/>
            <w:noWrap/>
            <w:vAlign w:val="bottom"/>
          </w:tcPr>
          <w:p w:rsidRPr="00BF0D65" w:rsidR="007253C8" w:rsidP="00301BD8" w:rsidRDefault="007253C8" w14:paraId="1F2674E8" w14:textId="1076AF86">
            <w:pPr>
              <w:pStyle w:val="TableText"/>
              <w:jc w:val="right"/>
              <w:rPr>
                <w:color w:val="000000"/>
              </w:rPr>
            </w:pPr>
            <w:r>
              <w:rPr>
                <w:color w:val="000000"/>
              </w:rPr>
              <w:t>8</w:t>
            </w:r>
            <w:r w:rsidR="00A717F1">
              <w:rPr>
                <w:color w:val="000000"/>
              </w:rPr>
              <w:t>0.7</w:t>
            </w:r>
          </w:p>
        </w:tc>
        <w:tc>
          <w:tcPr>
            <w:tcW w:w="1620" w:type="dxa"/>
            <w:noWrap/>
            <w:vAlign w:val="bottom"/>
          </w:tcPr>
          <w:p w:rsidRPr="00BF0D65" w:rsidR="007253C8" w:rsidP="00301BD8" w:rsidRDefault="00DA1CF5" w14:paraId="215F9E75" w14:textId="34386AF7">
            <w:pPr>
              <w:pStyle w:val="TableText"/>
              <w:jc w:val="right"/>
              <w:rPr>
                <w:color w:val="000000"/>
              </w:rPr>
            </w:pPr>
            <w:r>
              <w:rPr>
                <w:color w:val="000000"/>
              </w:rPr>
              <w:t>59.4</w:t>
            </w:r>
          </w:p>
        </w:tc>
        <w:tc>
          <w:tcPr>
            <w:tcW w:w="1705" w:type="dxa"/>
          </w:tcPr>
          <w:p w:rsidRPr="00BF0D65" w:rsidR="007253C8" w:rsidP="00301BD8" w:rsidRDefault="00E5419A" w14:paraId="6C4EAE7E" w14:textId="736C63EA">
            <w:pPr>
              <w:pStyle w:val="TableText"/>
              <w:jc w:val="right"/>
              <w:rPr>
                <w:color w:val="000000"/>
              </w:rPr>
            </w:pPr>
            <w:r>
              <w:rPr>
                <w:color w:val="000000"/>
              </w:rPr>
              <w:t>82.1</w:t>
            </w:r>
          </w:p>
        </w:tc>
      </w:tr>
      <w:tr w:rsidRPr="00BF0D65" w:rsidR="007253C8" w:rsidTr="00301BD8" w14:paraId="791EF38A" w14:textId="77777777">
        <w:trPr>
          <w:trHeight w:val="300"/>
          <w:jc w:val="center"/>
        </w:trPr>
        <w:tc>
          <w:tcPr>
            <w:tcW w:w="236" w:type="dxa"/>
            <w:noWrap/>
            <w:vAlign w:val="bottom"/>
            <w:hideMark/>
          </w:tcPr>
          <w:p w:rsidRPr="00BF0D65" w:rsidR="007253C8" w:rsidP="00301BD8" w:rsidRDefault="007253C8" w14:paraId="1E5C1DC4" w14:textId="77777777">
            <w:pPr>
              <w:pStyle w:val="TableText"/>
              <w:rPr>
                <w:color w:val="000000"/>
              </w:rPr>
            </w:pPr>
          </w:p>
        </w:tc>
        <w:tc>
          <w:tcPr>
            <w:tcW w:w="3629" w:type="dxa"/>
            <w:noWrap/>
            <w:vAlign w:val="bottom"/>
            <w:hideMark/>
          </w:tcPr>
          <w:p w:rsidRPr="00BF0D65" w:rsidR="007253C8" w:rsidP="00301BD8" w:rsidRDefault="007253C8" w14:paraId="4EEEAF3C" w14:textId="77777777">
            <w:pPr>
              <w:pStyle w:val="TableText"/>
              <w:rPr>
                <w:color w:val="000000"/>
              </w:rPr>
            </w:pPr>
            <w:r w:rsidRPr="7C868A38">
              <w:t>Capital Related Costs</w:t>
            </w:r>
          </w:p>
        </w:tc>
        <w:tc>
          <w:tcPr>
            <w:tcW w:w="1350" w:type="dxa"/>
            <w:noWrap/>
            <w:vAlign w:val="bottom"/>
          </w:tcPr>
          <w:p w:rsidRPr="00BF0D65" w:rsidR="007253C8" w:rsidP="00301BD8" w:rsidRDefault="007253C8" w14:paraId="35C57221" w14:textId="77777777">
            <w:pPr>
              <w:pStyle w:val="TableText"/>
              <w:rPr>
                <w:color w:val="000000"/>
              </w:rPr>
            </w:pPr>
          </w:p>
        </w:tc>
        <w:tc>
          <w:tcPr>
            <w:tcW w:w="1530" w:type="dxa"/>
            <w:noWrap/>
            <w:vAlign w:val="bottom"/>
          </w:tcPr>
          <w:p w:rsidRPr="00BF0D65" w:rsidR="007253C8" w:rsidP="00301BD8" w:rsidRDefault="007253C8" w14:paraId="72B833F4" w14:textId="77777777">
            <w:pPr>
              <w:pStyle w:val="TableText"/>
              <w:jc w:val="right"/>
              <w:rPr>
                <w:color w:val="000000"/>
              </w:rPr>
            </w:pPr>
            <w:r>
              <w:rPr>
                <w:color w:val="000000"/>
              </w:rPr>
              <w:t>11.3</w:t>
            </w:r>
          </w:p>
        </w:tc>
        <w:tc>
          <w:tcPr>
            <w:tcW w:w="1620" w:type="dxa"/>
            <w:noWrap/>
            <w:vAlign w:val="bottom"/>
          </w:tcPr>
          <w:p w:rsidRPr="00BF0D65" w:rsidR="007253C8" w:rsidP="00301BD8" w:rsidRDefault="007253C8" w14:paraId="1FADFAEC" w14:textId="77777777">
            <w:pPr>
              <w:pStyle w:val="TableText"/>
              <w:jc w:val="right"/>
              <w:rPr>
                <w:color w:val="000000"/>
              </w:rPr>
            </w:pPr>
            <w:r>
              <w:rPr>
                <w:color w:val="000000"/>
              </w:rPr>
              <w:t>40.6</w:t>
            </w:r>
          </w:p>
        </w:tc>
        <w:tc>
          <w:tcPr>
            <w:tcW w:w="1705" w:type="dxa"/>
          </w:tcPr>
          <w:p w:rsidRPr="00BF0D65" w:rsidR="007253C8" w:rsidP="00301BD8" w:rsidRDefault="007253C8" w14:paraId="707FFD22" w14:textId="77777777">
            <w:pPr>
              <w:pStyle w:val="TableText"/>
              <w:jc w:val="right"/>
              <w:rPr>
                <w:color w:val="000000"/>
              </w:rPr>
            </w:pPr>
            <w:r>
              <w:rPr>
                <w:color w:val="000000"/>
              </w:rPr>
              <w:t>100.9</w:t>
            </w:r>
          </w:p>
        </w:tc>
      </w:tr>
      <w:tr w:rsidRPr="00BF0D65" w:rsidR="007253C8" w:rsidTr="00301BD8" w14:paraId="422F7C3B" w14:textId="77777777">
        <w:trPr>
          <w:trHeight w:val="300"/>
          <w:jc w:val="center"/>
        </w:trPr>
        <w:tc>
          <w:tcPr>
            <w:tcW w:w="236" w:type="dxa"/>
            <w:noWrap/>
            <w:vAlign w:val="bottom"/>
            <w:hideMark/>
          </w:tcPr>
          <w:p w:rsidRPr="00BF0D65" w:rsidR="007253C8" w:rsidP="00301BD8" w:rsidRDefault="007253C8" w14:paraId="3371EE71" w14:textId="77777777">
            <w:pPr>
              <w:pStyle w:val="TableText"/>
              <w:rPr>
                <w:color w:val="000000"/>
              </w:rPr>
            </w:pPr>
          </w:p>
        </w:tc>
        <w:tc>
          <w:tcPr>
            <w:tcW w:w="3629" w:type="dxa"/>
            <w:tcBorders>
              <w:bottom w:val="single" w:color="auto" w:sz="12" w:space="0"/>
            </w:tcBorders>
            <w:noWrap/>
            <w:vAlign w:val="bottom"/>
            <w:hideMark/>
          </w:tcPr>
          <w:p w:rsidRPr="00BF0D65" w:rsidR="007253C8" w:rsidP="00301BD8" w:rsidRDefault="007253C8" w14:paraId="34D541E3" w14:textId="77777777">
            <w:pPr>
              <w:pStyle w:val="TableText"/>
              <w:rPr>
                <w:color w:val="000000"/>
              </w:rPr>
            </w:pPr>
            <w:r w:rsidRPr="7C868A38">
              <w:t>Interest @ 3 month CP rate</w:t>
            </w:r>
          </w:p>
        </w:tc>
        <w:tc>
          <w:tcPr>
            <w:tcW w:w="1350" w:type="dxa"/>
            <w:tcBorders>
              <w:bottom w:val="single" w:color="auto" w:sz="12" w:space="0"/>
            </w:tcBorders>
            <w:noWrap/>
            <w:vAlign w:val="bottom"/>
          </w:tcPr>
          <w:p w:rsidRPr="00BF0D65" w:rsidR="007253C8" w:rsidP="00301BD8" w:rsidRDefault="007253C8" w14:paraId="744D7D53" w14:textId="77777777">
            <w:pPr>
              <w:pStyle w:val="TableText"/>
              <w:rPr>
                <w:color w:val="000000"/>
              </w:rPr>
            </w:pPr>
          </w:p>
        </w:tc>
        <w:tc>
          <w:tcPr>
            <w:tcW w:w="1530" w:type="dxa"/>
            <w:tcBorders>
              <w:bottom w:val="single" w:color="auto" w:sz="12" w:space="0"/>
            </w:tcBorders>
            <w:noWrap/>
            <w:vAlign w:val="bottom"/>
          </w:tcPr>
          <w:p w:rsidRPr="00BF0D65" w:rsidR="007253C8" w:rsidP="00301BD8" w:rsidRDefault="007253C8" w14:paraId="5BCDCD84" w14:textId="2041EE36">
            <w:pPr>
              <w:pStyle w:val="TableText"/>
              <w:jc w:val="right"/>
              <w:rPr>
                <w:color w:val="000000"/>
              </w:rPr>
            </w:pPr>
            <w:r>
              <w:rPr>
                <w:color w:val="000000"/>
              </w:rPr>
              <w:t>(0.</w:t>
            </w:r>
            <w:r w:rsidR="007C4D39">
              <w:rPr>
                <w:color w:val="000000"/>
              </w:rPr>
              <w:t>16</w:t>
            </w:r>
            <w:r>
              <w:rPr>
                <w:color w:val="000000"/>
              </w:rPr>
              <w:t>)</w:t>
            </w:r>
          </w:p>
        </w:tc>
        <w:tc>
          <w:tcPr>
            <w:tcW w:w="1620" w:type="dxa"/>
            <w:tcBorders>
              <w:bottom w:val="single" w:color="auto" w:sz="12" w:space="0"/>
            </w:tcBorders>
            <w:noWrap/>
            <w:vAlign w:val="bottom"/>
          </w:tcPr>
          <w:p w:rsidRPr="00BF0D65" w:rsidR="007253C8" w:rsidP="00301BD8" w:rsidRDefault="007253C8" w14:paraId="01521E3E" w14:textId="1C5C5E2B">
            <w:pPr>
              <w:pStyle w:val="TableText"/>
              <w:jc w:val="right"/>
              <w:rPr>
                <w:color w:val="000000"/>
              </w:rPr>
            </w:pPr>
            <w:r>
              <w:rPr>
                <w:color w:val="000000"/>
              </w:rPr>
              <w:t>.00</w:t>
            </w:r>
          </w:p>
        </w:tc>
        <w:tc>
          <w:tcPr>
            <w:tcW w:w="1705" w:type="dxa"/>
            <w:tcBorders>
              <w:bottom w:val="single" w:color="auto" w:sz="12" w:space="0"/>
            </w:tcBorders>
          </w:tcPr>
          <w:p w:rsidRPr="00BF0D65" w:rsidR="007253C8" w:rsidP="00301BD8" w:rsidRDefault="007253C8" w14:paraId="465EE978" w14:textId="1E955537">
            <w:pPr>
              <w:pStyle w:val="TableText"/>
              <w:jc w:val="right"/>
              <w:rPr>
                <w:color w:val="000000"/>
              </w:rPr>
            </w:pPr>
            <w:r>
              <w:rPr>
                <w:color w:val="000000"/>
              </w:rPr>
              <w:t>1.</w:t>
            </w:r>
            <w:r w:rsidR="001D173D">
              <w:rPr>
                <w:color w:val="000000"/>
              </w:rPr>
              <w:t>7</w:t>
            </w:r>
          </w:p>
        </w:tc>
      </w:tr>
      <w:tr w:rsidRPr="00BF0D65" w:rsidR="007253C8" w:rsidTr="00301BD8" w14:paraId="05FC874D" w14:textId="77777777">
        <w:trPr>
          <w:trHeight w:val="315"/>
          <w:jc w:val="center"/>
        </w:trPr>
        <w:tc>
          <w:tcPr>
            <w:tcW w:w="236" w:type="dxa"/>
            <w:noWrap/>
            <w:vAlign w:val="bottom"/>
            <w:hideMark/>
          </w:tcPr>
          <w:p w:rsidRPr="00BF0D65" w:rsidR="007253C8" w:rsidP="00301BD8" w:rsidRDefault="007253C8" w14:paraId="32BDCE5B" w14:textId="77777777">
            <w:pPr>
              <w:pStyle w:val="TableText"/>
              <w:rPr>
                <w:color w:val="000000"/>
              </w:rPr>
            </w:pPr>
          </w:p>
        </w:tc>
        <w:tc>
          <w:tcPr>
            <w:tcW w:w="3629" w:type="dxa"/>
            <w:tcBorders>
              <w:top w:val="single" w:color="auto" w:sz="12" w:space="0"/>
              <w:bottom w:val="single" w:color="auto" w:sz="12" w:space="0"/>
            </w:tcBorders>
            <w:noWrap/>
            <w:vAlign w:val="bottom"/>
            <w:hideMark/>
          </w:tcPr>
          <w:p w:rsidRPr="00BF0D65" w:rsidR="007253C8" w:rsidP="00301BD8" w:rsidRDefault="007253C8" w14:paraId="36A25A9E" w14:textId="77777777">
            <w:pPr>
              <w:pStyle w:val="TableText"/>
              <w:rPr>
                <w:color w:val="000000"/>
              </w:rPr>
            </w:pPr>
            <w:r w:rsidRPr="7C868A38">
              <w:t>Total</w:t>
            </w:r>
            <w:r>
              <w:t xml:space="preserve"> Cost by Year</w:t>
            </w:r>
          </w:p>
        </w:tc>
        <w:tc>
          <w:tcPr>
            <w:tcW w:w="1350" w:type="dxa"/>
            <w:tcBorders>
              <w:top w:val="single" w:color="auto" w:sz="12" w:space="0"/>
              <w:bottom w:val="single" w:color="auto" w:sz="12" w:space="0"/>
            </w:tcBorders>
            <w:noWrap/>
            <w:vAlign w:val="bottom"/>
          </w:tcPr>
          <w:p w:rsidRPr="00BF0D65" w:rsidR="007253C8" w:rsidP="00301BD8" w:rsidRDefault="007253C8" w14:paraId="0D7B25E9" w14:textId="77777777">
            <w:pPr>
              <w:pStyle w:val="TableText"/>
              <w:rPr>
                <w:color w:val="000000"/>
              </w:rPr>
            </w:pPr>
          </w:p>
        </w:tc>
        <w:tc>
          <w:tcPr>
            <w:tcW w:w="1530" w:type="dxa"/>
            <w:tcBorders>
              <w:top w:val="single" w:color="auto" w:sz="12" w:space="0"/>
              <w:bottom w:val="single" w:color="auto" w:sz="12" w:space="0"/>
            </w:tcBorders>
            <w:noWrap/>
            <w:vAlign w:val="bottom"/>
          </w:tcPr>
          <w:p w:rsidRPr="00BF0D65" w:rsidR="007253C8" w:rsidP="00301BD8" w:rsidRDefault="007253C8" w14:paraId="486A0C33" w14:textId="61F2DE4B">
            <w:pPr>
              <w:pStyle w:val="TableText"/>
              <w:jc w:val="right"/>
              <w:rPr>
                <w:color w:val="000000"/>
              </w:rPr>
            </w:pPr>
            <w:r>
              <w:rPr>
                <w:color w:val="000000"/>
              </w:rPr>
              <w:t>9</w:t>
            </w:r>
            <w:r w:rsidR="001D173D">
              <w:rPr>
                <w:color w:val="000000"/>
              </w:rPr>
              <w:t>1.</w:t>
            </w:r>
            <w:r>
              <w:rPr>
                <w:color w:val="000000"/>
              </w:rPr>
              <w:t>9</w:t>
            </w:r>
          </w:p>
        </w:tc>
        <w:tc>
          <w:tcPr>
            <w:tcW w:w="1620" w:type="dxa"/>
            <w:tcBorders>
              <w:top w:val="single" w:color="auto" w:sz="12" w:space="0"/>
              <w:bottom w:val="single" w:color="auto" w:sz="12" w:space="0"/>
            </w:tcBorders>
            <w:noWrap/>
            <w:vAlign w:val="bottom"/>
          </w:tcPr>
          <w:p w:rsidRPr="00BF0D65" w:rsidR="007253C8" w:rsidP="00301BD8" w:rsidRDefault="007253C8" w14:paraId="2762CEFB" w14:textId="3D46CFBE">
            <w:pPr>
              <w:pStyle w:val="TableText"/>
              <w:jc w:val="right"/>
              <w:rPr>
                <w:color w:val="000000"/>
              </w:rPr>
            </w:pPr>
            <w:r>
              <w:rPr>
                <w:color w:val="000000"/>
              </w:rPr>
              <w:t>10</w:t>
            </w:r>
            <w:r w:rsidR="001D173D">
              <w:rPr>
                <w:color w:val="000000"/>
              </w:rPr>
              <w:t>0.0</w:t>
            </w:r>
          </w:p>
        </w:tc>
        <w:tc>
          <w:tcPr>
            <w:tcW w:w="1705" w:type="dxa"/>
            <w:tcBorders>
              <w:top w:val="single" w:color="auto" w:sz="12" w:space="0"/>
              <w:bottom w:val="single" w:color="auto" w:sz="12" w:space="0"/>
            </w:tcBorders>
          </w:tcPr>
          <w:p w:rsidRPr="00BF0D65" w:rsidR="007253C8" w:rsidP="00301BD8" w:rsidRDefault="007253C8" w14:paraId="14AB2D7B" w14:textId="2D30EEFE">
            <w:pPr>
              <w:pStyle w:val="TableText"/>
              <w:jc w:val="right"/>
              <w:rPr>
                <w:color w:val="000000"/>
              </w:rPr>
            </w:pPr>
            <w:r>
              <w:rPr>
                <w:color w:val="000000"/>
              </w:rPr>
              <w:t>18</w:t>
            </w:r>
            <w:r w:rsidR="00CC0E0E">
              <w:rPr>
                <w:color w:val="000000"/>
              </w:rPr>
              <w:t>4.</w:t>
            </w:r>
            <w:r w:rsidR="001034F0">
              <w:rPr>
                <w:color w:val="000000"/>
              </w:rPr>
              <w:t>6</w:t>
            </w:r>
          </w:p>
        </w:tc>
      </w:tr>
      <w:tr w:rsidRPr="00BF0D65" w:rsidR="007253C8" w:rsidTr="00301BD8" w14:paraId="67135C4F" w14:textId="77777777">
        <w:trPr>
          <w:trHeight w:val="315"/>
          <w:jc w:val="center"/>
        </w:trPr>
        <w:tc>
          <w:tcPr>
            <w:tcW w:w="236" w:type="dxa"/>
            <w:noWrap/>
            <w:vAlign w:val="bottom"/>
          </w:tcPr>
          <w:p w:rsidRPr="00BF0D65" w:rsidR="007253C8" w:rsidP="00301BD8" w:rsidRDefault="007253C8" w14:paraId="43DF509E" w14:textId="77777777">
            <w:pPr>
              <w:pStyle w:val="TableText"/>
              <w:rPr>
                <w:color w:val="000000"/>
              </w:rPr>
            </w:pPr>
          </w:p>
        </w:tc>
        <w:tc>
          <w:tcPr>
            <w:tcW w:w="3629" w:type="dxa"/>
            <w:tcBorders>
              <w:top w:val="single" w:color="auto" w:sz="12" w:space="0"/>
            </w:tcBorders>
            <w:noWrap/>
            <w:vAlign w:val="bottom"/>
          </w:tcPr>
          <w:p w:rsidRPr="7C868A38" w:rsidR="007253C8" w:rsidP="00301BD8" w:rsidRDefault="007253C8" w14:paraId="6924875A" w14:textId="77777777">
            <w:pPr>
              <w:pStyle w:val="TableText"/>
            </w:pPr>
            <w:r>
              <w:t>Activity by Year</w:t>
            </w:r>
          </w:p>
        </w:tc>
        <w:tc>
          <w:tcPr>
            <w:tcW w:w="1350" w:type="dxa"/>
            <w:tcBorders>
              <w:top w:val="single" w:color="auto" w:sz="12" w:space="0"/>
            </w:tcBorders>
            <w:noWrap/>
            <w:vAlign w:val="bottom"/>
          </w:tcPr>
          <w:p w:rsidRPr="7C868A38" w:rsidR="007253C8" w:rsidP="00301BD8" w:rsidRDefault="007253C8" w14:paraId="39696C40" w14:textId="77777777">
            <w:pPr>
              <w:pStyle w:val="TableText"/>
            </w:pPr>
          </w:p>
        </w:tc>
        <w:tc>
          <w:tcPr>
            <w:tcW w:w="1530" w:type="dxa"/>
            <w:tcBorders>
              <w:top w:val="single" w:color="auto" w:sz="12" w:space="0"/>
            </w:tcBorders>
            <w:noWrap/>
            <w:vAlign w:val="bottom"/>
          </w:tcPr>
          <w:p w:rsidRPr="7C868A38" w:rsidR="007253C8" w:rsidP="00301BD8" w:rsidRDefault="00BF2CEB" w14:paraId="1C6AA3F3" w14:textId="5562E9F3">
            <w:pPr>
              <w:pStyle w:val="TableText"/>
              <w:jc w:val="right"/>
            </w:pPr>
            <w:r>
              <w:t>3</w:t>
            </w:r>
            <w:r w:rsidR="007253C8">
              <w:t>.1</w:t>
            </w:r>
          </w:p>
        </w:tc>
        <w:tc>
          <w:tcPr>
            <w:tcW w:w="1620" w:type="dxa"/>
            <w:tcBorders>
              <w:top w:val="single" w:color="auto" w:sz="12" w:space="0"/>
            </w:tcBorders>
            <w:noWrap/>
            <w:vAlign w:val="bottom"/>
          </w:tcPr>
          <w:p w:rsidRPr="7C868A38" w:rsidR="007253C8" w:rsidP="00301BD8" w:rsidRDefault="00030225" w14:paraId="42206CCE" w14:textId="609C8676">
            <w:pPr>
              <w:pStyle w:val="TableText"/>
              <w:jc w:val="right"/>
            </w:pPr>
            <w:r>
              <w:t>2</w:t>
            </w:r>
            <w:r w:rsidR="00DD29B8">
              <w:t>6.3</w:t>
            </w:r>
          </w:p>
        </w:tc>
        <w:tc>
          <w:tcPr>
            <w:tcW w:w="1705" w:type="dxa"/>
            <w:tcBorders>
              <w:top w:val="single" w:color="auto" w:sz="12" w:space="0"/>
            </w:tcBorders>
          </w:tcPr>
          <w:p w:rsidRPr="7C868A38" w:rsidR="007253C8" w:rsidP="00301BD8" w:rsidRDefault="002833FB" w14:paraId="70FAF845" w14:textId="6FDF3FEB">
            <w:pPr>
              <w:pStyle w:val="TableText"/>
              <w:jc w:val="right"/>
            </w:pPr>
            <w:r>
              <w:t>102.3</w:t>
            </w:r>
          </w:p>
        </w:tc>
      </w:tr>
      <w:tr w:rsidRPr="00BF0D65" w:rsidR="007253C8" w:rsidTr="00301BD8" w14:paraId="559832C5" w14:textId="77777777">
        <w:trPr>
          <w:trHeight w:val="315"/>
          <w:jc w:val="center"/>
        </w:trPr>
        <w:tc>
          <w:tcPr>
            <w:tcW w:w="236" w:type="dxa"/>
            <w:noWrap/>
            <w:vAlign w:val="bottom"/>
          </w:tcPr>
          <w:p w:rsidRPr="00BF0D65" w:rsidR="007253C8" w:rsidP="00301BD8" w:rsidRDefault="007253C8" w14:paraId="6CC93C9B" w14:textId="77777777">
            <w:pPr>
              <w:pStyle w:val="TableText"/>
              <w:rPr>
                <w:color w:val="000000"/>
              </w:rPr>
            </w:pPr>
          </w:p>
        </w:tc>
        <w:tc>
          <w:tcPr>
            <w:tcW w:w="3629" w:type="dxa"/>
            <w:noWrap/>
            <w:vAlign w:val="bottom"/>
          </w:tcPr>
          <w:p w:rsidR="007253C8" w:rsidP="00301BD8" w:rsidRDefault="007253C8" w14:paraId="7F26F473" w14:textId="77777777">
            <w:pPr>
              <w:pStyle w:val="TableText"/>
            </w:pPr>
            <w:r>
              <w:t xml:space="preserve">Accumulated </w:t>
            </w:r>
            <w:proofErr w:type="spellStart"/>
            <w:r>
              <w:t>Undercollection</w:t>
            </w:r>
            <w:proofErr w:type="spellEnd"/>
          </w:p>
        </w:tc>
        <w:tc>
          <w:tcPr>
            <w:tcW w:w="1350" w:type="dxa"/>
            <w:noWrap/>
            <w:vAlign w:val="bottom"/>
          </w:tcPr>
          <w:p w:rsidRPr="7C868A38" w:rsidR="007253C8" w:rsidP="00301BD8" w:rsidRDefault="007253C8" w14:paraId="147CE095" w14:textId="77777777">
            <w:pPr>
              <w:pStyle w:val="TableText"/>
            </w:pPr>
          </w:p>
        </w:tc>
        <w:tc>
          <w:tcPr>
            <w:tcW w:w="1530" w:type="dxa"/>
            <w:noWrap/>
            <w:vAlign w:val="bottom"/>
          </w:tcPr>
          <w:p w:rsidRPr="7C868A38" w:rsidR="007253C8" w:rsidP="00301BD8" w:rsidRDefault="00DD29B8" w14:paraId="15C070E6" w14:textId="62A41F84">
            <w:pPr>
              <w:pStyle w:val="TableText"/>
              <w:jc w:val="right"/>
            </w:pPr>
            <w:r>
              <w:t>3.1</w:t>
            </w:r>
          </w:p>
        </w:tc>
        <w:tc>
          <w:tcPr>
            <w:tcW w:w="1620" w:type="dxa"/>
            <w:noWrap/>
            <w:vAlign w:val="bottom"/>
          </w:tcPr>
          <w:p w:rsidRPr="7C868A38" w:rsidR="007253C8" w:rsidP="00301BD8" w:rsidRDefault="00DD29B8" w14:paraId="12B7E6F2" w14:textId="4D5A029D">
            <w:pPr>
              <w:pStyle w:val="TableText"/>
              <w:jc w:val="right"/>
            </w:pPr>
            <w:r>
              <w:t>29.</w:t>
            </w:r>
            <w:r w:rsidR="00516DEA">
              <w:t>4</w:t>
            </w:r>
          </w:p>
        </w:tc>
        <w:tc>
          <w:tcPr>
            <w:tcW w:w="1705" w:type="dxa"/>
          </w:tcPr>
          <w:p w:rsidRPr="7C868A38" w:rsidR="007253C8" w:rsidP="00301BD8" w:rsidRDefault="007253C8" w14:paraId="34239F04" w14:textId="11231DF3">
            <w:pPr>
              <w:pStyle w:val="TableText"/>
              <w:jc w:val="right"/>
            </w:pPr>
            <w:r>
              <w:t>1</w:t>
            </w:r>
            <w:r w:rsidR="00C854C4">
              <w:t>31.7</w:t>
            </w:r>
          </w:p>
        </w:tc>
      </w:tr>
    </w:tbl>
    <w:p w:rsidR="007253C8" w:rsidP="007253C8" w:rsidRDefault="007253C8" w14:paraId="4AE092FF" w14:textId="77777777">
      <w:pPr>
        <w:pStyle w:val="Standard"/>
      </w:pPr>
    </w:p>
    <w:p w:rsidR="007253C8" w:rsidP="007253C8" w:rsidRDefault="007253C8" w14:paraId="24741BE7" w14:textId="77777777">
      <w:pPr>
        <w:pStyle w:val="Standard"/>
      </w:pPr>
      <w:r w:rsidRPr="00BA075F">
        <w:t>SDG&amp;E p</w:t>
      </w:r>
      <w:r>
        <w:t>roposes</w:t>
      </w:r>
      <w:r w:rsidRPr="00BA075F">
        <w:t xml:space="preserve"> </w:t>
      </w:r>
      <w:r>
        <w:t xml:space="preserve">to </w:t>
      </w:r>
      <w:r w:rsidRPr="00BA075F">
        <w:t>submit</w:t>
      </w:r>
      <w:r>
        <w:t xml:space="preserve"> a</w:t>
      </w:r>
      <w:r w:rsidRPr="00BA075F">
        <w:t xml:space="preserve"> securitization request for the remaining </w:t>
      </w:r>
      <w:proofErr w:type="spellStart"/>
      <w:r w:rsidRPr="00BA075F">
        <w:t>undercollected</w:t>
      </w:r>
      <w:proofErr w:type="spellEnd"/>
      <w:r w:rsidRPr="00BA075F">
        <w:t xml:space="preserve"> electric WMPMA balance after </w:t>
      </w:r>
      <w:r>
        <w:t>the issuance of this decision.</w:t>
      </w:r>
      <w:r>
        <w:rPr>
          <w:rStyle w:val="FootnoteReference"/>
        </w:rPr>
        <w:footnoteReference w:id="367"/>
      </w:r>
      <w:r>
        <w:t xml:space="preserve"> SDG&amp;E makes this proposal due to the significant amount of money to be collected and the rate shock that ratepayers might otherwise experience if recovered over a short period.</w:t>
      </w:r>
    </w:p>
    <w:p w:rsidR="007253C8" w:rsidP="007253C8" w:rsidRDefault="007253C8" w14:paraId="155F298A" w14:textId="46B49A4A">
      <w:pPr>
        <w:pStyle w:val="Standard"/>
      </w:pPr>
      <w:r>
        <w:t xml:space="preserve">The Commission has already authorized the interim collection of some WMPMA costs in rates. As a result, SDG&amp;E has collected </w:t>
      </w:r>
      <w:r w:rsidRPr="00EE1BF6">
        <w:t>$193.8 million in 2024 and $96.1 million in 2025</w:t>
      </w:r>
      <w:r>
        <w:t>, for a total over the two years of $289.9 million.</w:t>
      </w:r>
      <w:r>
        <w:rPr>
          <w:rStyle w:val="FootnoteReference"/>
        </w:rPr>
        <w:footnoteReference w:id="368"/>
      </w:r>
      <w:r>
        <w:t xml:space="preserve"> After subtracting the amount authorized for interim relief, the remaining balance that may be recovered is $4</w:t>
      </w:r>
      <w:r w:rsidR="00843D93">
        <w:t>16.575</w:t>
      </w:r>
      <w:r w:rsidR="007A38E2">
        <w:t xml:space="preserve"> million</w:t>
      </w:r>
      <w:r>
        <w:rPr>
          <w:rStyle w:val="FootnoteReference"/>
        </w:rPr>
        <w:footnoteReference w:id="369"/>
      </w:r>
      <w:r>
        <w:t xml:space="preserve"> for 2019</w:t>
      </w:r>
      <w:r w:rsidR="00C544BF">
        <w:t>–</w:t>
      </w:r>
      <w:r>
        <w:t>2027.</w:t>
      </w:r>
    </w:p>
    <w:p w:rsidR="007253C8" w:rsidP="007253C8" w:rsidRDefault="007253C8" w14:paraId="7EC94495" w14:textId="4F7F480A">
      <w:pPr>
        <w:pStyle w:val="Standard"/>
      </w:pPr>
      <w:r>
        <w:t xml:space="preserve">SDG&amp;E presents and compares two scenarios for paying for the </w:t>
      </w:r>
      <w:proofErr w:type="spellStart"/>
      <w:r>
        <w:t>undercollected</w:t>
      </w:r>
      <w:proofErr w:type="spellEnd"/>
      <w:r>
        <w:t xml:space="preserve"> balance of the electric WMPMA. The first is a three-year amortization of the </w:t>
      </w:r>
      <w:proofErr w:type="spellStart"/>
      <w:r>
        <w:t>undercollected</w:t>
      </w:r>
      <w:proofErr w:type="spellEnd"/>
      <w:r>
        <w:t xml:space="preserve"> balance. The second is a proposal to securitize the </w:t>
      </w:r>
      <w:proofErr w:type="spellStart"/>
      <w:r>
        <w:t>undercollected</w:t>
      </w:r>
      <w:proofErr w:type="spellEnd"/>
      <w:r>
        <w:t xml:space="preserve"> balance over a 10-year period.</w:t>
      </w:r>
      <w:r w:rsidRPr="7288415D">
        <w:rPr>
          <w:rStyle w:val="FootnoteReference"/>
        </w:rPr>
        <w:footnoteReference w:id="370"/>
      </w:r>
      <w:r>
        <w:t xml:space="preserve"> SDG&amp;E claims that the 10</w:t>
      </w:r>
      <w:r w:rsidR="002A01F8">
        <w:noBreakHyphen/>
      </w:r>
      <w:r>
        <w:t xml:space="preserve">year securitization proposal </w:t>
      </w:r>
      <w:r w:rsidRPr="7288415D">
        <w:t>supports affordability by: 1) avoiding a substantial near-term rate increase by reducing the amount a typical non-CARE residential customer would pay by more than half between 2026</w:t>
      </w:r>
      <w:r>
        <w:t>–</w:t>
      </w:r>
      <w:r w:rsidRPr="7288415D">
        <w:t>2028; 2) smoothing customer bill impacts over 10</w:t>
      </w:r>
      <w:r>
        <w:t xml:space="preserve"> </w:t>
      </w:r>
      <w:r w:rsidRPr="7288415D">
        <w:t xml:space="preserve">years; and 3) reducing the overall costs </w:t>
      </w:r>
      <w:r w:rsidRPr="7288415D">
        <w:lastRenderedPageBreak/>
        <w:t>for CARE and FERA customers.</w:t>
      </w:r>
      <w:r w:rsidRPr="7288415D">
        <w:rPr>
          <w:rStyle w:val="FootnoteReference"/>
        </w:rPr>
        <w:footnoteReference w:id="371"/>
      </w:r>
      <w:r w:rsidRPr="7288415D">
        <w:t xml:space="preserve"> As a result, </w:t>
      </w:r>
      <w:r w:rsidRPr="00263B4B">
        <w:t xml:space="preserve">SDG&amp;E outlined </w:t>
      </w:r>
      <w:r>
        <w:t xml:space="preserve">a proposal to </w:t>
      </w:r>
      <w:r w:rsidRPr="00263B4B">
        <w:t>securitiz</w:t>
      </w:r>
      <w:r>
        <w:t xml:space="preserve">e total </w:t>
      </w:r>
      <w:proofErr w:type="spellStart"/>
      <w:r>
        <w:t>undercollected</w:t>
      </w:r>
      <w:proofErr w:type="spellEnd"/>
      <w:r>
        <w:t xml:space="preserve"> costs over a 10-year period in more detail and requests that the Commission express support in this proceeding for SDG&amp;E pursuing a subsequent securitization application</w:t>
      </w:r>
      <w:r w:rsidRPr="07AF63C0">
        <w:rPr>
          <w:rStyle w:val="FootnoteReference"/>
        </w:rPr>
        <w:footnoteReference w:id="372"/>
      </w:r>
      <w:r>
        <w:t xml:space="preserve"> in accordance with Pub. Util.</w:t>
      </w:r>
      <w:r w:rsidR="007A38E2">
        <w:t xml:space="preserve"> Code</w:t>
      </w:r>
      <w:r>
        <w:t xml:space="preserve"> Section 850 </w:t>
      </w:r>
      <w:r w:rsidRPr="61D4D11C">
        <w:rPr>
          <w:i/>
          <w:iCs/>
        </w:rPr>
        <w:t>et seq</w:t>
      </w:r>
      <w:r>
        <w:t>.</w:t>
      </w:r>
    </w:p>
    <w:p w:rsidR="007253C8" w:rsidP="007253C8" w:rsidRDefault="007253C8" w14:paraId="0A5903D7" w14:textId="77777777">
      <w:pPr>
        <w:pStyle w:val="Standard"/>
      </w:pPr>
      <w:r>
        <w:t xml:space="preserve">TURN supports the concept of addressing the adverse impacts that recovery of wildfire mitigation costs will have on rate affordability. TURN recommends that the Commission provide guidance to support a well-constructed securitization proposal consistent with prior decisions and TURN-identified deficiencies. TURN identified several deficiencies. First, TURN recommends that SDG&amp;E only be permitted to securitize capital expenditures and capital-related costs. In support, TURN says the </w:t>
      </w:r>
      <w:r w:rsidRPr="0037109D">
        <w:t>proposed securitization would not achieve a lower-cost financing for the O&amp;M expenses</w:t>
      </w:r>
      <w:r>
        <w:t xml:space="preserve"> but </w:t>
      </w:r>
      <w:r w:rsidRPr="0037109D">
        <w:t>instead, would result in additional financing and related costs to the amount ultimately collected from ratepayers.</w:t>
      </w:r>
      <w:r>
        <w:rPr>
          <w:rStyle w:val="FootnoteReference"/>
        </w:rPr>
        <w:footnoteReference w:id="373"/>
      </w:r>
      <w:r>
        <w:t xml:space="preserve"> </w:t>
      </w:r>
      <w:r w:rsidRPr="502CF684">
        <w:t>T</w:t>
      </w:r>
      <w:r>
        <w:t>URN correctly notes that t</w:t>
      </w:r>
      <w:r w:rsidRPr="502CF684">
        <w:t>he Commission has disfavor</w:t>
      </w:r>
      <w:r>
        <w:t>ed</w:t>
      </w:r>
      <w:r w:rsidRPr="502CF684">
        <w:t xml:space="preserve"> securitizing O&amp;M expenses due to the higher financing costs and rates that result in the later years due to securitization of O&amp;M expenses, rather than relying on more traditional ratemaking.</w:t>
      </w:r>
      <w:r w:rsidRPr="502CF684">
        <w:rPr>
          <w:rStyle w:val="FootnoteReference"/>
        </w:rPr>
        <w:footnoteReference w:id="374"/>
      </w:r>
    </w:p>
    <w:p w:rsidR="007253C8" w:rsidP="007253C8" w:rsidRDefault="007253C8" w14:paraId="13F4FE63" w14:textId="77777777">
      <w:pPr>
        <w:pStyle w:val="Standard"/>
      </w:pPr>
      <w:r>
        <w:t xml:space="preserve">Second, TURN notes that </w:t>
      </w:r>
      <w:r w:rsidRPr="00EF59A1">
        <w:t xml:space="preserve">SDG&amp;E intends to seek approval of its securitization proposal </w:t>
      </w:r>
      <w:r>
        <w:t xml:space="preserve">within the </w:t>
      </w:r>
      <w:r w:rsidRPr="00EF59A1">
        <w:t xml:space="preserve">120-day </w:t>
      </w:r>
      <w:r>
        <w:t xml:space="preserve">statutory </w:t>
      </w:r>
      <w:r w:rsidRPr="00EF59A1">
        <w:t>timeline.</w:t>
      </w:r>
      <w:r>
        <w:rPr>
          <w:rStyle w:val="FootnoteReference"/>
        </w:rPr>
        <w:footnoteReference w:id="375"/>
      </w:r>
      <w:r>
        <w:t xml:space="preserve"> This will make it very difficult for intervenors to reasonably understand and address the proposal. </w:t>
      </w:r>
      <w:r>
        <w:lastRenderedPageBreak/>
        <w:t xml:space="preserve">Thus, TURN recommends that the Commission </w:t>
      </w:r>
      <w:r w:rsidRPr="00EF59A1">
        <w:t>direct SDG&amp;E to include</w:t>
      </w:r>
      <w:r>
        <w:t>,</w:t>
      </w:r>
      <w:r w:rsidRPr="00EF59A1">
        <w:t xml:space="preserve"> with its initial securitization application </w:t>
      </w:r>
      <w:r>
        <w:t xml:space="preserve">and </w:t>
      </w:r>
      <w:r w:rsidRPr="00EF59A1">
        <w:t>supporting materials</w:t>
      </w:r>
      <w:r>
        <w:t>,</w:t>
      </w:r>
      <w:r w:rsidRPr="00EF59A1">
        <w:t xml:space="preserve"> a showing that includes the data and calculations necessary to permit a meaningful and timely consideration of the utility’s proposal and alternatives</w:t>
      </w:r>
      <w:r>
        <w:t>,</w:t>
      </w:r>
      <w:r>
        <w:rPr>
          <w:rStyle w:val="FootnoteReference"/>
        </w:rPr>
        <w:footnoteReference w:id="376"/>
      </w:r>
      <w:r>
        <w:t xml:space="preserve"> including those described below.</w:t>
      </w:r>
    </w:p>
    <w:p w:rsidR="007253C8" w:rsidP="007253C8" w:rsidRDefault="007253C8" w14:paraId="38CFE70B" w14:textId="77777777">
      <w:pPr>
        <w:pStyle w:val="Standard"/>
      </w:pPr>
      <w:r w:rsidRPr="00290E57">
        <w:t>TURN opposes SDG&amp;E</w:t>
      </w:r>
      <w:r w:rsidRPr="00EF59A1">
        <w:t>’s</w:t>
      </w:r>
      <w:r w:rsidRPr="00290E57">
        <w:t xml:space="preserve"> proposal to securitize a portion of its total </w:t>
      </w:r>
      <w:proofErr w:type="spellStart"/>
      <w:r>
        <w:t>undercollected</w:t>
      </w:r>
      <w:proofErr w:type="spellEnd"/>
      <w:r>
        <w:t xml:space="preserve"> </w:t>
      </w:r>
      <w:r w:rsidRPr="00290E57">
        <w:t>capital revenue requirement</w:t>
      </w:r>
      <w:r>
        <w:t xml:space="preserve"> over a 10-year period,</w:t>
      </w:r>
      <w:r w:rsidRPr="00290E57">
        <w:t xml:space="preserve"> rather than the capital expenditures themselves</w:t>
      </w:r>
      <w:r>
        <w:t xml:space="preserve">. In support, TURN says doing so </w:t>
      </w:r>
      <w:r w:rsidRPr="00290E57">
        <w:t xml:space="preserve">would not achieve reduced costs </w:t>
      </w:r>
      <w:r>
        <w:t>to</w:t>
      </w:r>
      <w:r w:rsidRPr="00290E57">
        <w:t xml:space="preserve"> benefit ratepayers.</w:t>
      </w:r>
      <w:r w:rsidRPr="00290E57">
        <w:rPr>
          <w:vertAlign w:val="superscript"/>
        </w:rPr>
        <w:footnoteReference w:id="377"/>
      </w:r>
    </w:p>
    <w:p w:rsidR="007253C8" w:rsidP="007253C8" w:rsidRDefault="007253C8" w14:paraId="1ADF6AFD" w14:textId="4ED4D6FF">
      <w:pPr>
        <w:pStyle w:val="Standard"/>
      </w:pPr>
      <w:r>
        <w:t xml:space="preserve">TURN also recommends that the Commission follow the path of SCE and PG&amp;E and </w:t>
      </w:r>
      <w:r w:rsidRPr="001510AE">
        <w:t xml:space="preserve">seek securitization tied to </w:t>
      </w:r>
      <w:r w:rsidR="00A873DB">
        <w:t>SDG&amp;E</w:t>
      </w:r>
      <w:r w:rsidRPr="001510AE">
        <w:t>’s $215 million share of the $5 billion of capital expenditures for which AB 1054 denied an equity return.</w:t>
      </w:r>
      <w:r>
        <w:t xml:space="preserve"> In support of this recommendation, TURN claims that i</w:t>
      </w:r>
      <w:r w:rsidRPr="001510AE">
        <w:t>f SDG&amp;E securitized the undepreciated balance as of the start of 2026 and achieved present value savings of even 50%, the Commission could reasonably estimate present value savings of approximately $85 million, or more than double the amount SDG&amp;E calculates</w:t>
      </w:r>
      <w:r>
        <w:t xml:space="preserve"> from its </w:t>
      </w:r>
      <w:r w:rsidRPr="001510AE">
        <w:t>proposal.</w:t>
      </w:r>
      <w:r>
        <w:rPr>
          <w:rStyle w:val="FootnoteReference"/>
        </w:rPr>
        <w:footnoteReference w:id="378"/>
      </w:r>
      <w:r>
        <w:t xml:space="preserve"> U</w:t>
      </w:r>
      <w:r w:rsidRPr="00B43E2B">
        <w:t xml:space="preserve">CAN </w:t>
      </w:r>
      <w:r>
        <w:t>supports TURN</w:t>
      </w:r>
      <w:r w:rsidRPr="00EF59A1">
        <w:t>’</w:t>
      </w:r>
      <w:r>
        <w:t>s recommendations.</w:t>
      </w:r>
      <w:r>
        <w:rPr>
          <w:rStyle w:val="FootnoteReference"/>
        </w:rPr>
        <w:footnoteReference w:id="379"/>
      </w:r>
    </w:p>
    <w:p w:rsidR="007253C8" w:rsidP="007253C8" w:rsidRDefault="007253C8" w14:paraId="08182529" w14:textId="77777777">
      <w:pPr>
        <w:pStyle w:val="Standard"/>
      </w:pPr>
      <w:r>
        <w:t>PCF opposes SDG&amp;E's entire request along with its securitization proposal as unjustified and unreasonable. In particular, PCF opposes SDG&amp;E’s proposal to securitize O&amp;M expenses.</w:t>
      </w:r>
      <w:r>
        <w:rPr>
          <w:rStyle w:val="FootnoteReference"/>
        </w:rPr>
        <w:footnoteReference w:id="380"/>
      </w:r>
    </w:p>
    <w:p w:rsidR="007253C8" w:rsidP="007253C8" w:rsidRDefault="007253C8" w14:paraId="215640AE" w14:textId="77777777">
      <w:pPr>
        <w:pStyle w:val="Standard"/>
      </w:pPr>
      <w:r>
        <w:lastRenderedPageBreak/>
        <w:t>In reply, SDG&amp;E recommends that the Commission require SDG&amp;E to file a securitization application without providing the guidance recommended by TURN. SDG&amp;E opposes this additional guidance for several reasons.</w:t>
      </w:r>
      <w:r>
        <w:rPr>
          <w:rStyle w:val="FootnoteReference"/>
        </w:rPr>
        <w:footnoteReference w:id="381"/>
      </w:r>
      <w:r>
        <w:t xml:space="preserve"> First, SDG&amp;E contends that </w:t>
      </w:r>
      <w:r w:rsidRPr="000B7B69">
        <w:t>TURN</w:t>
      </w:r>
      <w:r w:rsidRPr="00EF59A1">
        <w:t>’</w:t>
      </w:r>
      <w:r>
        <w:t xml:space="preserve">s </w:t>
      </w:r>
      <w:r w:rsidRPr="000B7B69">
        <w:t>propos</w:t>
      </w:r>
      <w:r>
        <w:t xml:space="preserve">al to require </w:t>
      </w:r>
      <w:r w:rsidRPr="000B7B69">
        <w:t>SDG&amp;E to securitize its capital expenditures and forego its resulting revenue requiremen</w:t>
      </w:r>
      <w:r>
        <w:t xml:space="preserve">t, </w:t>
      </w:r>
      <w:r w:rsidRPr="000B7B69">
        <w:t>including its rate of return</w:t>
      </w:r>
      <w:r>
        <w:t>, imposes un</w:t>
      </w:r>
      <w:r w:rsidRPr="000B7B69">
        <w:t>constitutional requirements.</w:t>
      </w:r>
      <w:r>
        <w:rPr>
          <w:rStyle w:val="FootnoteReference"/>
        </w:rPr>
        <w:footnoteReference w:id="382"/>
      </w:r>
    </w:p>
    <w:p w:rsidR="007253C8" w:rsidP="007253C8" w:rsidRDefault="007253C8" w14:paraId="04FC2230" w14:textId="5648E4CE">
      <w:pPr>
        <w:pStyle w:val="Standard"/>
      </w:pPr>
      <w:r>
        <w:t xml:space="preserve">Second, </w:t>
      </w:r>
      <w:r w:rsidRPr="000B7B69">
        <w:t xml:space="preserve">SDG&amp;E </w:t>
      </w:r>
      <w:r>
        <w:t>states that it</w:t>
      </w:r>
      <w:r w:rsidRPr="000B7B69" w:rsidDel="00140968">
        <w:t xml:space="preserve"> </w:t>
      </w:r>
      <w:r w:rsidRPr="000B7B69">
        <w:t>calculate</w:t>
      </w:r>
      <w:r>
        <w:t>d</w:t>
      </w:r>
      <w:r w:rsidRPr="000B7B69">
        <w:t xml:space="preserve"> the impact of securitization both including O&amp;M and excluding O&amp;M, with those expenses recovered over a 1-3 year period.</w:t>
      </w:r>
      <w:r>
        <w:t xml:space="preserve"> As a result, SDG&amp;E states that </w:t>
      </w:r>
      <w:r w:rsidRPr="000B7B69">
        <w:t>most of SDG&amp;E’s WMPMA O&amp;M balance will be recovered through interim relief</w:t>
      </w:r>
      <w:r>
        <w:t>. In addition, SDG&amp;E states that a</w:t>
      </w:r>
      <w:r w:rsidRPr="0077297C">
        <w:t xml:space="preserve">lthough the difference is relatively marginal, SDG&amp;E does not believe that </w:t>
      </w:r>
      <w:r>
        <w:t>the</w:t>
      </w:r>
      <w:r w:rsidRPr="0077297C">
        <w:t xml:space="preserve"> small overall revenue requirement savings </w:t>
      </w:r>
      <w:r>
        <w:t xml:space="preserve">resulting from amortizing O&amp;M </w:t>
      </w:r>
      <w:r w:rsidRPr="0077297C">
        <w:t>is worth the additional increase in customer bills for 2026</w:t>
      </w:r>
      <w:r>
        <w:t>–</w:t>
      </w:r>
      <w:r w:rsidRPr="0077297C">
        <w:t>2028</w:t>
      </w:r>
      <w:r>
        <w:t>, a</w:t>
      </w:r>
      <w:r w:rsidRPr="0077297C">
        <w:t>nd it would result in additional costs for CARE and FERA customers in 2026</w:t>
      </w:r>
      <w:r>
        <w:t>–20</w:t>
      </w:r>
      <w:r w:rsidRPr="0077297C">
        <w:t xml:space="preserve">28 compared to securitizing the remaining electric WMPMA balance over </w:t>
      </w:r>
      <w:r w:rsidR="00563060">
        <w:t>10</w:t>
      </w:r>
      <w:r w:rsidRPr="0077297C">
        <w:t xml:space="preserve"> years.</w:t>
      </w:r>
      <w:r>
        <w:rPr>
          <w:rStyle w:val="FootnoteReference"/>
        </w:rPr>
        <w:footnoteReference w:id="383"/>
      </w:r>
    </w:p>
    <w:p w:rsidR="007253C8" w:rsidP="007253C8" w:rsidRDefault="007253C8" w14:paraId="57B85025" w14:textId="77777777">
      <w:pPr>
        <w:pStyle w:val="Standard"/>
        <w:rPr>
          <w:highlight w:val="yellow"/>
        </w:rPr>
      </w:pPr>
      <w:r>
        <w:t>Lastly, SDG&amp;E claims that TURN’s recommendations unconstitutionally seek to deny SDG&amp;E revenue requirement recovery that it is entitled to recover for capital expenditures.</w:t>
      </w:r>
    </w:p>
    <w:p w:rsidR="007253C8" w:rsidP="007253C8" w:rsidRDefault="007253C8" w14:paraId="54E78AEF" w14:textId="77777777">
      <w:pPr>
        <w:pStyle w:val="Standard"/>
      </w:pPr>
      <w:r>
        <w:t xml:space="preserve">The question before the Commission is whether SDG&amp;E’s proposal to securitize 10 years of SDG&amp;E’s WMPMA electric </w:t>
      </w:r>
      <w:proofErr w:type="spellStart"/>
      <w:r>
        <w:t>undercollection</w:t>
      </w:r>
      <w:proofErr w:type="spellEnd"/>
      <w:r>
        <w:t xml:space="preserve"> is the best option for customers compared to other recovery methods and periods. The Commission declines to rule on a securitization order without information that would accompany a financing application. </w:t>
      </w:r>
    </w:p>
    <w:p w:rsidR="007253C8" w:rsidP="007253C8" w:rsidRDefault="007253C8" w14:paraId="51C9D774" w14:textId="3F390D8B">
      <w:pPr>
        <w:pStyle w:val="Standard"/>
      </w:pPr>
      <w:r>
        <w:lastRenderedPageBreak/>
        <w:t xml:space="preserve">The Commission first considers the amount of </w:t>
      </w:r>
      <w:proofErr w:type="spellStart"/>
      <w:r>
        <w:t>undercollected</w:t>
      </w:r>
      <w:proofErr w:type="spellEnd"/>
      <w:r>
        <w:t xml:space="preserve"> revenue requirement that is currently owed before authorizing a mechanism for collecting the 2026 and 2027 revenue requirements owed in years 2026 and 2027. After deducting the amount authorized for interim relief of $193.8 million in 2024 and $96.1 million in 2025, the amount </w:t>
      </w:r>
      <w:proofErr w:type="spellStart"/>
      <w:r>
        <w:t>undercollected</w:t>
      </w:r>
      <w:proofErr w:type="spellEnd"/>
      <w:r>
        <w:t xml:space="preserve"> through the end of 2025 that may be collected through amortization is $1</w:t>
      </w:r>
      <w:r w:rsidR="00EF1053">
        <w:t>77.458</w:t>
      </w:r>
      <w:r>
        <w:t xml:space="preserve"> million. In addition, SDG&amp;E may collect the 2026 and 2027 revenue requirement in rates at the beginning of those years.</w:t>
      </w:r>
      <w:r w:rsidRPr="2A473F36">
        <w:rPr>
          <w:rStyle w:val="FootnoteReference"/>
        </w:rPr>
        <w:footnoteReference w:id="384"/>
      </w:r>
    </w:p>
    <w:p w:rsidR="007253C8" w:rsidP="007253C8" w:rsidRDefault="007253C8" w14:paraId="475B54CE" w14:textId="555DFEF6">
      <w:pPr>
        <w:pStyle w:val="Standard"/>
      </w:pPr>
      <w:r>
        <w:t xml:space="preserve">Appendix D </w:t>
      </w:r>
      <w:r w:rsidR="001E5168">
        <w:t xml:space="preserve">in the Proposed Decision </w:t>
      </w:r>
      <w:r>
        <w:t>shows the bill impacts of amortizing the 2019</w:t>
      </w:r>
      <w:r w:rsidR="000E7C82">
        <w:t>–</w:t>
      </w:r>
      <w:r>
        <w:t xml:space="preserve">2025 </w:t>
      </w:r>
      <w:proofErr w:type="spellStart"/>
      <w:r>
        <w:t>undercollected</w:t>
      </w:r>
      <w:proofErr w:type="spellEnd"/>
      <w:r>
        <w:t xml:space="preserve"> amount over three</w:t>
      </w:r>
      <w:r w:rsidR="00A467CE">
        <w:t>-</w:t>
      </w:r>
      <w:r>
        <w:t xml:space="preserve">year and six-year periods. </w:t>
      </w:r>
      <w:r w:rsidRPr="00042BA3">
        <w:t>The difference between the bill impacts for a six-year versus a three-year amortization period is less than 1% for an average non-CARE customer on January 1, 2026. With a three</w:t>
      </w:r>
      <w:r>
        <w:t>-year amortization schedule, the average bill increases</w:t>
      </w:r>
      <w:r w:rsidDel="29FC6A7F">
        <w:t xml:space="preserve"> </w:t>
      </w:r>
      <w:r>
        <w:t>$3.31 or 3.1% t</w:t>
      </w:r>
      <w:r w:rsidDel="6C0C4A21">
        <w:t xml:space="preserve">o $110.31 per month </w:t>
      </w:r>
      <w:r>
        <w:t xml:space="preserve">for CARE customers and </w:t>
      </w:r>
      <w:r w:rsidDel="29FC6A7F">
        <w:t>$</w:t>
      </w:r>
      <w:r>
        <w:t>5.09 or 2.94%to $178.09 per month for non-C</w:t>
      </w:r>
      <w:r w:rsidR="00B3425B">
        <w:t>ARE</w:t>
      </w:r>
      <w:r>
        <w:t xml:space="preserve"> customers.</w:t>
      </w:r>
      <w:r w:rsidR="00511B27">
        <w:t xml:space="preserve"> These estimated bill impacts are based on the data in the Proposed Decision, which has changed slightly due to the changes made in this decision. The Commission finds that the Proposed Decision data provides a sufficient estimate of bill impacts to determine the amortization period. </w:t>
      </w:r>
    </w:p>
    <w:p w:rsidR="007253C8" w:rsidP="007253C8" w:rsidRDefault="007253C8" w14:paraId="15D1509C" w14:textId="520B338B">
      <w:pPr>
        <w:pStyle w:val="Standard"/>
      </w:pPr>
      <w:r>
        <w:t>Considering the additional financing cost and monthly bill impacts, the Commission finds amortization of the amount of $1</w:t>
      </w:r>
      <w:r w:rsidR="000A11A3">
        <w:t>77</w:t>
      </w:r>
      <w:r w:rsidR="00CE3CAF">
        <w:t>.458</w:t>
      </w:r>
      <w:r>
        <w:t xml:space="preserve"> million over a three-year period to be reasonable. This increase is reasonably necessary to finance the cost of mitigations to prevent wildfires and to maintain the safety and reliability of SDG&amp;E’s electrical service system. The Commission does not consider the </w:t>
      </w:r>
      <w:r>
        <w:lastRenderedPageBreak/>
        <w:t>parties’ arguments further because they do not consider the impact of the disallowances and the interim rate relief in reducing the lower authorized revenue requirement.</w:t>
      </w:r>
    </w:p>
    <w:p w:rsidRPr="0078386B" w:rsidR="007253C8" w:rsidP="0078386B" w:rsidRDefault="007253C8" w14:paraId="2C25F0A0" w14:textId="12C531F7">
      <w:pPr>
        <w:pStyle w:val="Standard"/>
      </w:pPr>
      <w:r>
        <w:t xml:space="preserve">SDG&amp;E shall request recovery of the balance of the </w:t>
      </w:r>
      <w:proofErr w:type="spellStart"/>
      <w:r>
        <w:t>undercollected</w:t>
      </w:r>
      <w:proofErr w:type="spellEnd"/>
      <w:r>
        <w:t xml:space="preserve"> revenue requirement through years 2026 and 2027 of $239.1</w:t>
      </w:r>
      <w:r w:rsidR="008F4E0D">
        <w:t>17</w:t>
      </w:r>
      <w:r>
        <w:t xml:space="preserve"> million through a Tier 2 Advice Letter. In the Advice Letter, SDG&amp;E shall propose an amortization period and associated bill impacts, to be effective at the beginning of years 2026 and 2027. In the alternative, SDG&amp;E may file an application to securitize the WMPMA costs approved by this application less the amount recovered through interim rates. </w:t>
      </w:r>
    </w:p>
    <w:p w:rsidRPr="00EE5FF7" w:rsidR="007253C8" w:rsidP="00C32E1C" w:rsidRDefault="007253C8" w14:paraId="468CE8EA" w14:textId="77777777">
      <w:pPr>
        <w:pStyle w:val="Heading1"/>
        <w:rPr>
          <w:rFonts w:cs="Arial"/>
          <w:b w:val="0"/>
        </w:rPr>
      </w:pPr>
      <w:bookmarkStart w:name="_Toc213312314" w:id="111"/>
      <w:r w:rsidRPr="64816CCA">
        <w:t xml:space="preserve">Timing of </w:t>
      </w:r>
      <w:r w:rsidRPr="0078386B">
        <w:t>Applications</w:t>
      </w:r>
      <w:bookmarkEnd w:id="111"/>
    </w:p>
    <w:p w:rsidR="007253C8" w:rsidP="007253C8" w:rsidRDefault="007253C8" w14:paraId="26D03B17" w14:textId="32B1FCD2">
      <w:pPr>
        <w:pStyle w:val="Standard"/>
      </w:pPr>
      <w:r w:rsidRPr="0025746A">
        <w:t>PCF contends that SDG&amp;E</w:t>
      </w:r>
      <w:r w:rsidRPr="00EF59A1">
        <w:t>’</w:t>
      </w:r>
      <w:r>
        <w:t>s filing of its application for recovery of 2019–2022 WMP</w:t>
      </w:r>
      <w:r w:rsidR="00362B64">
        <w:t>M</w:t>
      </w:r>
      <w:r>
        <w:t xml:space="preserve">A costs in this GRC application five years after the costs were incurred is untimely in violation of </w:t>
      </w:r>
      <w:r w:rsidR="00362B64">
        <w:t xml:space="preserve">Pub. Util. Code </w:t>
      </w:r>
      <w:r>
        <w:t xml:space="preserve">Section 8386.4, and made </w:t>
      </w:r>
      <w:r w:rsidR="00362B64">
        <w:t>PCF’s</w:t>
      </w:r>
      <w:r>
        <w:t xml:space="preserve"> review unreasonably difficult. As a result, PCF argues that </w:t>
      </w:r>
      <w:r w:rsidRPr="00766345">
        <w:t>SDG&amp;E should be held accountable for t</w:t>
      </w:r>
      <w:r>
        <w:t>he consequence</w:t>
      </w:r>
      <w:r w:rsidR="0053176F">
        <w:t>s</w:t>
      </w:r>
      <w:r>
        <w:t xml:space="preserve"> of the delay which made </w:t>
      </w:r>
      <w:r w:rsidRPr="00766345">
        <w:t>review extraordinarily difficult for all parties and the Commission.</w:t>
      </w:r>
      <w:r>
        <w:rPr>
          <w:rStyle w:val="FootnoteReference"/>
        </w:rPr>
        <w:footnoteReference w:id="385"/>
      </w:r>
    </w:p>
    <w:p w:rsidR="007253C8" w:rsidP="007253C8" w:rsidRDefault="007253C8" w14:paraId="1D77B248" w14:textId="77777777">
      <w:pPr>
        <w:pStyle w:val="Standard"/>
      </w:pPr>
      <w:r>
        <w:t xml:space="preserve">In reply, SDG&amp;E contends that it complied with statutory requirements and Commission directives. Furthermore, SDG&amp;E argues that the timing of its filing </w:t>
      </w:r>
      <w:r w:rsidRPr="00766345">
        <w:t xml:space="preserve">allows </w:t>
      </w:r>
      <w:r>
        <w:t xml:space="preserve">for </w:t>
      </w:r>
      <w:r w:rsidRPr="00766345">
        <w:t>a complete review of all GRC authorized costs over the rate case period to allow a comprehensive understanding of incrementality.</w:t>
      </w:r>
      <w:r>
        <w:rPr>
          <w:rStyle w:val="FootnoteReference"/>
        </w:rPr>
        <w:footnoteReference w:id="386"/>
      </w:r>
    </w:p>
    <w:p w:rsidR="007253C8" w:rsidP="007253C8" w:rsidRDefault="007253C8" w14:paraId="13FF2E3B" w14:textId="2A0956D7">
      <w:pPr>
        <w:pStyle w:val="Standard"/>
      </w:pPr>
      <w:r w:rsidRPr="00D63245">
        <w:t>Pub</w:t>
      </w:r>
      <w:r w:rsidR="00362B64">
        <w:t>. Util.</w:t>
      </w:r>
      <w:r w:rsidRPr="00D63245">
        <w:t xml:space="preserve"> Code Section 8386.4 specifies that utilities may seek recovery of incremental WMP costs through two approaches: (1) the utility’s General Rate </w:t>
      </w:r>
      <w:r w:rsidRPr="00D63245">
        <w:lastRenderedPageBreak/>
        <w:t xml:space="preserve">Case; or (2) a separate application filed at the end of the time period covered by the applicable three-year WMP. </w:t>
      </w:r>
      <w:r>
        <w:t>However, SDG&amp;E notes that the Commission has recognized that t</w:t>
      </w:r>
      <w:r w:rsidRPr="007A3A7C">
        <w:t>he statute defers all consideration of cost to the GRC</w:t>
      </w:r>
      <w:r>
        <w:t>.</w:t>
      </w:r>
      <w:r>
        <w:rPr>
          <w:rStyle w:val="FootnoteReference"/>
        </w:rPr>
        <w:footnoteReference w:id="387"/>
      </w:r>
      <w:r>
        <w:t xml:space="preserve"> This is correct. The GRC following SDG&amp;E</w:t>
      </w:r>
      <w:r w:rsidRPr="00EF59A1">
        <w:t>’</w:t>
      </w:r>
      <w:r>
        <w:t>s incurring of wildfire mitigation costs in 2019, and subsequent years, is this GRC proceeding. In this proceeding, the Scoping Memo</w:t>
      </w:r>
      <w:r w:rsidR="004915D9">
        <w:t>randum</w:t>
      </w:r>
      <w:r>
        <w:t xml:space="preserve"> established this track to review the reasonableness of WMP costs incurred during the 2019–2022 period.</w:t>
      </w:r>
    </w:p>
    <w:p w:rsidR="007253C8" w:rsidP="007253C8" w:rsidRDefault="007253C8" w14:paraId="3F9D3825" w14:textId="77777777">
      <w:pPr>
        <w:pStyle w:val="Standard"/>
      </w:pPr>
      <w:r>
        <w:t>While it might have been more reasonable to review 2019–2022 WMP costs prior to reviewing the Test-Year 2024 WMP forecasts in this GRC, that was not practicable given that this GRC application was required to be filed in May 2022. Consequently, the Commission finds that PCF failed to demonstrate the timing of SDG&amp;E</w:t>
      </w:r>
      <w:r w:rsidRPr="00EF59A1">
        <w:t>’</w:t>
      </w:r>
      <w:r>
        <w:t>s request for WMPMA cost recovery for the 2019–2022 period to be improper.</w:t>
      </w:r>
    </w:p>
    <w:p w:rsidR="007253C8" w:rsidP="007253C8" w:rsidRDefault="007253C8" w14:paraId="0D7FAB73" w14:textId="321A9BBC">
      <w:pPr>
        <w:pStyle w:val="Standard"/>
      </w:pPr>
      <w:r>
        <w:t>In a subsequent proceeding, the Commission will review SDG&amp;E’s wildfire mitigation costs after 2023. As provided in P</w:t>
      </w:r>
      <w:r w:rsidR="00BF3D67">
        <w:t>ub. Util.</w:t>
      </w:r>
      <w:r>
        <w:t xml:space="preserve"> Code Section 8386.4, this can be in the next GRC or a separate proceeding. If this is done in the next GRC (Test Year 2028), a review of wildfire mitigation costs will be better informed by receiving SDG&amp;E’s wildfire mitigation costs for years 2024 and 2025 before SDG&amp;E files its next GRC. Since SDG&amp;E’s next GRC will be filed in 2026, SDG&amp;E</w:t>
      </w:r>
      <w:r w:rsidR="009659AC">
        <w:t>’</w:t>
      </w:r>
      <w:r>
        <w:t>s application for recovery of wildfire costs for 2026 shall wait until SDG&amp;E’s next GRC.</w:t>
      </w:r>
    </w:p>
    <w:p w:rsidR="007253C8" w:rsidP="00C32E1C" w:rsidRDefault="007253C8" w14:paraId="75E1239B" w14:textId="77777777">
      <w:pPr>
        <w:pStyle w:val="Heading1"/>
        <w:rPr>
          <w:b w:val="0"/>
        </w:rPr>
      </w:pPr>
      <w:bookmarkStart w:name="_Hlk216015196" w:id="112"/>
      <w:bookmarkStart w:name="_Toc213312315" w:id="113"/>
      <w:r w:rsidRPr="00212D3B">
        <w:lastRenderedPageBreak/>
        <w:t>CPUC/OEIS 2021 Audit</w:t>
      </w:r>
      <w:r>
        <w:rPr>
          <w:b w:val="0"/>
        </w:rPr>
        <w:t xml:space="preserve"> </w:t>
      </w:r>
      <w:bookmarkEnd w:id="112"/>
      <w:r>
        <w:t>and Other Issues Raised by PCF</w:t>
      </w:r>
      <w:bookmarkEnd w:id="113"/>
    </w:p>
    <w:p w:rsidR="007253C8" w:rsidP="007253C8" w:rsidRDefault="007253C8" w14:paraId="591FE06D" w14:textId="5E6A29C1">
      <w:pPr>
        <w:pStyle w:val="Standard"/>
      </w:pPr>
      <w:r w:rsidRPr="00CA1B29">
        <w:t xml:space="preserve">On </w:t>
      </w:r>
      <w:r>
        <w:t>December 15, 2021, OEIS published the C</w:t>
      </w:r>
      <w:r w:rsidRPr="00F623C9">
        <w:t xml:space="preserve">PUC/OEIS 2021 </w:t>
      </w:r>
      <w:r>
        <w:t>performance a</w:t>
      </w:r>
      <w:r w:rsidRPr="00F623C9">
        <w:t>udit</w:t>
      </w:r>
      <w:r>
        <w:t xml:space="preserve"> of SDG&amp;E</w:t>
      </w:r>
      <w:r w:rsidRPr="00EF59A1">
        <w:t>’</w:t>
      </w:r>
      <w:r>
        <w:t xml:space="preserve">s </w:t>
      </w:r>
      <w:r w:rsidRPr="00CA1B29">
        <w:t>Wildfire Mitigation Plan Expenditures</w:t>
      </w:r>
      <w:r>
        <w:t xml:space="preserve"> </w:t>
      </w:r>
      <w:r w:rsidRPr="00CA1B29">
        <w:t>(CPUC/OEIS 2021 Audit</w:t>
      </w:r>
      <w:r>
        <w:t xml:space="preserve"> or </w:t>
      </w:r>
      <w:r w:rsidRPr="00293403">
        <w:t>“</w:t>
      </w:r>
      <w:r>
        <w:t>the Audit</w:t>
      </w:r>
      <w:r w:rsidRPr="00293403">
        <w:t>”</w:t>
      </w:r>
      <w:r w:rsidR="00BF3D67">
        <w:t xml:space="preserve"> or “the Crowe Audit”</w:t>
      </w:r>
      <w:r w:rsidRPr="00CA1B29">
        <w:t>)</w:t>
      </w:r>
      <w:r>
        <w:t xml:space="preserve"> </w:t>
      </w:r>
      <w:r w:rsidRPr="00F623C9">
        <w:t>recorded to SDG&amp;E</w:t>
      </w:r>
      <w:r w:rsidRPr="00EF59A1">
        <w:t>’</w:t>
      </w:r>
      <w:r w:rsidRPr="00F623C9">
        <w:t>s WMP</w:t>
      </w:r>
      <w:r w:rsidR="00BF3D67">
        <w:t>M</w:t>
      </w:r>
      <w:r w:rsidRPr="00F623C9">
        <w:t>A</w:t>
      </w:r>
      <w:r>
        <w:t xml:space="preserve"> during the 2019–2020 period</w:t>
      </w:r>
      <w:r w:rsidRPr="00CA1B29">
        <w:t>.</w:t>
      </w:r>
      <w:r>
        <w:t xml:space="preserve"> PCF recommends that the </w:t>
      </w:r>
      <w:r w:rsidRPr="00F623C9">
        <w:t xml:space="preserve">Commission verify that SDG&amp;E has thoroughly addressed and complied with the CPUC/OEIS 2021 Audit’s findings and recommendations before it approves any of the 2019 or 2020 spending at issue </w:t>
      </w:r>
      <w:r>
        <w:t xml:space="preserve">in this proceeding. Further, PCF highlights the following two conclusions of the </w:t>
      </w:r>
      <w:r w:rsidRPr="00F623C9">
        <w:t>CPUC/OEIS 2021 Audit</w:t>
      </w:r>
      <w:r>
        <w:t>: 1) i</w:t>
      </w:r>
      <w:r w:rsidRPr="00445F4B">
        <w:t>n 2019 and 2020, SDG&amp;E underspent $240 million of GRC authorized funds and instead record</w:t>
      </w:r>
      <w:r>
        <w:t>ed</w:t>
      </w:r>
      <w:r w:rsidRPr="00445F4B">
        <w:t xml:space="preserve"> those funds to incremental accounts</w:t>
      </w:r>
      <w:r>
        <w:t>; and 2) b</w:t>
      </w:r>
      <w:r w:rsidRPr="00445F4B">
        <w:t xml:space="preserve">ecause </w:t>
      </w:r>
      <w:bookmarkStart w:name="_Hlk197682004" w:id="114"/>
      <w:r w:rsidRPr="00445F4B">
        <w:t>SDG&amp;E’s WMP cost categories did not align with its 2019 GRC cost categories, it was difficult for the auditors to assess the incrementality of SDG&amp;E’s wildfire mitigation costs</w:t>
      </w:r>
      <w:bookmarkEnd w:id="114"/>
      <w:r w:rsidRPr="00445F4B">
        <w:t>.</w:t>
      </w:r>
      <w:r>
        <w:rPr>
          <w:rStyle w:val="FootnoteReference"/>
        </w:rPr>
        <w:footnoteReference w:id="388"/>
      </w:r>
    </w:p>
    <w:p w:rsidR="007253C8" w:rsidP="007253C8" w:rsidRDefault="007253C8" w14:paraId="36F19DD3" w14:textId="41D54E51">
      <w:pPr>
        <w:pStyle w:val="Standard"/>
      </w:pPr>
      <w:r>
        <w:t>With regard to the first finding, t</w:t>
      </w:r>
      <w:r w:rsidRPr="00AC3796">
        <w:t xml:space="preserve">he </w:t>
      </w:r>
      <w:r w:rsidR="00E97279">
        <w:t>A</w:t>
      </w:r>
      <w:r w:rsidRPr="00AC3796">
        <w:t>udit recommends that, in any case where the 2019 GRC-authorized projects were not completed, SDG&amp;E should not be allowed future recovery of any incremental wildfire expenditures from 2019 to 2020 that were funded as a result of SDG&amp;E deferring and never completing GRC-adopted projects or activities.</w:t>
      </w:r>
      <w:r>
        <w:rPr>
          <w:rStyle w:val="FootnoteReference"/>
        </w:rPr>
        <w:footnoteReference w:id="389"/>
      </w:r>
    </w:p>
    <w:p w:rsidR="00AD59B8" w:rsidP="007253C8" w:rsidRDefault="007253C8" w14:paraId="6602D3C3" w14:textId="0744984F">
      <w:pPr>
        <w:pStyle w:val="Standard"/>
      </w:pPr>
      <w:r>
        <w:t xml:space="preserve">In reply, SDG&amp;E concludes that the </w:t>
      </w:r>
      <w:r w:rsidRPr="00445F4B">
        <w:t>Commission should find that SDG&amp;E has complied with any and all of the Crowe Audit recommendations</w:t>
      </w:r>
      <w:r>
        <w:t xml:space="preserve"> and </w:t>
      </w:r>
      <w:r w:rsidRPr="00445F4B">
        <w:t>provided its WMPMA costs at a thorough and reasonable level of detail for facilitating review</w:t>
      </w:r>
      <w:r>
        <w:t>.</w:t>
      </w:r>
      <w:r>
        <w:rPr>
          <w:rStyle w:val="FootnoteReference"/>
        </w:rPr>
        <w:footnoteReference w:id="390"/>
      </w:r>
      <w:r>
        <w:t xml:space="preserve"> With regard to the Audit</w:t>
      </w:r>
      <w:r w:rsidRPr="00EF59A1">
        <w:t>’</w:t>
      </w:r>
      <w:r>
        <w:t xml:space="preserve">s finding regarding </w:t>
      </w:r>
      <w:r>
        <w:lastRenderedPageBreak/>
        <w:t xml:space="preserve">underspending, SDG&amp;E states that it </w:t>
      </w:r>
      <w:r w:rsidRPr="001561C6">
        <w:t>presented evidence that, since the time period covered by the Crowe Audit, SDG&amp;E has overspent its 2019 GRC authorized amounts</w:t>
      </w:r>
      <w:r>
        <w:t>.</w:t>
      </w:r>
      <w:r w:rsidR="0079543E">
        <w:rPr>
          <w:rStyle w:val="FootnoteReference"/>
        </w:rPr>
        <w:footnoteReference w:id="391"/>
      </w:r>
      <w:r w:rsidR="00D628D4">
        <w:rPr>
          <w:rStyle w:val="CommentReference"/>
        </w:rPr>
        <w:t xml:space="preserve"> </w:t>
      </w:r>
      <w:r w:rsidR="00DB74B9">
        <w:t>Whether that is true or not, the Commission does not find the Crow</w:t>
      </w:r>
      <w:r w:rsidR="006B6838">
        <w:t>e</w:t>
      </w:r>
      <w:r w:rsidR="00DB74B9">
        <w:t xml:space="preserve"> Audit findings and recommendations to be directly relevant to this proceeding for the following reasons: 1)</w:t>
      </w:r>
      <w:r w:rsidR="00AD59B8">
        <w:t xml:space="preserve"> the </w:t>
      </w:r>
      <w:r w:rsidRPr="00AD59B8" w:rsidR="00AD59B8">
        <w:t>Crowe</w:t>
      </w:r>
      <w:r w:rsidR="00AD59B8">
        <w:t xml:space="preserve"> Audit’s </w:t>
      </w:r>
      <w:r w:rsidRPr="00AD59B8" w:rsidR="00AD59B8">
        <w:t>first recommendation pertain</w:t>
      </w:r>
      <w:r w:rsidR="00AD59B8">
        <w:t xml:space="preserve">ed to </w:t>
      </w:r>
      <w:r w:rsidRPr="00AD59B8" w:rsidR="00AD59B8">
        <w:t xml:space="preserve">SDG&amp;E’s WMPMA balance before it authorized SDG&amp;E’s 2021 Interim Relief Application, </w:t>
      </w:r>
      <w:r w:rsidR="00AD59B8">
        <w:t xml:space="preserve">not the specific issues in this case; 2) </w:t>
      </w:r>
      <w:r w:rsidRPr="00AD59B8" w:rsidR="00AD59B8">
        <w:t xml:space="preserve">the </w:t>
      </w:r>
      <w:r w:rsidR="00AD59B8">
        <w:t xml:space="preserve">Crowe </w:t>
      </w:r>
      <w:r w:rsidR="006B6838">
        <w:t>A</w:t>
      </w:r>
      <w:r w:rsidRPr="00AD59B8" w:rsidR="00AD59B8">
        <w:t>udit reflects SDG&amp;E’s WMP costs as of December 31, 2020, and includes costs incurred from January to May of 2019</w:t>
      </w:r>
      <w:r w:rsidR="00AD59B8">
        <w:t xml:space="preserve">, not a </w:t>
      </w:r>
      <w:r w:rsidRPr="00AD59B8" w:rsidR="00AD59B8">
        <w:t>complete picture of SDG&amp;E’s Track 2 request</w:t>
      </w:r>
      <w:r w:rsidR="00AD59B8">
        <w:t xml:space="preserve">. </w:t>
      </w:r>
    </w:p>
    <w:p w:rsidR="007253C8" w:rsidP="007253C8" w:rsidRDefault="007253C8" w14:paraId="39C346D2" w14:textId="2EAEA097">
      <w:pPr>
        <w:pStyle w:val="Standard"/>
      </w:pPr>
      <w:r>
        <w:t xml:space="preserve">With regard to the misalignment between </w:t>
      </w:r>
      <w:r w:rsidRPr="00D61D1B">
        <w:t xml:space="preserve">SDG&amp;E’s WMP cost categories </w:t>
      </w:r>
      <w:r>
        <w:t xml:space="preserve">and </w:t>
      </w:r>
      <w:r w:rsidRPr="00D61D1B">
        <w:t xml:space="preserve">its 2019 GRC cost categories, </w:t>
      </w:r>
      <w:r>
        <w:t>t</w:t>
      </w:r>
      <w:r w:rsidRPr="00D61D1B">
        <w:t xml:space="preserve">he second recommendation of the Crowe Audit reflected that “the timing of the 2019 GRC and the implementation of the WMP did not allow for complete alignment between the two documents.” </w:t>
      </w:r>
      <w:r>
        <w:t xml:space="preserve">As a result, </w:t>
      </w:r>
      <w:r w:rsidRPr="00D61D1B">
        <w:t xml:space="preserve">“alignment [of WMP and GRC reporting] would not be possible until the requirements of the WMP are updated </w:t>
      </w:r>
      <w:r>
        <w:t xml:space="preserve">in </w:t>
      </w:r>
      <w:r w:rsidRPr="00D61D1B">
        <w:t>the next GRC cycle</w:t>
      </w:r>
      <w:r>
        <w:t>.</w:t>
      </w:r>
      <w:r w:rsidRPr="00D61D1B">
        <w:t>”</w:t>
      </w:r>
      <w:r w:rsidRPr="7B393814">
        <w:rPr>
          <w:rStyle w:val="FootnoteReference"/>
        </w:rPr>
        <w:footnoteReference w:id="392"/>
      </w:r>
      <w:r w:rsidDel="593C49C5">
        <w:t xml:space="preserve"> </w:t>
      </w:r>
      <w:r>
        <w:t xml:space="preserve">To address this misalignment, the ALJs in this proceeding required SDG&amp;E to provide supplemental evidence to map the costs incurred for </w:t>
      </w:r>
      <w:r w:rsidRPr="00D61D1B">
        <w:t>SDG&amp;E’s WMP cost categories and its 2019 GRC cost categories</w:t>
      </w:r>
      <w:r>
        <w:t xml:space="preserve"> for the purpose of assessing incrementality.</w:t>
      </w:r>
    </w:p>
    <w:p w:rsidR="007253C8" w:rsidP="007253C8" w:rsidRDefault="007253C8" w14:paraId="1380AFCC" w14:textId="51177F97">
      <w:pPr>
        <w:pStyle w:val="Standard"/>
      </w:pPr>
      <w:r w:rsidRPr="005C6905">
        <w:t>PCF also argues that SDG&amp;E</w:t>
      </w:r>
      <w:r w:rsidRPr="00EF59A1">
        <w:t>’</w:t>
      </w:r>
      <w:r w:rsidRPr="005C6905">
        <w:t xml:space="preserve">s request for cost recovery should be denied due to </w:t>
      </w:r>
      <w:r>
        <w:t xml:space="preserve">spending </w:t>
      </w:r>
      <w:r w:rsidRPr="005C6905">
        <w:t xml:space="preserve">discrepancies </w:t>
      </w:r>
      <w:r>
        <w:t>among</w:t>
      </w:r>
      <w:r w:rsidRPr="005C6905">
        <w:t xml:space="preserve"> SDG&amp;E’s WMPs, WMP Updates, and SDG&amp;E’s testimony.</w:t>
      </w:r>
      <w:r>
        <w:rPr>
          <w:rStyle w:val="FootnoteReference"/>
        </w:rPr>
        <w:footnoteReference w:id="393"/>
      </w:r>
      <w:r>
        <w:t xml:space="preserve"> In reply,</w:t>
      </w:r>
      <w:r w:rsidR="008F7A81">
        <w:t xml:space="preserve"> </w:t>
      </w:r>
      <w:r w:rsidR="00625843">
        <w:t>SDG&amp;E</w:t>
      </w:r>
      <w:r>
        <w:t xml:space="preserve"> contends that t</w:t>
      </w:r>
      <w:r w:rsidRPr="003A2C6F">
        <w:t xml:space="preserve">here are no cost </w:t>
      </w:r>
      <w:r w:rsidRPr="003A2C6F">
        <w:lastRenderedPageBreak/>
        <w:t>discrepancies at issue to resolve</w:t>
      </w:r>
      <w:r>
        <w:t xml:space="preserve"> because: 1) the discrepancies were explained in testimony; 2) SDG&amp;E's witness e</w:t>
      </w:r>
      <w:r w:rsidRPr="003A2C6F">
        <w:t>xplained that the tables were accurate at the time they were submitted</w:t>
      </w:r>
      <w:r>
        <w:t xml:space="preserve">; 3) </w:t>
      </w:r>
      <w:r w:rsidRPr="00D61D1B">
        <w:t>“</w:t>
      </w:r>
      <w:r w:rsidRPr="003A2C6F">
        <w:t xml:space="preserve">there could have been updates since that time and the time </w:t>
      </w:r>
      <w:r>
        <w:t>SDG&amp;E pr</w:t>
      </w:r>
      <w:r w:rsidRPr="003A2C6F">
        <w:t>epared the Track 2 testimony</w:t>
      </w:r>
      <w:r>
        <w:t>;</w:t>
      </w:r>
      <w:r w:rsidRPr="003A2C6F">
        <w:t>”</w:t>
      </w:r>
      <w:r>
        <w:t xml:space="preserve"> 4) </w:t>
      </w:r>
      <w:r w:rsidRPr="003A2C6F">
        <w:t>adjustments could have been efforts to correct errors, or reflect progress that was made in various categories of work</w:t>
      </w:r>
      <w:r>
        <w:t xml:space="preserve">; and 5) SDG&amp;E </w:t>
      </w:r>
      <w:r w:rsidRPr="00CF596A">
        <w:t>testimony ha</w:t>
      </w:r>
      <w:r>
        <w:t>s</w:t>
      </w:r>
      <w:r w:rsidRPr="00CF596A">
        <w:t xml:space="preserve"> been the subject of </w:t>
      </w:r>
      <w:r>
        <w:t xml:space="preserve">more </w:t>
      </w:r>
      <w:r w:rsidRPr="00CF596A">
        <w:t>thorough review</w:t>
      </w:r>
      <w:r>
        <w:t>.</w:t>
      </w:r>
    </w:p>
    <w:p w:rsidRPr="00BA61E3" w:rsidR="007253C8" w:rsidP="007253C8" w:rsidRDefault="007253C8" w14:paraId="4AE4DFDA" w14:textId="77777777">
      <w:pPr>
        <w:pStyle w:val="Standard"/>
      </w:pPr>
      <w:r>
        <w:t>Whether these discrepancies are material or not, the Commission resolves them above in its review of requests for recovery specific to each cost category, some of which have been denied. In so doing, the Commission notes that the WMP</w:t>
      </w:r>
      <w:r w:rsidRPr="00CF596A">
        <w:t xml:space="preserve"> review process does not address cost recovery</w:t>
      </w:r>
      <w:r>
        <w:t>, and the Commission primarily reviews the evidence of costs provided in this proceeding where it is accorded more evidentiary weight than in WMPs.</w:t>
      </w:r>
    </w:p>
    <w:p w:rsidR="007253C8" w:rsidP="00C32E1C" w:rsidRDefault="007253C8" w14:paraId="496C979F" w14:textId="77777777">
      <w:pPr>
        <w:pStyle w:val="Heading1"/>
      </w:pPr>
      <w:bookmarkStart w:name="_Toc213312316" w:id="115"/>
      <w:r w:rsidRPr="0078386B">
        <w:t>Conclusion</w:t>
      </w:r>
      <w:bookmarkEnd w:id="115"/>
    </w:p>
    <w:p w:rsidR="007253C8" w:rsidP="007253C8" w:rsidRDefault="007253C8" w14:paraId="6601780A" w14:textId="77777777">
      <w:pPr>
        <w:pStyle w:val="Standard"/>
      </w:pPr>
      <w:r>
        <w:t>In response to legislation mandating the reduction of wildfire risk, SDG&amp;E made investments in wildfire mitigation during the 2019-2022 period to ensure the health and safety of its electrical system. The Commission finds most of these costs to have been effective in reducing wildfire risk and to be reasonable. But the Commission finds approximately 30 percent of such costs to be unreasonable. In the future, the Commission expects SDG&amp;E to consider making additional investments in wildfire mitigation programs, but such investments will require a greater showing that they are just, reasonable, and cost-effective.</w:t>
      </w:r>
    </w:p>
    <w:p w:rsidR="007253C8" w:rsidP="00C32E1C" w:rsidRDefault="007253C8" w14:paraId="61670A32" w14:textId="77777777">
      <w:pPr>
        <w:pStyle w:val="Heading1"/>
      </w:pPr>
      <w:bookmarkStart w:name="_Toc213312317" w:id="116"/>
      <w:r w:rsidRPr="0078386B">
        <w:t>Procedural</w:t>
      </w:r>
      <w:r>
        <w:t xml:space="preserve"> Matters</w:t>
      </w:r>
      <w:bookmarkEnd w:id="116"/>
    </w:p>
    <w:p w:rsidRPr="00493E87" w:rsidR="007253C8" w:rsidP="007253C8" w:rsidRDefault="007253C8" w14:paraId="48FF15F3" w14:textId="77777777">
      <w:pPr>
        <w:pStyle w:val="Standard"/>
      </w:pPr>
      <w:r w:rsidRPr="00493E87">
        <w:t>This decision affirms all rulings made by the ALJs and the assigned Commissioner in this proceeding. All motions not ruled on are deemed denied.</w:t>
      </w:r>
    </w:p>
    <w:p w:rsidRPr="00271C98" w:rsidR="007253C8" w:rsidP="00C32E1C" w:rsidRDefault="007253C8" w14:paraId="7CF9F9CB" w14:textId="0A990EE8">
      <w:pPr>
        <w:pStyle w:val="Heading1"/>
      </w:pPr>
      <w:bookmarkStart w:name="_Toc213312318" w:id="117"/>
      <w:r w:rsidRPr="00CE5BE1">
        <w:lastRenderedPageBreak/>
        <w:t xml:space="preserve">Comments </w:t>
      </w:r>
      <w:r w:rsidRPr="0078386B">
        <w:t>on</w:t>
      </w:r>
      <w:r w:rsidRPr="00CE5BE1">
        <w:t xml:space="preserve"> Proposed Decision</w:t>
      </w:r>
      <w:bookmarkEnd w:id="117"/>
    </w:p>
    <w:p w:rsidR="00A531A1" w:rsidP="009A5C19" w:rsidRDefault="007253C8" w14:paraId="336A8632" w14:textId="13A37E6D">
      <w:pPr>
        <w:pStyle w:val="Standard"/>
      </w:pPr>
      <w:r w:rsidRPr="00493E87">
        <w:t xml:space="preserve">The </w:t>
      </w:r>
      <w:r w:rsidR="00810E94">
        <w:t>P</w:t>
      </w:r>
      <w:r w:rsidRPr="00493E87">
        <w:t xml:space="preserve">roposed </w:t>
      </w:r>
      <w:r w:rsidR="00810E94">
        <w:t>D</w:t>
      </w:r>
      <w:r w:rsidRPr="00493E87">
        <w:t>ecision of ALJ</w:t>
      </w:r>
      <w:r>
        <w:t xml:space="preserve"> John H. Larsen </w:t>
      </w:r>
      <w:r w:rsidRPr="00493E87">
        <w:t>in this matter was mailed to the parties in accordance with Section 311 of the Public Utilities Code and comments were allowed under Rule 14.3 of the Commission’s Rules of Practice and Procedure</w:t>
      </w:r>
      <w:r w:rsidRPr="00493E87" w:rsidDel="00137343">
        <w:t xml:space="preserve">. </w:t>
      </w:r>
      <w:r w:rsidRPr="00493E87">
        <w:t xml:space="preserve">Comments were filed on </w:t>
      </w:r>
      <w:r w:rsidR="00B5611B">
        <w:t xml:space="preserve">December 4, 2025 by </w:t>
      </w:r>
      <w:r w:rsidR="006D72B8">
        <w:t xml:space="preserve">SDG&amp;E, Cal Advocates, TURN, PCF, and </w:t>
      </w:r>
      <w:r w:rsidR="00B5611B">
        <w:t>UCAN</w:t>
      </w:r>
      <w:r w:rsidRPr="00493E87">
        <w:t xml:space="preserve">, and reply comments were filed on </w:t>
      </w:r>
      <w:r w:rsidR="0065395F">
        <w:t>December 9, 2025</w:t>
      </w:r>
      <w:r w:rsidRPr="00493E87" w:rsidR="0065395F">
        <w:t xml:space="preserve"> </w:t>
      </w:r>
      <w:r w:rsidRPr="00493E87">
        <w:t xml:space="preserve">by </w:t>
      </w:r>
      <w:r w:rsidR="0065395F">
        <w:t>SDG&amp;E, Cal Advocates, TURN, PCF, and SBUA</w:t>
      </w:r>
      <w:r w:rsidRPr="00493E87">
        <w:t>.</w:t>
      </w:r>
    </w:p>
    <w:p w:rsidRPr="00D7242E" w:rsidR="00D7242E" w:rsidP="00D7242E" w:rsidRDefault="00D7242E" w14:paraId="5680C9CC" w14:textId="267C0F43">
      <w:pPr>
        <w:pStyle w:val="Standard"/>
      </w:pPr>
      <w:r w:rsidRPr="00D7242E">
        <w:t>Pursuant to Rules 14.3(c) and 14.3(d), comments are required to focus on factual, legal</w:t>
      </w:r>
      <w:r w:rsidR="009B457D">
        <w:t>,</w:t>
      </w:r>
      <w:r w:rsidRPr="00D7242E">
        <w:t xml:space="preserve"> or technical errors in the </w:t>
      </w:r>
      <w:r w:rsidR="00810E94">
        <w:t>P</w:t>
      </w:r>
      <w:r w:rsidRPr="00D7242E">
        <w:t xml:space="preserve">roposed </w:t>
      </w:r>
      <w:r w:rsidR="00810E94">
        <w:t>D</w:t>
      </w:r>
      <w:r w:rsidRPr="00D7242E">
        <w:t xml:space="preserve">ecision or the comments of the other parties with specific references to the record or applicable law. Comments that failed to do so were accorded no weight. Parties provided helpful and extensive comments on a wide range of issues, and all comments were considered carefully. In response to comments, the </w:t>
      </w:r>
      <w:r w:rsidR="00810E94">
        <w:t>P</w:t>
      </w:r>
      <w:r w:rsidRPr="00D7242E">
        <w:t xml:space="preserve">roposed </w:t>
      </w:r>
      <w:r w:rsidR="00810E94">
        <w:t>D</w:t>
      </w:r>
      <w:r w:rsidRPr="00D7242E">
        <w:t>ecision has been revised to correct errors, clarify the decision, maintain consistency, and update the revenue requirement.</w:t>
      </w:r>
    </w:p>
    <w:p w:rsidRPr="00D7242E" w:rsidR="00D7242E" w:rsidP="00D7242E" w:rsidRDefault="00D7242E" w14:paraId="25CA8DB9" w14:textId="0235E794">
      <w:pPr>
        <w:pStyle w:val="Standard"/>
      </w:pPr>
      <w:r w:rsidRPr="00D7242E">
        <w:t>In its Opening Comments, SDG&amp;E claims that the Proposed Decision errs by disallowing costs based on cost-effectiveness standards that were issued or adopted after SDG&amp;E incurred those costs in the 2019</w:t>
      </w:r>
      <w:r w:rsidR="0020619D">
        <w:t>–</w:t>
      </w:r>
      <w:r w:rsidRPr="00D7242E">
        <w:t>2022 timeframe.</w:t>
      </w:r>
      <w:r w:rsidRPr="00D7242E">
        <w:rPr>
          <w:vertAlign w:val="superscript"/>
        </w:rPr>
        <w:footnoteReference w:id="394"/>
      </w:r>
      <w:r w:rsidRPr="00D7242E">
        <w:t xml:space="preserve"> The decision has been clarified to correctly state the cost-effectiveness standard </w:t>
      </w:r>
      <w:r w:rsidR="004C027F">
        <w:t>with</w:t>
      </w:r>
      <w:r w:rsidRPr="00D7242E">
        <w:t xml:space="preserve">in the prudent manager standard in effect prior to 2019. This was the standard applied in this decision. Other areas of the decision have been corrected to clarify how the conclusions in this decision were based on the prudent manager standard in effect prior to 2019, not based </w:t>
      </w:r>
      <w:r w:rsidR="00CF5F0A">
        <w:t xml:space="preserve">on </w:t>
      </w:r>
      <w:r w:rsidRPr="00D7242E">
        <w:t xml:space="preserve">any cost-efficiency </w:t>
      </w:r>
      <w:r w:rsidRPr="00D7242E">
        <w:lastRenderedPageBreak/>
        <w:t>standards promulgated after 2019 or any new interpretation of it, as SDG&amp;E claims.</w:t>
      </w:r>
    </w:p>
    <w:p w:rsidRPr="00D7242E" w:rsidR="00D7242E" w:rsidP="00D7242E" w:rsidRDefault="00D7242E" w14:paraId="66ABBA49" w14:textId="6901D348">
      <w:pPr>
        <w:pStyle w:val="Standard"/>
      </w:pPr>
      <w:r w:rsidRPr="00D7242E">
        <w:t>As discussed in the Track 1 decision in this proceeding</w:t>
      </w:r>
      <w:r w:rsidRPr="00D7242E">
        <w:rPr>
          <w:vertAlign w:val="superscript"/>
        </w:rPr>
        <w:footnoteReference w:id="395"/>
      </w:r>
      <w:r w:rsidRPr="00D7242E">
        <w:t xml:space="preserve"> and commented </w:t>
      </w:r>
      <w:r w:rsidR="00D6090E">
        <w:t xml:space="preserve">on </w:t>
      </w:r>
      <w:r w:rsidRPr="00D7242E">
        <w:t>by intervenors, SDG&amp;E was required to submit plans for wildfire mitigations in WMPs to obtain its safety certificate</w:t>
      </w:r>
      <w:r w:rsidRPr="00D7242E">
        <w:rPr>
          <w:vertAlign w:val="superscript"/>
        </w:rPr>
        <w:footnoteReference w:id="396"/>
      </w:r>
      <w:r w:rsidRPr="00D7242E">
        <w:t xml:space="preserve"> and to comply with other statutory </w:t>
      </w:r>
      <w:r w:rsidR="00D6090E">
        <w:t>obligations</w:t>
      </w:r>
      <w:r w:rsidRPr="00D7242E">
        <w:t>. The Commission should not need to reiterate what SDG&amp;E has acknowledged</w:t>
      </w:r>
      <w:r w:rsidR="00D6090E">
        <w:t>—</w:t>
      </w:r>
      <w:r w:rsidRPr="00D7242E">
        <w:t>that WMP approval is not synonymous with approval of associated costs, which are addressed in Commission proceedings. OEIS decisions do not address a utility’s optimal portfolio of wildfire mitigations considering the affordability and reasonableness of rates. In evaluating a utility’s WMP, OEIS considers the areas where the electrical corporation must improve, as well as the progress it plans to achieve in its areas of strength.</w:t>
      </w:r>
      <w:r w:rsidRPr="00D7242E">
        <w:rPr>
          <w:vertAlign w:val="superscript"/>
        </w:rPr>
        <w:footnoteReference w:id="397"/>
      </w:r>
      <w:r w:rsidRPr="00D7242E">
        <w:t xml:space="preserve"> Intervenors have also argued that SDG&amp;E has not complied with various WMPs that it has relied upon. However, since this is not a WMP compliance proceeding, the focus in this decision is whether SDG&amp;E demonstrated that it incurred its costs reasonably. The WMP </w:t>
      </w:r>
      <w:r w:rsidR="007C1849">
        <w:t xml:space="preserve">process </w:t>
      </w:r>
      <w:r w:rsidR="00B229F9">
        <w:t>is not a substitute for</w:t>
      </w:r>
      <w:r w:rsidRPr="00D7242E">
        <w:t xml:space="preserve"> the </w:t>
      </w:r>
      <w:r w:rsidR="00BD11A5">
        <w:t xml:space="preserve">Commission’s </w:t>
      </w:r>
      <w:r w:rsidRPr="00D7242E">
        <w:t>statutory objective of determining the reasonableness of costs.</w:t>
      </w:r>
      <w:r w:rsidRPr="00D7242E">
        <w:rPr>
          <w:vertAlign w:val="superscript"/>
        </w:rPr>
        <w:footnoteReference w:id="398"/>
      </w:r>
    </w:p>
    <w:p w:rsidRPr="00D7242E" w:rsidR="00D7242E" w:rsidP="00D7242E" w:rsidRDefault="00D7242E" w14:paraId="651678AE" w14:textId="06136C0B">
      <w:pPr>
        <w:pStyle w:val="Standard"/>
      </w:pPr>
      <w:r w:rsidRPr="00D7242E">
        <w:t xml:space="preserve">Contrary to </w:t>
      </w:r>
      <w:r>
        <w:t xml:space="preserve">the </w:t>
      </w:r>
      <w:r w:rsidRPr="00D7242E">
        <w:t>claims of SDG&amp;E,</w:t>
      </w:r>
      <w:r w:rsidRPr="00D7242E">
        <w:rPr>
          <w:vertAlign w:val="superscript"/>
        </w:rPr>
        <w:footnoteReference w:id="399"/>
      </w:r>
      <w:r w:rsidRPr="00D7242E">
        <w:t xml:space="preserve"> Section 8386.4 requires the Commission to disallow unreasonable costs even when OEIS and the Commission have determined </w:t>
      </w:r>
      <w:r w:rsidR="00BD11A5">
        <w:t xml:space="preserve">that </w:t>
      </w:r>
      <w:r w:rsidRPr="00D7242E">
        <w:t>the program promote</w:t>
      </w:r>
      <w:r w:rsidR="00BD11A5">
        <w:t>s</w:t>
      </w:r>
      <w:r w:rsidRPr="00D7242E">
        <w:t xml:space="preserve"> public safety. The </w:t>
      </w:r>
      <w:r w:rsidR="00BD11A5">
        <w:t xml:space="preserve">2019 </w:t>
      </w:r>
      <w:r w:rsidRPr="00D7242E">
        <w:t xml:space="preserve">Wildfire Legislation did not intend for ratepayers to pay for unlimited costs for </w:t>
      </w:r>
      <w:r w:rsidRPr="00D7242E">
        <w:lastRenderedPageBreak/>
        <w:t xml:space="preserve">programs, which may be duplicative or not cost-effective. The disallowance of costs as unreasonable also does not conflict with the approval of possible future costs for similar programs in SDG&amp;E’s 2024 GRC decision. Nor does any of the above violate due process, as SDG&amp;E is on notice that the Commission must disallow costs not demonstrated to be reasonable. In addition, Section 463(b) requires a mandatory disallowance when the utility has not provided sufficient records for the Commission to perform a thorough reasonableness review of its capital </w:t>
      </w:r>
      <w:r w:rsidR="001D3EE8">
        <w:t xml:space="preserve">expenditures </w:t>
      </w:r>
      <w:r w:rsidRPr="00D7242E">
        <w:t>and O&amp;M costs.</w:t>
      </w:r>
    </w:p>
    <w:p w:rsidR="00D7242E" w:rsidP="00D7242E" w:rsidRDefault="00D7242E" w14:paraId="2A209636" w14:textId="3224A848">
      <w:pPr>
        <w:pStyle w:val="Standard"/>
      </w:pPr>
      <w:r w:rsidRPr="00D7242E">
        <w:t>For the Commission to determine if a requested cost is reasonable, utilities have the burden to provide sufficient evidence of reasonableness. Without sufficient evidence, the Commission is unable to authorize cost-based rates that utilities are obligated</w:t>
      </w:r>
      <w:r w:rsidR="001D3EE8">
        <w:t xml:space="preserve"> to</w:t>
      </w:r>
      <w:r w:rsidRPr="00D7242E">
        <w:t xml:space="preserve"> charge according to the regulatory compact.</w:t>
      </w:r>
      <w:r w:rsidRPr="00D7242E">
        <w:rPr>
          <w:vertAlign w:val="superscript"/>
        </w:rPr>
        <w:footnoteReference w:id="400"/>
      </w:r>
      <w:r w:rsidRPr="00D7242E">
        <w:t xml:space="preserve"> For example, SDG&amp;E advocates for correcting the Proposed Decision to allow recovery of the capital </w:t>
      </w:r>
      <w:r w:rsidR="001D3EE8">
        <w:t xml:space="preserve">expenditures </w:t>
      </w:r>
      <w:r w:rsidRPr="00D7242E">
        <w:t xml:space="preserve">($66.6 million) and O&amp;M </w:t>
      </w:r>
      <w:r w:rsidRPr="00D7242E" w:rsidR="001D3EE8">
        <w:t xml:space="preserve">costs </w:t>
      </w:r>
      <w:r w:rsidRPr="00D7242E">
        <w:t xml:space="preserve">($69.5 million) related to necessary repairs resulting from drone inspections. Unfortunately, SDG&amp;E failed to provide </w:t>
      </w:r>
      <w:r w:rsidR="0085578E">
        <w:t xml:space="preserve">citations to record evidence to substantiate </w:t>
      </w:r>
      <w:r w:rsidRPr="00D7242E">
        <w:t>such costs. However, to repair infrastructure presenting fire risk, the Commission finds it reasonable to allow additional evidence into the proceeding to the limited degree specified at the end of Section 7.6.</w:t>
      </w:r>
    </w:p>
    <w:p w:rsidR="00736B4C" w:rsidP="00736B4C" w:rsidRDefault="00736B4C" w14:paraId="41A9E67E" w14:textId="1F8E8AED">
      <w:pPr>
        <w:pStyle w:val="Standard"/>
      </w:pPr>
      <w:r>
        <w:t xml:space="preserve">For activities without known metrics or targets, more information is needed to determine reasonableness. Capital expenditures require more information to support categorizing costs </w:t>
      </w:r>
      <w:r w:rsidR="00BF5828">
        <w:t>compared to</w:t>
      </w:r>
      <w:r>
        <w:t xml:space="preserve"> O&amp;M. O&amp;M expenses that may be similar to existing work also require utilities to provide more information to establish incrementality by demonstrating whether the utility </w:t>
      </w:r>
      <w:r>
        <w:lastRenderedPageBreak/>
        <w:t xml:space="preserve">hired additional employees, or used existing resources and replaced them with additional labor. </w:t>
      </w:r>
    </w:p>
    <w:p w:rsidRPr="00D7242E" w:rsidR="00E77F07" w:rsidP="00E77F07" w:rsidRDefault="00E77F07" w14:paraId="7FC878D9" w14:textId="03C588C0">
      <w:pPr>
        <w:pStyle w:val="Standard"/>
      </w:pPr>
      <w:r>
        <w:t xml:space="preserve">For Fuels Management </w:t>
      </w:r>
      <w:r w:rsidRPr="00EF0EB8">
        <w:t>SDG&amp;E requests recovery for over $22 million in costs, with only one page of support without discussion of costs in workpapers</w:t>
      </w:r>
      <w:r>
        <w:t xml:space="preserve"> for a cost that has not been well</w:t>
      </w:r>
      <w:r w:rsidR="00096C13">
        <w:t>-</w:t>
      </w:r>
      <w:r>
        <w:t>scrutinized.</w:t>
      </w:r>
      <w:r w:rsidRPr="00EF0EB8">
        <w:t xml:space="preserve"> </w:t>
      </w:r>
    </w:p>
    <w:p w:rsidRPr="00D7242E" w:rsidR="00D7242E" w:rsidP="00D7242E" w:rsidRDefault="00D7242E" w14:paraId="3F2F57C7" w14:textId="4C7406D9">
      <w:pPr>
        <w:pStyle w:val="Standard"/>
      </w:pPr>
      <w:r w:rsidRPr="00D7242E">
        <w:t xml:space="preserve">In SDG&amp;E’s Opening Comments, SDG&amp;E argued that the Proposed Decision was in error because the Proposed Decision wrongly assumed that all </w:t>
      </w:r>
      <w:r w:rsidR="00BE2BFB">
        <w:t xml:space="preserve">PSPS Communication and Stakeholder Engagement </w:t>
      </w:r>
      <w:r w:rsidRPr="00D7242E">
        <w:t>cos</w:t>
      </w:r>
      <w:r w:rsidR="007C1849">
        <w:t xml:space="preserve">ts </w:t>
      </w:r>
      <w:r w:rsidRPr="00D7242E">
        <w:t>arose from the Alerts by SDG&amp;E app. However, contrary to what the parties unclearly stated during oral argument,</w:t>
      </w:r>
      <w:r w:rsidRPr="00D7242E">
        <w:rPr>
          <w:vertAlign w:val="superscript"/>
        </w:rPr>
        <w:footnoteReference w:id="401"/>
      </w:r>
      <w:r w:rsidRPr="00D7242E">
        <w:t xml:space="preserve"> a search of the workpapers for meaningful information regarding the </w:t>
      </w:r>
      <w:r w:rsidRPr="00D7242E">
        <w:rPr>
          <w:bCs/>
        </w:rPr>
        <w:t>Stakeholder Cooperation &amp; Community Engagement (SC&amp;CE) cost category only revealed two line items in the workpapers: Community Engagement – Community Outreach and Public Awareness and PSPS Communication Practices.</w:t>
      </w:r>
      <w:r w:rsidRPr="00D7242E">
        <w:t xml:space="preserve"> In other words, the conclusion in the Proposed Decision was partly based on a fact</w:t>
      </w:r>
      <w:r w:rsidR="00C474E3">
        <w:t>ual claim</w:t>
      </w:r>
      <w:r w:rsidRPr="00D7242E">
        <w:t xml:space="preserve"> that could not be verified to be in the record.</w:t>
      </w:r>
    </w:p>
    <w:p w:rsidRPr="00D7242E" w:rsidR="00D7242E" w:rsidP="00D7242E" w:rsidRDefault="00D7242E" w14:paraId="1647560C" w14:textId="2B5A6887">
      <w:pPr>
        <w:pStyle w:val="Standard"/>
      </w:pPr>
      <w:r w:rsidRPr="00D7242E">
        <w:t>Th</w:t>
      </w:r>
      <w:r w:rsidR="00B6449A">
        <w:t>is</w:t>
      </w:r>
      <w:r w:rsidRPr="00D7242E">
        <w:t xml:space="preserve"> decision </w:t>
      </w:r>
      <w:r w:rsidR="00B6449A">
        <w:t>rejects SDG&amp;E’s arguments and denie</w:t>
      </w:r>
      <w:r w:rsidR="000110A4">
        <w:t xml:space="preserve">s </w:t>
      </w:r>
      <w:r w:rsidRPr="00D7242E">
        <w:t xml:space="preserve">SDG&amp;E’s request for </w:t>
      </w:r>
      <w:r w:rsidR="00C474E3">
        <w:t>$</w:t>
      </w:r>
      <w:r w:rsidRPr="00D7242E">
        <w:t xml:space="preserve">16.9 million in revenue requirement for the segmentation of gas costs from SDG&amp;E’s Distribution Communication Reliability Improvement Program (DCRI) and the denial of its reallocation. This is another example of SDG&amp;E’s failure to support its request. SDG&amp;E’s citation to the methodology approved in a previous decision is not sufficient to identify the allocation method, how it was implemented, and how the requested amount of $16.9 million is reasonable. </w:t>
      </w:r>
    </w:p>
    <w:p w:rsidRPr="00D7242E" w:rsidR="00D7242E" w:rsidP="00D7242E" w:rsidRDefault="00D7242E" w14:paraId="49BCBB4A" w14:textId="2E05193A">
      <w:pPr>
        <w:pStyle w:val="Standard"/>
      </w:pPr>
      <w:r w:rsidRPr="00D7242E">
        <w:lastRenderedPageBreak/>
        <w:t>The decision allow</w:t>
      </w:r>
      <w:r w:rsidR="00B6449A">
        <w:t xml:space="preserve">s SDG&amp;E to recover accrued interest </w:t>
      </w:r>
      <w:r w:rsidR="00340218">
        <w:t xml:space="preserve">by providing the information specified </w:t>
      </w:r>
      <w:r w:rsidRPr="00D7242E">
        <w:t xml:space="preserve">through a Tier </w:t>
      </w:r>
      <w:r w:rsidR="00C474E3">
        <w:t>2</w:t>
      </w:r>
      <w:r w:rsidRPr="00D7242E">
        <w:t xml:space="preserve"> Advice Letter.</w:t>
      </w:r>
      <w:r w:rsidR="00E36E8C">
        <w:t xml:space="preserve"> </w:t>
      </w:r>
      <w:r w:rsidRPr="00E36E8C" w:rsidR="00E36E8C">
        <w:t xml:space="preserve">However, accrual of interest on </w:t>
      </w:r>
      <w:r w:rsidR="001E5168">
        <w:t xml:space="preserve">recorded </w:t>
      </w:r>
      <w:r w:rsidRPr="00E36E8C" w:rsidR="00E36E8C">
        <w:t>drone inspection and repair costs is suspended effective January 15, 2025</w:t>
      </w:r>
      <w:r w:rsidR="00E36E8C">
        <w:t>.</w:t>
      </w:r>
    </w:p>
    <w:p w:rsidRPr="00D7242E" w:rsidR="00D7242E" w:rsidP="00D7242E" w:rsidRDefault="00D7242E" w14:paraId="6869D0CF" w14:textId="39108FE3">
      <w:pPr>
        <w:pStyle w:val="Standard"/>
      </w:pPr>
      <w:r w:rsidRPr="00D7242E">
        <w:t>The Commission finds the cost of employee benefits</w:t>
      </w:r>
      <w:r w:rsidR="00C474E3">
        <w:t>,</w:t>
      </w:r>
      <w:r w:rsidRPr="00D7242E">
        <w:t xml:space="preserve"> for employees the Commission found to be incremental</w:t>
      </w:r>
      <w:r w:rsidR="00C474E3">
        <w:t>,</w:t>
      </w:r>
      <w:r w:rsidRPr="00D7242E">
        <w:t xml:space="preserve"> to be reasonable. This corrects the disallowance in Section 13.2. </w:t>
      </w:r>
    </w:p>
    <w:p w:rsidRPr="00D7242E" w:rsidR="00D7242E" w:rsidP="00D7242E" w:rsidRDefault="00D7242E" w14:paraId="3E7C879D" w14:textId="77777777">
      <w:pPr>
        <w:pStyle w:val="Standard"/>
      </w:pPr>
      <w:r w:rsidRPr="00D7242E">
        <w:t xml:space="preserve">The Commission clarifies but does not alter any other disallowances. </w:t>
      </w:r>
    </w:p>
    <w:p w:rsidRPr="00D7242E" w:rsidR="00D7242E" w:rsidP="0037110F" w:rsidRDefault="00D7242E" w14:paraId="3AFD12C1" w14:textId="326E99B2">
      <w:pPr>
        <w:pStyle w:val="Standard"/>
      </w:pPr>
      <w:r w:rsidRPr="00D7242E">
        <w:t xml:space="preserve">The intervenors largely agree that SDG&amp;E’s showings were deficient, particularly with regard to strategic hardening. In fact, TURN filed a motion supported by PCF recommending that the Commission require SDG&amp;E to refile its application for this reason. Although the Commission agrees with intervenors to some extent regarding the deficiency of SDG&amp;E’s showings regarding cost-effectiveness, the Commission disagrees with intervenors regarding SDG&amp;E’s request for recovery of strategic undergrounding costs in particular. In this regard, the Commission revises the decision to better describe how it determines whether a cost is unreasonable or not. </w:t>
      </w:r>
    </w:p>
    <w:p w:rsidRPr="00D7242E" w:rsidR="00D7242E" w:rsidP="00D7242E" w:rsidRDefault="00824272" w14:paraId="19C557E6" w14:textId="580B0C84">
      <w:pPr>
        <w:pStyle w:val="Standard"/>
      </w:pPr>
      <w:r>
        <w:t>T</w:t>
      </w:r>
      <w:r w:rsidRPr="00D7242E" w:rsidR="00D7242E">
        <w:t>he Commission has the discretion, in cases such as this, where a reasonableness review follows a test-year GRC decision, to approve costs partly due to consistency with the decision authorizing a GRC forecast. However, unlike SDG&amp;E argues,</w:t>
      </w:r>
      <w:r w:rsidRPr="00D7242E" w:rsidR="00D7242E">
        <w:rPr>
          <w:vertAlign w:val="superscript"/>
        </w:rPr>
        <w:footnoteReference w:id="402"/>
      </w:r>
      <w:r w:rsidRPr="00D7242E" w:rsidR="00D7242E">
        <w:t xml:space="preserve"> the Commission is not bound to approve costs</w:t>
      </w:r>
      <w:r w:rsidR="00BA0835">
        <w:t xml:space="preserve"> after-the-fact</w:t>
      </w:r>
      <w:r w:rsidRPr="00D7242E" w:rsidR="00D7242E">
        <w:t xml:space="preserve"> </w:t>
      </w:r>
      <w:r w:rsidR="00BA0835">
        <w:t>based on a</w:t>
      </w:r>
      <w:r w:rsidRPr="00D7242E" w:rsidR="00D7242E">
        <w:t xml:space="preserve"> decision authorizing </w:t>
      </w:r>
      <w:r w:rsidR="00D55AD6">
        <w:t xml:space="preserve">similar costs in </w:t>
      </w:r>
      <w:r w:rsidRPr="00D7242E" w:rsidR="00D7242E">
        <w:t>a GRC</w:t>
      </w:r>
      <w:r w:rsidR="00D55AD6">
        <w:t xml:space="preserve"> forecast</w:t>
      </w:r>
      <w:r w:rsidRPr="00D7242E" w:rsidR="00D7242E">
        <w:t xml:space="preserve">. </w:t>
      </w:r>
    </w:p>
    <w:p w:rsidRPr="00D7242E" w:rsidR="00D7242E" w:rsidP="00D7242E" w:rsidRDefault="00D7242E" w14:paraId="42C9C79B" w14:textId="3AEC0F67">
      <w:pPr>
        <w:pStyle w:val="Standard"/>
      </w:pPr>
      <w:r w:rsidRPr="00D7242E">
        <w:t>The Commission revises the decision to make the following clarifications</w:t>
      </w:r>
      <w:r w:rsidR="00824272">
        <w:t>:</w:t>
      </w:r>
    </w:p>
    <w:p w:rsidRPr="00D7242E" w:rsidR="00D7242E" w:rsidP="006E4CA6" w:rsidRDefault="00D7242E" w14:paraId="51FB4FDD" w14:textId="77777777">
      <w:pPr>
        <w:pStyle w:val="ListBullet"/>
        <w:ind w:right="1440"/>
      </w:pPr>
      <w:r w:rsidRPr="00D7242E">
        <w:t>the decision clarifies the applicable incrementality standard and its application;</w:t>
      </w:r>
    </w:p>
    <w:p w:rsidRPr="00D7242E" w:rsidR="00D7242E" w:rsidP="006E4CA6" w:rsidRDefault="00D7242E" w14:paraId="3133A0DC" w14:textId="77777777">
      <w:pPr>
        <w:pStyle w:val="ListBullet"/>
        <w:tabs>
          <w:tab w:val="clear" w:pos="360"/>
        </w:tabs>
        <w:ind w:left="1080" w:right="1440"/>
      </w:pPr>
      <w:r w:rsidRPr="00D7242E">
        <w:lastRenderedPageBreak/>
        <w:t>the decision revises Ordering Paragraph 10 regarding a potential future securitization application;</w:t>
      </w:r>
    </w:p>
    <w:p w:rsidRPr="00D7242E" w:rsidR="00D7242E" w:rsidP="006E4CA6" w:rsidRDefault="00D7242E" w14:paraId="24AEEE04" w14:textId="77777777">
      <w:pPr>
        <w:pStyle w:val="ListBullet"/>
        <w:tabs>
          <w:tab w:val="clear" w:pos="360"/>
        </w:tabs>
        <w:ind w:left="1080" w:right="1440"/>
      </w:pPr>
      <w:r w:rsidRPr="00D7242E">
        <w:t>the decision clarifies that the Ernst &amp; Young review is provided in a “report” and not an “audit;”</w:t>
      </w:r>
    </w:p>
    <w:p w:rsidRPr="00D7242E" w:rsidR="00D7242E" w:rsidP="006E4CA6" w:rsidRDefault="00D7242E" w14:paraId="65EDDDFA" w14:textId="0D17A808">
      <w:pPr>
        <w:pStyle w:val="ListBullet"/>
        <w:tabs>
          <w:tab w:val="clear" w:pos="360"/>
        </w:tabs>
        <w:ind w:left="1080" w:right="1440"/>
      </w:pPr>
      <w:r w:rsidRPr="00D7242E">
        <w:t xml:space="preserve">the decision clarifies how the determination of revenue requirement and the authorization of its rate recovery through 2025 and later through 2027 is within the scope of this proceeding. This is how </w:t>
      </w:r>
      <w:proofErr w:type="spellStart"/>
      <w:r w:rsidRPr="00D7242E">
        <w:t>undercollected</w:t>
      </w:r>
      <w:proofErr w:type="spellEnd"/>
      <w:r w:rsidRPr="00D7242E">
        <w:t xml:space="preserve"> reasonable costs are recovered in rates as required by law, which is the purpose of this proceeding;  </w:t>
      </w:r>
    </w:p>
    <w:p w:rsidRPr="00D7242E" w:rsidR="00D7242E" w:rsidP="006E4CA6" w:rsidRDefault="000110A4" w14:paraId="7169A772" w14:textId="5F95E491">
      <w:pPr>
        <w:pStyle w:val="ListBullet"/>
        <w:tabs>
          <w:tab w:val="clear" w:pos="360"/>
        </w:tabs>
        <w:ind w:left="1080" w:right="1440"/>
      </w:pPr>
      <w:r>
        <w:t>t</w:t>
      </w:r>
      <w:r w:rsidRPr="00D7242E" w:rsidR="00D7242E">
        <w:t>h</w:t>
      </w:r>
      <w:r w:rsidR="00824272">
        <w:t>e</w:t>
      </w:r>
      <w:r w:rsidRPr="00D7242E" w:rsidR="00D7242E">
        <w:t xml:space="preserve"> decision </w:t>
      </w:r>
      <w:r w:rsidR="00824272">
        <w:t xml:space="preserve">is </w:t>
      </w:r>
      <w:r w:rsidRPr="00D7242E" w:rsidR="00D7242E">
        <w:t>revise</w:t>
      </w:r>
      <w:r w:rsidR="00824272">
        <w:t>d</w:t>
      </w:r>
      <w:r w:rsidRPr="00D7242E" w:rsidR="00D7242E">
        <w:t xml:space="preserve"> to indicate </w:t>
      </w:r>
      <w:r w:rsidR="00824272">
        <w:t>that</w:t>
      </w:r>
      <w:r w:rsidRPr="00D7242E" w:rsidR="00D7242E">
        <w:t xml:space="preserve"> little, if any, weight is given to the Supplemental Exhibit in any conclusions reached in the decision</w:t>
      </w:r>
      <w:r w:rsidR="00824272">
        <w:t>;</w:t>
      </w:r>
      <w:r w:rsidRPr="00D7242E" w:rsidR="00D7242E">
        <w:t xml:space="preserve"> </w:t>
      </w:r>
    </w:p>
    <w:p w:rsidRPr="00D7242E" w:rsidR="00D7242E" w:rsidP="006E4CA6" w:rsidRDefault="00824272" w14:paraId="7D49A244" w14:textId="146E6838">
      <w:pPr>
        <w:pStyle w:val="ListBullet"/>
        <w:tabs>
          <w:tab w:val="clear" w:pos="360"/>
        </w:tabs>
        <w:ind w:left="1080" w:right="1440"/>
      </w:pPr>
      <w:r>
        <w:t>t</w:t>
      </w:r>
      <w:r w:rsidRPr="00D7242E" w:rsidR="00D7242E">
        <w:t>he decision is revised to reflect that the Crowe Audit is not directly relevant to this proceeding.</w:t>
      </w:r>
    </w:p>
    <w:p w:rsidR="00D7242E" w:rsidP="009A5C19" w:rsidRDefault="00D7242E" w14:paraId="0D3727E2" w14:textId="16AF4A10">
      <w:pPr>
        <w:pStyle w:val="Standard"/>
      </w:pPr>
      <w:r w:rsidRPr="00D7242E">
        <w:t>Contrary to the arguments of SDG&amp;E, the Commission finds that the disallowances in this decision result primarily from SDG&amp;E’s failure to provide information as part of its obligations under the regulatory compact.</w:t>
      </w:r>
      <w:r w:rsidRPr="00D7242E">
        <w:rPr>
          <w:vertAlign w:val="superscript"/>
        </w:rPr>
        <w:footnoteReference w:id="403"/>
      </w:r>
    </w:p>
    <w:p w:rsidRPr="00271C98" w:rsidR="007253C8" w:rsidP="00C32E1C" w:rsidRDefault="007253C8" w14:paraId="5F7CC166" w14:textId="77777777">
      <w:pPr>
        <w:pStyle w:val="Heading1"/>
      </w:pPr>
      <w:bookmarkStart w:name="_Toc213312319" w:id="118"/>
      <w:bookmarkStart w:name="_Hlk34241689" w:id="119"/>
      <w:r w:rsidRPr="00271C98">
        <w:t xml:space="preserve">Assignment </w:t>
      </w:r>
      <w:r w:rsidRPr="0078386B">
        <w:t>of</w:t>
      </w:r>
      <w:r w:rsidRPr="00271C98">
        <w:t xml:space="preserve"> Proceeding</w:t>
      </w:r>
      <w:bookmarkEnd w:id="118"/>
    </w:p>
    <w:p w:rsidRPr="00271C98" w:rsidR="007253C8" w:rsidP="007253C8" w:rsidRDefault="007253C8" w14:paraId="50145CE4" w14:textId="51B0DC81">
      <w:pPr>
        <w:pStyle w:val="Standard"/>
      </w:pPr>
      <w:r>
        <w:t>Darcie L. Houck</w:t>
      </w:r>
      <w:r w:rsidRPr="00271C98">
        <w:t xml:space="preserve"> is the assigned Commissioner</w:t>
      </w:r>
      <w:r>
        <w:t xml:space="preserve"> and John H. Larsen </w:t>
      </w:r>
      <w:r w:rsidR="0054712C">
        <w:t>is</w:t>
      </w:r>
      <w:r w:rsidRPr="00271C98">
        <w:t xml:space="preserve"> the assigned Administrative Law Judge in this proceeding</w:t>
      </w:r>
      <w:r>
        <w:t>.</w:t>
      </w:r>
    </w:p>
    <w:p w:rsidR="007E789E" w:rsidP="007E789E" w:rsidRDefault="007253C8" w14:paraId="2AEDE305" w14:textId="2A59A8B7">
      <w:pPr>
        <w:pStyle w:val="Dummy"/>
      </w:pPr>
      <w:bookmarkStart w:name="_Toc213312320" w:id="120"/>
      <w:bookmarkEnd w:id="119"/>
      <w:r w:rsidRPr="00271C98">
        <w:t>Findings of Fact</w:t>
      </w:r>
      <w:bookmarkStart w:name="_Hlk208317255" w:id="121"/>
      <w:bookmarkEnd w:id="120"/>
    </w:p>
    <w:p w:rsidR="007253C8" w:rsidP="0006189E" w:rsidRDefault="0006189E" w14:paraId="1A99A18C" w14:textId="6A4EE257">
      <w:pPr>
        <w:pStyle w:val="FoF"/>
      </w:pPr>
      <w:r>
        <w:t xml:space="preserve">SDG&amp;E’s </w:t>
      </w:r>
      <w:r w:rsidR="007E789E">
        <w:t xml:space="preserve">request to recover $1.89 million in </w:t>
      </w:r>
      <w:r w:rsidRPr="61D4D11C" w:rsidR="007253C8">
        <w:t xml:space="preserve">capital </w:t>
      </w:r>
      <w:r w:rsidRPr="0078386B" w:rsidR="007253C8">
        <w:t>expenditures</w:t>
      </w:r>
      <w:r w:rsidRPr="61D4D11C" w:rsidR="007253C8">
        <w:t xml:space="preserve"> and $1.824 million in Operations &amp; Maintenance expenses for SDG&amp;E’s Risk Assessment and Mapping Program is reasonably based on SDG&amp;E’s imputed authorizations, methodology, and identified costs drivers.</w:t>
      </w:r>
    </w:p>
    <w:bookmarkEnd w:id="121"/>
    <w:p w:rsidR="007253C8" w:rsidP="007E789E" w:rsidRDefault="007253C8" w14:paraId="12D72F76" w14:textId="656B4F67">
      <w:pPr>
        <w:pStyle w:val="FoF"/>
      </w:pPr>
      <w:r>
        <w:t xml:space="preserve"> SDG&amp;E reasonably </w:t>
      </w:r>
      <w:r w:rsidRPr="7B393814">
        <w:t>completed wildfire mitigation work outside of the HFTD boundary in a Wildland Urban Interface area</w:t>
      </w:r>
      <w:r w:rsidR="003A5E4B">
        <w:t xml:space="preserve"> to</w:t>
      </w:r>
      <w:r w:rsidRPr="7B393814">
        <w:t xml:space="preserve"> reduce the risk of ignition </w:t>
      </w:r>
      <w:r w:rsidRPr="7B393814">
        <w:lastRenderedPageBreak/>
        <w:t>and the possible growth of a fire once started. This work is further supported by the lack of regulatory requirements defining HFTD boundaries.</w:t>
      </w:r>
    </w:p>
    <w:p w:rsidRPr="008F7A81" w:rsidR="007253C8" w:rsidP="008F7A81" w:rsidRDefault="007253C8" w14:paraId="338149AF" w14:textId="6F15552E">
      <w:pPr>
        <w:pStyle w:val="FoF"/>
        <w:rPr>
          <w:rFonts w:eastAsia="Book Antiqua" w:cs="Book Antiqua"/>
          <w:color w:val="000000" w:themeColor="text1"/>
        </w:rPr>
      </w:pPr>
      <w:r>
        <w:t>SDG&amp;E’s</w:t>
      </w:r>
      <w:r w:rsidR="008F7A81">
        <w:t xml:space="preserve"> </w:t>
      </w:r>
      <w:r w:rsidR="009E517B">
        <w:t>C</w:t>
      </w:r>
      <w:r>
        <w:t xml:space="preserve">overed </w:t>
      </w:r>
      <w:r w:rsidR="009E517B">
        <w:t>C</w:t>
      </w:r>
      <w:r w:rsidRPr="0078386B">
        <w:t>onductor</w:t>
      </w:r>
      <w:r>
        <w:t xml:space="preserve"> costs </w:t>
      </w:r>
      <w:r w:rsidR="009E517B">
        <w:t>are</w:t>
      </w:r>
      <w:r>
        <w:t xml:space="preserve"> significantly higher than that of PG&amp;E and S</w:t>
      </w:r>
      <w:r w:rsidR="0054712C">
        <w:t>CE</w:t>
      </w:r>
      <w:r>
        <w:t xml:space="preserve">, and </w:t>
      </w:r>
      <w:r w:rsidR="009E517B">
        <w:t>it is</w:t>
      </w:r>
      <w:r>
        <w:t xml:space="preserve"> reasonable to reduce SDG&amp;E’s </w:t>
      </w:r>
      <w:r w:rsidR="009E517B">
        <w:t xml:space="preserve">recovery of capital expenditures for </w:t>
      </w:r>
      <w:r w:rsidR="00462A29">
        <w:t>Covered Conductor</w:t>
      </w:r>
      <w:r w:rsidR="009E517B">
        <w:t xml:space="preserve"> by approximately 19 percent to reflect</w:t>
      </w:r>
      <w:r>
        <w:t xml:space="preserve"> the approximate percentage difference between SDG&amp;E’s </w:t>
      </w:r>
      <w:r w:rsidR="009E517B">
        <w:t xml:space="preserve">and PG&amp;E’s </w:t>
      </w:r>
      <w:r w:rsidR="001D7C67">
        <w:t>C</w:t>
      </w:r>
      <w:r>
        <w:t xml:space="preserve">overed </w:t>
      </w:r>
      <w:r w:rsidR="001D7C67">
        <w:t>C</w:t>
      </w:r>
      <w:r>
        <w:t>onductor cost per mile.</w:t>
      </w:r>
    </w:p>
    <w:p w:rsidRPr="00E41501" w:rsidR="007253C8" w:rsidP="00E41501" w:rsidRDefault="007253C8" w14:paraId="1B40BD75" w14:textId="43B7A250">
      <w:pPr>
        <w:pStyle w:val="FoF"/>
        <w:rPr>
          <w:rFonts w:eastAsia="Book Antiqua" w:cs="Book Antiqua"/>
          <w:color w:val="000000" w:themeColor="text1"/>
        </w:rPr>
      </w:pPr>
      <w:r>
        <w:t xml:space="preserve">San Diego Gas </w:t>
      </w:r>
      <w:r w:rsidR="00C01587">
        <w:t>&amp;</w:t>
      </w:r>
      <w:r>
        <w:t xml:space="preserve"> Electric Company’s </w:t>
      </w:r>
      <w:r w:rsidR="001D7C67">
        <w:t>S</w:t>
      </w:r>
      <w:r>
        <w:t xml:space="preserve">trategic </w:t>
      </w:r>
      <w:r w:rsidR="001D7C67">
        <w:t>U</w:t>
      </w:r>
      <w:r>
        <w:t xml:space="preserve">ndergrounding </w:t>
      </w:r>
      <w:r w:rsidRPr="0078386B">
        <w:t>cost</w:t>
      </w:r>
      <w:r>
        <w:t xml:space="preserve"> recovery request of $241.233 million in direct cost capital expenditures and $0.176 million in Operations &amp; Maintenance direct costs for the 2019–2022 period for 109.5 miles of </w:t>
      </w:r>
      <w:r w:rsidR="00462A29">
        <w:t>Strategic Undergrounding</w:t>
      </w:r>
      <w:r>
        <w:t xml:space="preserve"> </w:t>
      </w:r>
      <w:r w:rsidR="00C01587">
        <w:t>is</w:t>
      </w:r>
      <w:r>
        <w:t xml:space="preserve"> reasonable based on the degree to which </w:t>
      </w:r>
      <w:r w:rsidR="00462A29">
        <w:t xml:space="preserve">Strategic Undergrounding </w:t>
      </w:r>
      <w:r w:rsidRPr="00E41501">
        <w:rPr>
          <w:color w:val="000000" w:themeColor="text1"/>
        </w:rPr>
        <w:t xml:space="preserve">can reduce ignitions and Public Safety Power Shutoff events in </w:t>
      </w:r>
      <w:r w:rsidRPr="00E41501">
        <w:rPr>
          <w:rFonts w:eastAsia="Book Antiqua" w:cs="Book Antiqua"/>
          <w:color w:val="000000" w:themeColor="text1"/>
        </w:rPr>
        <w:t>High Fire Threat Districts.</w:t>
      </w:r>
    </w:p>
    <w:p w:rsidR="007253C8" w:rsidP="00E41501" w:rsidRDefault="007253C8" w14:paraId="25D1BF6C" w14:textId="4CC98C09">
      <w:pPr>
        <w:pStyle w:val="FoF"/>
      </w:pPr>
      <w:r w:rsidRPr="3D4F00C2">
        <w:t>S</w:t>
      </w:r>
      <w:r w:rsidR="00C01587">
        <w:t>an Diego Gas &amp; Electric Company</w:t>
      </w:r>
      <w:r w:rsidRPr="3D4F00C2">
        <w:t xml:space="preserve">’s </w:t>
      </w:r>
      <w:r w:rsidRPr="0078386B">
        <w:t>combination</w:t>
      </w:r>
      <w:r w:rsidRPr="3D4F00C2">
        <w:t xml:space="preserve"> of </w:t>
      </w:r>
      <w:r w:rsidR="001D7C67">
        <w:t>S</w:t>
      </w:r>
      <w:r w:rsidRPr="3D4F00C2">
        <w:t xml:space="preserve">trategic </w:t>
      </w:r>
      <w:r w:rsidR="001D7C67">
        <w:t>U</w:t>
      </w:r>
      <w:r w:rsidRPr="3D4F00C2">
        <w:t>ndergrounding, Distribution Overhead</w:t>
      </w:r>
      <w:r w:rsidR="00E41501">
        <w:t xml:space="preserve"> </w:t>
      </w:r>
      <w:r w:rsidRPr="3D4F00C2">
        <w:t xml:space="preserve">System Hardening, and </w:t>
      </w:r>
      <w:r w:rsidR="00462A29">
        <w:t>Covered Conductor</w:t>
      </w:r>
      <w:r w:rsidRPr="3D4F00C2">
        <w:t xml:space="preserve"> during the 2019–2022 period </w:t>
      </w:r>
      <w:r w:rsidR="00E41501">
        <w:t xml:space="preserve">corresponds approximately </w:t>
      </w:r>
      <w:r w:rsidRPr="3D4F00C2">
        <w:t>to the profile of the same work approved by the Commission in Track 1 of this proceeding.</w:t>
      </w:r>
    </w:p>
    <w:p w:rsidRPr="00B9618B" w:rsidR="007707E2" w:rsidP="0078386B" w:rsidRDefault="007707E2" w14:paraId="270948ED" w14:textId="6077E3BE">
      <w:pPr>
        <w:pStyle w:val="FoF"/>
        <w:rPr>
          <w:rFonts w:eastAsia="Book Antiqua" w:cs="Book Antiqua"/>
          <w:color w:val="000000" w:themeColor="text1"/>
          <w:szCs w:val="26"/>
        </w:rPr>
      </w:pPr>
      <w:r>
        <w:t>San Diego Gas &amp; Electric Company did not underspend General Rate Case-authorized amounts for electric capital wildfire mitigation for the 2019-2022 period</w:t>
      </w:r>
      <w:r w:rsidR="009D20C6">
        <w:t>, which includes</w:t>
      </w:r>
      <w:r w:rsidR="006B3A01">
        <w:t xml:space="preserve"> the years 2021 and 2022 that were</w:t>
      </w:r>
      <w:r w:rsidRPr="3D4F00C2" w:rsidR="007253C8">
        <w:t xml:space="preserve"> not covered by the CPUC/OEIS 2021 Audit. </w:t>
      </w:r>
    </w:p>
    <w:p w:rsidRPr="0078386B" w:rsidR="007253C8" w:rsidP="0078386B" w:rsidRDefault="007B03CC" w14:paraId="69974EAE" w14:textId="0A8102D3">
      <w:pPr>
        <w:pStyle w:val="FoF"/>
        <w:rPr>
          <w:rFonts w:eastAsia="Book Antiqua" w:cs="Book Antiqua"/>
          <w:color w:val="000000" w:themeColor="text1"/>
        </w:rPr>
      </w:pPr>
      <w:r>
        <w:t>T</w:t>
      </w:r>
      <w:r w:rsidR="007253C8">
        <w:t>he number of non-Supervisory Control and Data</w:t>
      </w:r>
      <w:r w:rsidR="0078386B">
        <w:rPr>
          <w:rFonts w:eastAsia="Book Antiqua" w:cs="Book Antiqua"/>
          <w:color w:val="000000" w:themeColor="text1"/>
        </w:rPr>
        <w:t xml:space="preserve"> </w:t>
      </w:r>
      <w:r w:rsidR="007253C8">
        <w:t>Acquisition capacitors San Diego Gas and Electric Company replaced outside High Fire Threat Districts (HFTDs</w:t>
      </w:r>
      <w:r w:rsidR="00421EFD">
        <w:t>) during the 2019-2022 period</w:t>
      </w:r>
      <w:r w:rsidR="007253C8">
        <w:t xml:space="preserve"> </w:t>
      </w:r>
      <w:r w:rsidR="002A65CB">
        <w:t>is</w:t>
      </w:r>
      <w:r w:rsidR="007253C8">
        <w:t xml:space="preserve"> reasonable because 93 percent of th</w:t>
      </w:r>
      <w:r w:rsidR="002A65CB">
        <w:t>ose</w:t>
      </w:r>
      <w:r w:rsidR="007253C8">
        <w:t xml:space="preserve"> capacitors were installed in the Wildland Urban Interface or coastal canyons with </w:t>
      </w:r>
      <w:r w:rsidR="007253C8">
        <w:lastRenderedPageBreak/>
        <w:t xml:space="preserve">unique wildfire risk and 73 percent were installed within two miles of the </w:t>
      </w:r>
      <w:r w:rsidRPr="0078386B" w:rsidR="007253C8">
        <w:rPr>
          <w:rFonts w:eastAsia="Book Antiqua" w:cs="Book Antiqua"/>
          <w:color w:val="000000" w:themeColor="text1"/>
        </w:rPr>
        <w:t>HFTD boundary.</w:t>
      </w:r>
    </w:p>
    <w:p w:rsidRPr="008F7A81" w:rsidR="007253C8" w:rsidP="008F7A81" w:rsidRDefault="007253C8" w14:paraId="0EDCCEB9" w14:textId="76DAAAD4">
      <w:pPr>
        <w:pStyle w:val="FoF"/>
        <w:rPr>
          <w:rFonts w:eastAsia="Book Antiqua" w:cs="Book Antiqua"/>
          <w:color w:val="000000" w:themeColor="text1"/>
          <w:szCs w:val="26"/>
        </w:rPr>
      </w:pPr>
      <w:r>
        <w:t xml:space="preserve">The number of sectionalizing switches </w:t>
      </w:r>
      <w:r w:rsidR="002A65CB">
        <w:t xml:space="preserve">San Diego Gas &amp; Electric Company </w:t>
      </w:r>
      <w:r>
        <w:t>installed outside</w:t>
      </w:r>
      <w:r w:rsidR="008F7A81">
        <w:rPr>
          <w:rFonts w:eastAsia="Book Antiqua" w:cs="Book Antiqua"/>
          <w:color w:val="000000" w:themeColor="text1"/>
          <w:szCs w:val="26"/>
        </w:rPr>
        <w:t xml:space="preserve"> </w:t>
      </w:r>
      <w:r w:rsidRPr="0078386B">
        <w:t>High</w:t>
      </w:r>
      <w:r w:rsidRPr="737F8962">
        <w:t xml:space="preserve"> Fire Threat Districts</w:t>
      </w:r>
      <w:r w:rsidR="00421EFD">
        <w:t xml:space="preserve"> during the 2019-2022 period</w:t>
      </w:r>
      <w:r w:rsidRPr="737F8962">
        <w:t xml:space="preserve"> </w:t>
      </w:r>
      <w:r w:rsidR="00A620C6">
        <w:t xml:space="preserve">was closely related </w:t>
      </w:r>
      <w:r w:rsidRPr="737F8962">
        <w:t>to high</w:t>
      </w:r>
      <w:r w:rsidR="00A620C6">
        <w:t xml:space="preserve"> wildfire</w:t>
      </w:r>
      <w:r w:rsidR="00884CCE">
        <w:t xml:space="preserve"> </w:t>
      </w:r>
      <w:r w:rsidRPr="737F8962">
        <w:t xml:space="preserve">risk areas and </w:t>
      </w:r>
      <w:r w:rsidR="002A65CB">
        <w:t>was</w:t>
      </w:r>
      <w:r w:rsidRPr="737F8962">
        <w:t xml:space="preserve"> a reasonable method of providing rapid isolation during any wind or wildfire events</w:t>
      </w:r>
      <w:r w:rsidRPr="008F7A81">
        <w:rPr>
          <w:rFonts w:eastAsia="Book Antiqua" w:cs="Book Antiqua"/>
          <w:color w:val="000000" w:themeColor="text1"/>
          <w:szCs w:val="26"/>
        </w:rPr>
        <w:t>.</w:t>
      </w:r>
    </w:p>
    <w:p w:rsidRPr="007342C0" w:rsidR="007253C8" w:rsidP="007342C0" w:rsidRDefault="007253C8" w14:paraId="5CF866B9" w14:textId="3DD88A11">
      <w:pPr>
        <w:pStyle w:val="FoF"/>
        <w:rPr>
          <w:color w:val="000000" w:themeColor="text1"/>
        </w:rPr>
      </w:pPr>
      <w:r w:rsidRPr="7B393814">
        <w:t xml:space="preserve">San Diego </w:t>
      </w:r>
      <w:r w:rsidRPr="0078386B">
        <w:t>Gas</w:t>
      </w:r>
      <w:r w:rsidRPr="7B393814">
        <w:t xml:space="preserve"> </w:t>
      </w:r>
      <w:r w:rsidR="00A620C6">
        <w:t>&amp;</w:t>
      </w:r>
      <w:r w:rsidRPr="7B393814">
        <w:t xml:space="preserve"> Electric Company’s (SDG&amp;E’s) installation o</w:t>
      </w:r>
      <w:r>
        <w:t>f</w:t>
      </w:r>
      <w:r w:rsidR="007342C0">
        <w:rPr>
          <w:color w:val="000000" w:themeColor="text1"/>
        </w:rPr>
        <w:t xml:space="preserve"> </w:t>
      </w:r>
      <w:r w:rsidRPr="007342C0">
        <w:rPr>
          <w:rFonts w:eastAsia="Book Antiqua" w:cs="Book Antiqua"/>
          <w:szCs w:val="26"/>
        </w:rPr>
        <w:t xml:space="preserve">communication stations outside </w:t>
      </w:r>
      <w:r w:rsidRPr="007342C0">
        <w:rPr>
          <w:rFonts w:eastAsia="Book Antiqua" w:cs="Book Antiqua"/>
          <w:color w:val="000000" w:themeColor="text1"/>
          <w:szCs w:val="26"/>
        </w:rPr>
        <w:t>High Fire Threat Districts (HFTDs)</w:t>
      </w:r>
      <w:r w:rsidRPr="007342C0" w:rsidR="00421EFD">
        <w:rPr>
          <w:rFonts w:eastAsia="Book Antiqua" w:cs="Book Antiqua"/>
          <w:color w:val="000000" w:themeColor="text1"/>
          <w:szCs w:val="26"/>
        </w:rPr>
        <w:t xml:space="preserve"> during the 2019-2022 period</w:t>
      </w:r>
      <w:r w:rsidRPr="007342C0">
        <w:rPr>
          <w:rFonts w:eastAsia="Book Antiqua" w:cs="Book Antiqua"/>
          <w:color w:val="000000" w:themeColor="text1"/>
          <w:szCs w:val="26"/>
        </w:rPr>
        <w:t xml:space="preserve"> reasonably improve</w:t>
      </w:r>
      <w:r w:rsidRPr="007342C0" w:rsidR="00A620C6">
        <w:rPr>
          <w:rFonts w:eastAsia="Book Antiqua" w:cs="Book Antiqua"/>
          <w:color w:val="000000" w:themeColor="text1"/>
          <w:szCs w:val="26"/>
        </w:rPr>
        <w:t>d</w:t>
      </w:r>
      <w:r w:rsidRPr="007342C0">
        <w:rPr>
          <w:rFonts w:eastAsia="Book Antiqua" w:cs="Book Antiqua"/>
          <w:color w:val="000000" w:themeColor="text1"/>
          <w:szCs w:val="26"/>
        </w:rPr>
        <w:t xml:space="preserve"> SDG&amp;E’s wireless communications in the HFTDs</w:t>
      </w:r>
      <w:r w:rsidRPr="007342C0" w:rsidR="00A620C6">
        <w:rPr>
          <w:rFonts w:eastAsia="Book Antiqua" w:cs="Book Antiqua"/>
          <w:color w:val="000000" w:themeColor="text1"/>
          <w:szCs w:val="26"/>
        </w:rPr>
        <w:t>, and</w:t>
      </w:r>
      <w:r w:rsidRPr="007342C0">
        <w:rPr>
          <w:rFonts w:eastAsia="Book Antiqua" w:cs="Book Antiqua"/>
          <w:color w:val="000000" w:themeColor="text1"/>
          <w:szCs w:val="26"/>
        </w:rPr>
        <w:t xml:space="preserve"> the additional cost of SDG&amp;E installing a new mobile communications network, including stations outside HFTDs, </w:t>
      </w:r>
      <w:r w:rsidRPr="007342C0" w:rsidR="00A620C6">
        <w:rPr>
          <w:rFonts w:eastAsia="Book Antiqua" w:cs="Book Antiqua"/>
          <w:color w:val="000000" w:themeColor="text1"/>
          <w:szCs w:val="26"/>
        </w:rPr>
        <w:t>was</w:t>
      </w:r>
      <w:r w:rsidRPr="007342C0">
        <w:rPr>
          <w:rFonts w:eastAsia="Book Antiqua" w:cs="Book Antiqua"/>
          <w:color w:val="000000" w:themeColor="text1"/>
          <w:szCs w:val="26"/>
        </w:rPr>
        <w:t xml:space="preserve"> a reasonable method of reducing costs and maximizing coverage for HFTDs.</w:t>
      </w:r>
    </w:p>
    <w:p w:rsidRPr="007342C0" w:rsidR="007253C8" w:rsidP="007342C0" w:rsidRDefault="007253C8" w14:paraId="7E9D30DE" w14:textId="3FE37C08">
      <w:pPr>
        <w:pStyle w:val="FoF"/>
        <w:rPr>
          <w:rFonts w:eastAsia="Book Antiqua" w:cs="Book Antiqua"/>
          <w:color w:val="000000" w:themeColor="text1"/>
          <w:szCs w:val="26"/>
        </w:rPr>
      </w:pPr>
      <w:r w:rsidRPr="737F8962">
        <w:t xml:space="preserve">San Diego Gas </w:t>
      </w:r>
      <w:r w:rsidR="00A620C6">
        <w:t>&amp;</w:t>
      </w:r>
      <w:r w:rsidRPr="737F8962">
        <w:t xml:space="preserve"> Electric Company’s Standby Power Program costs </w:t>
      </w:r>
      <w:r w:rsidR="00950558">
        <w:t>that benefit</w:t>
      </w:r>
      <w:r w:rsidRPr="737F8962">
        <w:t xml:space="preserve"> commercial customers </w:t>
      </w:r>
      <w:r w:rsidR="00A620C6">
        <w:t>were</w:t>
      </w:r>
      <w:r w:rsidRPr="737F8962">
        <w:t xml:space="preserve"> not reasonable because commercial customers lack medical and other critical needs during Public Safety Power Shutoff events.</w:t>
      </w:r>
    </w:p>
    <w:p w:rsidRPr="0078386B" w:rsidR="007253C8" w:rsidP="0078386B" w:rsidRDefault="007253C8" w14:paraId="1EC0E303" w14:textId="528160FD">
      <w:pPr>
        <w:pStyle w:val="FoF"/>
        <w:rPr>
          <w:rFonts w:eastAsia="Book Antiqua" w:cs="Book Antiqua"/>
          <w:color w:val="000000" w:themeColor="text1"/>
          <w:szCs w:val="26"/>
        </w:rPr>
      </w:pPr>
      <w:r w:rsidRPr="737F8962">
        <w:t xml:space="preserve">San Diego </w:t>
      </w:r>
      <w:r w:rsidRPr="0078386B">
        <w:t>Gas</w:t>
      </w:r>
      <w:r w:rsidRPr="737F8962">
        <w:t xml:space="preserve"> </w:t>
      </w:r>
      <w:r w:rsidR="00950558">
        <w:t>&amp;</w:t>
      </w:r>
      <w:r w:rsidRPr="737F8962">
        <w:t xml:space="preserve"> </w:t>
      </w:r>
      <w:r w:rsidRPr="0078386B">
        <w:t>Electric</w:t>
      </w:r>
      <w:r w:rsidRPr="737F8962">
        <w:t xml:space="preserve"> Company</w:t>
      </w:r>
      <w:r w:rsidR="00522AF0">
        <w:t xml:space="preserve"> (SDG&amp;E)</w:t>
      </w:r>
      <w:r w:rsidRPr="737F8962">
        <w:t xml:space="preserve"> </w:t>
      </w:r>
      <w:r w:rsidR="00522AF0">
        <w:t xml:space="preserve">failed to demonstrate that its </w:t>
      </w:r>
      <w:r w:rsidR="00950558">
        <w:t>costs for</w:t>
      </w:r>
      <w:r w:rsidRPr="737F8962">
        <w:t xml:space="preserve"> its</w:t>
      </w:r>
      <w:r w:rsidR="0078386B">
        <w:rPr>
          <w:rFonts w:eastAsia="Book Antiqua" w:cs="Book Antiqua"/>
          <w:color w:val="000000" w:themeColor="text1"/>
          <w:szCs w:val="26"/>
        </w:rPr>
        <w:t xml:space="preserve"> </w:t>
      </w:r>
      <w:r w:rsidRPr="737F8962">
        <w:t xml:space="preserve">Drone Investigation Assessment and Repair pilot program after 2020 </w:t>
      </w:r>
      <w:r w:rsidR="00950558">
        <w:t xml:space="preserve">were reasonable </w:t>
      </w:r>
      <w:r w:rsidR="00522AF0">
        <w:t xml:space="preserve">for many reasons, including the lack of cost breakdowns, </w:t>
      </w:r>
      <w:r w:rsidR="00B52783">
        <w:t xml:space="preserve">the lack of </w:t>
      </w:r>
      <w:r w:rsidR="00522AF0">
        <w:t xml:space="preserve">comparisons with other SDG&amp;E inspection programs, and this </w:t>
      </w:r>
      <w:r w:rsidR="00950558">
        <w:t xml:space="preserve"> program’s</w:t>
      </w:r>
      <w:r w:rsidRPr="737F8962">
        <w:t xml:space="preserve"> high unit cost.</w:t>
      </w:r>
    </w:p>
    <w:p w:rsidRPr="007342C0" w:rsidR="007253C8" w:rsidP="007342C0" w:rsidRDefault="007253C8" w14:paraId="51B55A60" w14:textId="0D41C31D">
      <w:pPr>
        <w:pStyle w:val="FoF"/>
        <w:rPr>
          <w:rFonts w:eastAsia="Book Antiqua" w:cs="Book Antiqua"/>
          <w:color w:val="000000" w:themeColor="text1"/>
          <w:szCs w:val="26"/>
        </w:rPr>
      </w:pPr>
      <w:r w:rsidRPr="737F8962">
        <w:t xml:space="preserve">San Diego Gas </w:t>
      </w:r>
      <w:r w:rsidR="00A80F7C">
        <w:t>&amp;</w:t>
      </w:r>
      <w:r w:rsidRPr="737F8962">
        <w:t xml:space="preserve"> Electric Company’s </w:t>
      </w:r>
      <w:r w:rsidR="00950558">
        <w:t>costs</w:t>
      </w:r>
      <w:r w:rsidRPr="737F8962">
        <w:t xml:space="preserve"> of $22.442 million</w:t>
      </w:r>
      <w:r w:rsidR="007342C0">
        <w:rPr>
          <w:rFonts w:eastAsia="Book Antiqua" w:cs="Book Antiqua"/>
          <w:color w:val="000000" w:themeColor="text1"/>
          <w:szCs w:val="26"/>
        </w:rPr>
        <w:t xml:space="preserve"> </w:t>
      </w:r>
      <w:r w:rsidRPr="737F8962">
        <w:t xml:space="preserve">for Fuels Management </w:t>
      </w:r>
      <w:r w:rsidR="00950558">
        <w:t>were not</w:t>
      </w:r>
      <w:r w:rsidR="007342C0">
        <w:t xml:space="preserve"> </w:t>
      </w:r>
      <w:r w:rsidRPr="737F8962">
        <w:t xml:space="preserve">reasonable because of </w:t>
      </w:r>
      <w:r w:rsidR="00950558">
        <w:t>that program’s</w:t>
      </w:r>
      <w:r w:rsidRPr="737F8962">
        <w:t xml:space="preserve"> high unit cost of almost 100 times the unit cost for pole brushing.</w:t>
      </w:r>
    </w:p>
    <w:p w:rsidR="007253C8" w:rsidP="5954AC37" w:rsidRDefault="1BFE1C55" w14:paraId="58339DFA" w14:textId="0EFB353D">
      <w:pPr>
        <w:pStyle w:val="FoF"/>
        <w:rPr>
          <w:rFonts w:eastAsia="Book Antiqua" w:cs="Book Antiqua"/>
        </w:rPr>
      </w:pPr>
      <w:r>
        <w:t xml:space="preserve">In its </w:t>
      </w:r>
      <w:r w:rsidR="005E4879">
        <w:t>r</w:t>
      </w:r>
      <w:r w:rsidR="00E97279">
        <w:t>eport</w:t>
      </w:r>
      <w:r>
        <w:t xml:space="preserve"> of a sample of San Diego Gas </w:t>
      </w:r>
      <w:r w:rsidR="1E54DF03">
        <w:t>&amp;</w:t>
      </w:r>
      <w:r>
        <w:t xml:space="preserve"> Electric Company’s costs incurred</w:t>
      </w:r>
      <w:r w:rsidR="0CD7D126">
        <w:t xml:space="preserve"> </w:t>
      </w:r>
      <w:r w:rsidRPr="5954AC37">
        <w:rPr>
          <w:rFonts w:eastAsia="Book Antiqua" w:cs="Book Antiqua"/>
        </w:rPr>
        <w:t xml:space="preserve">from May 30, 2019 through December 31, 2022, the accounting firm </w:t>
      </w:r>
      <w:r w:rsidRPr="5954AC37">
        <w:rPr>
          <w:rFonts w:eastAsia="Book Antiqua" w:cs="Book Antiqua"/>
        </w:rPr>
        <w:lastRenderedPageBreak/>
        <w:t xml:space="preserve">Ernst </w:t>
      </w:r>
      <w:r w:rsidRPr="5954AC37" w:rsidR="53C74655">
        <w:rPr>
          <w:rFonts w:eastAsia="Book Antiqua" w:cs="Book Antiqua"/>
        </w:rPr>
        <w:t>&amp;</w:t>
      </w:r>
      <w:r w:rsidRPr="5954AC37">
        <w:rPr>
          <w:rFonts w:eastAsia="Book Antiqua" w:cs="Book Antiqua"/>
        </w:rPr>
        <w:t xml:space="preserve"> Young identified approximately $0.8 million in costs that were not properly evidenced for inclusion in the Wildfire Mitigation Plan Memorandum Account. In this </w:t>
      </w:r>
      <w:r w:rsidR="005E2F21">
        <w:rPr>
          <w:rFonts w:eastAsia="Book Antiqua" w:cs="Book Antiqua"/>
        </w:rPr>
        <w:t>r</w:t>
      </w:r>
      <w:r w:rsidR="00E97279">
        <w:rPr>
          <w:rFonts w:eastAsia="Book Antiqua" w:cs="Book Antiqua"/>
        </w:rPr>
        <w:t>eport</w:t>
      </w:r>
      <w:r w:rsidRPr="5954AC37">
        <w:rPr>
          <w:rFonts w:eastAsia="Book Antiqua" w:cs="Book Antiqua"/>
        </w:rPr>
        <w:t xml:space="preserve">, Ernst </w:t>
      </w:r>
      <w:r w:rsidRPr="5954AC37" w:rsidR="53C74655">
        <w:rPr>
          <w:rFonts w:eastAsia="Book Antiqua" w:cs="Book Antiqua"/>
        </w:rPr>
        <w:t>&amp;</w:t>
      </w:r>
      <w:r w:rsidRPr="5954AC37">
        <w:rPr>
          <w:rFonts w:eastAsia="Book Antiqua" w:cs="Book Antiqua"/>
        </w:rPr>
        <w:t xml:space="preserve"> Young reasonably extrapolated the amount of improperly evidenced costs incurred during the </w:t>
      </w:r>
      <w:r w:rsidR="005E2F21">
        <w:rPr>
          <w:rFonts w:eastAsia="Book Antiqua" w:cs="Book Antiqua"/>
        </w:rPr>
        <w:t>r</w:t>
      </w:r>
      <w:r w:rsidR="00E97279">
        <w:rPr>
          <w:rFonts w:eastAsia="Book Antiqua" w:cs="Book Antiqua"/>
        </w:rPr>
        <w:t>eport</w:t>
      </w:r>
      <w:r w:rsidRPr="5954AC37" w:rsidR="1E54DF03">
        <w:rPr>
          <w:rFonts w:eastAsia="Book Antiqua" w:cs="Book Antiqua"/>
        </w:rPr>
        <w:t xml:space="preserve"> </w:t>
      </w:r>
      <w:r w:rsidRPr="5954AC37">
        <w:rPr>
          <w:rFonts w:eastAsia="Book Antiqua" w:cs="Book Antiqua"/>
        </w:rPr>
        <w:t>period to be $2.6 million.</w:t>
      </w:r>
    </w:p>
    <w:p w:rsidRPr="007342C0" w:rsidR="00A80F7C" w:rsidP="007342C0" w:rsidRDefault="007253C8" w14:paraId="44CBFDFB" w14:textId="0FECAE81">
      <w:pPr>
        <w:pStyle w:val="FoF"/>
      </w:pPr>
      <w:r w:rsidRPr="306499D8">
        <w:t xml:space="preserve">For the </w:t>
      </w:r>
      <w:r w:rsidRPr="0078386B">
        <w:t>May</w:t>
      </w:r>
      <w:r w:rsidRPr="306499D8">
        <w:t xml:space="preserve"> 30, 2019</w:t>
      </w:r>
      <w:r w:rsidR="00A80F7C">
        <w:t xml:space="preserve"> through December 31, </w:t>
      </w:r>
      <w:r w:rsidRPr="306499D8">
        <w:t xml:space="preserve">2022 period, San Diego Gas </w:t>
      </w:r>
      <w:r w:rsidR="00A80F7C">
        <w:t>&amp;</w:t>
      </w:r>
      <w:r w:rsidRPr="306499D8">
        <w:t xml:space="preserve"> Electric Company’s</w:t>
      </w:r>
      <w:r w:rsidR="007342C0">
        <w:t xml:space="preserve"> </w:t>
      </w:r>
      <w:r w:rsidRPr="007342C0">
        <w:rPr>
          <w:rFonts w:eastAsia="Book Antiqua" w:cs="Book Antiqua"/>
        </w:rPr>
        <w:t xml:space="preserve">Results of Operations Model determined the amount of </w:t>
      </w:r>
      <w:proofErr w:type="spellStart"/>
      <w:r w:rsidRPr="007342C0">
        <w:rPr>
          <w:rFonts w:eastAsia="Book Antiqua" w:cs="Book Antiqua"/>
        </w:rPr>
        <w:t>undercollected</w:t>
      </w:r>
      <w:proofErr w:type="spellEnd"/>
      <w:r w:rsidRPr="007342C0">
        <w:rPr>
          <w:rFonts w:eastAsia="Book Antiqua" w:cs="Book Antiqua"/>
        </w:rPr>
        <w:t xml:space="preserve"> revenue requirement attributed to Operations &amp; Maintenance expenses, and depreciation, taxes, and the return on rate</w:t>
      </w:r>
      <w:r w:rsidRPr="007342C0" w:rsidR="00A80F7C">
        <w:rPr>
          <w:rFonts w:eastAsia="Book Antiqua" w:cs="Book Antiqua"/>
        </w:rPr>
        <w:t xml:space="preserve"> </w:t>
      </w:r>
      <w:r w:rsidRPr="007342C0">
        <w:rPr>
          <w:rFonts w:eastAsia="Book Antiqua" w:cs="Book Antiqua"/>
        </w:rPr>
        <w:t>base for capital placed into service during this period in the same manner that the Results of Operations Model determined these costs for Track 1 of this proceeding.</w:t>
      </w:r>
    </w:p>
    <w:p w:rsidRPr="00B9618B" w:rsidR="007253C8" w:rsidP="5954AC37" w:rsidRDefault="1BFE1C55" w14:paraId="6AE8AADE" w14:textId="774889CE">
      <w:pPr>
        <w:pStyle w:val="FoF"/>
        <w:rPr>
          <w:rFonts w:eastAsia="Book Antiqua" w:cs="Book Antiqua"/>
          <w:color w:val="000000" w:themeColor="text1"/>
        </w:rPr>
      </w:pPr>
      <w:r>
        <w:t>After deducting the amount authorized for interim relief of $193.8 million in 2024</w:t>
      </w:r>
      <w:r w:rsidR="5B6A59AE">
        <w:t xml:space="preserve"> </w:t>
      </w:r>
      <w:r w:rsidRPr="5954AC37">
        <w:rPr>
          <w:rFonts w:eastAsia="Book Antiqua" w:cs="Book Antiqua"/>
          <w:color w:val="000000" w:themeColor="text1"/>
        </w:rPr>
        <w:t xml:space="preserve">and $96.1 million in 2025, the amount San Diego Gas </w:t>
      </w:r>
      <w:r w:rsidRPr="5954AC37" w:rsidR="1E54DF03">
        <w:rPr>
          <w:rFonts w:eastAsia="Book Antiqua" w:cs="Book Antiqua"/>
          <w:color w:val="000000" w:themeColor="text1"/>
        </w:rPr>
        <w:t>&amp;</w:t>
      </w:r>
      <w:r w:rsidRPr="5954AC37">
        <w:rPr>
          <w:rFonts w:eastAsia="Book Antiqua" w:cs="Book Antiqua"/>
          <w:color w:val="000000" w:themeColor="text1"/>
        </w:rPr>
        <w:t xml:space="preserve"> Electric </w:t>
      </w:r>
      <w:r w:rsidRPr="5954AC37" w:rsidR="1E54DF03">
        <w:rPr>
          <w:rFonts w:eastAsia="Book Antiqua" w:cs="Book Antiqua"/>
          <w:color w:val="000000" w:themeColor="text1"/>
        </w:rPr>
        <w:t xml:space="preserve">Company </w:t>
      </w:r>
      <w:proofErr w:type="spellStart"/>
      <w:r w:rsidRPr="5954AC37">
        <w:rPr>
          <w:rFonts w:eastAsia="Book Antiqua" w:cs="Book Antiqua"/>
          <w:color w:val="000000" w:themeColor="text1"/>
        </w:rPr>
        <w:t>undercollected</w:t>
      </w:r>
      <w:proofErr w:type="spellEnd"/>
      <w:r w:rsidRPr="5954AC37">
        <w:rPr>
          <w:rFonts w:eastAsia="Book Antiqua" w:cs="Book Antiqua"/>
          <w:color w:val="000000" w:themeColor="text1"/>
        </w:rPr>
        <w:t xml:space="preserve"> in revenue requirement for 2019</w:t>
      </w:r>
      <w:r w:rsidR="003922CC">
        <w:rPr>
          <w:rFonts w:eastAsia="Book Antiqua" w:cs="Book Antiqua"/>
          <w:color w:val="000000" w:themeColor="text1"/>
        </w:rPr>
        <w:t>–</w:t>
      </w:r>
      <w:r w:rsidRPr="5954AC37">
        <w:rPr>
          <w:rFonts w:eastAsia="Book Antiqua" w:cs="Book Antiqua"/>
          <w:color w:val="000000" w:themeColor="text1"/>
        </w:rPr>
        <w:t>2022 wildfire mitigation costs through the end of 2025 is $1</w:t>
      </w:r>
      <w:r w:rsidR="00081C57">
        <w:rPr>
          <w:rFonts w:eastAsia="Book Antiqua" w:cs="Book Antiqua"/>
          <w:color w:val="000000" w:themeColor="text1"/>
        </w:rPr>
        <w:t>77.458</w:t>
      </w:r>
      <w:r w:rsidRPr="5954AC37">
        <w:rPr>
          <w:rFonts w:eastAsia="Book Antiqua" w:cs="Book Antiqua"/>
          <w:color w:val="000000" w:themeColor="text1"/>
        </w:rPr>
        <w:t xml:space="preserve"> million.</w:t>
      </w:r>
    </w:p>
    <w:p w:rsidR="007253C8" w:rsidP="5954AC37" w:rsidRDefault="1BFE1C55" w14:paraId="63805F52" w14:textId="698CE13D">
      <w:pPr>
        <w:pStyle w:val="FoF"/>
      </w:pPr>
      <w:r>
        <w:t xml:space="preserve">For the </w:t>
      </w:r>
      <w:proofErr w:type="spellStart"/>
      <w:r>
        <w:t>undercollected</w:t>
      </w:r>
      <w:proofErr w:type="spellEnd"/>
      <w:r>
        <w:t xml:space="preserve"> revenue requirement of $1</w:t>
      </w:r>
      <w:r w:rsidR="00661054">
        <w:t>77.458</w:t>
      </w:r>
      <w:r>
        <w:t xml:space="preserve"> million, the difference</w:t>
      </w:r>
      <w:r w:rsidR="24C43B79">
        <w:t xml:space="preserve"> </w:t>
      </w:r>
      <w:r w:rsidRPr="5954AC37">
        <w:rPr>
          <w:rFonts w:eastAsia="Book Antiqua" w:cs="Book Antiqua"/>
          <w:color w:val="000000" w:themeColor="text1"/>
        </w:rPr>
        <w:t>between the bill impacts for a six-year versus a three-year amortization period is less than 1% for an average non-C</w:t>
      </w:r>
      <w:r w:rsidRPr="5954AC37" w:rsidR="7B2D2A88">
        <w:rPr>
          <w:rFonts w:eastAsia="Book Antiqua" w:cs="Book Antiqua"/>
          <w:color w:val="000000" w:themeColor="text1"/>
        </w:rPr>
        <w:t>alifornia Alternative Rates for Energy</w:t>
      </w:r>
      <w:r w:rsidRPr="5954AC37">
        <w:rPr>
          <w:rFonts w:eastAsia="Book Antiqua" w:cs="Book Antiqua"/>
          <w:color w:val="000000" w:themeColor="text1"/>
        </w:rPr>
        <w:t xml:space="preserve"> customer on January 1, 2026. </w:t>
      </w:r>
    </w:p>
    <w:p w:rsidR="007253C8" w:rsidP="5954AC37" w:rsidRDefault="1BFE1C55" w14:paraId="76A831AC" w14:textId="7AADB02C">
      <w:pPr>
        <w:pStyle w:val="FoF"/>
        <w:rPr>
          <w:rFonts w:eastAsia="Book Antiqua" w:cs="Book Antiqua"/>
          <w:color w:val="000000" w:themeColor="text1"/>
        </w:rPr>
      </w:pPr>
      <w:r>
        <w:t>To collect the amount of $1</w:t>
      </w:r>
      <w:r w:rsidR="001E40A2">
        <w:t>77.458</w:t>
      </w:r>
      <w:r>
        <w:t xml:space="preserve"> million over a three-year period, the average</w:t>
      </w:r>
      <w:r w:rsidR="57B9167A">
        <w:t xml:space="preserve"> </w:t>
      </w:r>
      <w:r w:rsidRPr="5954AC37">
        <w:rPr>
          <w:rFonts w:eastAsia="Book Antiqua" w:cs="Book Antiqua"/>
          <w:color w:val="000000" w:themeColor="text1"/>
        </w:rPr>
        <w:t xml:space="preserve">San Diego Gas </w:t>
      </w:r>
      <w:r w:rsidRPr="5954AC37" w:rsidR="1B26B9C3">
        <w:rPr>
          <w:rFonts w:eastAsia="Book Antiqua" w:cs="Book Antiqua"/>
          <w:color w:val="000000" w:themeColor="text1"/>
        </w:rPr>
        <w:t>&amp;</w:t>
      </w:r>
      <w:r w:rsidRPr="5954AC37">
        <w:rPr>
          <w:rFonts w:eastAsia="Book Antiqua" w:cs="Book Antiqua"/>
          <w:color w:val="000000" w:themeColor="text1"/>
        </w:rPr>
        <w:t xml:space="preserve"> Electric </w:t>
      </w:r>
      <w:r w:rsidRPr="5954AC37" w:rsidR="1B26B9C3">
        <w:rPr>
          <w:rFonts w:eastAsia="Book Antiqua" w:cs="Book Antiqua"/>
          <w:color w:val="000000" w:themeColor="text1"/>
        </w:rPr>
        <w:t xml:space="preserve">Company </w:t>
      </w:r>
      <w:r w:rsidRPr="5954AC37">
        <w:rPr>
          <w:rFonts w:eastAsia="Book Antiqua" w:cs="Book Antiqua"/>
          <w:color w:val="000000" w:themeColor="text1"/>
        </w:rPr>
        <w:t xml:space="preserve">electricity bill increases $3.31 or 3.1% to $110.31 per month for </w:t>
      </w:r>
      <w:r w:rsidRPr="5954AC37" w:rsidR="7B2D2A88">
        <w:rPr>
          <w:rFonts w:eastAsia="Book Antiqua" w:cs="Book Antiqua"/>
          <w:color w:val="000000" w:themeColor="text1"/>
        </w:rPr>
        <w:t>California Alternative Rates for Energy (</w:t>
      </w:r>
      <w:r w:rsidRPr="5954AC37">
        <w:rPr>
          <w:rFonts w:eastAsia="Book Antiqua" w:cs="Book Antiqua"/>
          <w:color w:val="000000" w:themeColor="text1"/>
        </w:rPr>
        <w:t>CARE</w:t>
      </w:r>
      <w:r w:rsidRPr="5954AC37" w:rsidR="7B2D2A88">
        <w:rPr>
          <w:rFonts w:eastAsia="Book Antiqua" w:cs="Book Antiqua"/>
          <w:color w:val="000000" w:themeColor="text1"/>
        </w:rPr>
        <w:t>)</w:t>
      </w:r>
      <w:r w:rsidRPr="5954AC37">
        <w:rPr>
          <w:rFonts w:eastAsia="Book Antiqua" w:cs="Book Antiqua"/>
          <w:color w:val="000000" w:themeColor="text1"/>
        </w:rPr>
        <w:t xml:space="preserve"> customers and $5.09 or 2.94%to $178.09 per month for non-C</w:t>
      </w:r>
      <w:r w:rsidRPr="5954AC37" w:rsidR="1B26B9C3">
        <w:rPr>
          <w:rFonts w:eastAsia="Book Antiqua" w:cs="Book Antiqua"/>
          <w:color w:val="000000" w:themeColor="text1"/>
        </w:rPr>
        <w:t>ARE</w:t>
      </w:r>
      <w:r w:rsidRPr="5954AC37">
        <w:rPr>
          <w:rFonts w:eastAsia="Book Antiqua" w:cs="Book Antiqua"/>
          <w:color w:val="000000" w:themeColor="text1"/>
        </w:rPr>
        <w:t xml:space="preserve"> customers.</w:t>
      </w:r>
    </w:p>
    <w:p w:rsidRPr="0048661E" w:rsidR="007253C8" w:rsidP="007253C8" w:rsidRDefault="007253C8" w14:paraId="2D86920A" w14:textId="02D69A7D">
      <w:pPr>
        <w:pStyle w:val="Dummy"/>
        <w:rPr>
          <w:b w:val="0"/>
          <w:kern w:val="28"/>
        </w:rPr>
      </w:pPr>
      <w:bookmarkStart w:name="_Toc213312321" w:id="122"/>
      <w:bookmarkStart w:name="_Hlk10631608" w:id="123"/>
      <w:r w:rsidRPr="0048661E">
        <w:t>Conclusio</w:t>
      </w:r>
      <w:r w:rsidR="0048661E">
        <w:t>ns</w:t>
      </w:r>
      <w:r w:rsidRPr="0048661E">
        <w:rPr>
          <w:b w:val="0"/>
          <w:kern w:val="28"/>
        </w:rPr>
        <w:t xml:space="preserve"> </w:t>
      </w:r>
      <w:r w:rsidRPr="0048661E">
        <w:rPr>
          <w:kern w:val="28"/>
        </w:rPr>
        <w:t>of Law</w:t>
      </w:r>
      <w:bookmarkEnd w:id="122"/>
    </w:p>
    <w:bookmarkEnd w:id="123"/>
    <w:p w:rsidR="007253C8" w:rsidP="00C53A2A" w:rsidRDefault="007253C8" w14:paraId="1E9D5B88" w14:textId="24B0F8A5">
      <w:pPr>
        <w:pStyle w:val="CoL"/>
      </w:pPr>
      <w:r w:rsidRPr="008A1737">
        <w:t>San</w:t>
      </w:r>
      <w:r w:rsidRPr="7B393814">
        <w:t xml:space="preserve"> Diego Gas </w:t>
      </w:r>
      <w:r w:rsidR="0006189E">
        <w:t>&amp;</w:t>
      </w:r>
      <w:r w:rsidRPr="7B393814">
        <w:t xml:space="preserve"> Electric Company’s (SDG&amp;E’s) request for recovery</w:t>
      </w:r>
      <w:r>
        <w:t xml:space="preserve"> </w:t>
      </w:r>
      <w:r w:rsidRPr="008A1737">
        <w:t>of</w:t>
      </w:r>
    </w:p>
    <w:p w:rsidR="007253C8" w:rsidP="00C53A2A" w:rsidRDefault="007253C8" w14:paraId="15CD3857" w14:textId="343F8F29">
      <w:pPr>
        <w:pStyle w:val="CoL"/>
        <w:numPr>
          <w:ilvl w:val="0"/>
          <w:numId w:val="0"/>
        </w:numPr>
      </w:pPr>
      <w:r w:rsidRPr="008A1737">
        <w:lastRenderedPageBreak/>
        <w:t>$1.869 million in capital expenditures and $1.824 million in Operations &amp; Maintenance expenses for SDG&amp;E’s Risk Assessment and Mapping Program is incremental, just, and reasonable and should be authorized.</w:t>
      </w:r>
    </w:p>
    <w:p w:rsidR="007253C8" w:rsidP="5954AC37" w:rsidRDefault="1BFE1C55" w14:paraId="30187F79" w14:textId="0C763FE0">
      <w:pPr>
        <w:pStyle w:val="CoL"/>
        <w:rPr>
          <w:rFonts w:eastAsia="Book Antiqua" w:cs="Book Antiqua"/>
          <w:color w:val="000000" w:themeColor="text1"/>
        </w:rPr>
      </w:pPr>
      <w:r>
        <w:t>San Diego Gas and Electric Company’s (SDG&amp;E’s) request for $613.417 million</w:t>
      </w:r>
      <w:r w:rsidR="018058F2">
        <w:t xml:space="preserve"> </w:t>
      </w:r>
      <w:r w:rsidRPr="5954AC37">
        <w:rPr>
          <w:rFonts w:eastAsia="Book Antiqua" w:cs="Book Antiqua"/>
          <w:color w:val="000000" w:themeColor="text1"/>
        </w:rPr>
        <w:t>(in direct costs only) in capital expenditures and $51.665 million (in direct costs only) in Operations &amp; Maintenance expenses for SDG&amp;E’s Grid Design &amp; System Hardening cost category is incremental, just, and reasonable and should be authorized.</w:t>
      </w:r>
    </w:p>
    <w:p w:rsidR="007253C8" w:rsidP="00C53A2A" w:rsidRDefault="007253C8" w14:paraId="36DF0685" w14:textId="77777777">
      <w:pPr>
        <w:pStyle w:val="CoL"/>
      </w:pPr>
      <w:r w:rsidRPr="61D4D11C">
        <w:t xml:space="preserve">San </w:t>
      </w:r>
      <w:r w:rsidRPr="00C53A2A">
        <w:t>Diego</w:t>
      </w:r>
      <w:r w:rsidRPr="61D4D11C">
        <w:t xml:space="preserve"> Gas and Electric Company’s (SDG&amp;E’s) request for recovery of</w:t>
      </w:r>
    </w:p>
    <w:p w:rsidR="0078386B" w:rsidP="009F3AAA" w:rsidRDefault="007253C8" w14:paraId="5D6788FE" w14:textId="46B2FBB7">
      <w:pPr>
        <w:pStyle w:val="CoL"/>
        <w:numPr>
          <w:ilvl w:val="0"/>
          <w:numId w:val="0"/>
        </w:numPr>
        <w:rPr>
          <w:rFonts w:eastAsia="Book Antiqua" w:cs="Book Antiqua"/>
          <w:color w:val="000000" w:themeColor="text1"/>
        </w:rPr>
      </w:pPr>
      <w:r w:rsidRPr="61D4D11C">
        <w:rPr>
          <w:rFonts w:eastAsia="Book Antiqua" w:cs="Book Antiqua"/>
          <w:color w:val="000000" w:themeColor="text1"/>
        </w:rPr>
        <w:t>Emergency Planning &amp; Preparedness (EP&amp;P) capital costs for Community Outreach, Public Awareness, and Communication Efforts is not reasonable because SDG&amp;E failed to demonstrate how such costs would be incurred for over a year as a capital cost. As a result, SDG&amp;E’s request for EP&amp;P costs should be a</w:t>
      </w:r>
      <w:r w:rsidR="00955C3E">
        <w:rPr>
          <w:rFonts w:eastAsia="Book Antiqua" w:cs="Book Antiqua"/>
          <w:color w:val="000000" w:themeColor="text1"/>
        </w:rPr>
        <w:t>uthoriz</w:t>
      </w:r>
      <w:r w:rsidRPr="61D4D11C">
        <w:rPr>
          <w:rFonts w:eastAsia="Book Antiqua" w:cs="Book Antiqua"/>
          <w:color w:val="000000" w:themeColor="text1"/>
        </w:rPr>
        <w:t>ed as an Operations &amp; Maintenance cost in the amount of $7.686 million for Community Outreach, Public Awareness, and Communication Efforts</w:t>
      </w:r>
      <w:r w:rsidR="00F96C41">
        <w:rPr>
          <w:rFonts w:eastAsia="Book Antiqua" w:cs="Book Antiqua"/>
          <w:color w:val="000000" w:themeColor="text1"/>
        </w:rPr>
        <w:t>.</w:t>
      </w:r>
    </w:p>
    <w:p w:rsidRPr="007342C0" w:rsidR="007253C8" w:rsidP="007342C0" w:rsidRDefault="007253C8" w14:paraId="7E26B3E2" w14:textId="0308E562">
      <w:pPr>
        <w:pStyle w:val="CoL"/>
      </w:pPr>
      <w:r w:rsidRPr="7B393814">
        <w:t xml:space="preserve">San </w:t>
      </w:r>
      <w:r w:rsidRPr="00C53A2A">
        <w:t>Diego</w:t>
      </w:r>
      <w:r w:rsidRPr="7B393814">
        <w:t xml:space="preserve"> Gas </w:t>
      </w:r>
      <w:r w:rsidR="00E17527">
        <w:t>&amp;</w:t>
      </w:r>
      <w:r w:rsidRPr="7B393814">
        <w:t xml:space="preserve"> Electric Company (SDG&amp;E) </w:t>
      </w:r>
      <w:r w:rsidRPr="007342C0" w:rsidR="00F96C41">
        <w:rPr>
          <w:rFonts w:eastAsia="Book Antiqua" w:cs="Book Antiqua"/>
          <w:color w:val="000000" w:themeColor="text1"/>
          <w:szCs w:val="26"/>
        </w:rPr>
        <w:t xml:space="preserve">total </w:t>
      </w:r>
      <w:r w:rsidRPr="007342C0">
        <w:rPr>
          <w:rFonts w:eastAsia="Book Antiqua" w:cs="Book Antiqua"/>
          <w:color w:val="000000" w:themeColor="text1"/>
          <w:szCs w:val="26"/>
        </w:rPr>
        <w:t xml:space="preserve">Operations &amp; Maintenance expenses for </w:t>
      </w:r>
      <w:r w:rsidR="00884CCE">
        <w:rPr>
          <w:rFonts w:eastAsia="Book Antiqua" w:cs="Book Antiqua"/>
          <w:color w:val="000000" w:themeColor="text1"/>
          <w:szCs w:val="26"/>
        </w:rPr>
        <w:t>eme</w:t>
      </w:r>
      <w:r w:rsidRPr="007342C0">
        <w:rPr>
          <w:rFonts w:eastAsia="Book Antiqua" w:cs="Book Antiqua"/>
          <w:color w:val="000000" w:themeColor="text1"/>
          <w:szCs w:val="26"/>
        </w:rPr>
        <w:t xml:space="preserve">rgency Planning &amp; Preparedness </w:t>
      </w:r>
      <w:r w:rsidRPr="007342C0" w:rsidR="00F96C41">
        <w:rPr>
          <w:rFonts w:eastAsia="Book Antiqua" w:cs="Book Antiqua"/>
          <w:color w:val="000000" w:themeColor="text1"/>
          <w:szCs w:val="26"/>
        </w:rPr>
        <w:t xml:space="preserve">including </w:t>
      </w:r>
      <w:r w:rsidRPr="007342C0" w:rsidR="006F5BC1">
        <w:rPr>
          <w:rFonts w:eastAsia="Book Antiqua" w:cs="Book Antiqua"/>
          <w:color w:val="000000" w:themeColor="text1"/>
          <w:szCs w:val="26"/>
        </w:rPr>
        <w:t xml:space="preserve">the amount of $7.686 million for Community Outreach, Public Awareness, and Communication Efforts, indirect costs, and </w:t>
      </w:r>
      <w:r w:rsidRPr="007342C0" w:rsidR="00F96C41">
        <w:rPr>
          <w:rFonts w:eastAsia="Book Antiqua" w:cs="Book Antiqua"/>
          <w:color w:val="000000" w:themeColor="text1"/>
          <w:szCs w:val="26"/>
        </w:rPr>
        <w:t xml:space="preserve">all reductions discussed above </w:t>
      </w:r>
      <w:r w:rsidRPr="007342C0" w:rsidR="006F5BC1">
        <w:rPr>
          <w:rFonts w:eastAsia="Book Antiqua" w:cs="Book Antiqua"/>
          <w:color w:val="000000" w:themeColor="text1"/>
          <w:szCs w:val="26"/>
        </w:rPr>
        <w:t xml:space="preserve">and shown </w:t>
      </w:r>
      <w:r w:rsidRPr="007342C0" w:rsidR="00F96C41">
        <w:rPr>
          <w:rFonts w:eastAsia="Book Antiqua" w:cs="Book Antiqua"/>
          <w:color w:val="000000" w:themeColor="text1"/>
          <w:szCs w:val="26"/>
        </w:rPr>
        <w:t xml:space="preserve">in </w:t>
      </w:r>
      <w:r w:rsidRPr="007342C0" w:rsidR="006F5BC1">
        <w:rPr>
          <w:rFonts w:eastAsia="Book Antiqua" w:cs="Book Antiqua"/>
          <w:color w:val="000000" w:themeColor="text1"/>
          <w:szCs w:val="26"/>
        </w:rPr>
        <w:t xml:space="preserve">Appendix B </w:t>
      </w:r>
      <w:r w:rsidRPr="007342C0">
        <w:rPr>
          <w:rFonts w:eastAsia="Book Antiqua" w:cs="Book Antiqua"/>
          <w:color w:val="000000" w:themeColor="text1"/>
          <w:szCs w:val="26"/>
        </w:rPr>
        <w:t>is just</w:t>
      </w:r>
      <w:r w:rsidRPr="007342C0" w:rsidR="00F96C41">
        <w:rPr>
          <w:rFonts w:eastAsia="Book Antiqua" w:cs="Book Antiqua"/>
          <w:color w:val="000000" w:themeColor="text1"/>
          <w:szCs w:val="26"/>
        </w:rPr>
        <w:t xml:space="preserve"> and </w:t>
      </w:r>
      <w:r w:rsidRPr="007342C0">
        <w:rPr>
          <w:rFonts w:eastAsia="Book Antiqua" w:cs="Book Antiqua"/>
          <w:color w:val="000000" w:themeColor="text1"/>
          <w:szCs w:val="26"/>
        </w:rPr>
        <w:t>reasonable</w:t>
      </w:r>
      <w:r w:rsidRPr="007342C0" w:rsidR="00F96C41">
        <w:rPr>
          <w:rFonts w:eastAsia="Book Antiqua" w:cs="Book Antiqua"/>
          <w:color w:val="000000" w:themeColor="text1"/>
          <w:szCs w:val="26"/>
        </w:rPr>
        <w:t xml:space="preserve"> </w:t>
      </w:r>
      <w:r w:rsidR="005A2D00">
        <w:rPr>
          <w:rFonts w:eastAsia="Book Antiqua" w:cs="Book Antiqua"/>
          <w:color w:val="000000" w:themeColor="text1"/>
          <w:szCs w:val="26"/>
        </w:rPr>
        <w:t xml:space="preserve">and </w:t>
      </w:r>
      <w:r w:rsidRPr="007342C0">
        <w:rPr>
          <w:rFonts w:eastAsia="Book Antiqua" w:cs="Book Antiqua"/>
          <w:color w:val="000000" w:themeColor="text1"/>
          <w:szCs w:val="26"/>
        </w:rPr>
        <w:t>should be authorized.</w:t>
      </w:r>
    </w:p>
    <w:p w:rsidR="007253C8" w:rsidP="00C53A2A" w:rsidRDefault="007253C8" w14:paraId="2DCFF3B1" w14:textId="51E5D7B9">
      <w:pPr>
        <w:pStyle w:val="CoL"/>
      </w:pPr>
      <w:r w:rsidRPr="3989E1D7">
        <w:t xml:space="preserve">San </w:t>
      </w:r>
      <w:r w:rsidRPr="00C53A2A">
        <w:t>Diego</w:t>
      </w:r>
      <w:r w:rsidRPr="3989E1D7">
        <w:t xml:space="preserve"> Gas </w:t>
      </w:r>
      <w:r w:rsidR="00955C3E">
        <w:t>&amp;</w:t>
      </w:r>
      <w:r w:rsidRPr="3989E1D7">
        <w:t xml:space="preserve"> Electric Company’s request for $3.010 million (in direct</w:t>
      </w:r>
    </w:p>
    <w:p w:rsidR="007253C8" w:rsidP="00C53A2A" w:rsidRDefault="007253C8" w14:paraId="1DC49A41" w14:textId="7991B22A">
      <w:pPr>
        <w:pStyle w:val="CoL"/>
        <w:numPr>
          <w:ilvl w:val="0"/>
          <w:numId w:val="0"/>
        </w:numPr>
        <w:rPr>
          <w:rFonts w:eastAsia="Book Antiqua" w:cs="Book Antiqua"/>
          <w:color w:val="000000" w:themeColor="text1"/>
        </w:rPr>
      </w:pPr>
      <w:r w:rsidRPr="3989E1D7">
        <w:rPr>
          <w:rFonts w:eastAsia="Book Antiqua" w:cs="Book Antiqua"/>
          <w:color w:val="000000" w:themeColor="text1"/>
        </w:rPr>
        <w:t>costs only) in capital expenditures and $1.854 million (in direct costs only) in Operations &amp; Maintenance expenses for Situational Awareness costs is just, reasonable, and incremental and should be authorized.</w:t>
      </w:r>
    </w:p>
    <w:p w:rsidRPr="00645333" w:rsidR="007253C8" w:rsidP="00645333" w:rsidRDefault="005A2D00" w14:paraId="352E36F2" w14:textId="71D8D81A">
      <w:pPr>
        <w:pStyle w:val="CoL"/>
      </w:pPr>
      <w:r w:rsidRPr="005A2D00">
        <w:lastRenderedPageBreak/>
        <w:t xml:space="preserve">Though </w:t>
      </w:r>
      <w:r w:rsidRPr="005A2D00" w:rsidR="007253C8">
        <w:t xml:space="preserve">San Diego Gas </w:t>
      </w:r>
      <w:r w:rsidRPr="005A2D00" w:rsidR="00955C3E">
        <w:t>&amp;</w:t>
      </w:r>
      <w:r w:rsidRPr="005A2D00" w:rsidR="007253C8">
        <w:t xml:space="preserve"> Electric Company’s (SDG&amp;E’s) request for </w:t>
      </w:r>
      <w:r w:rsidRPr="00645333">
        <w:t>capital cost</w:t>
      </w:r>
      <w:r w:rsidRPr="005A2D00">
        <w:t xml:space="preserve"> </w:t>
      </w:r>
      <w:r w:rsidRPr="005A2D00" w:rsidR="007253C8">
        <w:t>recovery of</w:t>
      </w:r>
      <w:r w:rsidRPr="005A2D00">
        <w:t xml:space="preserve"> </w:t>
      </w:r>
      <w:r w:rsidRPr="00645333" w:rsidR="007253C8">
        <w:t xml:space="preserve">Detailed Inspections of Transmission Equipment (Distribution </w:t>
      </w:r>
      <w:proofErr w:type="spellStart"/>
      <w:r w:rsidRPr="00645333" w:rsidR="007253C8">
        <w:t>Underbuild</w:t>
      </w:r>
      <w:proofErr w:type="spellEnd"/>
      <w:r w:rsidRPr="00645333" w:rsidR="007253C8">
        <w:t>) costs is not reasonable because SDG&amp;E failed to demonstrate how such costs would be incurred for over a year as a capital cost</w:t>
      </w:r>
      <w:r w:rsidR="005C63C0">
        <w:t>,</w:t>
      </w:r>
      <w:r w:rsidRPr="00645333" w:rsidR="007253C8">
        <w:t xml:space="preserve"> SDG&amp;E’s Distribution </w:t>
      </w:r>
      <w:proofErr w:type="spellStart"/>
      <w:r w:rsidRPr="00645333" w:rsidR="007253C8">
        <w:t>Underbuild</w:t>
      </w:r>
      <w:proofErr w:type="spellEnd"/>
      <w:r w:rsidRPr="00645333" w:rsidR="007253C8">
        <w:t xml:space="preserve"> costs </w:t>
      </w:r>
      <w:r w:rsidRPr="00645333">
        <w:t xml:space="preserve">are </w:t>
      </w:r>
      <w:r w:rsidRPr="00645333" w:rsidR="00955C3E">
        <w:t xml:space="preserve">just, reasonable, and incremental and </w:t>
      </w:r>
      <w:r w:rsidRPr="00645333" w:rsidR="007253C8">
        <w:t>should be a</w:t>
      </w:r>
      <w:r w:rsidRPr="00645333" w:rsidR="00955C3E">
        <w:t>uthorized</w:t>
      </w:r>
      <w:r w:rsidRPr="00645333" w:rsidR="007253C8">
        <w:t xml:space="preserve"> </w:t>
      </w:r>
      <w:r w:rsidR="005C63C0">
        <w:t xml:space="preserve">for recovery </w:t>
      </w:r>
      <w:r w:rsidRPr="00645333" w:rsidR="007253C8">
        <w:t>as an Operations &amp; Maintenance cost in the amount of $225,000.</w:t>
      </w:r>
    </w:p>
    <w:p w:rsidRPr="00645333" w:rsidR="007253C8" w:rsidP="00645333" w:rsidRDefault="005C63C0" w14:paraId="6F8F8B9E" w14:textId="42216EA7">
      <w:pPr>
        <w:pStyle w:val="CoL"/>
      </w:pPr>
      <w:r w:rsidRPr="005C63C0">
        <w:t xml:space="preserve">Though </w:t>
      </w:r>
      <w:r w:rsidRPr="005C63C0" w:rsidR="007253C8">
        <w:t xml:space="preserve">San Diego Gas and Electric Company’s (SDG&amp;E’s) request for </w:t>
      </w:r>
      <w:r>
        <w:t xml:space="preserve">capital cost </w:t>
      </w:r>
      <w:r w:rsidRPr="005C63C0" w:rsidR="007253C8">
        <w:t>recovery of</w:t>
      </w:r>
      <w:r w:rsidRPr="005C63C0">
        <w:t xml:space="preserve"> </w:t>
      </w:r>
      <w:r w:rsidRPr="00645333" w:rsidR="007253C8">
        <w:t xml:space="preserve">High Fire Threat District Tier 3 Distribution Pole Inspections </w:t>
      </w:r>
      <w:r w:rsidRPr="00645333" w:rsidR="00955C3E">
        <w:t xml:space="preserve">(DPI) </w:t>
      </w:r>
      <w:r w:rsidRPr="00645333" w:rsidR="007253C8">
        <w:t>cost is not reasonable because SDG&amp;E fails to demonstrate how such costs would be incurred for over a year as a capital cost</w:t>
      </w:r>
      <w:r>
        <w:t>,</w:t>
      </w:r>
      <w:r w:rsidRPr="00645333" w:rsidR="007253C8">
        <w:t xml:space="preserve"> </w:t>
      </w:r>
      <w:r w:rsidRPr="00645333" w:rsidR="00955C3E">
        <w:t xml:space="preserve">SDG&amp;E’s DPI costs </w:t>
      </w:r>
      <w:r>
        <w:t>are</w:t>
      </w:r>
      <w:r w:rsidRPr="00645333">
        <w:t xml:space="preserve"> </w:t>
      </w:r>
      <w:r w:rsidRPr="00645333" w:rsidR="00955C3E">
        <w:t>just, reasonable, and incremental and should be authorized</w:t>
      </w:r>
      <w:r>
        <w:t xml:space="preserve"> for recovery</w:t>
      </w:r>
      <w:r w:rsidRPr="00645333" w:rsidR="00955C3E">
        <w:t xml:space="preserve"> as an Opera</w:t>
      </w:r>
      <w:r w:rsidRPr="00645333" w:rsidR="00DC24E2">
        <w:t>tions &amp; Maintenance cost in the amount</w:t>
      </w:r>
      <w:r w:rsidRPr="00645333" w:rsidR="007253C8">
        <w:t xml:space="preserve"> of $3.111 million.</w:t>
      </w:r>
    </w:p>
    <w:p w:rsidR="007253C8" w:rsidP="00C53A2A" w:rsidRDefault="007253C8" w14:paraId="70EC2D6C" w14:textId="7AB97901">
      <w:pPr>
        <w:pStyle w:val="CoL"/>
      </w:pPr>
      <w:r w:rsidRPr="61D4D11C">
        <w:t xml:space="preserve">San Diego Gas </w:t>
      </w:r>
      <w:r w:rsidR="00DC24E2">
        <w:t>&amp;</w:t>
      </w:r>
      <w:r w:rsidRPr="61D4D11C">
        <w:t xml:space="preserve"> Electric Company (SDG&amp;E) fail</w:t>
      </w:r>
      <w:r w:rsidR="00DC24E2">
        <w:t>ed</w:t>
      </w:r>
      <w:r w:rsidRPr="61D4D11C">
        <w:t xml:space="preserve"> to demonstrate the</w:t>
      </w:r>
    </w:p>
    <w:p w:rsidR="00FB4646" w:rsidP="00C53A2A" w:rsidRDefault="1BFE1C55" w14:paraId="71FD8127" w14:textId="6F123BB5">
      <w:pPr>
        <w:pStyle w:val="CoL"/>
        <w:numPr>
          <w:ilvl w:val="0"/>
          <w:numId w:val="0"/>
        </w:numPr>
        <w:rPr>
          <w:rFonts w:eastAsia="Book Antiqua" w:cs="Book Antiqua"/>
          <w:color w:val="000000" w:themeColor="text1"/>
        </w:rPr>
      </w:pPr>
      <w:r w:rsidRPr="5954AC37">
        <w:rPr>
          <w:rFonts w:eastAsia="Book Antiqua" w:cs="Book Antiqua"/>
          <w:color w:val="000000" w:themeColor="text1"/>
        </w:rPr>
        <w:t xml:space="preserve">prudency of </w:t>
      </w:r>
      <w:r w:rsidR="00E02511">
        <w:rPr>
          <w:rFonts w:eastAsia="Book Antiqua" w:cs="Book Antiqua"/>
          <w:color w:val="000000" w:themeColor="text1"/>
        </w:rPr>
        <w:t xml:space="preserve">SDG&amp;E’s </w:t>
      </w:r>
      <w:r w:rsidRPr="5954AC37">
        <w:rPr>
          <w:rFonts w:eastAsia="Book Antiqua" w:cs="Book Antiqua"/>
          <w:color w:val="000000" w:themeColor="text1"/>
        </w:rPr>
        <w:t xml:space="preserve"> Drone Investigation Assessment and Repair program and </w:t>
      </w:r>
      <w:r w:rsidRPr="5954AC37" w:rsidR="727AC197">
        <w:rPr>
          <w:rFonts w:eastAsia="Book Antiqua" w:cs="Book Antiqua"/>
          <w:color w:val="000000" w:themeColor="text1"/>
        </w:rPr>
        <w:t xml:space="preserve">failed to establish </w:t>
      </w:r>
      <w:r w:rsidRPr="5954AC37">
        <w:rPr>
          <w:rFonts w:eastAsia="Book Antiqua" w:cs="Book Antiqua"/>
          <w:color w:val="000000" w:themeColor="text1"/>
        </w:rPr>
        <w:t xml:space="preserve">the reasonableness of </w:t>
      </w:r>
      <w:r w:rsidRPr="5954AC37" w:rsidR="7BECDD7E">
        <w:rPr>
          <w:rFonts w:eastAsia="Book Antiqua" w:cs="Book Antiqua"/>
          <w:color w:val="000000" w:themeColor="text1"/>
        </w:rPr>
        <w:t>the high unit cost and</w:t>
      </w:r>
      <w:r w:rsidRPr="5954AC37">
        <w:rPr>
          <w:rFonts w:eastAsia="Book Antiqua" w:cs="Book Antiqua"/>
          <w:color w:val="000000" w:themeColor="text1"/>
        </w:rPr>
        <w:t xml:space="preserve"> total costs from 2019–2022</w:t>
      </w:r>
      <w:r w:rsidRPr="5954AC37" w:rsidR="29B2433F">
        <w:rPr>
          <w:rFonts w:eastAsia="Book Antiqua" w:cs="Book Antiqua"/>
          <w:color w:val="000000" w:themeColor="text1"/>
        </w:rPr>
        <w:t xml:space="preserve"> </w:t>
      </w:r>
      <w:r w:rsidRPr="5954AC37" w:rsidR="727AC197">
        <w:rPr>
          <w:rFonts w:eastAsia="Book Antiqua" w:cs="Book Antiqua"/>
          <w:color w:val="000000" w:themeColor="text1"/>
        </w:rPr>
        <w:t>for this program</w:t>
      </w:r>
      <w:r w:rsidRPr="5954AC37">
        <w:rPr>
          <w:rFonts w:eastAsia="Book Antiqua" w:cs="Book Antiqua"/>
          <w:color w:val="000000" w:themeColor="text1"/>
        </w:rPr>
        <w:t xml:space="preserve">. </w:t>
      </w:r>
      <w:r w:rsidR="00E32B49">
        <w:rPr>
          <w:rFonts w:eastAsia="Book Antiqua" w:cs="Book Antiqua"/>
          <w:color w:val="000000" w:themeColor="text1"/>
        </w:rPr>
        <w:t xml:space="preserve"> T</w:t>
      </w:r>
      <w:r w:rsidRPr="00FB4646" w:rsidR="00FB4646">
        <w:rPr>
          <w:rFonts w:eastAsia="Book Antiqua" w:cs="Book Antiqua"/>
          <w:color w:val="000000" w:themeColor="text1"/>
        </w:rPr>
        <w:t>he Commission will allow SDG&amp;E to supplement the record for this one category, consistent with the direction provided in this decision</w:t>
      </w:r>
      <w:r w:rsidR="00FC0387">
        <w:rPr>
          <w:rFonts w:eastAsia="Book Antiqua" w:cs="Book Antiqua"/>
          <w:color w:val="000000" w:themeColor="text1"/>
        </w:rPr>
        <w:t>,</w:t>
      </w:r>
      <w:r w:rsidR="00E32B49">
        <w:rPr>
          <w:rFonts w:eastAsia="Book Antiqua" w:cs="Book Antiqua"/>
          <w:color w:val="000000" w:themeColor="text1"/>
        </w:rPr>
        <w:t xml:space="preserve"> due </w:t>
      </w:r>
      <w:r w:rsidR="00FC0387">
        <w:rPr>
          <w:rFonts w:eastAsia="Book Antiqua" w:cs="Book Antiqua"/>
          <w:color w:val="000000" w:themeColor="text1"/>
        </w:rPr>
        <w:t xml:space="preserve">to the significant impact that </w:t>
      </w:r>
      <w:r w:rsidRPr="00FC0387" w:rsidR="00FC0387">
        <w:rPr>
          <w:rFonts w:eastAsia="Book Antiqua" w:cs="Book Antiqua"/>
          <w:color w:val="000000" w:themeColor="text1"/>
        </w:rPr>
        <w:t xml:space="preserve">wildfire mitigation activities </w:t>
      </w:r>
      <w:r w:rsidR="00FC0387">
        <w:rPr>
          <w:rFonts w:eastAsia="Book Antiqua" w:cs="Book Antiqua"/>
          <w:color w:val="000000" w:themeColor="text1"/>
        </w:rPr>
        <w:t xml:space="preserve">have on ensuring </w:t>
      </w:r>
      <w:r w:rsidRPr="00FC0387" w:rsidR="00FC0387">
        <w:rPr>
          <w:rFonts w:eastAsia="Book Antiqua" w:cs="Book Antiqua"/>
          <w:color w:val="000000" w:themeColor="text1"/>
        </w:rPr>
        <w:t xml:space="preserve">safe and reliable </w:t>
      </w:r>
      <w:r w:rsidR="00FC0387">
        <w:rPr>
          <w:rFonts w:eastAsia="Book Antiqua" w:cs="Book Antiqua"/>
          <w:color w:val="000000" w:themeColor="text1"/>
        </w:rPr>
        <w:t xml:space="preserve">electric </w:t>
      </w:r>
      <w:r w:rsidRPr="00FC0387" w:rsidR="00FC0387">
        <w:rPr>
          <w:rFonts w:eastAsia="Book Antiqua" w:cs="Book Antiqua"/>
          <w:color w:val="000000" w:themeColor="text1"/>
        </w:rPr>
        <w:t>service</w:t>
      </w:r>
      <w:r w:rsidR="00FC0387">
        <w:rPr>
          <w:rFonts w:eastAsia="Book Antiqua" w:cs="Book Antiqua"/>
          <w:color w:val="000000" w:themeColor="text1"/>
        </w:rPr>
        <w:t>.</w:t>
      </w:r>
    </w:p>
    <w:p w:rsidR="007253C8" w:rsidP="0037110F" w:rsidRDefault="1BFE1C55" w14:paraId="0967907E" w14:textId="5DED3854">
      <w:pPr>
        <w:pStyle w:val="CoL"/>
        <w:numPr>
          <w:ilvl w:val="0"/>
          <w:numId w:val="0"/>
        </w:numPr>
        <w:rPr>
          <w:rFonts w:eastAsia="Book Antiqua" w:cs="Book Antiqua"/>
        </w:rPr>
      </w:pPr>
      <w:r>
        <w:t>The Commission should deny recovery for the Circuit Ownership Platform</w:t>
      </w:r>
      <w:r w:rsidR="45EC7F4A">
        <w:t xml:space="preserve"> </w:t>
      </w:r>
      <w:r w:rsidRPr="5954AC37">
        <w:rPr>
          <w:rFonts w:eastAsia="Book Antiqua" w:cs="Book Antiqua"/>
        </w:rPr>
        <w:t xml:space="preserve">program because San Diego Gas </w:t>
      </w:r>
      <w:r w:rsidRPr="5954AC37" w:rsidR="727AC197">
        <w:rPr>
          <w:rFonts w:eastAsia="Book Antiqua" w:cs="Book Antiqua"/>
        </w:rPr>
        <w:t>&amp;</w:t>
      </w:r>
      <w:r w:rsidRPr="5954AC37">
        <w:rPr>
          <w:rFonts w:eastAsia="Book Antiqua" w:cs="Book Antiqua"/>
        </w:rPr>
        <w:t xml:space="preserve"> Electric Company fail</w:t>
      </w:r>
      <w:r w:rsidRPr="5954AC37" w:rsidR="727AC197">
        <w:rPr>
          <w:rFonts w:eastAsia="Book Antiqua" w:cs="Book Antiqua"/>
        </w:rPr>
        <w:t>ed</w:t>
      </w:r>
      <w:r w:rsidRPr="5954AC37">
        <w:rPr>
          <w:rFonts w:eastAsia="Book Antiqua" w:cs="Book Antiqua"/>
        </w:rPr>
        <w:t xml:space="preserve"> to demonstrate the reasonableness and prudency of initiating this program.</w:t>
      </w:r>
    </w:p>
    <w:p w:rsidRPr="00645333" w:rsidR="007253C8" w:rsidP="00645333" w:rsidRDefault="005C63C0" w14:paraId="7061367C" w14:textId="2E657C83">
      <w:pPr>
        <w:pStyle w:val="CoL"/>
      </w:pPr>
      <w:r>
        <w:t xml:space="preserve">Though </w:t>
      </w:r>
      <w:r w:rsidRPr="005C63C0" w:rsidR="007253C8">
        <w:t xml:space="preserve">San Diego Gas </w:t>
      </w:r>
      <w:r w:rsidRPr="005C63C0" w:rsidR="00EF0731">
        <w:t>&amp;</w:t>
      </w:r>
      <w:r w:rsidRPr="005C63C0" w:rsidR="007253C8">
        <w:t xml:space="preserve"> Electric Company’s (SDG&amp;E’s) request for </w:t>
      </w:r>
      <w:r w:rsidRPr="005C63C0">
        <w:t xml:space="preserve">capital cost </w:t>
      </w:r>
      <w:r w:rsidRPr="005C63C0" w:rsidR="007253C8">
        <w:t>recovery of</w:t>
      </w:r>
      <w:r w:rsidRPr="005C63C0">
        <w:t xml:space="preserve"> </w:t>
      </w:r>
      <w:r w:rsidRPr="00645333" w:rsidR="007253C8">
        <w:t>Patrol Inspections costs is not reasonable because SDG&amp;E fail</w:t>
      </w:r>
      <w:r w:rsidRPr="00645333" w:rsidR="000947A7">
        <w:t>ed</w:t>
      </w:r>
      <w:r w:rsidRPr="00645333" w:rsidR="007253C8">
        <w:t xml:space="preserve"> to demonstrate how such costs would be incurred for over a year as a </w:t>
      </w:r>
      <w:r w:rsidRPr="00645333" w:rsidR="007253C8">
        <w:lastRenderedPageBreak/>
        <w:t>capital cost</w:t>
      </w:r>
      <w:r>
        <w:t>,</w:t>
      </w:r>
      <w:r w:rsidRPr="00645333" w:rsidR="007253C8">
        <w:t xml:space="preserve"> </w:t>
      </w:r>
      <w:r w:rsidRPr="00645333" w:rsidR="000947A7">
        <w:t xml:space="preserve">SDG&amp;E’s Patrol Inspections costs </w:t>
      </w:r>
      <w:r>
        <w:t>are</w:t>
      </w:r>
      <w:r w:rsidRPr="00645333">
        <w:t xml:space="preserve"> </w:t>
      </w:r>
      <w:r w:rsidRPr="00645333" w:rsidR="000947A7">
        <w:t>just, reasonable, and incremental and should be authorized</w:t>
      </w:r>
      <w:r>
        <w:t xml:space="preserve"> for recovery</w:t>
      </w:r>
      <w:r w:rsidRPr="00645333" w:rsidR="000947A7">
        <w:t xml:space="preserve"> as an Operations &amp; Maintenance cost in the amount of $0.927 million</w:t>
      </w:r>
      <w:r w:rsidRPr="00645333" w:rsidR="007253C8">
        <w:t>.</w:t>
      </w:r>
    </w:p>
    <w:p w:rsidR="007253C8" w:rsidP="00C53A2A" w:rsidRDefault="007253C8" w14:paraId="5C74222A" w14:textId="77777777">
      <w:pPr>
        <w:pStyle w:val="CoL"/>
      </w:pPr>
      <w:r w:rsidRPr="3989E1D7">
        <w:t xml:space="preserve">San Diego </w:t>
      </w:r>
      <w:r w:rsidRPr="00C53A2A">
        <w:t>Gas</w:t>
      </w:r>
      <w:r w:rsidRPr="3989E1D7">
        <w:t xml:space="preserve"> and Electric Company’s request for $8.446 million (in direct</w:t>
      </w:r>
    </w:p>
    <w:p w:rsidR="007253C8" w:rsidP="00C53A2A" w:rsidRDefault="007253C8" w14:paraId="6E4F8D7B" w14:textId="5A6AEB1E">
      <w:pPr>
        <w:pStyle w:val="CoL"/>
        <w:numPr>
          <w:ilvl w:val="0"/>
          <w:numId w:val="0"/>
        </w:numPr>
        <w:rPr>
          <w:rFonts w:eastAsia="Book Antiqua" w:cs="Book Antiqua"/>
          <w:color w:val="000000" w:themeColor="text1"/>
        </w:rPr>
      </w:pPr>
      <w:r w:rsidRPr="3989E1D7">
        <w:rPr>
          <w:rFonts w:eastAsia="Book Antiqua" w:cs="Book Antiqua"/>
          <w:color w:val="000000" w:themeColor="text1"/>
        </w:rPr>
        <w:t xml:space="preserve">costs only) in capital expenditures and -$38.746 million (in direct costs only) in Operations &amp; Maintenance expenses for Asset Management and Inspections costs is just, reasonable, </w:t>
      </w:r>
      <w:r w:rsidR="007E67EC">
        <w:rPr>
          <w:rFonts w:eastAsia="Book Antiqua" w:cs="Book Antiqua"/>
          <w:color w:val="000000" w:themeColor="text1"/>
        </w:rPr>
        <w:t xml:space="preserve">and incremental </w:t>
      </w:r>
      <w:r w:rsidRPr="3989E1D7">
        <w:rPr>
          <w:rFonts w:eastAsia="Book Antiqua" w:cs="Book Antiqua"/>
          <w:color w:val="000000" w:themeColor="text1"/>
        </w:rPr>
        <w:t>and should be authorized.</w:t>
      </w:r>
    </w:p>
    <w:p w:rsidR="007253C8" w:rsidP="5954AC37" w:rsidRDefault="1BFE1C55" w14:paraId="288B37A9" w14:textId="2CB763A3">
      <w:pPr>
        <w:pStyle w:val="CoL"/>
      </w:pPr>
      <w:r>
        <w:t>The Commission should deny recovery for the Light Detection and Ranging</w:t>
      </w:r>
      <w:r w:rsidR="4BB4DFD1">
        <w:t xml:space="preserve"> </w:t>
      </w:r>
      <w:r w:rsidRPr="5954AC37">
        <w:rPr>
          <w:rFonts w:eastAsia="Book Antiqua" w:cs="Book Antiqua"/>
          <w:color w:val="000000" w:themeColor="text1"/>
        </w:rPr>
        <w:t xml:space="preserve">(LiDAR) inspections program as </w:t>
      </w:r>
      <w:r w:rsidRPr="5954AC37" w:rsidR="127A86CB">
        <w:rPr>
          <w:rFonts w:eastAsia="Book Antiqua" w:cs="Book Antiqua"/>
          <w:color w:val="000000" w:themeColor="text1"/>
        </w:rPr>
        <w:t xml:space="preserve">not </w:t>
      </w:r>
      <w:r w:rsidRPr="5954AC37">
        <w:rPr>
          <w:rFonts w:eastAsia="Book Antiqua" w:cs="Book Antiqua"/>
          <w:color w:val="000000" w:themeColor="text1"/>
        </w:rPr>
        <w:t xml:space="preserve">reasonable and imprudent because San Diego Gas </w:t>
      </w:r>
      <w:r w:rsidRPr="5954AC37" w:rsidR="5A18A74A">
        <w:rPr>
          <w:rFonts w:eastAsia="Book Antiqua" w:cs="Book Antiqua"/>
          <w:color w:val="000000" w:themeColor="text1"/>
        </w:rPr>
        <w:t>&amp;</w:t>
      </w:r>
      <w:r w:rsidRPr="5954AC37">
        <w:rPr>
          <w:rFonts w:eastAsia="Book Antiqua" w:cs="Book Antiqua"/>
          <w:color w:val="000000" w:themeColor="text1"/>
        </w:rPr>
        <w:t xml:space="preserve"> Electric Company (SDG&amp;E) </w:t>
      </w:r>
      <w:r w:rsidRPr="5954AC37">
        <w:rPr>
          <w:rFonts w:eastAsia="Book Antiqua" w:cs="Book Antiqua"/>
        </w:rPr>
        <w:t>d</w:t>
      </w:r>
      <w:r w:rsidRPr="5954AC37" w:rsidR="5A18A74A">
        <w:rPr>
          <w:rFonts w:eastAsia="Book Antiqua" w:cs="Book Antiqua"/>
        </w:rPr>
        <w:t>id</w:t>
      </w:r>
      <w:r w:rsidRPr="5954AC37">
        <w:rPr>
          <w:rFonts w:eastAsia="Book Antiqua" w:cs="Book Antiqua"/>
        </w:rPr>
        <w:t xml:space="preserve"> not</w:t>
      </w:r>
      <w:r w:rsidRPr="5954AC37" w:rsidR="76015BC0">
        <w:rPr>
          <w:rFonts w:eastAsia="Book Antiqua" w:cs="Book Antiqua"/>
        </w:rPr>
        <w:t>:</w:t>
      </w:r>
      <w:r w:rsidRPr="5954AC37">
        <w:rPr>
          <w:rFonts w:eastAsia="Book Antiqua" w:cs="Book Antiqua"/>
        </w:rPr>
        <w:t xml:space="preserve"> </w:t>
      </w:r>
      <w:r w:rsidRPr="5954AC37" w:rsidR="76015BC0">
        <w:rPr>
          <w:rFonts w:eastAsia="Book Antiqua" w:cs="Book Antiqua"/>
          <w:color w:val="000000" w:themeColor="text1"/>
        </w:rPr>
        <w:t xml:space="preserve">1) </w:t>
      </w:r>
      <w:r w:rsidRPr="5954AC37">
        <w:rPr>
          <w:rFonts w:eastAsia="Book Antiqua" w:cs="Book Antiqua"/>
        </w:rPr>
        <w:t>provide information regarding whether a greater percentage of abnormalities were found using infrared technology than with other technology, 2) support the additional cost compared with other inspection programs, and 3) indicate how or when it assessed such information before initiating this program as a pilot or continuing it beyond the pilot stage.</w:t>
      </w:r>
    </w:p>
    <w:p w:rsidR="007253C8" w:rsidP="5954AC37" w:rsidRDefault="1BFE1C55" w14:paraId="482F5B9B" w14:textId="100A108C">
      <w:pPr>
        <w:pStyle w:val="CoL"/>
        <w:rPr>
          <w:rFonts w:eastAsia="Book Antiqua" w:cs="Book Antiqua"/>
          <w:color w:val="000000" w:themeColor="text1"/>
        </w:rPr>
      </w:pPr>
      <w:r>
        <w:t xml:space="preserve">San Diego Gas </w:t>
      </w:r>
      <w:r w:rsidR="127A86CB">
        <w:t>&amp;</w:t>
      </w:r>
      <w:r>
        <w:t xml:space="preserve"> Electric Company’s (SDG&amp;E’s) request for recovery for the</w:t>
      </w:r>
      <w:r w:rsidR="1EEE7575">
        <w:t xml:space="preserve"> </w:t>
      </w:r>
      <w:r w:rsidRPr="5954AC37">
        <w:rPr>
          <w:rFonts w:eastAsia="Book Antiqua" w:cs="Book Antiqua"/>
          <w:color w:val="000000" w:themeColor="text1"/>
        </w:rPr>
        <w:t>cost of its Vegetation Restoration Program is not reasonable and should be denied because the program is not part of any of SDG&amp;E’s WMPs and is not tied to reducing a specific risk driver and reducing ignitions.</w:t>
      </w:r>
    </w:p>
    <w:p w:rsidR="007253C8" w:rsidP="5954AC37" w:rsidRDefault="1BFE1C55" w14:paraId="5CFB9E06" w14:textId="41C4C87F">
      <w:pPr>
        <w:pStyle w:val="CoL"/>
        <w:rPr>
          <w:rFonts w:eastAsia="Book Antiqua" w:cs="Book Antiqua"/>
          <w:color w:val="000000" w:themeColor="text1"/>
        </w:rPr>
      </w:pPr>
      <w:r>
        <w:t xml:space="preserve">San Diego Gas </w:t>
      </w:r>
      <w:r w:rsidR="127A86CB">
        <w:t>&amp;</w:t>
      </w:r>
      <w:r>
        <w:t xml:space="preserve"> Electric Company’s (SDG&amp;E’s) request for $3.139 million (in</w:t>
      </w:r>
      <w:r w:rsidR="6E69DE02">
        <w:t xml:space="preserve"> </w:t>
      </w:r>
      <w:r w:rsidRPr="5954AC37">
        <w:rPr>
          <w:rFonts w:eastAsia="Book Antiqua" w:cs="Book Antiqua"/>
          <w:color w:val="000000" w:themeColor="text1"/>
        </w:rPr>
        <w:t>direct costs only) in Operation</w:t>
      </w:r>
      <w:r w:rsidRPr="5954AC37" w:rsidR="127A86CB">
        <w:rPr>
          <w:rFonts w:eastAsia="Book Antiqua" w:cs="Book Antiqua"/>
          <w:color w:val="000000" w:themeColor="text1"/>
        </w:rPr>
        <w:t>s</w:t>
      </w:r>
      <w:r w:rsidRPr="5954AC37">
        <w:rPr>
          <w:rFonts w:eastAsia="Book Antiqua" w:cs="Book Antiqua"/>
          <w:color w:val="000000" w:themeColor="text1"/>
        </w:rPr>
        <w:t xml:space="preserve"> </w:t>
      </w:r>
      <w:r w:rsidRPr="5954AC37" w:rsidR="127A86CB">
        <w:rPr>
          <w:rFonts w:eastAsia="Book Antiqua" w:cs="Book Antiqua"/>
          <w:color w:val="000000" w:themeColor="text1"/>
        </w:rPr>
        <w:t>&amp;</w:t>
      </w:r>
      <w:r w:rsidRPr="5954AC37">
        <w:rPr>
          <w:rFonts w:eastAsia="Book Antiqua" w:cs="Book Antiqua"/>
          <w:color w:val="000000" w:themeColor="text1"/>
        </w:rPr>
        <w:t xml:space="preserve"> Maintenance </w:t>
      </w:r>
      <w:r w:rsidRPr="5954AC37" w:rsidR="127A86CB">
        <w:rPr>
          <w:rFonts w:eastAsia="Book Antiqua" w:cs="Book Antiqua"/>
          <w:color w:val="000000" w:themeColor="text1"/>
        </w:rPr>
        <w:t xml:space="preserve">expenses </w:t>
      </w:r>
      <w:r w:rsidRPr="5954AC37">
        <w:rPr>
          <w:rFonts w:eastAsia="Book Antiqua" w:cs="Book Antiqua"/>
          <w:color w:val="000000" w:themeColor="text1"/>
        </w:rPr>
        <w:t>for Vegetation Management and Inspections costs is just, reasonable, and incremental and should be authorized.</w:t>
      </w:r>
    </w:p>
    <w:p w:rsidR="007253C8" w:rsidP="0082509C" w:rsidRDefault="007253C8" w14:paraId="22CC87F4" w14:textId="7941DBC3">
      <w:pPr>
        <w:pStyle w:val="CoL"/>
      </w:pPr>
      <w:r w:rsidRPr="00854AC7">
        <w:t xml:space="preserve">San Diego Gas </w:t>
      </w:r>
      <w:r w:rsidR="00DE3432">
        <w:t>&amp;</w:t>
      </w:r>
      <w:r w:rsidRPr="00854AC7">
        <w:t xml:space="preserve"> Electric Company’s (SDG&amp;E’s) request for recovery</w:t>
      </w:r>
      <w:r>
        <w:t xml:space="preserve"> </w:t>
      </w:r>
      <w:r w:rsidRPr="00854AC7">
        <w:t>for</w:t>
      </w:r>
      <w:r w:rsidR="0082509C">
        <w:t xml:space="preserve"> </w:t>
      </w:r>
      <w:r w:rsidRPr="00854AC7">
        <w:t xml:space="preserve">Aviation </w:t>
      </w:r>
      <w:r w:rsidRPr="003D16EA">
        <w:t>Firefighting</w:t>
      </w:r>
      <w:r w:rsidRPr="00854AC7">
        <w:t xml:space="preserve"> is </w:t>
      </w:r>
      <w:r w:rsidR="00DE3432">
        <w:t xml:space="preserve">not </w:t>
      </w:r>
      <w:r w:rsidRPr="00854AC7">
        <w:t xml:space="preserve">reasonable and should be denied because SDG&amp;E has not sufficiently demonstrated what the last general rate case authorized </w:t>
      </w:r>
      <w:r w:rsidRPr="00854AC7">
        <w:lastRenderedPageBreak/>
        <w:t xml:space="preserve">SDG&amp;E to spend in </w:t>
      </w:r>
      <w:r w:rsidRPr="3C306614">
        <w:t>Operation</w:t>
      </w:r>
      <w:r w:rsidR="00DE3432">
        <w:t>s</w:t>
      </w:r>
      <w:r w:rsidRPr="3C306614">
        <w:t xml:space="preserve"> </w:t>
      </w:r>
      <w:r w:rsidR="00DE3432">
        <w:t>&amp;</w:t>
      </w:r>
      <w:r w:rsidRPr="3C306614">
        <w:t xml:space="preserve"> Maintenance expenses for this cost category, </w:t>
      </w:r>
      <w:r w:rsidR="00DE3432">
        <w:t xml:space="preserve">has not </w:t>
      </w:r>
      <w:r w:rsidRPr="3C306614">
        <w:t xml:space="preserve">accounted for its unauthorized capital costs, </w:t>
      </w:r>
      <w:r w:rsidR="00DE3432">
        <w:t xml:space="preserve">has not </w:t>
      </w:r>
      <w:r w:rsidRPr="3C306614">
        <w:t>accounted for its cost sharing arrangement with counties and C</w:t>
      </w:r>
      <w:r w:rsidR="00DE3432">
        <w:t xml:space="preserve">AL </w:t>
      </w:r>
      <w:r w:rsidRPr="3C306614">
        <w:t>F</w:t>
      </w:r>
      <w:r w:rsidR="00DE3432">
        <w:t>IRE</w:t>
      </w:r>
      <w:r w:rsidRPr="3C306614">
        <w:t xml:space="preserve">, </w:t>
      </w:r>
      <w:r w:rsidR="00DE3432">
        <w:t>and has not</w:t>
      </w:r>
      <w:r w:rsidR="0082509C">
        <w:t xml:space="preserve"> </w:t>
      </w:r>
      <w:r w:rsidRPr="3C306614">
        <w:t>considered  alternatives to purchasing helicopters.</w:t>
      </w:r>
    </w:p>
    <w:p w:rsidRPr="007342C0" w:rsidR="007253C8" w:rsidP="007342C0" w:rsidRDefault="007253C8" w14:paraId="59D3E69A" w14:textId="45AF8485">
      <w:pPr>
        <w:pStyle w:val="CoL"/>
      </w:pPr>
      <w:r w:rsidRPr="00854AC7">
        <w:t xml:space="preserve">San Diego Gas </w:t>
      </w:r>
      <w:r w:rsidR="00DE3432">
        <w:t>&amp;</w:t>
      </w:r>
      <w:r w:rsidRPr="00854AC7">
        <w:t xml:space="preserve"> Electric Company’s (SDG&amp;E’s) request for</w:t>
      </w:r>
      <w:r>
        <w:t xml:space="preserve"> </w:t>
      </w:r>
      <w:r w:rsidRPr="00854AC7">
        <w:t>recover</w:t>
      </w:r>
      <w:r w:rsidR="00DE3432">
        <w:t>y</w:t>
      </w:r>
      <w:r w:rsidRPr="00854AC7">
        <w:t xml:space="preserve"> of</w:t>
      </w:r>
      <w:r w:rsidRPr="7B393814">
        <w:t xml:space="preserve"> </w:t>
      </w:r>
      <w:r w:rsidR="007A69AC">
        <w:t>capital expenditures</w:t>
      </w:r>
      <w:r w:rsidR="007342C0">
        <w:t xml:space="preserve"> </w:t>
      </w:r>
      <w:r w:rsidRPr="007342C0">
        <w:rPr>
          <w:rFonts w:eastAsia="Book Antiqua" w:cs="Book Antiqua"/>
          <w:color w:val="000000" w:themeColor="text1"/>
          <w:szCs w:val="26"/>
        </w:rPr>
        <w:t xml:space="preserve">for </w:t>
      </w:r>
      <w:r w:rsidRPr="007342C0">
        <w:rPr>
          <w:rFonts w:eastAsia="Book Antiqua" w:cs="Book Antiqua"/>
          <w:szCs w:val="26"/>
        </w:rPr>
        <w:t>Grid Operations &amp; Operating Protocols</w:t>
      </w:r>
      <w:r w:rsidRPr="007342C0">
        <w:rPr>
          <w:rFonts w:eastAsia="Book Antiqua" w:cs="Book Antiqua"/>
          <w:color w:val="000000" w:themeColor="text1"/>
          <w:szCs w:val="26"/>
        </w:rPr>
        <w:t xml:space="preserve"> is </w:t>
      </w:r>
      <w:r w:rsidRPr="007342C0" w:rsidR="00DE3432">
        <w:rPr>
          <w:rFonts w:eastAsia="Book Antiqua" w:cs="Book Antiqua"/>
          <w:color w:val="000000" w:themeColor="text1"/>
          <w:szCs w:val="26"/>
        </w:rPr>
        <w:t xml:space="preserve">not </w:t>
      </w:r>
      <w:r w:rsidRPr="007342C0">
        <w:rPr>
          <w:rFonts w:eastAsia="Book Antiqua" w:cs="Book Antiqua"/>
          <w:color w:val="000000" w:themeColor="text1"/>
          <w:szCs w:val="26"/>
        </w:rPr>
        <w:t>reasonable and should be denied because SDG&amp;E fail</w:t>
      </w:r>
      <w:r w:rsidRPr="007342C0" w:rsidR="007A69AC">
        <w:rPr>
          <w:rFonts w:eastAsia="Book Antiqua" w:cs="Book Antiqua"/>
          <w:color w:val="000000" w:themeColor="text1"/>
          <w:szCs w:val="26"/>
        </w:rPr>
        <w:t>ed</w:t>
      </w:r>
      <w:r w:rsidRPr="007342C0">
        <w:rPr>
          <w:rFonts w:eastAsia="Book Antiqua" w:cs="Book Antiqua"/>
          <w:color w:val="000000" w:themeColor="text1"/>
          <w:szCs w:val="26"/>
        </w:rPr>
        <w:t xml:space="preserve"> to </w:t>
      </w:r>
      <w:r w:rsidRPr="007342C0" w:rsidR="0082509C">
        <w:rPr>
          <w:rFonts w:eastAsia="Book Antiqua" w:cs="Book Antiqua"/>
          <w:color w:val="000000" w:themeColor="text1"/>
          <w:szCs w:val="26"/>
        </w:rPr>
        <w:t xml:space="preserve">sufficiently </w:t>
      </w:r>
      <w:r w:rsidRPr="007342C0">
        <w:rPr>
          <w:rFonts w:eastAsia="Book Antiqua" w:cs="Book Antiqua"/>
          <w:color w:val="000000" w:themeColor="text1"/>
          <w:szCs w:val="26"/>
        </w:rPr>
        <w:t>support such costs as capital expenditures.</w:t>
      </w:r>
    </w:p>
    <w:p w:rsidR="007253C8" w:rsidP="003D16EA" w:rsidRDefault="007253C8" w14:paraId="314278F0" w14:textId="20C19029">
      <w:pPr>
        <w:pStyle w:val="CoL"/>
      </w:pPr>
      <w:r w:rsidRPr="0C234970">
        <w:t xml:space="preserve">San Diego Gas </w:t>
      </w:r>
      <w:r w:rsidR="006D5D92">
        <w:t>&amp;</w:t>
      </w:r>
      <w:r w:rsidRPr="0C234970">
        <w:t xml:space="preserve"> Electric Company’s (SDG&amp;E’s) request for recovery of</w:t>
      </w:r>
    </w:p>
    <w:p w:rsidR="007253C8" w:rsidP="003D16EA" w:rsidRDefault="007253C8" w14:paraId="5E26649B" w14:textId="67F79B77">
      <w:pPr>
        <w:pStyle w:val="CoL"/>
        <w:numPr>
          <w:ilvl w:val="0"/>
          <w:numId w:val="0"/>
        </w:numPr>
        <w:rPr>
          <w:rFonts w:eastAsia="Book Antiqua" w:cs="Book Antiqua"/>
          <w:color w:val="000000" w:themeColor="text1"/>
        </w:rPr>
      </w:pPr>
      <w:r w:rsidRPr="0C234970">
        <w:rPr>
          <w:rFonts w:eastAsia="Book Antiqua" w:cs="Book Antiqua"/>
          <w:color w:val="000000" w:themeColor="text1"/>
        </w:rPr>
        <w:t xml:space="preserve">additional costs for the Centralized Repository for Data is </w:t>
      </w:r>
      <w:r w:rsidR="006D5D92">
        <w:rPr>
          <w:rFonts w:eastAsia="Book Antiqua" w:cs="Book Antiqua"/>
          <w:color w:val="000000" w:themeColor="text1"/>
        </w:rPr>
        <w:t xml:space="preserve">not </w:t>
      </w:r>
      <w:r w:rsidRPr="0C234970">
        <w:rPr>
          <w:rFonts w:eastAsia="Book Antiqua" w:cs="Book Antiqua"/>
          <w:color w:val="000000" w:themeColor="text1"/>
        </w:rPr>
        <w:t>reasonable and should be d</w:t>
      </w:r>
      <w:r w:rsidR="006D5D92">
        <w:rPr>
          <w:rFonts w:eastAsia="Book Antiqua" w:cs="Book Antiqua"/>
          <w:color w:val="000000" w:themeColor="text1"/>
        </w:rPr>
        <w:t>eni</w:t>
      </w:r>
      <w:r w:rsidRPr="0C234970">
        <w:rPr>
          <w:rFonts w:eastAsia="Book Antiqua" w:cs="Book Antiqua"/>
          <w:color w:val="000000" w:themeColor="text1"/>
        </w:rPr>
        <w:t>ed because SDG&amp;E fail</w:t>
      </w:r>
      <w:r w:rsidR="006D5D92">
        <w:rPr>
          <w:rFonts w:eastAsia="Book Antiqua" w:cs="Book Antiqua"/>
          <w:color w:val="000000" w:themeColor="text1"/>
        </w:rPr>
        <w:t>ed</w:t>
      </w:r>
      <w:r w:rsidRPr="0C234970">
        <w:rPr>
          <w:rFonts w:eastAsia="Book Antiqua" w:cs="Book Antiqua"/>
          <w:color w:val="000000" w:themeColor="text1"/>
        </w:rPr>
        <w:t xml:space="preserve"> to provide sufficient evidence required by the Rate Case Plan to support the request and fail</w:t>
      </w:r>
      <w:r w:rsidR="006D5D92">
        <w:rPr>
          <w:rFonts w:eastAsia="Book Antiqua" w:cs="Book Antiqua"/>
          <w:color w:val="000000" w:themeColor="text1"/>
        </w:rPr>
        <w:t>ed</w:t>
      </w:r>
      <w:r w:rsidRPr="0C234970">
        <w:rPr>
          <w:rFonts w:eastAsia="Book Antiqua" w:cs="Book Antiqua"/>
          <w:color w:val="000000" w:themeColor="text1"/>
        </w:rPr>
        <w:t xml:space="preserve"> to separate the amounts requested for data governance from other requests that may also support </w:t>
      </w:r>
      <w:r w:rsidRPr="2A40E581">
        <w:rPr>
          <w:rFonts w:eastAsia="Book Antiqua" w:cs="Book Antiqua"/>
          <w:color w:val="000000" w:themeColor="text1"/>
        </w:rPr>
        <w:t>Wildfire Mitigation</w:t>
      </w:r>
      <w:r w:rsidRPr="0F49F8E6">
        <w:rPr>
          <w:rFonts w:eastAsia="Book Antiqua" w:cs="Book Antiqua"/>
          <w:color w:val="000000" w:themeColor="text1"/>
        </w:rPr>
        <w:t xml:space="preserve"> Plan</w:t>
      </w:r>
      <w:r w:rsidRPr="0C234970">
        <w:rPr>
          <w:rFonts w:eastAsia="Book Antiqua" w:cs="Book Antiqua"/>
          <w:color w:val="000000" w:themeColor="text1"/>
        </w:rPr>
        <w:t xml:space="preserve"> data processing functions.</w:t>
      </w:r>
    </w:p>
    <w:p w:rsidR="007253C8" w:rsidP="003D16EA" w:rsidRDefault="007253C8" w14:paraId="01EE6AD9" w14:textId="2113FFDF">
      <w:pPr>
        <w:pStyle w:val="CoL"/>
      </w:pPr>
      <w:r w:rsidRPr="003D16EA">
        <w:t>San</w:t>
      </w:r>
      <w:r w:rsidRPr="7B393814">
        <w:t xml:space="preserve"> Diego Gas </w:t>
      </w:r>
      <w:r w:rsidR="006D5D92">
        <w:t>&amp;</w:t>
      </w:r>
      <w:r w:rsidRPr="7B393814">
        <w:t xml:space="preserve"> Electric Company’s (SDG&amp;E’s) request for recovery of</w:t>
      </w:r>
    </w:p>
    <w:p w:rsidR="007253C8" w:rsidP="003D16EA" w:rsidRDefault="007253C8" w14:paraId="3285C6D2" w14:textId="51224062">
      <w:pPr>
        <w:pStyle w:val="CoL"/>
        <w:numPr>
          <w:ilvl w:val="0"/>
          <w:numId w:val="0"/>
        </w:numPr>
        <w:rPr>
          <w:rFonts w:eastAsia="Book Antiqua" w:cs="Book Antiqua"/>
          <w:color w:val="000000" w:themeColor="text1"/>
          <w:szCs w:val="26"/>
        </w:rPr>
      </w:pPr>
      <w:r w:rsidRPr="7B393814">
        <w:rPr>
          <w:rFonts w:eastAsia="Book Antiqua" w:cs="Book Antiqua"/>
          <w:color w:val="000000" w:themeColor="text1"/>
          <w:szCs w:val="26"/>
        </w:rPr>
        <w:t>Resource Allocation Methodology costs is not reasonable and should be d</w:t>
      </w:r>
      <w:r w:rsidR="006D5D92">
        <w:rPr>
          <w:rFonts w:eastAsia="Book Antiqua" w:cs="Book Antiqua"/>
          <w:color w:val="000000" w:themeColor="text1"/>
          <w:szCs w:val="26"/>
        </w:rPr>
        <w:t>eni</w:t>
      </w:r>
      <w:r w:rsidRPr="7B393814">
        <w:rPr>
          <w:rFonts w:eastAsia="Book Antiqua" w:cs="Book Antiqua"/>
          <w:color w:val="000000" w:themeColor="text1"/>
          <w:szCs w:val="26"/>
        </w:rPr>
        <w:t>ed because SDG&amp;E fail</w:t>
      </w:r>
      <w:r w:rsidR="006D5D92">
        <w:rPr>
          <w:rFonts w:eastAsia="Book Antiqua" w:cs="Book Antiqua"/>
          <w:color w:val="000000" w:themeColor="text1"/>
          <w:szCs w:val="26"/>
        </w:rPr>
        <w:t>ed</w:t>
      </w:r>
      <w:r w:rsidRPr="7B393814">
        <w:rPr>
          <w:rFonts w:eastAsia="Book Antiqua" w:cs="Book Antiqua"/>
          <w:color w:val="000000" w:themeColor="text1"/>
          <w:szCs w:val="26"/>
        </w:rPr>
        <w:t xml:space="preserve"> to provide sufficient evidence required by the Rate Case Plan to support the amount requested, including how the amount requested is separate from the amount requested for the development of the </w:t>
      </w:r>
      <w:proofErr w:type="spellStart"/>
      <w:r w:rsidRPr="7B393814">
        <w:rPr>
          <w:rFonts w:eastAsia="Book Antiqua" w:cs="Book Antiqua"/>
          <w:color w:val="000000" w:themeColor="text1"/>
          <w:szCs w:val="26"/>
        </w:rPr>
        <w:t>WiNGS</w:t>
      </w:r>
      <w:proofErr w:type="spellEnd"/>
      <w:r w:rsidRPr="7B393814">
        <w:rPr>
          <w:rFonts w:eastAsia="Book Antiqua" w:cs="Book Antiqua"/>
          <w:color w:val="000000" w:themeColor="text1"/>
          <w:szCs w:val="26"/>
        </w:rPr>
        <w:t xml:space="preserve"> model as part of Risk Assessment and Mapping work.</w:t>
      </w:r>
    </w:p>
    <w:p w:rsidR="007253C8" w:rsidP="003D16EA" w:rsidRDefault="007253C8" w14:paraId="512944C6" w14:textId="2A0CC6D2">
      <w:pPr>
        <w:pStyle w:val="CoL"/>
      </w:pPr>
      <w:r w:rsidRPr="00854AC7">
        <w:t xml:space="preserve">San </w:t>
      </w:r>
      <w:r w:rsidRPr="003D16EA">
        <w:t>Diego</w:t>
      </w:r>
      <w:r w:rsidRPr="00854AC7">
        <w:t xml:space="preserve"> Gas </w:t>
      </w:r>
      <w:r w:rsidR="006D5D92">
        <w:t>&amp;</w:t>
      </w:r>
      <w:r w:rsidRPr="00854AC7">
        <w:t xml:space="preserve"> Electric Company’s (SDG&amp;E’s) request for recovery</w:t>
      </w:r>
      <w:r>
        <w:t xml:space="preserve"> </w:t>
      </w:r>
      <w:r w:rsidRPr="00854AC7">
        <w:t>of</w:t>
      </w:r>
    </w:p>
    <w:p w:rsidR="007253C8" w:rsidP="003D16EA" w:rsidRDefault="007253C8" w14:paraId="374052A5" w14:textId="3745A96D">
      <w:pPr>
        <w:pStyle w:val="CoL"/>
        <w:numPr>
          <w:ilvl w:val="0"/>
          <w:numId w:val="0"/>
        </w:numPr>
        <w:rPr>
          <w:rFonts w:eastAsia="Book Antiqua" w:cs="Book Antiqua"/>
          <w:color w:val="000000" w:themeColor="text1"/>
          <w:szCs w:val="26"/>
        </w:rPr>
      </w:pPr>
      <w:r w:rsidRPr="7B393814">
        <w:rPr>
          <w:rFonts w:eastAsia="Book Antiqua" w:cs="Book Antiqua"/>
          <w:color w:val="000000" w:themeColor="text1"/>
          <w:szCs w:val="26"/>
        </w:rPr>
        <w:t xml:space="preserve">Community Engagement costs is </w:t>
      </w:r>
      <w:r w:rsidR="006D5D92">
        <w:rPr>
          <w:rFonts w:eastAsia="Book Antiqua" w:cs="Book Antiqua"/>
          <w:color w:val="000000" w:themeColor="text1"/>
          <w:szCs w:val="26"/>
        </w:rPr>
        <w:t xml:space="preserve">not </w:t>
      </w:r>
      <w:r w:rsidRPr="7B393814">
        <w:rPr>
          <w:rFonts w:eastAsia="Book Antiqua" w:cs="Book Antiqua"/>
          <w:color w:val="000000" w:themeColor="text1"/>
          <w:szCs w:val="26"/>
        </w:rPr>
        <w:t>reasonable and should be denied because SDG&amp;E fail</w:t>
      </w:r>
      <w:r w:rsidR="006D5D92">
        <w:rPr>
          <w:rFonts w:eastAsia="Book Antiqua" w:cs="Book Antiqua"/>
          <w:color w:val="000000" w:themeColor="text1"/>
          <w:szCs w:val="26"/>
        </w:rPr>
        <w:t>ed</w:t>
      </w:r>
      <w:r w:rsidRPr="7B393814">
        <w:rPr>
          <w:rFonts w:eastAsia="Book Antiqua" w:cs="Book Antiqua"/>
          <w:color w:val="000000" w:themeColor="text1"/>
          <w:szCs w:val="26"/>
        </w:rPr>
        <w:t xml:space="preserve"> to provide sufficient information required by the Rate Case Plan, including how the amount requested is separate from the amount requested for recovery of costs requested under Community Outreach, Public Awareness, and Communication Efforts of Emergency Planning and Preparedness.</w:t>
      </w:r>
    </w:p>
    <w:p w:rsidR="007253C8" w:rsidP="003D16EA" w:rsidRDefault="007253C8" w14:paraId="39AF614E" w14:textId="06817BB7">
      <w:pPr>
        <w:pStyle w:val="CoL"/>
      </w:pPr>
      <w:r w:rsidRPr="0F49F8E6">
        <w:lastRenderedPageBreak/>
        <w:t xml:space="preserve">San Diego Gas </w:t>
      </w:r>
      <w:r w:rsidR="006D5D92">
        <w:t>&amp;</w:t>
      </w:r>
      <w:r w:rsidRPr="0F49F8E6">
        <w:t xml:space="preserve"> </w:t>
      </w:r>
      <w:r w:rsidRPr="003D16EA">
        <w:t>Electric</w:t>
      </w:r>
      <w:r w:rsidRPr="0F49F8E6">
        <w:t xml:space="preserve"> Company’s (SDG&amp;E’s) request for recovery of</w:t>
      </w:r>
    </w:p>
    <w:p w:rsidR="007253C8" w:rsidP="003D16EA" w:rsidRDefault="1BFE1C55" w14:paraId="1834AD41" w14:textId="7B08547D">
      <w:pPr>
        <w:pStyle w:val="CoL"/>
        <w:numPr>
          <w:ilvl w:val="0"/>
          <w:numId w:val="0"/>
        </w:numPr>
        <w:rPr>
          <w:rFonts w:eastAsia="Book Antiqua" w:cs="Book Antiqua"/>
          <w:color w:val="000000" w:themeColor="text1"/>
        </w:rPr>
      </w:pPr>
      <w:r w:rsidRPr="5954AC37">
        <w:rPr>
          <w:rFonts w:eastAsia="Book Antiqua" w:cs="Book Antiqua"/>
          <w:color w:val="000000" w:themeColor="text1"/>
        </w:rPr>
        <w:t xml:space="preserve">Public Safety Power Shutoff Communications costs is </w:t>
      </w:r>
      <w:r w:rsidRPr="5954AC37" w:rsidR="394D81DF">
        <w:rPr>
          <w:rFonts w:eastAsia="Book Antiqua" w:cs="Book Antiqua"/>
          <w:color w:val="000000" w:themeColor="text1"/>
        </w:rPr>
        <w:t>not</w:t>
      </w:r>
      <w:r w:rsidRPr="5954AC37" w:rsidR="3E535A08">
        <w:rPr>
          <w:rFonts w:eastAsia="Book Antiqua" w:cs="Book Antiqua"/>
          <w:color w:val="000000" w:themeColor="text1"/>
        </w:rPr>
        <w:t xml:space="preserve"> </w:t>
      </w:r>
      <w:r w:rsidRPr="5954AC37">
        <w:rPr>
          <w:rFonts w:eastAsia="Book Antiqua" w:cs="Book Antiqua"/>
          <w:color w:val="000000" w:themeColor="text1"/>
        </w:rPr>
        <w:t>reasonable and should be denied as unsupported because SDG&amp;E fail</w:t>
      </w:r>
      <w:r w:rsidRPr="5954AC37" w:rsidR="394D81DF">
        <w:rPr>
          <w:rFonts w:eastAsia="Book Antiqua" w:cs="Book Antiqua"/>
          <w:color w:val="000000" w:themeColor="text1"/>
        </w:rPr>
        <w:t>ed</w:t>
      </w:r>
      <w:r w:rsidRPr="5954AC37">
        <w:rPr>
          <w:rFonts w:eastAsia="Book Antiqua" w:cs="Book Antiqua"/>
          <w:color w:val="000000" w:themeColor="text1"/>
        </w:rPr>
        <w:t xml:space="preserve"> to demonstrate the cost of the mobile phone application (App) separate from other costs requested, fail</w:t>
      </w:r>
      <w:r w:rsidRPr="5954AC37" w:rsidR="394D81DF">
        <w:rPr>
          <w:rFonts w:eastAsia="Book Antiqua" w:cs="Book Antiqua"/>
          <w:color w:val="000000" w:themeColor="text1"/>
        </w:rPr>
        <w:t>ed</w:t>
      </w:r>
      <w:r w:rsidRPr="5954AC37">
        <w:rPr>
          <w:rFonts w:eastAsia="Book Antiqua" w:cs="Book Antiqua"/>
          <w:color w:val="000000" w:themeColor="text1"/>
        </w:rPr>
        <w:t xml:space="preserve"> to demonstrate the value of an App compared to other alternatives, and fail</w:t>
      </w:r>
      <w:r w:rsidRPr="5954AC37" w:rsidR="394D81DF">
        <w:rPr>
          <w:rFonts w:eastAsia="Book Antiqua" w:cs="Book Antiqua"/>
          <w:color w:val="000000" w:themeColor="text1"/>
        </w:rPr>
        <w:t>ed</w:t>
      </w:r>
      <w:r w:rsidRPr="5954AC37">
        <w:rPr>
          <w:rFonts w:eastAsia="Book Antiqua" w:cs="Book Antiqua"/>
          <w:color w:val="000000" w:themeColor="text1"/>
        </w:rPr>
        <w:t xml:space="preserve"> to demonstrate the App</w:t>
      </w:r>
      <w:r w:rsidRPr="5954AC37" w:rsidR="394D81DF">
        <w:rPr>
          <w:rFonts w:eastAsia="Book Antiqua" w:cs="Book Antiqua"/>
          <w:color w:val="000000" w:themeColor="text1"/>
        </w:rPr>
        <w:t>’</w:t>
      </w:r>
      <w:r w:rsidRPr="5954AC37">
        <w:rPr>
          <w:rFonts w:eastAsia="Book Antiqua" w:cs="Book Antiqua"/>
          <w:color w:val="000000" w:themeColor="text1"/>
        </w:rPr>
        <w:t>s value to county governments and residents.</w:t>
      </w:r>
    </w:p>
    <w:p w:rsidR="007253C8" w:rsidP="003D16EA" w:rsidRDefault="007253C8" w14:paraId="37E747C4" w14:textId="0CA26192">
      <w:pPr>
        <w:pStyle w:val="CoL"/>
      </w:pPr>
      <w:bookmarkStart w:name="_Hlk218701207" w:id="124"/>
      <w:r w:rsidRPr="00854AC7">
        <w:t xml:space="preserve">San Diego Gas </w:t>
      </w:r>
      <w:r w:rsidR="006D5D92">
        <w:t>&amp;</w:t>
      </w:r>
      <w:r w:rsidRPr="00854AC7">
        <w:t xml:space="preserve"> Electric </w:t>
      </w:r>
      <w:r w:rsidRPr="003D16EA">
        <w:t>Company’s</w:t>
      </w:r>
      <w:r w:rsidRPr="00854AC7">
        <w:t xml:space="preserve"> (SDG&amp;E’s) request for recovery</w:t>
      </w:r>
      <w:r>
        <w:t xml:space="preserve"> </w:t>
      </w:r>
      <w:r w:rsidRPr="00854AC7">
        <w:t>o</w:t>
      </w:r>
      <w:r>
        <w:t>f</w:t>
      </w:r>
    </w:p>
    <w:p w:rsidR="007253C8" w:rsidP="003D16EA" w:rsidRDefault="007253C8" w14:paraId="3EB90A09" w14:textId="09C3BB15">
      <w:pPr>
        <w:pStyle w:val="CoL"/>
        <w:numPr>
          <w:ilvl w:val="0"/>
          <w:numId w:val="0"/>
        </w:numPr>
        <w:rPr>
          <w:rFonts w:eastAsia="Book Antiqua" w:cs="Book Antiqua"/>
          <w:color w:val="000000" w:themeColor="text1"/>
        </w:rPr>
      </w:pPr>
      <w:r w:rsidRPr="00854AC7">
        <w:rPr>
          <w:rFonts w:eastAsia="Book Antiqua" w:cs="Book Antiqua"/>
          <w:color w:val="000000" w:themeColor="text1"/>
        </w:rPr>
        <w:t>Employee Benefits costs in the amounts of $0.221 million in capital</w:t>
      </w:r>
      <w:r w:rsidR="0073162B">
        <w:rPr>
          <w:rFonts w:eastAsia="Book Antiqua" w:cs="Book Antiqua"/>
          <w:color w:val="000000" w:themeColor="text1"/>
        </w:rPr>
        <w:t xml:space="preserve"> expenditures</w:t>
      </w:r>
      <w:r w:rsidRPr="00854AC7">
        <w:rPr>
          <w:rFonts w:eastAsia="Book Antiqua" w:cs="Book Antiqua"/>
          <w:color w:val="000000" w:themeColor="text1"/>
        </w:rPr>
        <w:t xml:space="preserve"> and $0.261 million for O</w:t>
      </w:r>
      <w:r w:rsidRPr="3A933B8F">
        <w:rPr>
          <w:rFonts w:eastAsia="Book Antiqua" w:cs="Book Antiqua"/>
          <w:color w:val="000000" w:themeColor="text1"/>
        </w:rPr>
        <w:t>peration</w:t>
      </w:r>
      <w:r w:rsidR="006D5D92">
        <w:rPr>
          <w:rFonts w:eastAsia="Book Antiqua" w:cs="Book Antiqua"/>
          <w:color w:val="000000" w:themeColor="text1"/>
        </w:rPr>
        <w:t>s</w:t>
      </w:r>
      <w:r w:rsidRPr="3A933B8F">
        <w:rPr>
          <w:rFonts w:eastAsia="Book Antiqua" w:cs="Book Antiqua"/>
          <w:color w:val="000000" w:themeColor="text1"/>
        </w:rPr>
        <w:t xml:space="preserve"> </w:t>
      </w:r>
      <w:r w:rsidR="006D5D92">
        <w:rPr>
          <w:rFonts w:eastAsia="Book Antiqua" w:cs="Book Antiqua"/>
          <w:color w:val="000000" w:themeColor="text1"/>
        </w:rPr>
        <w:t>&amp;</w:t>
      </w:r>
      <w:r w:rsidRPr="3A933B8F">
        <w:rPr>
          <w:rFonts w:eastAsia="Book Antiqua" w:cs="Book Antiqua"/>
          <w:color w:val="000000" w:themeColor="text1"/>
        </w:rPr>
        <w:t xml:space="preserve"> Maintenance expenses is</w:t>
      </w:r>
      <w:bookmarkEnd w:id="124"/>
      <w:r w:rsidR="006D5D92">
        <w:rPr>
          <w:rFonts w:eastAsia="Book Antiqua" w:cs="Book Antiqua"/>
          <w:color w:val="000000" w:themeColor="text1"/>
        </w:rPr>
        <w:t xml:space="preserve"> </w:t>
      </w:r>
      <w:r w:rsidR="00556DD2">
        <w:rPr>
          <w:rFonts w:eastAsia="Book Antiqua" w:cs="Book Antiqua"/>
          <w:color w:val="000000" w:themeColor="text1"/>
        </w:rPr>
        <w:t xml:space="preserve">just, </w:t>
      </w:r>
      <w:r w:rsidRPr="3A933B8F">
        <w:rPr>
          <w:rFonts w:eastAsia="Book Antiqua" w:cs="Book Antiqua"/>
          <w:color w:val="000000" w:themeColor="text1"/>
        </w:rPr>
        <w:t>reasonable</w:t>
      </w:r>
      <w:r w:rsidR="00556DD2">
        <w:rPr>
          <w:rFonts w:eastAsia="Book Antiqua" w:cs="Book Antiqua"/>
          <w:color w:val="000000" w:themeColor="text1"/>
        </w:rPr>
        <w:t>, and incremental</w:t>
      </w:r>
      <w:r w:rsidRPr="3A933B8F">
        <w:rPr>
          <w:rFonts w:eastAsia="Book Antiqua" w:cs="Book Antiqua"/>
          <w:color w:val="000000" w:themeColor="text1"/>
        </w:rPr>
        <w:t xml:space="preserve"> and should be </w:t>
      </w:r>
      <w:r w:rsidR="00556DD2">
        <w:rPr>
          <w:rFonts w:eastAsia="Book Antiqua" w:cs="Book Antiqua"/>
          <w:color w:val="000000" w:themeColor="text1"/>
        </w:rPr>
        <w:t xml:space="preserve">authorized </w:t>
      </w:r>
      <w:r w:rsidRPr="3A933B8F">
        <w:rPr>
          <w:rFonts w:eastAsia="Book Antiqua" w:cs="Book Antiqua"/>
          <w:color w:val="000000" w:themeColor="text1"/>
        </w:rPr>
        <w:t xml:space="preserve"> </w:t>
      </w:r>
      <w:r w:rsidRPr="1BFDEE04">
        <w:rPr>
          <w:rFonts w:eastAsia="Book Antiqua" w:cs="Book Antiqua"/>
          <w:color w:val="000000" w:themeColor="text1"/>
        </w:rPr>
        <w:t xml:space="preserve">l </w:t>
      </w:r>
      <w:r w:rsidR="00556DD2">
        <w:rPr>
          <w:rFonts w:eastAsia="Book Antiqua" w:cs="Book Antiqua"/>
          <w:color w:val="000000" w:themeColor="text1"/>
        </w:rPr>
        <w:t xml:space="preserve"> </w:t>
      </w:r>
      <w:r w:rsidRPr="00556DD2" w:rsidR="00556DD2">
        <w:rPr>
          <w:rFonts w:eastAsia="Book Antiqua" w:cs="Book Antiqua"/>
          <w:color w:val="000000" w:themeColor="text1"/>
        </w:rPr>
        <w:t xml:space="preserve">because these costs are associated with additional employees hired since the Company’s 2019 GRC who performed work </w:t>
      </w:r>
      <w:r w:rsidR="00985B9A">
        <w:rPr>
          <w:rFonts w:eastAsia="Book Antiqua" w:cs="Book Antiqua"/>
          <w:color w:val="000000" w:themeColor="text1"/>
        </w:rPr>
        <w:t xml:space="preserve">reasonably </w:t>
      </w:r>
      <w:r w:rsidRPr="00556DD2" w:rsidR="00556DD2">
        <w:rPr>
          <w:rFonts w:eastAsia="Book Antiqua" w:cs="Book Antiqua"/>
          <w:color w:val="000000" w:themeColor="text1"/>
        </w:rPr>
        <w:t>recorded in the WMPMA</w:t>
      </w:r>
      <w:r w:rsidRPr="3A933B8F">
        <w:rPr>
          <w:rFonts w:eastAsia="Book Antiqua" w:cs="Book Antiqua"/>
          <w:color w:val="000000" w:themeColor="text1"/>
        </w:rPr>
        <w:t>.</w:t>
      </w:r>
    </w:p>
    <w:p w:rsidR="007253C8" w:rsidP="003D16EA" w:rsidRDefault="007253C8" w14:paraId="5BC2E152" w14:textId="31FEC0C0">
      <w:pPr>
        <w:pStyle w:val="CoL"/>
      </w:pPr>
      <w:r w:rsidRPr="1BFDEE04">
        <w:t xml:space="preserve">San Diego Gas </w:t>
      </w:r>
      <w:r w:rsidR="006D5D92">
        <w:t>&amp;</w:t>
      </w:r>
      <w:r w:rsidRPr="1BFDEE04">
        <w:t xml:space="preserve"> Electric Company’s (SDG&amp;E’s) request for recovery of</w:t>
      </w:r>
    </w:p>
    <w:p w:rsidR="007253C8" w:rsidP="003D16EA" w:rsidRDefault="007253C8" w14:paraId="5E4AEFC3" w14:textId="431B51C8">
      <w:pPr>
        <w:pStyle w:val="CoL"/>
        <w:numPr>
          <w:ilvl w:val="0"/>
          <w:numId w:val="0"/>
        </w:numPr>
        <w:rPr>
          <w:rFonts w:eastAsia="Book Antiqua" w:cs="Book Antiqua"/>
          <w:color w:val="000000" w:themeColor="text1"/>
        </w:rPr>
      </w:pPr>
      <w:r w:rsidRPr="1BFDEE04">
        <w:rPr>
          <w:rFonts w:eastAsia="Book Antiqua" w:cs="Book Antiqua"/>
          <w:color w:val="000000" w:themeColor="text1"/>
        </w:rPr>
        <w:t xml:space="preserve">professional membership dues in the amount of $0.003 million in capital expenditures and $0.218 million in </w:t>
      </w:r>
      <w:r w:rsidRPr="2261B9EE">
        <w:rPr>
          <w:rFonts w:eastAsia="Book Antiqua" w:cs="Book Antiqua"/>
          <w:color w:val="000000" w:themeColor="text1"/>
        </w:rPr>
        <w:t>Operation</w:t>
      </w:r>
      <w:r w:rsidR="006D5D92">
        <w:rPr>
          <w:rFonts w:eastAsia="Book Antiqua" w:cs="Book Antiqua"/>
          <w:color w:val="000000" w:themeColor="text1"/>
        </w:rPr>
        <w:t>s</w:t>
      </w:r>
      <w:r w:rsidRPr="23271F67">
        <w:rPr>
          <w:rFonts w:eastAsia="Book Antiqua" w:cs="Book Antiqua"/>
          <w:color w:val="000000" w:themeColor="text1"/>
        </w:rPr>
        <w:t xml:space="preserve"> </w:t>
      </w:r>
      <w:r w:rsidR="006D5D92">
        <w:rPr>
          <w:rFonts w:eastAsia="Book Antiqua" w:cs="Book Antiqua"/>
          <w:color w:val="000000" w:themeColor="text1"/>
        </w:rPr>
        <w:t>&amp;</w:t>
      </w:r>
      <w:r w:rsidRPr="23271F67">
        <w:rPr>
          <w:rFonts w:eastAsia="Book Antiqua" w:cs="Book Antiqua"/>
          <w:color w:val="000000" w:themeColor="text1"/>
        </w:rPr>
        <w:t xml:space="preserve"> Maintenance</w:t>
      </w:r>
      <w:r w:rsidRPr="1BFDEE04">
        <w:rPr>
          <w:rFonts w:eastAsia="Book Antiqua" w:cs="Book Antiqua"/>
          <w:color w:val="000000" w:themeColor="text1"/>
        </w:rPr>
        <w:t xml:space="preserve"> expenses is </w:t>
      </w:r>
      <w:r w:rsidR="00E6071E">
        <w:rPr>
          <w:rFonts w:eastAsia="Book Antiqua" w:cs="Book Antiqua"/>
          <w:color w:val="000000" w:themeColor="text1"/>
        </w:rPr>
        <w:t>not</w:t>
      </w:r>
      <w:r w:rsidR="005C63C0">
        <w:rPr>
          <w:rFonts w:eastAsia="Book Antiqua" w:cs="Book Antiqua"/>
          <w:color w:val="000000" w:themeColor="text1"/>
        </w:rPr>
        <w:t xml:space="preserve"> </w:t>
      </w:r>
      <w:r w:rsidRPr="1BFDEE04">
        <w:rPr>
          <w:rFonts w:eastAsia="Book Antiqua" w:cs="Book Antiqua"/>
          <w:color w:val="000000" w:themeColor="text1"/>
        </w:rPr>
        <w:t>reasonable and should be d</w:t>
      </w:r>
      <w:r w:rsidR="00E6071E">
        <w:rPr>
          <w:rFonts w:eastAsia="Book Antiqua" w:cs="Book Antiqua"/>
          <w:color w:val="000000" w:themeColor="text1"/>
        </w:rPr>
        <w:t>eni</w:t>
      </w:r>
      <w:r w:rsidRPr="1BFDEE04">
        <w:rPr>
          <w:rFonts w:eastAsia="Book Antiqua" w:cs="Book Antiqua"/>
          <w:color w:val="000000" w:themeColor="text1"/>
        </w:rPr>
        <w:t>ed because SDG&amp;E provide</w:t>
      </w:r>
      <w:r w:rsidR="00E6071E">
        <w:rPr>
          <w:rFonts w:eastAsia="Book Antiqua" w:cs="Book Antiqua"/>
          <w:color w:val="000000" w:themeColor="text1"/>
        </w:rPr>
        <w:t>d</w:t>
      </w:r>
      <w:r w:rsidRPr="1BFDEE04">
        <w:rPr>
          <w:rFonts w:eastAsia="Book Antiqua" w:cs="Book Antiqua"/>
          <w:color w:val="000000" w:themeColor="text1"/>
        </w:rPr>
        <w:t xml:space="preserve"> insufficient evidence to demonstrate the ratepayer benefits of such costs.</w:t>
      </w:r>
    </w:p>
    <w:p w:rsidR="007253C8" w:rsidP="003D16EA" w:rsidRDefault="007253C8" w14:paraId="7BDCF808" w14:textId="0AFF0A34">
      <w:pPr>
        <w:pStyle w:val="CoL"/>
      </w:pPr>
      <w:r w:rsidRPr="61D4D11C">
        <w:t xml:space="preserve">It is </w:t>
      </w:r>
      <w:r w:rsidRPr="003D16EA">
        <w:t>reasonable</w:t>
      </w:r>
      <w:r w:rsidRPr="61D4D11C">
        <w:t xml:space="preserve"> for the Commission to reduce San Diego Gas </w:t>
      </w:r>
      <w:r w:rsidR="00E6071E">
        <w:t>&amp;</w:t>
      </w:r>
      <w:r w:rsidRPr="61D4D11C">
        <w:t xml:space="preserve"> Electric</w:t>
      </w:r>
    </w:p>
    <w:p w:rsidR="007253C8" w:rsidP="003D16EA" w:rsidRDefault="007253C8" w14:paraId="67245632" w14:textId="242B638F">
      <w:pPr>
        <w:pStyle w:val="CoL"/>
        <w:numPr>
          <w:ilvl w:val="0"/>
          <w:numId w:val="0"/>
        </w:numPr>
        <w:rPr>
          <w:rFonts w:eastAsia="Book Antiqua" w:cs="Book Antiqua"/>
          <w:color w:val="000000" w:themeColor="text1"/>
        </w:rPr>
      </w:pPr>
      <w:r w:rsidRPr="61D4D11C">
        <w:rPr>
          <w:rFonts w:eastAsia="Book Antiqua" w:cs="Book Antiqua"/>
          <w:color w:val="000000" w:themeColor="text1"/>
        </w:rPr>
        <w:t>Company’s (SDG&amp;E’s) cost recovery by reducing indirect costs in proportion to reductions for direct costs. As a result, SDG&amp;E should be d</w:t>
      </w:r>
      <w:r w:rsidR="00E6071E">
        <w:rPr>
          <w:rFonts w:eastAsia="Book Antiqua" w:cs="Book Antiqua"/>
          <w:color w:val="000000" w:themeColor="text1"/>
        </w:rPr>
        <w:t>eni</w:t>
      </w:r>
      <w:r w:rsidRPr="61D4D11C">
        <w:rPr>
          <w:rFonts w:eastAsia="Book Antiqua" w:cs="Book Antiqua"/>
          <w:color w:val="000000" w:themeColor="text1"/>
        </w:rPr>
        <w:t>ed cost recovery for indirect costs in the amounts shown in Appendix B, totaling $38.966 million, with $28.760 million d</w:t>
      </w:r>
      <w:r w:rsidR="00E6071E">
        <w:rPr>
          <w:rFonts w:eastAsia="Book Antiqua" w:cs="Book Antiqua"/>
          <w:color w:val="000000" w:themeColor="text1"/>
        </w:rPr>
        <w:t>eni</w:t>
      </w:r>
      <w:r w:rsidRPr="61D4D11C">
        <w:rPr>
          <w:rFonts w:eastAsia="Book Antiqua" w:cs="Book Antiqua"/>
          <w:color w:val="000000" w:themeColor="text1"/>
        </w:rPr>
        <w:t>ed for indirect capital expenditures and $10.206 million d</w:t>
      </w:r>
      <w:r w:rsidR="00E6071E">
        <w:rPr>
          <w:rFonts w:eastAsia="Book Antiqua" w:cs="Book Antiqua"/>
          <w:color w:val="000000" w:themeColor="text1"/>
        </w:rPr>
        <w:t>eni</w:t>
      </w:r>
      <w:r w:rsidRPr="61D4D11C">
        <w:rPr>
          <w:rFonts w:eastAsia="Book Antiqua" w:cs="Book Antiqua"/>
          <w:color w:val="000000" w:themeColor="text1"/>
        </w:rPr>
        <w:t>ed for indirect Operation</w:t>
      </w:r>
      <w:r w:rsidR="00E6071E">
        <w:rPr>
          <w:rFonts w:eastAsia="Book Antiqua" w:cs="Book Antiqua"/>
          <w:color w:val="000000" w:themeColor="text1"/>
        </w:rPr>
        <w:t>s</w:t>
      </w:r>
      <w:r w:rsidRPr="61D4D11C">
        <w:rPr>
          <w:rFonts w:eastAsia="Book Antiqua" w:cs="Book Antiqua"/>
          <w:color w:val="000000" w:themeColor="text1"/>
        </w:rPr>
        <w:t xml:space="preserve"> </w:t>
      </w:r>
      <w:r w:rsidR="00E6071E">
        <w:rPr>
          <w:rFonts w:eastAsia="Book Antiqua" w:cs="Book Antiqua"/>
          <w:color w:val="000000" w:themeColor="text1"/>
        </w:rPr>
        <w:t>&amp;</w:t>
      </w:r>
      <w:r w:rsidRPr="61D4D11C">
        <w:rPr>
          <w:rFonts w:eastAsia="Book Antiqua" w:cs="Book Antiqua"/>
          <w:color w:val="000000" w:themeColor="text1"/>
        </w:rPr>
        <w:t xml:space="preserve"> Maintenance expenses.</w:t>
      </w:r>
    </w:p>
    <w:p w:rsidR="007253C8" w:rsidP="003D16EA" w:rsidRDefault="007253C8" w14:paraId="780BAFC6" w14:textId="539F131D">
      <w:pPr>
        <w:pStyle w:val="CoL"/>
      </w:pPr>
      <w:r w:rsidRPr="5CAE68E6">
        <w:t xml:space="preserve">San Diego Gas </w:t>
      </w:r>
      <w:r w:rsidR="00E6071E">
        <w:t>&amp;</w:t>
      </w:r>
      <w:r w:rsidRPr="5CAE68E6">
        <w:t xml:space="preserve"> Electric Company should be d</w:t>
      </w:r>
      <w:r w:rsidR="00E6071E">
        <w:t>eni</w:t>
      </w:r>
      <w:r w:rsidRPr="5CAE68E6">
        <w:t>ed cost recovery in the</w:t>
      </w:r>
    </w:p>
    <w:p w:rsidR="007253C8" w:rsidP="003D16EA" w:rsidRDefault="007253C8" w14:paraId="7363498B" w14:textId="66DA17E0">
      <w:pPr>
        <w:pStyle w:val="CoL"/>
        <w:numPr>
          <w:ilvl w:val="0"/>
          <w:numId w:val="0"/>
        </w:numPr>
        <w:rPr>
          <w:rFonts w:eastAsia="Book Antiqua" w:cs="Book Antiqua"/>
          <w:color w:val="000000" w:themeColor="text1"/>
        </w:rPr>
      </w:pPr>
      <w:r w:rsidRPr="5CAE68E6">
        <w:rPr>
          <w:rFonts w:eastAsia="Book Antiqua" w:cs="Book Antiqua"/>
          <w:color w:val="000000" w:themeColor="text1"/>
        </w:rPr>
        <w:lastRenderedPageBreak/>
        <w:t xml:space="preserve">amount of $2.6 million for costs identified by Ernst </w:t>
      </w:r>
      <w:r w:rsidR="00E6071E">
        <w:rPr>
          <w:rFonts w:eastAsia="Book Antiqua" w:cs="Book Antiqua"/>
          <w:color w:val="000000" w:themeColor="text1"/>
        </w:rPr>
        <w:t>&amp;</w:t>
      </w:r>
      <w:r w:rsidRPr="5CAE68E6">
        <w:rPr>
          <w:rFonts w:eastAsia="Book Antiqua" w:cs="Book Antiqua"/>
          <w:color w:val="000000" w:themeColor="text1"/>
        </w:rPr>
        <w:t xml:space="preserve"> Young in a </w:t>
      </w:r>
      <w:r w:rsidR="005E2F21">
        <w:rPr>
          <w:rFonts w:eastAsia="Book Antiqua" w:cs="Book Antiqua"/>
          <w:color w:val="000000" w:themeColor="text1"/>
        </w:rPr>
        <w:t>r</w:t>
      </w:r>
      <w:r w:rsidR="00E97279">
        <w:rPr>
          <w:rFonts w:eastAsia="Book Antiqua" w:cs="Book Antiqua"/>
          <w:color w:val="000000" w:themeColor="text1"/>
        </w:rPr>
        <w:t>eport</w:t>
      </w:r>
      <w:r w:rsidRPr="5CAE68E6">
        <w:rPr>
          <w:rFonts w:eastAsia="Book Antiqua" w:cs="Book Antiqua"/>
          <w:color w:val="000000" w:themeColor="text1"/>
        </w:rPr>
        <w:t xml:space="preserve"> to have not been properly evidenced for inclusion in the </w:t>
      </w:r>
      <w:r w:rsidRPr="2C0B70CE">
        <w:rPr>
          <w:rFonts w:eastAsia="Book Antiqua" w:cs="Book Antiqua"/>
          <w:color w:val="000000" w:themeColor="text1"/>
        </w:rPr>
        <w:t>Wildfire Mitigation</w:t>
      </w:r>
      <w:r w:rsidRPr="24F3F970">
        <w:rPr>
          <w:rFonts w:eastAsia="Book Antiqua" w:cs="Book Antiqua"/>
          <w:color w:val="000000" w:themeColor="text1"/>
        </w:rPr>
        <w:t xml:space="preserve"> Plan Memorandum </w:t>
      </w:r>
      <w:r w:rsidRPr="61F83D15">
        <w:rPr>
          <w:rFonts w:eastAsia="Book Antiqua" w:cs="Book Antiqua"/>
          <w:color w:val="000000" w:themeColor="text1"/>
        </w:rPr>
        <w:t>Account</w:t>
      </w:r>
      <w:r w:rsidRPr="24F3F970">
        <w:rPr>
          <w:rFonts w:eastAsia="Book Antiqua" w:cs="Book Antiqua"/>
          <w:color w:val="000000" w:themeColor="text1"/>
        </w:rPr>
        <w:t xml:space="preserve"> and extrapolated. </w:t>
      </w:r>
    </w:p>
    <w:p w:rsidRPr="007342C0" w:rsidR="007253C8" w:rsidP="007342C0" w:rsidRDefault="007253C8" w14:paraId="58FC7730" w14:textId="3F828891">
      <w:pPr>
        <w:pStyle w:val="CoL"/>
      </w:pPr>
      <w:r w:rsidRPr="472691A4">
        <w:t>For the May 2019</w:t>
      </w:r>
      <w:r w:rsidR="007342C0">
        <w:t xml:space="preserve"> </w:t>
      </w:r>
      <w:r w:rsidR="004E6A5E">
        <w:t xml:space="preserve">– </w:t>
      </w:r>
      <w:r w:rsidR="005E38FE">
        <w:t xml:space="preserve">December 31, </w:t>
      </w:r>
      <w:r w:rsidRPr="472691A4">
        <w:t>2022 period, total cost recovery</w:t>
      </w:r>
      <w:r w:rsidRPr="363FA53B" w:rsidDel="6EB1A94A">
        <w:t xml:space="preserve"> </w:t>
      </w:r>
      <w:r w:rsidRPr="472691A4">
        <w:t xml:space="preserve">for San Diego Gas </w:t>
      </w:r>
      <w:r w:rsidR="004960DF">
        <w:t>&amp;</w:t>
      </w:r>
      <w:r w:rsidR="007342C0">
        <w:t xml:space="preserve"> </w:t>
      </w:r>
      <w:r w:rsidRPr="007342C0">
        <w:rPr>
          <w:rFonts w:eastAsia="Book Antiqua" w:cs="Book Antiqua"/>
          <w:color w:val="000000" w:themeColor="text1"/>
        </w:rPr>
        <w:t xml:space="preserve">Electric Company </w:t>
      </w:r>
      <w:r w:rsidRPr="007342C0" w:rsidDel="6EB1A94A">
        <w:rPr>
          <w:rFonts w:eastAsia="Book Antiqua" w:cs="Book Antiqua"/>
          <w:color w:val="000000" w:themeColor="text1"/>
        </w:rPr>
        <w:t xml:space="preserve">(SDG&amp;E) </w:t>
      </w:r>
      <w:r w:rsidRPr="007342C0">
        <w:rPr>
          <w:rFonts w:eastAsia="Book Antiqua" w:cs="Book Antiqua"/>
          <w:color w:val="000000" w:themeColor="text1"/>
        </w:rPr>
        <w:t>in the amounts of $</w:t>
      </w:r>
      <w:r w:rsidR="00A87834">
        <w:rPr>
          <w:rFonts w:eastAsia="Book Antiqua" w:cs="Book Antiqua"/>
          <w:color w:val="000000" w:themeColor="text1"/>
        </w:rPr>
        <w:t>146.351</w:t>
      </w:r>
      <w:r w:rsidRPr="007342C0">
        <w:rPr>
          <w:rFonts w:eastAsia="Book Antiqua" w:cs="Book Antiqua"/>
          <w:color w:val="000000" w:themeColor="text1"/>
        </w:rPr>
        <w:t xml:space="preserve"> million in capital expenditures and $</w:t>
      </w:r>
      <w:r w:rsidR="000D293A">
        <w:rPr>
          <w:rFonts w:eastAsia="Book Antiqua" w:cs="Book Antiqua"/>
          <w:color w:val="000000" w:themeColor="text1"/>
        </w:rPr>
        <w:t>228.</w:t>
      </w:r>
      <w:r w:rsidR="006B0C3D">
        <w:rPr>
          <w:rFonts w:eastAsia="Book Antiqua" w:cs="Book Antiqua"/>
          <w:color w:val="000000" w:themeColor="text1"/>
        </w:rPr>
        <w:t>976</w:t>
      </w:r>
      <w:r w:rsidRPr="007342C0">
        <w:rPr>
          <w:rFonts w:eastAsia="Book Antiqua" w:cs="Book Antiqua"/>
          <w:color w:val="000000" w:themeColor="text1"/>
        </w:rPr>
        <w:t xml:space="preserve"> million</w:t>
      </w:r>
      <w:r w:rsidRPr="007342C0" w:rsidDel="6EB1A94A">
        <w:rPr>
          <w:rFonts w:eastAsia="Book Antiqua" w:cs="Book Antiqua"/>
          <w:color w:val="000000" w:themeColor="text1"/>
        </w:rPr>
        <w:t xml:space="preserve"> </w:t>
      </w:r>
      <w:r w:rsidRPr="007342C0">
        <w:rPr>
          <w:rFonts w:eastAsia="Book Antiqua" w:cs="Book Antiqua"/>
          <w:color w:val="000000" w:themeColor="text1"/>
        </w:rPr>
        <w:t xml:space="preserve">in </w:t>
      </w:r>
      <w:r w:rsidRPr="007342C0" w:rsidR="004960DF">
        <w:rPr>
          <w:rFonts w:eastAsia="Book Antiqua" w:cs="Book Antiqua"/>
          <w:color w:val="000000" w:themeColor="text1"/>
        </w:rPr>
        <w:t>O</w:t>
      </w:r>
      <w:r w:rsidRPr="007342C0">
        <w:rPr>
          <w:rFonts w:eastAsia="Book Antiqua" w:cs="Book Antiqua"/>
          <w:color w:val="000000" w:themeColor="text1"/>
        </w:rPr>
        <w:t xml:space="preserve">perations </w:t>
      </w:r>
      <w:r w:rsidRPr="007342C0" w:rsidR="004960DF">
        <w:rPr>
          <w:rFonts w:eastAsia="Book Antiqua" w:cs="Book Antiqua"/>
          <w:color w:val="000000" w:themeColor="text1"/>
        </w:rPr>
        <w:t>&amp;</w:t>
      </w:r>
      <w:r w:rsidRPr="007342C0">
        <w:rPr>
          <w:rFonts w:eastAsia="Book Antiqua" w:cs="Book Antiqua"/>
          <w:color w:val="000000" w:themeColor="text1"/>
        </w:rPr>
        <w:t xml:space="preserve"> </w:t>
      </w:r>
      <w:r w:rsidRPr="007342C0" w:rsidR="004960DF">
        <w:rPr>
          <w:rFonts w:eastAsia="Book Antiqua" w:cs="Book Antiqua"/>
          <w:color w:val="000000" w:themeColor="text1"/>
        </w:rPr>
        <w:t>M</w:t>
      </w:r>
      <w:r w:rsidRPr="007342C0">
        <w:rPr>
          <w:rFonts w:eastAsia="Book Antiqua" w:cs="Book Antiqua"/>
          <w:color w:val="000000" w:themeColor="text1"/>
        </w:rPr>
        <w:t>aintenance</w:t>
      </w:r>
      <w:r w:rsidRPr="007342C0" w:rsidDel="6EB1A94A">
        <w:rPr>
          <w:rFonts w:eastAsia="Book Antiqua" w:cs="Book Antiqua"/>
          <w:color w:val="000000" w:themeColor="text1"/>
        </w:rPr>
        <w:t xml:space="preserve"> </w:t>
      </w:r>
      <w:r w:rsidRPr="007342C0">
        <w:rPr>
          <w:rFonts w:eastAsia="Book Antiqua" w:cs="Book Antiqua"/>
          <w:color w:val="000000" w:themeColor="text1"/>
        </w:rPr>
        <w:t xml:space="preserve">expenses is </w:t>
      </w:r>
      <w:r w:rsidRPr="007342C0" w:rsidR="004960DF">
        <w:rPr>
          <w:rFonts w:eastAsia="Book Antiqua" w:cs="Book Antiqua"/>
          <w:color w:val="000000" w:themeColor="text1"/>
        </w:rPr>
        <w:t xml:space="preserve">just, </w:t>
      </w:r>
      <w:r w:rsidRPr="007342C0">
        <w:rPr>
          <w:rFonts w:eastAsia="Book Antiqua" w:cs="Book Antiqua"/>
          <w:color w:val="000000" w:themeColor="text1"/>
        </w:rPr>
        <w:t>reasonable</w:t>
      </w:r>
      <w:r w:rsidRPr="007342C0" w:rsidR="004960DF">
        <w:rPr>
          <w:rFonts w:eastAsia="Book Antiqua" w:cs="Book Antiqua"/>
          <w:color w:val="000000" w:themeColor="text1"/>
        </w:rPr>
        <w:t>, and incremental</w:t>
      </w:r>
      <w:r w:rsidRPr="007342C0">
        <w:rPr>
          <w:rFonts w:eastAsia="Book Antiqua" w:cs="Book Antiqua"/>
          <w:color w:val="000000" w:themeColor="text1"/>
        </w:rPr>
        <w:t xml:space="preserve"> and should be authorized. The total revenue requirement for May 2019</w:t>
      </w:r>
      <w:r w:rsidR="008F24F9">
        <w:rPr>
          <w:rFonts w:eastAsia="Book Antiqua" w:cs="Book Antiqua"/>
          <w:color w:val="000000" w:themeColor="text1"/>
        </w:rPr>
        <w:t>–</w:t>
      </w:r>
      <w:r w:rsidRPr="007342C0" w:rsidR="005E38FE">
        <w:rPr>
          <w:rFonts w:eastAsia="Book Antiqua" w:cs="Book Antiqua"/>
          <w:color w:val="000000" w:themeColor="text1"/>
        </w:rPr>
        <w:t xml:space="preserve">December 31, </w:t>
      </w:r>
      <w:r w:rsidRPr="007342C0">
        <w:rPr>
          <w:rFonts w:eastAsia="Book Antiqua" w:cs="Book Antiqua"/>
          <w:color w:val="000000" w:themeColor="text1"/>
        </w:rPr>
        <w:t>2022</w:t>
      </w:r>
      <w:r w:rsidRPr="007342C0" w:rsidR="00B22356">
        <w:rPr>
          <w:rFonts w:eastAsia="Book Antiqua" w:cs="Book Antiqua"/>
          <w:color w:val="000000" w:themeColor="text1"/>
        </w:rPr>
        <w:t xml:space="preserve"> authorized by this decision should be $1</w:t>
      </w:r>
      <w:r w:rsidR="000D4CE9">
        <w:rPr>
          <w:rFonts w:eastAsia="Book Antiqua" w:cs="Book Antiqua"/>
          <w:color w:val="000000" w:themeColor="text1"/>
        </w:rPr>
        <w:t>21.924</w:t>
      </w:r>
      <w:r w:rsidRPr="007342C0" w:rsidR="00B22356">
        <w:rPr>
          <w:rFonts w:eastAsia="Book Antiqua" w:cs="Book Antiqua"/>
          <w:color w:val="000000" w:themeColor="text1"/>
        </w:rPr>
        <w:t xml:space="preserve"> million</w:t>
      </w:r>
      <w:r w:rsidRPr="007342C0">
        <w:rPr>
          <w:rFonts w:eastAsia="Book Antiqua" w:cs="Book Antiqua"/>
          <w:color w:val="000000" w:themeColor="text1"/>
        </w:rPr>
        <w:t xml:space="preserve"> </w:t>
      </w:r>
      <w:r w:rsidRPr="007342C0" w:rsidR="00B22356">
        <w:rPr>
          <w:rFonts w:eastAsia="Book Antiqua" w:cs="Book Antiqua"/>
        </w:rPr>
        <w:t xml:space="preserve">as </w:t>
      </w:r>
      <w:r w:rsidRPr="007342C0">
        <w:rPr>
          <w:rFonts w:eastAsia="Book Antiqua" w:cs="Book Antiqua"/>
        </w:rPr>
        <w:t xml:space="preserve">reasonably determined by SDG&amp;E’s Results of Operations Model based on the amounts authorized for capital expenditures </w:t>
      </w:r>
      <w:r w:rsidRPr="007342C0" w:rsidR="004960DF">
        <w:rPr>
          <w:rFonts w:eastAsia="Book Antiqua" w:cs="Book Antiqua"/>
        </w:rPr>
        <w:t>and O</w:t>
      </w:r>
      <w:r w:rsidRPr="007342C0">
        <w:rPr>
          <w:rFonts w:eastAsia="Book Antiqua" w:cs="Book Antiqua"/>
        </w:rPr>
        <w:t xml:space="preserve">perations &amp; </w:t>
      </w:r>
      <w:r w:rsidRPr="007342C0" w:rsidR="004960DF">
        <w:rPr>
          <w:rFonts w:eastAsia="Book Antiqua" w:cs="Book Antiqua"/>
        </w:rPr>
        <w:t>M</w:t>
      </w:r>
      <w:r w:rsidRPr="007342C0">
        <w:rPr>
          <w:rFonts w:eastAsia="Book Antiqua" w:cs="Book Antiqua"/>
        </w:rPr>
        <w:t>aintenance expenses</w:t>
      </w:r>
      <w:r w:rsidR="005C63C0">
        <w:rPr>
          <w:rFonts w:eastAsia="Book Antiqua" w:cs="Book Antiqua"/>
        </w:rPr>
        <w:t xml:space="preserve"> as shown in Appendix C</w:t>
      </w:r>
      <w:r w:rsidRPr="007342C0">
        <w:rPr>
          <w:rFonts w:eastAsia="Book Antiqua" w:cs="Book Antiqua"/>
        </w:rPr>
        <w:t>.</w:t>
      </w:r>
    </w:p>
    <w:p w:rsidR="00887175" w:rsidP="5954AC37" w:rsidRDefault="4DBC3D02" w14:paraId="1C35999A" w14:textId="5FB9D0E6">
      <w:pPr>
        <w:pStyle w:val="CoL"/>
      </w:pPr>
      <w:r>
        <w:t>A separate proceeding to determine the ongoing capital-related electric costs</w:t>
      </w:r>
      <w:r w:rsidR="32B2865A">
        <w:t xml:space="preserve"> </w:t>
      </w:r>
      <w:r>
        <w:t>recorded to the Wildfire Mitigation Plan Memorandum Account (WMPMA) for 2019–2022 is not necessary because the depreciated capital, taxes, and return on rate base for the WMPMA costs are determined by the Results of Operation Model as they were for Track 1 of this proceeding</w:t>
      </w:r>
      <w:r w:rsidR="00571AFF">
        <w:t>.</w:t>
      </w:r>
      <w:r>
        <w:t xml:space="preserve">  </w:t>
      </w:r>
    </w:p>
    <w:p w:rsidR="007253C8" w:rsidP="003D16EA" w:rsidRDefault="007253C8" w14:paraId="68754719" w14:textId="311F6E3E">
      <w:pPr>
        <w:pStyle w:val="CoL"/>
      </w:pPr>
      <w:r w:rsidRPr="306499D8">
        <w:t xml:space="preserve">A separate </w:t>
      </w:r>
      <w:r w:rsidRPr="003D16EA">
        <w:t>proceeding</w:t>
      </w:r>
      <w:r w:rsidRPr="306499D8">
        <w:t xml:space="preserve"> is not necessary to review San Diego Gas </w:t>
      </w:r>
      <w:r w:rsidR="008B4564">
        <w:t>&amp;</w:t>
      </w:r>
      <w:r w:rsidRPr="306499D8">
        <w:t xml:space="preserve"> Electric</w:t>
      </w:r>
    </w:p>
    <w:p w:rsidRPr="007342C0" w:rsidR="007253C8" w:rsidP="007342C0" w:rsidRDefault="007253C8" w14:paraId="642B8537" w14:textId="43165496">
      <w:pPr>
        <w:pStyle w:val="CoL"/>
        <w:numPr>
          <w:ilvl w:val="0"/>
          <w:numId w:val="0"/>
        </w:numPr>
        <w:rPr>
          <w:rFonts w:eastAsia="Book Antiqua" w:cs="Book Antiqua"/>
        </w:rPr>
      </w:pPr>
      <w:r w:rsidRPr="306499D8">
        <w:rPr>
          <w:rFonts w:eastAsia="Book Antiqua" w:cs="Book Antiqua"/>
        </w:rPr>
        <w:t>Company’s (SDG&amp;E’s) request for ongoing capital costs for gas projects because SDG&amp;E has failed to demonstrate their connection to wildfire mitigation costs. As a result, SDG&amp;E’s request for recovery of $16.9 million in ongoing capital-related costs for gas projects is unsupported and should be d</w:t>
      </w:r>
      <w:r w:rsidR="008B4564">
        <w:rPr>
          <w:rFonts w:eastAsia="Book Antiqua" w:cs="Book Antiqua"/>
        </w:rPr>
        <w:t>eni</w:t>
      </w:r>
      <w:r w:rsidRPr="306499D8">
        <w:rPr>
          <w:rFonts w:eastAsia="Book Antiqua" w:cs="Book Antiqua"/>
        </w:rPr>
        <w:t>ed.</w:t>
      </w:r>
    </w:p>
    <w:p w:rsidR="00E87C3C" w:rsidP="003D16EA" w:rsidRDefault="00E87C3C" w14:paraId="62A00DE8" w14:textId="0DBE0330">
      <w:pPr>
        <w:pStyle w:val="CoL"/>
      </w:pPr>
      <w:r w:rsidRPr="00E87C3C">
        <w:t>SDG&amp;E sh</w:t>
      </w:r>
      <w:r>
        <w:t xml:space="preserve">ould </w:t>
      </w:r>
      <w:r w:rsidRPr="00E87C3C">
        <w:t xml:space="preserve">request recovery of the balance of the </w:t>
      </w:r>
      <w:proofErr w:type="spellStart"/>
      <w:r w:rsidRPr="00E87C3C">
        <w:t>undercollected</w:t>
      </w:r>
      <w:proofErr w:type="spellEnd"/>
      <w:r w:rsidRPr="00E87C3C">
        <w:t xml:space="preserve"> revenue requirement through years 2026 and 2027 of $239.1</w:t>
      </w:r>
      <w:r w:rsidR="008B7D7C">
        <w:t>17</w:t>
      </w:r>
      <w:r w:rsidRPr="00E87C3C">
        <w:t xml:space="preserve"> million through a Tier 2 Advice Letter</w:t>
      </w:r>
      <w:r>
        <w:t xml:space="preserve"> that includes a</w:t>
      </w:r>
      <w:r w:rsidRPr="00E87C3C">
        <w:t xml:space="preserve"> propose</w:t>
      </w:r>
      <w:r>
        <w:t>d</w:t>
      </w:r>
      <w:r w:rsidRPr="00E87C3C">
        <w:t xml:space="preserve"> amortization period and associated bill impacts, to be effective at the beginning of years 2026 and 2027.</w:t>
      </w:r>
    </w:p>
    <w:p w:rsidR="007253C8" w:rsidP="5954AC37" w:rsidRDefault="1BFE1C55" w14:paraId="1933E894" w14:textId="346414C9">
      <w:pPr>
        <w:pStyle w:val="CoL"/>
      </w:pPr>
      <w:r>
        <w:lastRenderedPageBreak/>
        <w:t>Authorizing the collection of $1</w:t>
      </w:r>
      <w:r w:rsidR="00AD735C">
        <w:t>77.458</w:t>
      </w:r>
      <w:r>
        <w:t xml:space="preserve"> million </w:t>
      </w:r>
      <w:r w:rsidR="6B8CED4D">
        <w:t>in</w:t>
      </w:r>
      <w:r>
        <w:t xml:space="preserve"> revenue requirement through</w:t>
      </w:r>
      <w:r w:rsidR="69D2D8D3">
        <w:t xml:space="preserve"> </w:t>
      </w:r>
      <w:r w:rsidRPr="5954AC37">
        <w:rPr>
          <w:rFonts w:eastAsia="Book Antiqua" w:cs="Book Antiqua"/>
          <w:color w:val="000000" w:themeColor="text1"/>
        </w:rPr>
        <w:t xml:space="preserve">2025 for 2019-2022 wildfire mitigation costs over a three-year period is </w:t>
      </w:r>
      <w:r w:rsidRPr="5954AC37" w:rsidR="31A7F3F2">
        <w:rPr>
          <w:rFonts w:eastAsia="Book Antiqua" w:cs="Book Antiqua"/>
          <w:color w:val="000000" w:themeColor="text1"/>
        </w:rPr>
        <w:t xml:space="preserve">a </w:t>
      </w:r>
      <w:r w:rsidRPr="5954AC37">
        <w:rPr>
          <w:rFonts w:eastAsia="Book Antiqua" w:cs="Book Antiqua"/>
          <w:color w:val="000000" w:themeColor="text1"/>
        </w:rPr>
        <w:t xml:space="preserve">reasonable </w:t>
      </w:r>
      <w:r w:rsidRPr="5954AC37" w:rsidR="50DC562B">
        <w:rPr>
          <w:rFonts w:eastAsia="Book Antiqua" w:cs="Book Antiqua"/>
          <w:color w:val="000000" w:themeColor="text1"/>
        </w:rPr>
        <w:t>outcome to recover</w:t>
      </w:r>
      <w:r w:rsidRPr="5954AC37">
        <w:rPr>
          <w:rFonts w:eastAsia="Book Antiqua" w:cs="Book Antiqua"/>
          <w:color w:val="000000" w:themeColor="text1"/>
        </w:rPr>
        <w:t xml:space="preserve"> the cost of mitigations to prevent wildfires and to maintain the safety and reliability of San Diego Gas </w:t>
      </w:r>
      <w:r w:rsidRPr="5954AC37" w:rsidR="6B8CED4D">
        <w:rPr>
          <w:rFonts w:eastAsia="Book Antiqua" w:cs="Book Antiqua"/>
          <w:color w:val="000000" w:themeColor="text1"/>
        </w:rPr>
        <w:t>&amp;</w:t>
      </w:r>
      <w:r w:rsidRPr="5954AC37">
        <w:rPr>
          <w:rFonts w:eastAsia="Book Antiqua" w:cs="Book Antiqua"/>
          <w:color w:val="000000" w:themeColor="text1"/>
        </w:rPr>
        <w:t xml:space="preserve"> Electric</w:t>
      </w:r>
      <w:r w:rsidRPr="5954AC37" w:rsidR="2AA4723E">
        <w:rPr>
          <w:rFonts w:eastAsia="Book Antiqua" w:cs="Book Antiqua"/>
          <w:color w:val="000000" w:themeColor="text1"/>
        </w:rPr>
        <w:t xml:space="preserve"> Company</w:t>
      </w:r>
      <w:r w:rsidRPr="5954AC37">
        <w:rPr>
          <w:rFonts w:eastAsia="Book Antiqua" w:cs="Book Antiqua"/>
          <w:color w:val="000000" w:themeColor="text1"/>
        </w:rPr>
        <w:t>’s electrical service based on the financing cost and monthly bill impacts.</w:t>
      </w:r>
    </w:p>
    <w:p w:rsidRPr="007342C0" w:rsidR="007253C8" w:rsidP="007342C0" w:rsidRDefault="007253C8" w14:paraId="5BBD5854" w14:textId="116380EF">
      <w:pPr>
        <w:pStyle w:val="CoL"/>
      </w:pPr>
      <w:r w:rsidRPr="744C156A">
        <w:t>S</w:t>
      </w:r>
      <w:r w:rsidR="0082509C">
        <w:t xml:space="preserve">an </w:t>
      </w:r>
      <w:r w:rsidRPr="744C156A">
        <w:t>D</w:t>
      </w:r>
      <w:r w:rsidR="0082509C">
        <w:t xml:space="preserve">iego </w:t>
      </w:r>
      <w:r w:rsidRPr="744C156A">
        <w:t>G</w:t>
      </w:r>
      <w:r w:rsidR="0082509C">
        <w:t xml:space="preserve">as </w:t>
      </w:r>
      <w:r w:rsidRPr="744C156A">
        <w:t>&amp;</w:t>
      </w:r>
      <w:r w:rsidR="0082509C">
        <w:t xml:space="preserve"> </w:t>
      </w:r>
      <w:r w:rsidRPr="744C156A">
        <w:t>E</w:t>
      </w:r>
      <w:r w:rsidR="0082509C">
        <w:t>lectric Company</w:t>
      </w:r>
      <w:r w:rsidRPr="744C156A">
        <w:t>’s filing of its application for recovery of wildfire mitigation costs for</w:t>
      </w:r>
      <w:r w:rsidR="007342C0">
        <w:t xml:space="preserve"> </w:t>
      </w:r>
      <w:r w:rsidRPr="007342C0">
        <w:rPr>
          <w:rFonts w:eastAsia="Book Antiqua" w:cs="Book Antiqua"/>
          <w:color w:val="000000" w:themeColor="text1"/>
        </w:rPr>
        <w:t xml:space="preserve">the 2019-2022 period in this general rate case (GRC) is consistent with statutory authority, Commission directives requiring the filing of this GRC in May 2022, and the </w:t>
      </w:r>
      <w:r w:rsidRPr="007342C0" w:rsidR="00F16832">
        <w:rPr>
          <w:rFonts w:eastAsia="Book Antiqua" w:cs="Book Antiqua"/>
          <w:color w:val="000000" w:themeColor="text1"/>
        </w:rPr>
        <w:t xml:space="preserve">Assigned Commissioner’s </w:t>
      </w:r>
      <w:r w:rsidRPr="007342C0">
        <w:rPr>
          <w:rFonts w:eastAsia="Book Antiqua" w:cs="Book Antiqua"/>
          <w:color w:val="000000" w:themeColor="text1"/>
        </w:rPr>
        <w:t>Scoping Memo</w:t>
      </w:r>
      <w:r w:rsidR="004915D9">
        <w:rPr>
          <w:rFonts w:eastAsia="Book Antiqua" w:cs="Book Antiqua"/>
          <w:color w:val="000000" w:themeColor="text1"/>
        </w:rPr>
        <w:t>randum</w:t>
      </w:r>
      <w:r w:rsidRPr="007342C0">
        <w:rPr>
          <w:rFonts w:eastAsia="Book Antiqua" w:cs="Book Antiqua"/>
          <w:color w:val="000000" w:themeColor="text1"/>
        </w:rPr>
        <w:t xml:space="preserve"> </w:t>
      </w:r>
      <w:r w:rsidRPr="007342C0" w:rsidR="00F16832">
        <w:rPr>
          <w:rFonts w:eastAsia="Book Antiqua" w:cs="Book Antiqua"/>
          <w:color w:val="000000" w:themeColor="text1"/>
        </w:rPr>
        <w:t>in</w:t>
      </w:r>
      <w:r w:rsidRPr="007342C0">
        <w:rPr>
          <w:rFonts w:eastAsia="Book Antiqua" w:cs="Book Antiqua"/>
          <w:color w:val="000000" w:themeColor="text1"/>
        </w:rPr>
        <w:t xml:space="preserve"> this GRC.</w:t>
      </w:r>
    </w:p>
    <w:p w:rsidRPr="00FD5883" w:rsidR="007253C8" w:rsidP="007253C8" w:rsidRDefault="007253C8" w14:paraId="09F26A28" w14:textId="77777777">
      <w:pPr>
        <w:pStyle w:val="Mainex"/>
        <w:rPr>
          <w:rFonts w:ascii="Helvetica" w:hAnsi="Helvetica"/>
          <w:b w:val="0"/>
        </w:rPr>
      </w:pPr>
      <w:bookmarkStart w:name="_Toc213312322" w:id="125"/>
      <w:r w:rsidRPr="594E653A">
        <w:t>ORDER</w:t>
      </w:r>
      <w:bookmarkEnd w:id="125"/>
    </w:p>
    <w:p w:rsidRPr="00FD5883" w:rsidR="007253C8" w:rsidP="007253C8" w:rsidRDefault="007253C8" w14:paraId="33DF39A1" w14:textId="77777777">
      <w:pPr>
        <w:pStyle w:val="standard0"/>
        <w:keepNext/>
        <w:keepLines/>
        <w:spacing w:before="120"/>
      </w:pPr>
      <w:r w:rsidRPr="594E653A">
        <w:rPr>
          <w:b/>
        </w:rPr>
        <w:t>IT IS ORDERED</w:t>
      </w:r>
      <w:r w:rsidRPr="594E653A">
        <w:t xml:space="preserve"> that:</w:t>
      </w:r>
    </w:p>
    <w:p w:rsidRPr="003B1AA4" w:rsidR="007253C8" w:rsidRDefault="007253C8" w14:paraId="7F98E23E" w14:textId="4813BAEE">
      <w:pPr>
        <w:pStyle w:val="OP"/>
      </w:pPr>
      <w:r w:rsidRPr="61D4D11C">
        <w:t xml:space="preserve">San Diego Gas </w:t>
      </w:r>
      <w:r w:rsidR="00C01587">
        <w:t>&amp;</w:t>
      </w:r>
      <w:r w:rsidRPr="61D4D11C">
        <w:t xml:space="preserve"> Electric Company</w:t>
      </w:r>
      <w:r w:rsidR="00990439">
        <w:t xml:space="preserve"> (SDG&amp;E)</w:t>
      </w:r>
      <w:r w:rsidRPr="61D4D11C">
        <w:t xml:space="preserve"> is authorized to recover </w:t>
      </w:r>
      <w:proofErr w:type="spellStart"/>
      <w:r w:rsidR="002A5F31">
        <w:t>undercollected</w:t>
      </w:r>
      <w:proofErr w:type="spellEnd"/>
      <w:r w:rsidR="002A5F31">
        <w:t xml:space="preserve"> revenue </w:t>
      </w:r>
      <w:r>
        <w:t>requirement of $4</w:t>
      </w:r>
      <w:r w:rsidR="009F156B">
        <w:t>16.575</w:t>
      </w:r>
      <w:r>
        <w:t xml:space="preserve"> million for </w:t>
      </w:r>
      <w:r w:rsidR="002A5F31">
        <w:t>the amount owed</w:t>
      </w:r>
      <w:r>
        <w:t xml:space="preserve"> from 2019</w:t>
      </w:r>
      <w:r w:rsidR="002A5F31">
        <w:t xml:space="preserve"> through </w:t>
      </w:r>
      <w:r w:rsidR="00577D8E">
        <w:t xml:space="preserve">2027. </w:t>
      </w:r>
      <w:r w:rsidR="007E7B11">
        <w:t xml:space="preserve">The 2019 through 2025 </w:t>
      </w:r>
      <w:proofErr w:type="spellStart"/>
      <w:r w:rsidR="007E7B11">
        <w:t>undercollected</w:t>
      </w:r>
      <w:proofErr w:type="spellEnd"/>
      <w:r w:rsidR="007E7B11">
        <w:t xml:space="preserve"> revenue requirement of </w:t>
      </w:r>
      <w:r w:rsidR="004F50E0">
        <w:t xml:space="preserve">$177.458 million </w:t>
      </w:r>
      <w:r w:rsidR="001C017E">
        <w:t xml:space="preserve">shall be implemented </w:t>
      </w:r>
      <w:r w:rsidR="006B7A63">
        <w:t xml:space="preserve">by amortizing it </w:t>
      </w:r>
      <w:r>
        <w:t xml:space="preserve">over a </w:t>
      </w:r>
      <w:r w:rsidR="00990439">
        <w:t xml:space="preserve">minimum of a </w:t>
      </w:r>
      <w:r>
        <w:t xml:space="preserve">three-year period </w:t>
      </w:r>
      <w:r w:rsidR="006B7A63">
        <w:t xml:space="preserve">effective </w:t>
      </w:r>
      <w:r w:rsidR="00990439">
        <w:t>with SDG&amp;E’s next scheduled rate change. This additional amount authorized here shall roll off at the next regularly scheduled January 1 rate change following completion of the minimum three-year amortization period. T</w:t>
      </w:r>
      <w:r>
        <w:t xml:space="preserve">he 2026 and 2027 revenue </w:t>
      </w:r>
      <w:proofErr w:type="spellStart"/>
      <w:r>
        <w:t>requirements</w:t>
      </w:r>
      <w:r w:rsidR="00990439">
        <w:t>shall</w:t>
      </w:r>
      <w:proofErr w:type="spellEnd"/>
      <w:r w:rsidR="00990439">
        <w:t xml:space="preserve"> be implemented </w:t>
      </w:r>
      <w:r>
        <w:t>in rates on January 1 of the specific year</w:t>
      </w:r>
      <w:r w:rsidR="00990439">
        <w:t xml:space="preserve"> or with the next scheduled rate change for each respective year</w:t>
      </w:r>
      <w:r w:rsidR="006E55AC">
        <w:t>.</w:t>
      </w:r>
      <w:r w:rsidR="00925E0A">
        <w:t xml:space="preserve"> </w:t>
      </w:r>
    </w:p>
    <w:p w:rsidRPr="008B1848" w:rsidR="006B7A63" w:rsidP="00E36E8C" w:rsidRDefault="006B7A63" w14:paraId="3CB90C56" w14:textId="6B86C89D">
      <w:pPr>
        <w:pStyle w:val="OP"/>
      </w:pPr>
      <w:r w:rsidRPr="006B7A63">
        <w:t>San Diego Gas &amp;</w:t>
      </w:r>
      <w:r w:rsidR="00571156">
        <w:t xml:space="preserve"> </w:t>
      </w:r>
      <w:r w:rsidRPr="006B7A63">
        <w:t xml:space="preserve">Electric Company is authorized to recover </w:t>
      </w:r>
      <w:r w:rsidR="00575769">
        <w:t>T</w:t>
      </w:r>
      <w:r w:rsidR="00571156">
        <w:t xml:space="preserve"> the balance of the undercollected revenue requirement through years 2026 and 2027 </w:t>
      </w:r>
      <w:r w:rsidR="002F592B">
        <w:t>via</w:t>
      </w:r>
      <w:r w:rsidR="00571156">
        <w:t xml:space="preserve"> a Tier 2 Advice Letter. In the Advice Letter, SDG&amp;E shall (1) propose an amortization period and any accrued interest from that amortization (per the </w:t>
      </w:r>
      <w:r w:rsidR="00571156">
        <w:lastRenderedPageBreak/>
        <w:t>Wildfire Mitigation Plan Memorandum Account Preliminary Statement); (2) include annual accrued interest from approved 2019–2025 amortized balance for the respective year; and (3) include associated bill impacts</w:t>
      </w:r>
      <w:r w:rsidR="009659EB">
        <w:t xml:space="preserve"> f</w:t>
      </w:r>
      <w:r w:rsidR="00990439">
        <w:t>or</w:t>
      </w:r>
      <w:r w:rsidR="009659EB">
        <w:t xml:space="preserve"> </w:t>
      </w:r>
      <w:r w:rsidR="00571156">
        <w:t>2026 and 2027</w:t>
      </w:r>
      <w:r w:rsidRPr="008B1848">
        <w:t>.</w:t>
      </w:r>
      <w:r w:rsidR="00E36E8C">
        <w:t xml:space="preserve"> </w:t>
      </w:r>
      <w:r w:rsidRPr="00E36E8C" w:rsidR="00E36E8C">
        <w:t>However, accrual of interest on drone inspection and repair costs is suspended effective January 15, 2025.</w:t>
      </w:r>
    </w:p>
    <w:p w:rsidRPr="008B1848" w:rsidR="007253C8" w:rsidP="00645333" w:rsidRDefault="007253C8" w14:paraId="69D9AB14" w14:textId="2D5ED7DC">
      <w:pPr>
        <w:pStyle w:val="OP"/>
        <w:rPr>
          <w:color w:val="000000" w:themeColor="text1"/>
        </w:rPr>
      </w:pPr>
      <w:r w:rsidRPr="45E76FD9">
        <w:t xml:space="preserve">In future applications for cost recovery, </w:t>
      </w:r>
      <w:r w:rsidRPr="45E76FD9">
        <w:rPr>
          <w:color w:val="000000" w:themeColor="text1"/>
        </w:rPr>
        <w:t xml:space="preserve">San Diego Gas &amp; Electric </w:t>
      </w:r>
      <w:r w:rsidR="008B1848">
        <w:rPr>
          <w:color w:val="000000" w:themeColor="text1"/>
        </w:rPr>
        <w:t>C</w:t>
      </w:r>
      <w:r w:rsidRPr="45E76FD9">
        <w:rPr>
          <w:color w:val="000000" w:themeColor="text1"/>
        </w:rPr>
        <w:t>ompany</w:t>
      </w:r>
      <w:r w:rsidR="008B1848">
        <w:rPr>
          <w:color w:val="000000" w:themeColor="text1"/>
        </w:rPr>
        <w:t xml:space="preserve"> </w:t>
      </w:r>
      <w:r w:rsidRPr="008B1848">
        <w:t>shall provide and incorporate Cost-Benefit Ratios in its analysis as required by the Commission’s Risk-Based Decision-Making Framework.</w:t>
      </w:r>
    </w:p>
    <w:p w:rsidRPr="003B1AA4" w:rsidR="007253C8" w:rsidP="00645333" w:rsidRDefault="007253C8" w14:paraId="5E850CB5" w14:textId="455887D8">
      <w:pPr>
        <w:pStyle w:val="OP"/>
        <w:rPr>
          <w:rFonts w:eastAsia="Book Antiqua" w:cs="Book Antiqua"/>
          <w:color w:val="000000" w:themeColor="text1"/>
        </w:rPr>
      </w:pPr>
      <w:r>
        <w:t>San Diego Gas &amp; Electric Company (SDG&amp;E) shall continue to monitor,</w:t>
      </w:r>
    </w:p>
    <w:p w:rsidRPr="00572478" w:rsidR="007253C8" w:rsidP="003D16EA" w:rsidRDefault="007253C8" w14:paraId="314571EB" w14:textId="77777777">
      <w:pPr>
        <w:pStyle w:val="OP"/>
        <w:numPr>
          <w:ilvl w:val="0"/>
          <w:numId w:val="0"/>
        </w:numPr>
        <w:rPr>
          <w:rFonts w:eastAsia="Book Antiqua" w:cs="Book Antiqua"/>
          <w:color w:val="000000" w:themeColor="text1"/>
        </w:rPr>
      </w:pPr>
      <w:r>
        <w:t>evaluate, and report the cost-effectiveness of replacing wood poles with steel poles. In the next general rate case, SDG&amp;E shall perform cost-benefit analyses to compare the costs and benefits of the use of wood poles compared to metal poles and to demonstrate how SDG&amp;E has accounted for savings in using metal poles instead of wood poles.</w:t>
      </w:r>
    </w:p>
    <w:p w:rsidRPr="007342C0" w:rsidR="007253C8" w:rsidP="00645333" w:rsidRDefault="006B7A63" w14:paraId="5DD653E3" w14:textId="05E0B6F3">
      <w:pPr>
        <w:pStyle w:val="OP"/>
        <w:rPr>
          <w:rFonts w:eastAsia="Book Antiqua" w:cs="Book Antiqua"/>
          <w:color w:val="000000" w:themeColor="text1"/>
          <w:szCs w:val="26"/>
        </w:rPr>
      </w:pPr>
      <w:r>
        <w:t>I</w:t>
      </w:r>
      <w:r w:rsidRPr="347B7F25" w:rsidR="007253C8">
        <w:t>f San Diego Gas &amp; Electric Company</w:t>
      </w:r>
      <w:r w:rsidRPr="4FEFF2F7" w:rsidR="007253C8">
        <w:t xml:space="preserve"> </w:t>
      </w:r>
      <w:r w:rsidRPr="347B7F25" w:rsidR="007253C8">
        <w:t>requests cost recovery for</w:t>
      </w:r>
      <w:r w:rsidR="007342C0">
        <w:rPr>
          <w:rFonts w:eastAsia="Book Antiqua" w:cs="Book Antiqua"/>
          <w:color w:val="000000" w:themeColor="text1"/>
          <w:szCs w:val="26"/>
        </w:rPr>
        <w:t xml:space="preserve"> </w:t>
      </w:r>
      <w:r w:rsidR="008B1848">
        <w:t>a</w:t>
      </w:r>
      <w:r w:rsidRPr="347B7F25" w:rsidR="007253C8">
        <w:t>ny</w:t>
      </w:r>
      <w:r w:rsidR="008B1848">
        <w:t xml:space="preserve"> </w:t>
      </w:r>
      <w:r w:rsidRPr="347B7F25" w:rsidR="007253C8">
        <w:t>additional microgrid projects</w:t>
      </w:r>
      <w:r w:rsidR="00FC76F2">
        <w:t xml:space="preserve"> in a future application for cost recovery or General Rate Case</w:t>
      </w:r>
      <w:r w:rsidRPr="347B7F25" w:rsidR="007253C8">
        <w:t xml:space="preserve">, </w:t>
      </w:r>
      <w:r w:rsidR="00FC76F2">
        <w:t xml:space="preserve">that request </w:t>
      </w:r>
      <w:r w:rsidR="00BE220B">
        <w:t xml:space="preserve">shall provide </w:t>
      </w:r>
      <w:r w:rsidRPr="347B7F25" w:rsidR="007253C8">
        <w:t xml:space="preserve">evidence of the energy source and cost-effectiveness of </w:t>
      </w:r>
      <w:r w:rsidR="00FC76F2">
        <w:t>those</w:t>
      </w:r>
      <w:r w:rsidRPr="347B7F25" w:rsidR="007253C8">
        <w:t xml:space="preserve"> microgrid projects as wildfire mitigations.</w:t>
      </w:r>
    </w:p>
    <w:p w:rsidRPr="003B1AA4" w:rsidR="007253C8" w:rsidP="00645333" w:rsidRDefault="007253C8" w14:paraId="025D1438" w14:textId="64EDE2E6">
      <w:pPr>
        <w:pStyle w:val="OP"/>
        <w:rPr>
          <w:rFonts w:eastAsia="Book Antiqua" w:cs="Book Antiqua"/>
          <w:color w:val="000000" w:themeColor="text1"/>
          <w:szCs w:val="26"/>
        </w:rPr>
      </w:pPr>
      <w:r w:rsidRPr="490EF35C">
        <w:t>In future Wildfire Mitigation Plans and other reports regarding wildfire</w:t>
      </w:r>
    </w:p>
    <w:p w:rsidRPr="00572478" w:rsidR="007253C8" w:rsidP="003D16EA" w:rsidRDefault="007253C8" w14:paraId="47DD5946" w14:textId="77777777">
      <w:pPr>
        <w:pStyle w:val="OP"/>
        <w:numPr>
          <w:ilvl w:val="0"/>
          <w:numId w:val="0"/>
        </w:numPr>
        <w:rPr>
          <w:rFonts w:eastAsia="Book Antiqua" w:cs="Book Antiqua"/>
          <w:color w:val="000000" w:themeColor="text1"/>
          <w:szCs w:val="26"/>
        </w:rPr>
      </w:pPr>
      <w:r w:rsidRPr="490EF35C">
        <w:t xml:space="preserve">mitigation work, San Diego Gas &amp; Electric Company shall fully disclose the work and costs performed within and outside </w:t>
      </w:r>
      <w:r w:rsidRPr="7B71AE22">
        <w:t>High Fire Threat Districts.</w:t>
      </w:r>
    </w:p>
    <w:p w:rsidRPr="008B1848" w:rsidR="008B1848" w:rsidP="00645333" w:rsidRDefault="007253C8" w14:paraId="685FA3F2" w14:textId="77777777">
      <w:pPr>
        <w:pStyle w:val="OP"/>
        <w:rPr>
          <w:rFonts w:eastAsia="Book Antiqua" w:cs="Book Antiqua"/>
          <w:color w:val="000000" w:themeColor="text1"/>
          <w:szCs w:val="26"/>
        </w:rPr>
      </w:pPr>
      <w:r w:rsidRPr="7B71AE22">
        <w:t>In San Diego Gas &amp; Electric Company’s (SDG&amp;E’s) next General Rate</w:t>
      </w:r>
    </w:p>
    <w:p w:rsidR="00220484" w:rsidP="009D5CBC" w:rsidRDefault="007253C8" w14:paraId="246A0163" w14:textId="18D74B91">
      <w:pPr>
        <w:pStyle w:val="ListNum"/>
        <w:numPr>
          <w:ilvl w:val="0"/>
          <w:numId w:val="0"/>
        </w:numPr>
        <w:spacing w:after="0" w:line="360" w:lineRule="auto"/>
        <w:rPr>
          <w:rFonts w:eastAsia="Book Antiqua" w:cs="Book Antiqua"/>
          <w:color w:val="000000" w:themeColor="text1"/>
          <w:szCs w:val="26"/>
        </w:rPr>
      </w:pPr>
      <w:r w:rsidRPr="7B71AE22">
        <w:t>Case</w:t>
      </w:r>
      <w:r w:rsidR="00220484">
        <w:t xml:space="preserve"> application</w:t>
      </w:r>
      <w:r w:rsidRPr="7B71AE22">
        <w:t>,</w:t>
      </w:r>
      <w:r w:rsidR="008B1848">
        <w:t xml:space="preserve"> </w:t>
      </w:r>
      <w:r w:rsidRPr="7B71AE22">
        <w:t>SDG&amp;E shall provide evidence of the unit cost of generator and standby sources of power, including renewable options, and the distance at which grid hardening remote customers is unreasonable and standby power is recommended.</w:t>
      </w:r>
    </w:p>
    <w:p w:rsidRPr="00760743" w:rsidR="007253C8" w:rsidP="00645333" w:rsidRDefault="00BE220B" w14:paraId="4C522508" w14:textId="167AB180">
      <w:pPr>
        <w:pStyle w:val="OP"/>
        <w:rPr>
          <w:rFonts w:eastAsia="Book Antiqua" w:cs="Book Antiqua"/>
          <w:color w:val="000000" w:themeColor="text1"/>
          <w:szCs w:val="26"/>
        </w:rPr>
      </w:pPr>
      <w:r>
        <w:lastRenderedPageBreak/>
        <w:t>In its next General Rate Case application</w:t>
      </w:r>
      <w:r w:rsidRPr="25F9FF9E" w:rsidR="007253C8">
        <w:t>, San Diego Gas &amp; Electric</w:t>
      </w:r>
      <w:r w:rsidR="00760743">
        <w:t xml:space="preserve"> </w:t>
      </w:r>
      <w:r w:rsidRPr="25F9FF9E" w:rsidR="007253C8">
        <w:t xml:space="preserve">Company (SDG&amp;E) shall specify the Operations &amp; Maintenance costs for </w:t>
      </w:r>
      <w:r w:rsidRPr="00BE220B">
        <w:t>all Asset Management and Inspection programs</w:t>
      </w:r>
      <w:r w:rsidRPr="00BE220B" w:rsidDel="00BE220B">
        <w:t xml:space="preserve"> </w:t>
      </w:r>
      <w:r w:rsidRPr="25F9FF9E" w:rsidR="007253C8">
        <w:t>separately from the capital costs for repair or replacement of poles and other equipment and the number of poles being replaced. SDG&amp;E shall also coordinate and optimize pole inspection and replacement programs and demonstrate the lack of redundancy between such programs.</w:t>
      </w:r>
    </w:p>
    <w:p w:rsidR="007253C8" w:rsidP="5954AC37" w:rsidRDefault="1BFE1C55" w14:paraId="314660C9" w14:textId="6FE8F33E">
      <w:pPr>
        <w:pStyle w:val="OP"/>
        <w:rPr>
          <w:rFonts w:eastAsia="Book Antiqua" w:cs="Book Antiqua"/>
        </w:rPr>
      </w:pPr>
      <w:r>
        <w:t xml:space="preserve">Within 90 days of the effective date of this decision, </w:t>
      </w:r>
      <w:r w:rsidRPr="5954AC37">
        <w:rPr>
          <w:color w:val="000000" w:themeColor="text1"/>
        </w:rPr>
        <w:t>San Diego Gas &amp; Electric</w:t>
      </w:r>
      <w:r w:rsidRPr="5954AC37" w:rsidR="18CC679C">
        <w:rPr>
          <w:color w:val="000000" w:themeColor="text1"/>
        </w:rPr>
        <w:t xml:space="preserve"> </w:t>
      </w:r>
      <w:r w:rsidRPr="5954AC37">
        <w:rPr>
          <w:rFonts w:eastAsia="Book Antiqua" w:cs="Book Antiqua"/>
          <w:color w:val="000000" w:themeColor="text1"/>
        </w:rPr>
        <w:t xml:space="preserve">Company (SDG&amp;E) </w:t>
      </w:r>
      <w:r w:rsidRPr="5954AC37">
        <w:rPr>
          <w:rFonts w:eastAsia="Book Antiqua" w:cs="Book Antiqua"/>
        </w:rPr>
        <w:t xml:space="preserve">shall file a Tier 1 Advice Letter verifying that SDG&amp;E removed $1.4 million in additional electric </w:t>
      </w:r>
      <w:r w:rsidRPr="5954AC37">
        <w:rPr>
          <w:rFonts w:eastAsia="Book Antiqua" w:cs="Book Antiqua"/>
          <w:color w:val="000000" w:themeColor="text1"/>
        </w:rPr>
        <w:t>Operations &amp; Maintenance</w:t>
      </w:r>
      <w:r w:rsidRPr="5954AC37">
        <w:rPr>
          <w:rFonts w:eastAsia="Book Antiqua" w:cs="Book Antiqua"/>
        </w:rPr>
        <w:t xml:space="preserve"> costs from the cost recovery requested.</w:t>
      </w:r>
    </w:p>
    <w:p w:rsidRPr="00760743" w:rsidR="007253C8" w:rsidP="00645333" w:rsidRDefault="007253C8" w14:paraId="19DC0BB2" w14:textId="6B69BFB7">
      <w:pPr>
        <w:pStyle w:val="OP"/>
      </w:pPr>
      <w:r w:rsidRPr="00760743">
        <w:rPr>
          <w:color w:val="000000" w:themeColor="text1"/>
        </w:rPr>
        <w:t xml:space="preserve">San Diego Gas &amp; Electric Company </w:t>
      </w:r>
      <w:r w:rsidRPr="00760743">
        <w:t>(SDG&amp;E) may file an</w:t>
      </w:r>
      <w:r w:rsidRPr="00760743" w:rsidR="00760743">
        <w:t xml:space="preserve"> a</w:t>
      </w:r>
      <w:r w:rsidRPr="00760743">
        <w:t>pplication for a</w:t>
      </w:r>
      <w:r w:rsidRPr="00760743" w:rsidR="00760743">
        <w:t xml:space="preserve"> </w:t>
      </w:r>
      <w:r w:rsidRPr="00760743">
        <w:t>financing order to securitize the balance of un</w:t>
      </w:r>
      <w:r w:rsidR="0069557B">
        <w:t>der</w:t>
      </w:r>
      <w:r w:rsidRPr="00760743">
        <w:t xml:space="preserve">collected Wildfire Mitigation Plan Account </w:t>
      </w:r>
      <w:r w:rsidR="00FC6A12">
        <w:t xml:space="preserve"> capital expenditures consistent </w:t>
      </w:r>
      <w:r w:rsidRPr="00760743">
        <w:t xml:space="preserve">with Public Utilities Section 850 </w:t>
      </w:r>
      <w:r w:rsidRPr="00760743">
        <w:rPr>
          <w:i/>
          <w:iCs/>
        </w:rPr>
        <w:t>et seq</w:t>
      </w:r>
      <w:r w:rsidRPr="00760743">
        <w:t xml:space="preserve">. </w:t>
      </w:r>
    </w:p>
    <w:p w:rsidRPr="0037110F" w:rsidR="007253C8" w:rsidP="00645333" w:rsidRDefault="00BE220B" w14:paraId="4B384F12" w14:textId="52ECBC80">
      <w:pPr>
        <w:pStyle w:val="OP"/>
        <w:rPr>
          <w:rFonts w:eastAsia="Book Antiqua" w:cs="Book Antiqua"/>
          <w:color w:val="000000" w:themeColor="text1"/>
          <w:szCs w:val="26"/>
        </w:rPr>
      </w:pPr>
      <w:r>
        <w:t xml:space="preserve">If </w:t>
      </w:r>
      <w:r w:rsidRPr="00267546" w:rsidR="007253C8">
        <w:t xml:space="preserve">San Diego Gas &amp; Electric Company (SDG&amp;E) </w:t>
      </w:r>
      <w:r>
        <w:t xml:space="preserve">seeks </w:t>
      </w:r>
      <w:r w:rsidRPr="00267546" w:rsidR="007253C8">
        <w:t>recovery of wildfire mitigation costs for years 2024 and 2025</w:t>
      </w:r>
      <w:r>
        <w:t>, SDG&amp;E</w:t>
      </w:r>
      <w:r w:rsidRPr="00267546" w:rsidR="007253C8">
        <w:t xml:space="preserve"> </w:t>
      </w:r>
      <w:r w:rsidRPr="00267546">
        <w:t>shall file an</w:t>
      </w:r>
      <w:r>
        <w:t xml:space="preserve"> a</w:t>
      </w:r>
      <w:r w:rsidRPr="00267546">
        <w:t xml:space="preserve">pplication </w:t>
      </w:r>
      <w:r w:rsidRPr="00267546" w:rsidR="007253C8">
        <w:t xml:space="preserve">before </w:t>
      </w:r>
      <w:r>
        <w:t>it</w:t>
      </w:r>
      <w:r w:rsidRPr="00267546" w:rsidR="007253C8">
        <w:t xml:space="preserve"> files its next General Rate Case (GRC). SDG&amp;E</w:t>
      </w:r>
      <w:r w:rsidR="00F964BB">
        <w:t>’</w:t>
      </w:r>
      <w:r w:rsidRPr="00267546" w:rsidR="007253C8">
        <w:t xml:space="preserve">s application for recovery of wildfire costs for 2026 shall be </w:t>
      </w:r>
      <w:r>
        <w:t>part of</w:t>
      </w:r>
      <w:r w:rsidRPr="00267546" w:rsidR="007253C8">
        <w:t xml:space="preserve"> SDG&amp;E’s next GRC.</w:t>
      </w:r>
    </w:p>
    <w:p w:rsidRPr="00925E0A" w:rsidR="008751AF" w:rsidP="00925E0A" w:rsidRDefault="00CF0110" w14:paraId="23BB06F8" w14:textId="0CECD732">
      <w:pPr>
        <w:pStyle w:val="OP"/>
        <w:rPr>
          <w:rFonts w:eastAsia="Book Antiqua" w:cs="Book Antiqua"/>
          <w:color w:val="000000" w:themeColor="text1"/>
          <w:szCs w:val="26"/>
        </w:rPr>
      </w:pPr>
      <w:r>
        <w:t xml:space="preserve">The </w:t>
      </w:r>
      <w:r w:rsidR="00DB24F1">
        <w:t xml:space="preserve">March 12, 2025 </w:t>
      </w:r>
      <w:r w:rsidRPr="00DB24F1" w:rsidR="00DB24F1">
        <w:t>A</w:t>
      </w:r>
      <w:r w:rsidR="00DB24F1">
        <w:t>ssigned</w:t>
      </w:r>
      <w:r w:rsidRPr="00DB24F1" w:rsidR="00DB24F1">
        <w:t xml:space="preserve"> C</w:t>
      </w:r>
      <w:r w:rsidR="00DB24F1">
        <w:t xml:space="preserve">ommissioner’s </w:t>
      </w:r>
      <w:r w:rsidRPr="00DB24F1" w:rsidR="00DB24F1">
        <w:t>A</w:t>
      </w:r>
      <w:r w:rsidR="00DB24F1">
        <w:t xml:space="preserve">mended </w:t>
      </w:r>
      <w:r w:rsidRPr="00DB24F1" w:rsidR="00DB24F1">
        <w:t>S</w:t>
      </w:r>
      <w:r w:rsidR="00DB24F1">
        <w:t xml:space="preserve">coping </w:t>
      </w:r>
      <w:r w:rsidRPr="00DB24F1" w:rsidR="00DB24F1">
        <w:t>M</w:t>
      </w:r>
      <w:r w:rsidR="00DB24F1">
        <w:t>emo</w:t>
      </w:r>
      <w:r w:rsidR="004915D9">
        <w:t>randum</w:t>
      </w:r>
      <w:r w:rsidR="00DB24F1">
        <w:t xml:space="preserve"> and </w:t>
      </w:r>
      <w:r w:rsidRPr="00DB24F1" w:rsidR="00DB24F1">
        <w:t>R</w:t>
      </w:r>
      <w:r w:rsidR="00DB24F1">
        <w:t xml:space="preserve">uling for </w:t>
      </w:r>
      <w:r w:rsidRPr="00DB24F1" w:rsidR="00DB24F1">
        <w:t>T</w:t>
      </w:r>
      <w:r w:rsidR="00DB24F1">
        <w:t xml:space="preserve">rack </w:t>
      </w:r>
      <w:r w:rsidRPr="00DB24F1" w:rsidR="00DB24F1">
        <w:t>3</w:t>
      </w:r>
      <w:r w:rsidR="00DB24F1">
        <w:t xml:space="preserve"> </w:t>
      </w:r>
      <w:r w:rsidRPr="00DB24F1" w:rsidR="00DB24F1">
        <w:t xml:space="preserve">extended the statutory deadline in this proceeding to December 31, 2025. This </w:t>
      </w:r>
      <w:r w:rsidR="00DB24F1">
        <w:t xml:space="preserve">decision </w:t>
      </w:r>
      <w:r w:rsidRPr="00DB24F1" w:rsidR="00DB24F1">
        <w:t xml:space="preserve">extends the statutory deadline to complete this proceeding to </w:t>
      </w:r>
      <w:r w:rsidR="00DB24F1">
        <w:t>December</w:t>
      </w:r>
      <w:r w:rsidRPr="00DB24F1" w:rsidR="00DB24F1">
        <w:t xml:space="preserve"> </w:t>
      </w:r>
      <w:r w:rsidR="00DB24F1">
        <w:t>30</w:t>
      </w:r>
      <w:r w:rsidRPr="00DB24F1" w:rsidR="00DB24F1">
        <w:t>, 2026.</w:t>
      </w:r>
    </w:p>
    <w:p w:rsidRPr="00572478" w:rsidR="007253C8" w:rsidP="007253C8" w:rsidRDefault="007253C8" w14:paraId="4A3E540F" w14:textId="77777777">
      <w:pPr>
        <w:pStyle w:val="Standard"/>
        <w:rPr>
          <w:szCs w:val="26"/>
        </w:rPr>
      </w:pPr>
      <w:r w:rsidRPr="00572478">
        <w:rPr>
          <w:szCs w:val="26"/>
        </w:rPr>
        <w:t>This order is effective today.</w:t>
      </w:r>
    </w:p>
    <w:p w:rsidRPr="00572478" w:rsidR="007253C8" w:rsidP="007253C8" w:rsidRDefault="007253C8" w14:paraId="542B9A37" w14:textId="13762BD5">
      <w:pPr>
        <w:pStyle w:val="Standard"/>
        <w:rPr>
          <w:szCs w:val="26"/>
        </w:rPr>
      </w:pPr>
      <w:r w:rsidRPr="00572478">
        <w:rPr>
          <w:szCs w:val="26"/>
        </w:rPr>
        <w:t xml:space="preserve">Dated _________, at </w:t>
      </w:r>
      <w:r w:rsidR="00FE2148">
        <w:rPr>
          <w:szCs w:val="26"/>
        </w:rPr>
        <w:t>Sacramento</w:t>
      </w:r>
      <w:r w:rsidRPr="00572478">
        <w:rPr>
          <w:szCs w:val="26"/>
        </w:rPr>
        <w:t>, California.</w:t>
      </w:r>
    </w:p>
    <w:p w:rsidRPr="00714CF2" w:rsidR="00714CF2" w:rsidP="007253C8" w:rsidRDefault="00714CF2" w14:paraId="3F6BE401" w14:textId="5FA41DFE">
      <w:pPr>
        <w:ind w:firstLine="0"/>
      </w:pPr>
    </w:p>
    <w:sectPr w:rsidRPr="00714CF2" w:rsidR="00714CF2" w:rsidSect="00214427">
      <w:footerReference w:type="first" r:id="rId23"/>
      <w:pgSz w:w="12240" w:h="15840" w:code="1"/>
      <w:pgMar w:top="1728" w:right="1440" w:bottom="1440" w:left="1440" w:header="720" w:footer="720" w:gutter="0"/>
      <w:cols w:space="720"/>
      <w:titlePg/>
    </w:sectPr>
    <w:p>
      <w:r>
        <w:t xml:space="preserve"/>
      </w:r>
    </w:p>
    <w:p>
      <w:r>
        <w:t xml:space="preserve">Attachment 1: </w:t>
      </w:r>
    </w:p>
    <w:p>
      <w:hyperlink w:history="true" r:id="R1f6477bf91614ec7">
        <w:r w:rsidRPr="00CB1292">
          <w:rPr>
            <w:rStyle w:val="Hyperlink"/>
            <w:color w:val="2E74B5" w:themeColor="accent1" w:themeShade="BF"/>
            <w:u w:val="single"/>
          </w:rPr>
          <w:t>Redline (Rev. 1) A.22-05-015 et al DECISION ADDRESSING SDGE TRACK 2 REQUEST ALJ 1 14 26.pdf</w:t>
        </w:r>
      </w:hyperlink>
    </w:p>
    <w:p>
      <w:r>
        <w:t xml:space="preserve"/>
      </w:r>
    </w:p>
    <w:p>
      <w:r>
        <w:t xml:space="preserve">Attachment 2: </w:t>
      </w:r>
    </w:p>
    <w:p>
      <w:hyperlink w:history="true" r:id="R6a26302a58934802">
        <w:r w:rsidRPr="00CB1292">
          <w:rPr>
            <w:rStyle w:val="Hyperlink"/>
            <w:color w:val="2E74B5" w:themeColor="accent1" w:themeShade="BF"/>
            <w:u w:val="single"/>
          </w:rPr>
          <w:t>Appendix A Cost Reduction Summary.pdf</w:t>
        </w:r>
      </w:hyperlink>
    </w:p>
    <w:p>
      <w:r>
        <w:t xml:space="preserve"/>
      </w:r>
    </w:p>
    <w:p>
      <w:r>
        <w:t xml:space="preserve">Attachment 3: </w:t>
      </w:r>
    </w:p>
    <w:p>
      <w:hyperlink w:history="true" r:id="R84b02a9c01f0425f">
        <w:r w:rsidRPr="00CB1292">
          <w:rPr>
            <w:rStyle w:val="Hyperlink"/>
            <w:color w:val="2E74B5" w:themeColor="accent1" w:themeShade="BF"/>
            <w:u w:val="single"/>
          </w:rPr>
          <w:t>Appendix B Authorized Result of Operation.pdf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7585" w14:textId="77777777" w:rsidR="004A06A7" w:rsidRDefault="004A06A7" w:rsidP="0098138E">
      <w:pPr>
        <w:spacing w:line="240" w:lineRule="auto"/>
      </w:pPr>
      <w:r>
        <w:separator/>
      </w:r>
    </w:p>
  </w:endnote>
  <w:endnote w:type="continuationSeparator" w:id="0">
    <w:p w14:paraId="4D2EF6F1" w14:textId="77777777" w:rsidR="004A06A7" w:rsidRDefault="004A06A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DBB7" w14:textId="3569857C" w:rsidR="00566885" w:rsidRPr="00A80752" w:rsidRDefault="00566885" w:rsidP="00566885">
    <w:pPr>
      <w:pStyle w:val="Footer"/>
      <w:ind w:firstLine="0"/>
      <w:rPr>
        <w:rFonts w:ascii="Arial" w:hAnsi="Arial"/>
        <w:sz w:val="16"/>
        <w:szCs w:val="16"/>
      </w:rPr>
    </w:pPr>
    <w:r w:rsidRPr="00566885">
      <w:rPr>
        <w:sz w:val="16"/>
      </w:rPr>
      <w:t>594952757</w:t>
    </w:r>
    <w:r w:rsidRPr="00A80752">
      <w:rPr>
        <w:rFonts w:ascii="Arial" w:hAnsi="Arial"/>
        <w:sz w:val="16"/>
      </w:rPr>
      <w:tab/>
    </w:r>
    <w:r>
      <w:noBreakHyphen/>
    </w:r>
    <w:r w:rsidRPr="00A80752">
      <w:t xml:space="preserve"> </w:t>
    </w:r>
    <w:r>
      <w:t>1</w:t>
    </w:r>
    <w:r w:rsidRPr="00A80752">
      <w:t xml:space="preserve"> </w:t>
    </w:r>
    <w:r>
      <w:noBreakHyphen/>
    </w:r>
    <w:r w:rsidRPr="00A80752">
      <w:t xml:space="preserve"> </w:t>
    </w:r>
  </w:p>
  <w:p w14:paraId="117191B7" w14:textId="77777777" w:rsidR="00566885" w:rsidRDefault="00566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F94C"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7473" w14:textId="03B51BAF" w:rsidR="007253C8" w:rsidRPr="00A80752" w:rsidRDefault="004E5DF2" w:rsidP="00AF568E">
    <w:pPr>
      <w:pStyle w:val="Footer"/>
      <w:ind w:firstLine="0"/>
      <w:jc w:val="center"/>
    </w:pPr>
    <w:r>
      <w:t>-</w:t>
    </w:r>
    <w:sdt>
      <w:sdtPr>
        <w:id w:val="285631152"/>
        <w:docPartObj>
          <w:docPartGallery w:val="Page Numbers (Bottom of Page)"/>
          <w:docPartUnique/>
        </w:docPartObj>
      </w:sdtPr>
      <w:sdtEndPr>
        <w:rPr>
          <w:noProof/>
        </w:rPr>
      </w:sdtEndPr>
      <w:sdtContent>
        <w:r w:rsidR="00D166DC">
          <w:fldChar w:fldCharType="begin"/>
        </w:r>
        <w:r w:rsidR="00D166DC">
          <w:instrText xml:space="preserve"> PAGE   \* MERGEFORMAT </w:instrText>
        </w:r>
        <w:r w:rsidR="00D166DC">
          <w:fldChar w:fldCharType="separate"/>
        </w:r>
        <w:r w:rsidR="00D166DC">
          <w:rPr>
            <w:noProof/>
          </w:rPr>
          <w:t>2</w:t>
        </w:r>
        <w:r w:rsidR="00D166DC">
          <w:rPr>
            <w:noProof/>
          </w:rPr>
          <w:fldChar w:fldCharType="end"/>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94B2" w14:textId="48C0B7C4" w:rsidR="00D166DC" w:rsidRDefault="004E5DF2" w:rsidP="00D166DC">
    <w:pPr>
      <w:pStyle w:val="Footer"/>
      <w:ind w:firstLine="0"/>
      <w:jc w:val="center"/>
    </w:pPr>
    <w:r>
      <w:t>-</w:t>
    </w:r>
    <w:sdt>
      <w:sdtPr>
        <w:id w:val="1670991318"/>
        <w:docPartObj>
          <w:docPartGallery w:val="Page Numbers (Bottom of Page)"/>
          <w:docPartUnique/>
        </w:docPartObj>
      </w:sdtPr>
      <w:sdtEndPr>
        <w:rPr>
          <w:noProof/>
        </w:rPr>
      </w:sdtEndPr>
      <w:sdtContent>
        <w:r w:rsidR="00D166DC">
          <w:fldChar w:fldCharType="begin"/>
        </w:r>
        <w:r w:rsidR="00D166DC">
          <w:instrText xml:space="preserve"> PAGE   \* MERGEFORMAT </w:instrText>
        </w:r>
        <w:r w:rsidR="00D166DC">
          <w:fldChar w:fldCharType="separate"/>
        </w:r>
        <w:r w:rsidR="00D166DC">
          <w:rPr>
            <w:noProof/>
          </w:rPr>
          <w:t>2</w:t>
        </w:r>
        <w:r w:rsidR="00D166DC">
          <w:rPr>
            <w:noProof/>
          </w:rPr>
          <w:fldChar w:fldCharType="end"/>
        </w:r>
        <w:r>
          <w:rPr>
            <w:noProof/>
          </w:rPr>
          <w:t>-</w:t>
        </w:r>
      </w:sdtContent>
    </w:sdt>
  </w:p>
  <w:p w14:paraId="744AE7CB" w14:textId="7081E080" w:rsidR="007253C8" w:rsidRPr="00A80752" w:rsidRDefault="007253C8" w:rsidP="00301BD8">
    <w:pPr>
      <w:pStyle w:val="Footer"/>
      <w:ind w:firstLine="0"/>
      <w:rPr>
        <w:rFonts w:ascii="Arial" w:hAnsi="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3B50" w14:textId="5982C0A4" w:rsidR="007253C8" w:rsidRDefault="004E5DF2" w:rsidP="00D166DC">
    <w:pPr>
      <w:pStyle w:val="Footer"/>
      <w:ind w:firstLine="0"/>
      <w:jc w:val="center"/>
    </w:pPr>
    <w:r>
      <w:t>-</w:t>
    </w:r>
    <w:sdt>
      <w:sdtPr>
        <w:id w:val="489915233"/>
        <w:docPartObj>
          <w:docPartGallery w:val="Page Numbers (Bottom of Page)"/>
          <w:docPartUnique/>
        </w:docPartObj>
      </w:sdtPr>
      <w:sdtEndPr>
        <w:rPr>
          <w:noProof/>
        </w:rPr>
      </w:sdtEndPr>
      <w:sdtContent>
        <w:r w:rsidR="007253C8">
          <w:fldChar w:fldCharType="begin"/>
        </w:r>
        <w:r w:rsidR="007253C8">
          <w:instrText xml:space="preserve"> PAGE   \* MERGEFORMAT </w:instrText>
        </w:r>
        <w:r w:rsidR="007253C8">
          <w:fldChar w:fldCharType="separate"/>
        </w:r>
        <w:r w:rsidR="007253C8">
          <w:rPr>
            <w:noProof/>
          </w:rPr>
          <w:t>2</w:t>
        </w:r>
        <w:r w:rsidR="007253C8">
          <w:rPr>
            <w:noProof/>
          </w:rPr>
          <w:fldChar w:fldCharType="end"/>
        </w:r>
        <w:r>
          <w:rPr>
            <w:noProof/>
          </w:rPr>
          <w:t>-</w:t>
        </w:r>
      </w:sdtContent>
    </w:sdt>
  </w:p>
  <w:p w14:paraId="19BF2120" w14:textId="77777777" w:rsidR="007253C8" w:rsidRPr="00A80752" w:rsidRDefault="007253C8" w:rsidP="00301B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6117" w14:textId="335BA037" w:rsidR="00D166DC" w:rsidRDefault="004E5DF2" w:rsidP="00D166DC">
    <w:pPr>
      <w:pStyle w:val="Footer"/>
      <w:ind w:firstLine="0"/>
      <w:jc w:val="center"/>
    </w:pPr>
    <w:r>
      <w:t>-</w:t>
    </w:r>
    <w:sdt>
      <w:sdtPr>
        <w:id w:val="-2126146259"/>
        <w:docPartObj>
          <w:docPartGallery w:val="Page Numbers (Bottom of Page)"/>
          <w:docPartUnique/>
        </w:docPartObj>
      </w:sdtPr>
      <w:sdtEndPr>
        <w:rPr>
          <w:noProof/>
        </w:rPr>
      </w:sdtEndPr>
      <w:sdtContent>
        <w:r w:rsidR="00D166DC">
          <w:fldChar w:fldCharType="begin"/>
        </w:r>
        <w:r w:rsidR="00D166DC">
          <w:instrText xml:space="preserve"> PAGE   \* MERGEFORMAT </w:instrText>
        </w:r>
        <w:r w:rsidR="00D166DC">
          <w:fldChar w:fldCharType="separate"/>
        </w:r>
        <w:r w:rsidR="00D166DC">
          <w:rPr>
            <w:noProof/>
          </w:rPr>
          <w:t>2</w:t>
        </w:r>
        <w:r w:rsidR="00D166DC">
          <w:rPr>
            <w:noProof/>
          </w:rPr>
          <w:fldChar w:fldCharType="end"/>
        </w:r>
        <w:r>
          <w:rPr>
            <w:noProof/>
          </w:rPr>
          <w:t>-</w:t>
        </w:r>
      </w:sdtContent>
    </w:sdt>
  </w:p>
  <w:p w14:paraId="7E1ABBEE" w14:textId="77777777" w:rsidR="007253C8" w:rsidRPr="00A80752" w:rsidRDefault="007253C8">
    <w:pPr>
      <w:pStyle w:val="Footer"/>
      <w:rPr>
        <w:rFonts w:ascii="Arial" w:hAnsi="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0F25" w14:textId="77777777" w:rsidR="009C4C51" w:rsidRDefault="009C4C51"/>
  <w:p w14:paraId="08F4BF47"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AC0B" w14:textId="77777777" w:rsidR="004A06A7" w:rsidRDefault="004A06A7" w:rsidP="00DF58E7">
      <w:pPr>
        <w:spacing w:line="240" w:lineRule="auto"/>
        <w:ind w:firstLine="0"/>
      </w:pPr>
      <w:r>
        <w:separator/>
      </w:r>
    </w:p>
  </w:footnote>
  <w:footnote w:type="continuationSeparator" w:id="0">
    <w:p w14:paraId="77B889AC" w14:textId="77777777" w:rsidR="004A06A7" w:rsidRDefault="004A06A7" w:rsidP="00DF58E7">
      <w:pPr>
        <w:spacing w:line="240" w:lineRule="auto"/>
        <w:ind w:firstLine="0"/>
      </w:pPr>
      <w:r>
        <w:continuationSeparator/>
      </w:r>
    </w:p>
  </w:footnote>
  <w:footnote w:type="continuationNotice" w:id="1">
    <w:p w14:paraId="2E8706A7" w14:textId="77777777" w:rsidR="004A06A7" w:rsidRPr="00DF58E7" w:rsidRDefault="004A06A7" w:rsidP="00DF58E7">
      <w:pPr>
        <w:spacing w:line="240" w:lineRule="auto"/>
        <w:ind w:firstLine="0"/>
        <w:jc w:val="right"/>
        <w:rPr>
          <w:i/>
          <w:sz w:val="22"/>
        </w:rPr>
      </w:pPr>
      <w:r w:rsidRPr="00DF58E7">
        <w:rPr>
          <w:i/>
          <w:sz w:val="22"/>
        </w:rPr>
        <w:t>Footnote continued on next page.</w:t>
      </w:r>
    </w:p>
  </w:footnote>
  <w:footnote w:id="2">
    <w:p w14:paraId="6B2A3359" w14:textId="77777777" w:rsidR="007253C8" w:rsidRDefault="007253C8" w:rsidP="007253C8">
      <w:pPr>
        <w:pStyle w:val="FootnoteText"/>
      </w:pPr>
      <w:r>
        <w:rPr>
          <w:rStyle w:val="FootnoteReference"/>
        </w:rPr>
        <w:footnoteRef/>
      </w:r>
      <w:r>
        <w:t xml:space="preserve"> SDG&amp;E Opening Brief at p. 6.</w:t>
      </w:r>
    </w:p>
  </w:footnote>
  <w:footnote w:id="3">
    <w:p w14:paraId="4D00BE24" w14:textId="77777777" w:rsidR="007253C8" w:rsidRDefault="007253C8" w:rsidP="007253C8">
      <w:pPr>
        <w:pStyle w:val="FootnoteText"/>
      </w:pPr>
      <w:r>
        <w:rPr>
          <w:rStyle w:val="FootnoteReference"/>
        </w:rPr>
        <w:footnoteRef/>
      </w:r>
      <w:r>
        <w:t xml:space="preserve"> SDG&amp;E Opening Brief at p. 6.</w:t>
      </w:r>
    </w:p>
  </w:footnote>
  <w:footnote w:id="4">
    <w:p w14:paraId="308B38A1" w14:textId="77777777" w:rsidR="007253C8" w:rsidRDefault="007253C8" w:rsidP="007253C8">
      <w:pPr>
        <w:pStyle w:val="FootnoteText"/>
      </w:pPr>
      <w:r>
        <w:rPr>
          <w:rStyle w:val="FootnoteReference"/>
        </w:rPr>
        <w:footnoteRef/>
      </w:r>
      <w:r>
        <w:t xml:space="preserve"> </w:t>
      </w:r>
      <w:r w:rsidRPr="00FE2148">
        <w:rPr>
          <w:i/>
          <w:iCs/>
        </w:rPr>
        <w:t>See</w:t>
      </w:r>
      <w:r>
        <w:t xml:space="preserve"> Appendix B Cost Reduction Summary.</w:t>
      </w:r>
    </w:p>
  </w:footnote>
  <w:footnote w:id="5">
    <w:p w14:paraId="68085240" w14:textId="77777777" w:rsidR="007253C8" w:rsidRDefault="007253C8" w:rsidP="007253C8">
      <w:pPr>
        <w:pStyle w:val="FootnoteText"/>
      </w:pPr>
      <w:r>
        <w:rPr>
          <w:rStyle w:val="FootnoteReference"/>
        </w:rPr>
        <w:footnoteRef/>
      </w:r>
      <w:r>
        <w:t xml:space="preserve"> </w:t>
      </w:r>
      <w:r w:rsidRPr="00FE2148">
        <w:rPr>
          <w:i/>
          <w:iCs/>
        </w:rPr>
        <w:t>See</w:t>
      </w:r>
      <w:r>
        <w:t xml:space="preserve"> Appendix C Results of Operation Model (Total for Electric and Gas).</w:t>
      </w:r>
    </w:p>
  </w:footnote>
  <w:footnote w:id="6">
    <w:p w14:paraId="2A8340A1" w14:textId="598F66AA" w:rsidR="009E10AB" w:rsidRDefault="009E10AB">
      <w:pPr>
        <w:pStyle w:val="FootnoteText"/>
      </w:pPr>
      <w:r>
        <w:rPr>
          <w:rStyle w:val="FootnoteReference"/>
        </w:rPr>
        <w:footnoteRef/>
      </w:r>
      <w:r>
        <w:t xml:space="preserve"> High Fire Threat Districts (HFTDs).</w:t>
      </w:r>
    </w:p>
  </w:footnote>
  <w:footnote w:id="7">
    <w:p w14:paraId="65D8FD0A" w14:textId="47DBB3D6" w:rsidR="00E70A3F" w:rsidRDefault="00E70A3F">
      <w:pPr>
        <w:pStyle w:val="FootnoteText"/>
      </w:pPr>
      <w:r>
        <w:rPr>
          <w:rStyle w:val="FootnoteReference"/>
        </w:rPr>
        <w:footnoteRef/>
      </w:r>
      <w:r>
        <w:t xml:space="preserve"> Asset Management and Inspections (AM&amp;I).</w:t>
      </w:r>
    </w:p>
  </w:footnote>
  <w:footnote w:id="8">
    <w:p w14:paraId="434FE481" w14:textId="766DCE4C" w:rsidR="009E10AB" w:rsidRDefault="009E10AB">
      <w:pPr>
        <w:pStyle w:val="FootnoteText"/>
      </w:pPr>
      <w:r>
        <w:rPr>
          <w:rStyle w:val="FootnoteReference"/>
        </w:rPr>
        <w:footnoteRef/>
      </w:r>
      <w:r>
        <w:t xml:space="preserve"> Community Outreach (CO), Public Awareness (PA), and Communication Efforts (CE).</w:t>
      </w:r>
    </w:p>
  </w:footnote>
  <w:footnote w:id="9">
    <w:p w14:paraId="58390A4A" w14:textId="03D5AD85" w:rsidR="00C8291A" w:rsidRDefault="00C8291A">
      <w:pPr>
        <w:pStyle w:val="FootnoteText"/>
      </w:pPr>
      <w:r>
        <w:rPr>
          <w:rStyle w:val="FootnoteReference"/>
        </w:rPr>
        <w:footnoteRef/>
      </w:r>
      <w:r>
        <w:t xml:space="preserve"> </w:t>
      </w:r>
      <w:r w:rsidRPr="00C8291A">
        <w:t>Supervisory Control and Data Acquisition (SCADA)</w:t>
      </w:r>
      <w:r>
        <w:t>.</w:t>
      </w:r>
    </w:p>
  </w:footnote>
  <w:footnote w:id="10">
    <w:p w14:paraId="70DDC59F" w14:textId="65509D1E" w:rsidR="00E70A3F" w:rsidRDefault="00E70A3F">
      <w:pPr>
        <w:pStyle w:val="FootnoteText"/>
      </w:pPr>
      <w:r>
        <w:rPr>
          <w:rStyle w:val="FootnoteReference"/>
        </w:rPr>
        <w:footnoteRef/>
      </w:r>
      <w:r>
        <w:t xml:space="preserve"> Grid Operations and Operations Protocols (GO&amp;OP).</w:t>
      </w:r>
    </w:p>
  </w:footnote>
  <w:footnote w:id="11">
    <w:p w14:paraId="5069BF69" w14:textId="2491EB46" w:rsidR="00B23B73" w:rsidRDefault="00B23B73">
      <w:pPr>
        <w:pStyle w:val="FootnoteText"/>
      </w:pPr>
      <w:r>
        <w:rPr>
          <w:rStyle w:val="FootnoteReference"/>
        </w:rPr>
        <w:footnoteRef/>
      </w:r>
      <w:r>
        <w:t xml:space="preserve"> </w:t>
      </w:r>
      <w:r w:rsidRPr="00B23B73">
        <w:t>Stakeholder Cooperation &amp; Community Engagement (SC&amp;CE)</w:t>
      </w:r>
      <w:r>
        <w:t>.</w:t>
      </w:r>
    </w:p>
  </w:footnote>
  <w:footnote w:id="12">
    <w:p w14:paraId="22485252" w14:textId="77777777" w:rsidR="007253C8" w:rsidRDefault="007253C8" w:rsidP="007253C8">
      <w:pPr>
        <w:pStyle w:val="FootnoteText"/>
      </w:pPr>
      <w:r w:rsidRPr="73E4AAD3">
        <w:rPr>
          <w:rStyle w:val="FootnoteReference"/>
        </w:rPr>
        <w:footnoteRef/>
      </w:r>
      <w:r>
        <w:t xml:space="preserve"> D.24-02-010.</w:t>
      </w:r>
    </w:p>
  </w:footnote>
  <w:footnote w:id="13">
    <w:p w14:paraId="4B8ACAF0" w14:textId="77777777" w:rsidR="007253C8" w:rsidRDefault="007253C8" w:rsidP="007253C8">
      <w:pPr>
        <w:pStyle w:val="FootnoteText"/>
      </w:pPr>
      <w:r w:rsidRPr="614CE853">
        <w:rPr>
          <w:rStyle w:val="FootnoteReference"/>
        </w:rPr>
        <w:footnoteRef/>
      </w:r>
      <w:r>
        <w:t xml:space="preserve"> </w:t>
      </w:r>
      <w:r w:rsidRPr="00FE2148">
        <w:rPr>
          <w:i/>
          <w:iCs/>
        </w:rPr>
        <w:t>See</w:t>
      </w:r>
      <w:r>
        <w:t xml:space="preserve"> Appendix C; Section 14, Table C-1.</w:t>
      </w:r>
    </w:p>
  </w:footnote>
  <w:footnote w:id="14">
    <w:p w14:paraId="2698270A" w14:textId="2BEBB770" w:rsidR="007253C8" w:rsidRDefault="007253C8" w:rsidP="007253C8">
      <w:pPr>
        <w:pStyle w:val="FootnoteText"/>
      </w:pPr>
      <w:r>
        <w:rPr>
          <w:rStyle w:val="FootnoteReference"/>
        </w:rPr>
        <w:footnoteRef/>
      </w:r>
      <w:r>
        <w:t xml:space="preserve"> </w:t>
      </w:r>
      <w:r w:rsidR="001E5168">
        <w:t xml:space="preserve">Proposed Decision </w:t>
      </w:r>
      <w:r>
        <w:t>Appendix D Residential Monthly Bill Impact.</w:t>
      </w:r>
    </w:p>
  </w:footnote>
  <w:footnote w:id="15">
    <w:p w14:paraId="361E79E8" w14:textId="77777777" w:rsidR="007253C8" w:rsidRPr="00F01C83" w:rsidRDefault="007253C8" w:rsidP="007253C8">
      <w:pPr>
        <w:pStyle w:val="FootnoteText"/>
      </w:pPr>
      <w:r>
        <w:rPr>
          <w:rStyle w:val="FootnoteReference"/>
        </w:rPr>
        <w:footnoteRef/>
      </w:r>
      <w:r w:rsidRPr="00F01C83">
        <w:t xml:space="preserve"> SDG&amp;E Opening Brief at 33; SDG&amp;E T2 Ex-01-R at 2; SDG&amp;E T2 Ex-01-R-C at 98.</w:t>
      </w:r>
    </w:p>
  </w:footnote>
  <w:footnote w:id="16">
    <w:p w14:paraId="4A3799DD" w14:textId="4BD981B5" w:rsidR="007253C8" w:rsidRDefault="007253C8" w:rsidP="007253C8">
      <w:pPr>
        <w:pStyle w:val="FootnoteText"/>
      </w:pPr>
      <w:r>
        <w:rPr>
          <w:rStyle w:val="FootnoteReference"/>
        </w:rPr>
        <w:footnoteRef/>
      </w:r>
      <w:r>
        <w:t xml:space="preserve"> </w:t>
      </w:r>
      <w:r w:rsidRPr="00541A18">
        <w:t xml:space="preserve">The Commission proposes to take official notice of the California </w:t>
      </w:r>
      <w:r>
        <w:t>Department of Forestry list</w:t>
      </w:r>
      <w:r w:rsidR="00B9618B">
        <w:t xml:space="preserve"> of</w:t>
      </w:r>
      <w:r>
        <w:t xml:space="preserve"> the </w:t>
      </w:r>
      <w:r w:rsidRPr="00541A18">
        <w:t>Top 20 Most Destructive California Wildfires</w:t>
      </w:r>
      <w:r>
        <w:t xml:space="preserve"> </w:t>
      </w:r>
      <w:r w:rsidRPr="00541A18">
        <w:t>available</w:t>
      </w:r>
      <w:r w:rsidR="000902E6">
        <w:t xml:space="preserve"> </w:t>
      </w:r>
      <w:r w:rsidR="00F7697B">
        <w:t xml:space="preserve">at </w:t>
      </w:r>
      <w:hyperlink r:id="rId1" w:history="1">
        <w:r w:rsidR="00F7697B" w:rsidRPr="00751B73">
          <w:rPr>
            <w:rStyle w:val="Hyperlink"/>
          </w:rPr>
          <w:t>https://34c031f8-c9fd-4018-8c5a-4159cdff6b0d-cdn-endpoint.azureedge.net/-/media/calfire-website/our-impact/fire-statistics/top20_destruction_072525</w:t>
        </w:r>
      </w:hyperlink>
      <w:r>
        <w:t xml:space="preserve">. </w:t>
      </w:r>
      <w:r w:rsidRPr="00541A18">
        <w:t>Grounds exist for taking official notice of the above</w:t>
      </w:r>
      <w:r>
        <w:t xml:space="preserve"> </w:t>
      </w:r>
      <w:r w:rsidRPr="00541A18">
        <w:t xml:space="preserve">pursuant to Rule 13.9 of the Commission’s Rules of Practice and Procedure and California Evidence Code Section 452. If a party objects to the </w:t>
      </w:r>
      <w:r w:rsidR="000902E6">
        <w:t xml:space="preserve">Commission </w:t>
      </w:r>
      <w:r w:rsidRPr="00541A18">
        <w:t>taking official notice of this information, the party shall file and serve a motion to object within 10 days of the service of this proposed decision.</w:t>
      </w:r>
      <w:r>
        <w:t xml:space="preserve"> </w:t>
      </w:r>
    </w:p>
  </w:footnote>
  <w:footnote w:id="17">
    <w:p w14:paraId="5216924B" w14:textId="77777777" w:rsidR="007253C8" w:rsidRDefault="007253C8" w:rsidP="007253C8">
      <w:pPr>
        <w:pStyle w:val="FootnoteText"/>
      </w:pPr>
      <w:r>
        <w:rPr>
          <w:rStyle w:val="FootnoteReference"/>
        </w:rPr>
        <w:footnoteRef/>
      </w:r>
      <w:r>
        <w:t xml:space="preserve"> </w:t>
      </w:r>
      <w:r w:rsidRPr="00676BD4">
        <w:t>Stats. 2018, Ch. 626</w:t>
      </w:r>
      <w:r>
        <w:t xml:space="preserve">, </w:t>
      </w:r>
      <w:r w:rsidRPr="00676BD4">
        <w:t xml:space="preserve">effective </w:t>
      </w:r>
      <w:r>
        <w:t>January 1, 2</w:t>
      </w:r>
      <w:r w:rsidRPr="00676BD4">
        <w:t>019</w:t>
      </w:r>
      <w:r>
        <w:t>.</w:t>
      </w:r>
      <w:r w:rsidRPr="00676BD4">
        <w:t xml:space="preserve"> </w:t>
      </w:r>
    </w:p>
  </w:footnote>
  <w:footnote w:id="18">
    <w:p w14:paraId="46F72D60" w14:textId="72AE4617" w:rsidR="007253C8" w:rsidRDefault="007253C8" w:rsidP="007253C8">
      <w:pPr>
        <w:pStyle w:val="FootnoteText"/>
      </w:pPr>
      <w:r>
        <w:rPr>
          <w:rStyle w:val="FootnoteReference"/>
        </w:rPr>
        <w:footnoteRef/>
      </w:r>
      <w:r>
        <w:t xml:space="preserve"> </w:t>
      </w:r>
      <w:r w:rsidRPr="00676BD4">
        <w:t>Stats. 2019, Ch. 79</w:t>
      </w:r>
      <w:r w:rsidR="009F75D1">
        <w:t>, effective July 12, 2019</w:t>
      </w:r>
      <w:r w:rsidRPr="00676BD4">
        <w:t>.</w:t>
      </w:r>
    </w:p>
  </w:footnote>
  <w:footnote w:id="19">
    <w:p w14:paraId="13948575" w14:textId="4B040C31" w:rsidR="007253C8" w:rsidRDefault="007253C8" w:rsidP="007253C8">
      <w:pPr>
        <w:pStyle w:val="FootnoteText"/>
      </w:pPr>
      <w:r>
        <w:rPr>
          <w:rStyle w:val="FootnoteReference"/>
        </w:rPr>
        <w:footnoteRef/>
      </w:r>
      <w:r w:rsidRPr="005279C5">
        <w:t xml:space="preserve"> </w:t>
      </w:r>
      <w:r w:rsidR="00C32EA2">
        <w:t>Public Utilities (</w:t>
      </w:r>
      <w:r w:rsidRPr="005279C5">
        <w:t>Pub. Util.</w:t>
      </w:r>
      <w:r w:rsidR="00C32EA2">
        <w:t>)</w:t>
      </w:r>
      <w:r w:rsidRPr="005279C5">
        <w:t xml:space="preserve"> </w:t>
      </w:r>
      <w:r w:rsidRPr="00B459A8">
        <w:t>Code Section 8386(a).</w:t>
      </w:r>
    </w:p>
  </w:footnote>
  <w:footnote w:id="20">
    <w:p w14:paraId="43D09B37" w14:textId="730EAEF6" w:rsidR="007253C8" w:rsidRDefault="007253C8" w:rsidP="007253C8">
      <w:pPr>
        <w:pStyle w:val="FootnoteText"/>
      </w:pPr>
      <w:r>
        <w:rPr>
          <w:rStyle w:val="FootnoteReference"/>
        </w:rPr>
        <w:footnoteRef/>
      </w:r>
      <w:r>
        <w:t xml:space="preserve"> </w:t>
      </w:r>
      <w:r w:rsidRPr="00E9743F">
        <w:t>AB 1054, Stats. 2019</w:t>
      </w:r>
      <w:r w:rsidR="009A3B28">
        <w:t>–</w:t>
      </w:r>
      <w:r w:rsidRPr="00E9743F">
        <w:t>2020, Ch. 79 at Sec. 2.</w:t>
      </w:r>
    </w:p>
  </w:footnote>
  <w:footnote w:id="21">
    <w:p w14:paraId="34DF7249" w14:textId="65D42829" w:rsidR="007253C8" w:rsidRDefault="007253C8" w:rsidP="007253C8">
      <w:pPr>
        <w:pStyle w:val="FootnoteText"/>
      </w:pPr>
      <w:r>
        <w:rPr>
          <w:rStyle w:val="FootnoteReference"/>
        </w:rPr>
        <w:footnoteRef/>
      </w:r>
      <w:r>
        <w:t xml:space="preserve"> </w:t>
      </w:r>
      <w:r w:rsidRPr="00BA30B9">
        <w:t>Pub. Util. Code Section 8386</w:t>
      </w:r>
      <w:r>
        <w:t>.4(a).</w:t>
      </w:r>
      <w:r w:rsidR="00696C1E">
        <w:t xml:space="preserve"> Throughout this Decision, </w:t>
      </w:r>
      <w:r w:rsidR="00DE4C6A">
        <w:t>citations are to statutes as were in effect when this application was filed, notwithstanding later changes effected by SB 254 (2025).</w:t>
      </w:r>
    </w:p>
  </w:footnote>
  <w:footnote w:id="22">
    <w:p w14:paraId="7B30242C" w14:textId="77777777" w:rsidR="007253C8" w:rsidRDefault="007253C8" w:rsidP="007253C8">
      <w:pPr>
        <w:pStyle w:val="FootnoteText"/>
      </w:pPr>
      <w:r>
        <w:rPr>
          <w:rStyle w:val="FootnoteReference"/>
        </w:rPr>
        <w:footnoteRef/>
      </w:r>
      <w:r>
        <w:t xml:space="preserve"> </w:t>
      </w:r>
      <w:r w:rsidRPr="00BA30B9">
        <w:t>Pub. Util. Code Section 8386.4(</w:t>
      </w:r>
      <w:r>
        <w:t>b</w:t>
      </w:r>
      <w:r w:rsidRPr="00BA30B9">
        <w:t>).</w:t>
      </w:r>
    </w:p>
  </w:footnote>
  <w:footnote w:id="23">
    <w:p w14:paraId="00E89B08" w14:textId="77777777" w:rsidR="007253C8" w:rsidRDefault="007253C8" w:rsidP="007253C8">
      <w:pPr>
        <w:pStyle w:val="FootnoteText"/>
      </w:pPr>
      <w:r>
        <w:rPr>
          <w:rStyle w:val="FootnoteReference"/>
        </w:rPr>
        <w:footnoteRef/>
      </w:r>
      <w:r>
        <w:t xml:space="preserve"> </w:t>
      </w:r>
      <w:bookmarkStart w:id="8" w:name="_Hlk196891542"/>
      <w:r w:rsidRPr="00B459A8">
        <w:t>Pub. Util. Code Section 8386(c)(8).</w:t>
      </w:r>
      <w:bookmarkEnd w:id="8"/>
    </w:p>
  </w:footnote>
  <w:footnote w:id="24">
    <w:p w14:paraId="76903CDF" w14:textId="77777777" w:rsidR="007253C8" w:rsidRDefault="007253C8" w:rsidP="007253C8">
      <w:pPr>
        <w:pStyle w:val="FootnoteText"/>
      </w:pPr>
      <w:r>
        <w:rPr>
          <w:rStyle w:val="FootnoteReference"/>
        </w:rPr>
        <w:footnoteRef/>
      </w:r>
      <w:r>
        <w:t xml:space="preserve"> </w:t>
      </w:r>
      <w:r w:rsidRPr="00B459A8">
        <w:t>Pub. Util. Code Section 8386(c)(14).</w:t>
      </w:r>
    </w:p>
  </w:footnote>
  <w:footnote w:id="25">
    <w:p w14:paraId="167C3558" w14:textId="77777777" w:rsidR="007253C8" w:rsidRDefault="007253C8" w:rsidP="007253C8">
      <w:pPr>
        <w:pStyle w:val="FootnoteText"/>
      </w:pPr>
      <w:r>
        <w:rPr>
          <w:rStyle w:val="FootnoteReference"/>
        </w:rPr>
        <w:footnoteRef/>
      </w:r>
      <w:r>
        <w:t xml:space="preserve"> </w:t>
      </w:r>
      <w:r w:rsidRPr="00541DA5">
        <w:t>Pub. Util. Code Section 8386(c)(15).</w:t>
      </w:r>
    </w:p>
  </w:footnote>
  <w:footnote w:id="26">
    <w:p w14:paraId="3617396D" w14:textId="77777777" w:rsidR="007253C8" w:rsidRDefault="007253C8" w:rsidP="007253C8">
      <w:pPr>
        <w:pStyle w:val="FootnoteText"/>
      </w:pPr>
      <w:r>
        <w:rPr>
          <w:rStyle w:val="FootnoteReference"/>
        </w:rPr>
        <w:footnoteRef/>
      </w:r>
      <w:r>
        <w:t xml:space="preserve"> </w:t>
      </w:r>
      <w:r w:rsidRPr="00541DA5">
        <w:t>Office of Energy Infrastructure Safety, 2023</w:t>
      </w:r>
      <w:r>
        <w:t>–</w:t>
      </w:r>
      <w:r w:rsidRPr="00541DA5">
        <w:t>2025 Wildfire Mitigation Plan Technical Guidelines (December 6, 2022) at 63-65, 199.</w:t>
      </w:r>
    </w:p>
  </w:footnote>
  <w:footnote w:id="27">
    <w:p w14:paraId="3402D6E0" w14:textId="234097B5" w:rsidR="007253C8" w:rsidRDefault="007253C8" w:rsidP="007253C8">
      <w:pPr>
        <w:pStyle w:val="FootnoteText"/>
      </w:pPr>
      <w:r>
        <w:rPr>
          <w:rStyle w:val="FootnoteReference"/>
        </w:rPr>
        <w:footnoteRef/>
      </w:r>
      <w:r>
        <w:t xml:space="preserve"> </w:t>
      </w:r>
      <w:r w:rsidR="003806D5">
        <w:t>Decision (</w:t>
      </w:r>
      <w:r w:rsidRPr="00541DA5">
        <w:t>D.</w:t>
      </w:r>
      <w:r w:rsidR="003806D5">
        <w:t xml:space="preserve">) </w:t>
      </w:r>
      <w:r w:rsidRPr="00541DA5">
        <w:t>20-05-051, Decision Adopting Phase 2 Updated and Additional Guidelines for De-Energization of Electric Facilities to Mitigate Wildfire Risk (issued June 5, 2020) at 71-72.</w:t>
      </w:r>
    </w:p>
  </w:footnote>
  <w:footnote w:id="28">
    <w:p w14:paraId="6BFA25C4" w14:textId="77777777" w:rsidR="007253C8" w:rsidRPr="002C4443" w:rsidRDefault="007253C8" w:rsidP="007253C8">
      <w:pPr>
        <w:pStyle w:val="FootnoteText"/>
        <w:rPr>
          <w:lang w:val="da-DK"/>
        </w:rPr>
      </w:pPr>
      <w:r>
        <w:rPr>
          <w:rStyle w:val="FootnoteReference"/>
        </w:rPr>
        <w:footnoteRef/>
      </w:r>
      <w:r w:rsidRPr="002C4443">
        <w:rPr>
          <w:lang w:val="da-DK"/>
        </w:rPr>
        <w:t xml:space="preserve"> D.09-08-029 at 11</w:t>
      </w:r>
      <w:r>
        <w:rPr>
          <w:lang w:val="da-DK"/>
        </w:rPr>
        <w:t>.</w:t>
      </w:r>
    </w:p>
  </w:footnote>
  <w:footnote w:id="29">
    <w:p w14:paraId="7687BA99" w14:textId="77777777" w:rsidR="007253C8" w:rsidRPr="002C4443" w:rsidRDefault="007253C8" w:rsidP="007253C8">
      <w:pPr>
        <w:pStyle w:val="FootnoteText"/>
        <w:rPr>
          <w:lang w:val="da-DK"/>
        </w:rPr>
      </w:pPr>
      <w:r>
        <w:rPr>
          <w:rStyle w:val="FootnoteReference"/>
        </w:rPr>
        <w:footnoteRef/>
      </w:r>
      <w:r w:rsidRPr="002C4443">
        <w:rPr>
          <w:lang w:val="da-DK"/>
        </w:rPr>
        <w:t xml:space="preserve"> SDG&amp;E T2 Ex-01-R at 2.</w:t>
      </w:r>
    </w:p>
  </w:footnote>
  <w:footnote w:id="30">
    <w:p w14:paraId="500E7D16" w14:textId="77777777" w:rsidR="007253C8" w:rsidRPr="002C4443" w:rsidRDefault="007253C8" w:rsidP="007253C8">
      <w:pPr>
        <w:pStyle w:val="FootnoteText"/>
        <w:rPr>
          <w:lang w:val="da-DK"/>
        </w:rPr>
      </w:pPr>
      <w:r>
        <w:rPr>
          <w:rStyle w:val="FootnoteReference"/>
        </w:rPr>
        <w:footnoteRef/>
      </w:r>
      <w:r w:rsidRPr="002C4443">
        <w:rPr>
          <w:lang w:val="da-DK"/>
        </w:rPr>
        <w:t xml:space="preserve"> D.17-12-024 at 2.</w:t>
      </w:r>
    </w:p>
  </w:footnote>
  <w:footnote w:id="31">
    <w:p w14:paraId="56E1986C" w14:textId="77777777" w:rsidR="007253C8" w:rsidRPr="00F01C83" w:rsidRDefault="007253C8" w:rsidP="007253C8">
      <w:pPr>
        <w:pStyle w:val="FootnoteText"/>
        <w:rPr>
          <w:lang w:val="da-DK"/>
        </w:rPr>
      </w:pPr>
      <w:r w:rsidRPr="3CB917D8">
        <w:rPr>
          <w:rStyle w:val="FootnoteReference"/>
        </w:rPr>
        <w:footnoteRef/>
      </w:r>
      <w:r w:rsidRPr="00F01C83">
        <w:rPr>
          <w:lang w:val="da-DK"/>
        </w:rPr>
        <w:t xml:space="preserve"> D.17-12-024 at 2.</w:t>
      </w:r>
    </w:p>
  </w:footnote>
  <w:footnote w:id="32">
    <w:p w14:paraId="27A14280" w14:textId="77777777" w:rsidR="007253C8" w:rsidRPr="002C4443" w:rsidRDefault="007253C8" w:rsidP="007253C8">
      <w:pPr>
        <w:pStyle w:val="FootnoteText"/>
        <w:rPr>
          <w:lang w:val="da-DK"/>
        </w:rPr>
      </w:pPr>
      <w:r>
        <w:rPr>
          <w:rStyle w:val="FootnoteReference"/>
        </w:rPr>
        <w:footnoteRef/>
      </w:r>
      <w:r w:rsidRPr="002C4443">
        <w:rPr>
          <w:lang w:val="da-DK"/>
        </w:rPr>
        <w:t xml:space="preserve"> SDG&amp;E T2 Ex-01-R at 2.</w:t>
      </w:r>
    </w:p>
  </w:footnote>
  <w:footnote w:id="33">
    <w:p w14:paraId="7080E51D" w14:textId="77777777" w:rsidR="007253C8" w:rsidRDefault="007253C8" w:rsidP="007253C8">
      <w:pPr>
        <w:pStyle w:val="FootnoteText"/>
      </w:pPr>
      <w:r>
        <w:rPr>
          <w:rStyle w:val="FootnoteReference"/>
        </w:rPr>
        <w:footnoteRef/>
      </w:r>
      <w:r w:rsidRPr="00334E16">
        <w:t xml:space="preserve"> SDG&amp;E T2 Ex-01-R at 2-</w:t>
      </w:r>
      <w:r>
        <w:t xml:space="preserve">3; </w:t>
      </w:r>
      <w:r w:rsidRPr="001448E1">
        <w:rPr>
          <w:i/>
          <w:iCs/>
        </w:rPr>
        <w:t>see also</w:t>
      </w:r>
      <w:r w:rsidRPr="00334E16">
        <w:t xml:space="preserve"> D.17-12-024, Appendix A at A-37.</w:t>
      </w:r>
    </w:p>
  </w:footnote>
  <w:footnote w:id="34">
    <w:p w14:paraId="1BE287B8" w14:textId="77777777" w:rsidR="007253C8" w:rsidRDefault="007253C8" w:rsidP="007253C8">
      <w:pPr>
        <w:pStyle w:val="FootnoteText"/>
      </w:pPr>
      <w:r>
        <w:rPr>
          <w:rStyle w:val="FootnoteReference"/>
        </w:rPr>
        <w:footnoteRef/>
      </w:r>
      <w:r>
        <w:t xml:space="preserve"> SDG&amp;E </w:t>
      </w:r>
      <w:r w:rsidRPr="00DF0F60">
        <w:t>Opening Brief at 23.</w:t>
      </w:r>
      <w:r>
        <w:t xml:space="preserve"> </w:t>
      </w:r>
    </w:p>
  </w:footnote>
  <w:footnote w:id="35">
    <w:p w14:paraId="5C7D4CD3" w14:textId="77777777" w:rsidR="007253C8" w:rsidRDefault="007253C8" w:rsidP="007253C8">
      <w:pPr>
        <w:pStyle w:val="FootnoteText"/>
      </w:pPr>
      <w:r>
        <w:rPr>
          <w:rStyle w:val="FootnoteReference"/>
        </w:rPr>
        <w:footnoteRef/>
      </w:r>
      <w:r>
        <w:t xml:space="preserve"> </w:t>
      </w:r>
      <w:r w:rsidRPr="00FB2E7F">
        <w:t>SDG&amp;E Opening Brief at 23.</w:t>
      </w:r>
    </w:p>
  </w:footnote>
  <w:footnote w:id="36">
    <w:p w14:paraId="4DF91038" w14:textId="77777777" w:rsidR="007253C8" w:rsidRDefault="007253C8" w:rsidP="007253C8">
      <w:pPr>
        <w:pStyle w:val="FootnoteText"/>
      </w:pPr>
      <w:r>
        <w:rPr>
          <w:rStyle w:val="FootnoteReference"/>
        </w:rPr>
        <w:footnoteRef/>
      </w:r>
      <w:r>
        <w:t xml:space="preserve"> </w:t>
      </w:r>
      <w:r w:rsidRPr="00983A7C">
        <w:t>SDG&amp;E Opening Brief at 23</w:t>
      </w:r>
      <w:r>
        <w:t>-24</w:t>
      </w:r>
      <w:r w:rsidRPr="00983A7C">
        <w:t>.</w:t>
      </w:r>
    </w:p>
  </w:footnote>
  <w:footnote w:id="37">
    <w:p w14:paraId="66F01ED1" w14:textId="77777777" w:rsidR="007253C8" w:rsidRDefault="007253C8" w:rsidP="007253C8">
      <w:pPr>
        <w:pStyle w:val="FootnoteText"/>
      </w:pPr>
      <w:r>
        <w:rPr>
          <w:rStyle w:val="FootnoteReference"/>
        </w:rPr>
        <w:footnoteRef/>
      </w:r>
      <w:r>
        <w:t xml:space="preserve"> SDG&amp;E Opening Brief at 24. </w:t>
      </w:r>
    </w:p>
  </w:footnote>
  <w:footnote w:id="38">
    <w:p w14:paraId="24DB160A" w14:textId="77777777" w:rsidR="007253C8" w:rsidRPr="009A06F9" w:rsidRDefault="007253C8" w:rsidP="007253C8">
      <w:pPr>
        <w:pStyle w:val="FootnoteText"/>
        <w:rPr>
          <w:lang w:val="es-CO"/>
        </w:rPr>
      </w:pPr>
      <w:r>
        <w:rPr>
          <w:rStyle w:val="FootnoteReference"/>
        </w:rPr>
        <w:footnoteRef/>
      </w:r>
      <w:r w:rsidRPr="009A06F9">
        <w:rPr>
          <w:lang w:val="es-CO"/>
        </w:rPr>
        <w:t xml:space="preserve"> SDG&amp;E T2 Ex-01-R at 20.</w:t>
      </w:r>
    </w:p>
  </w:footnote>
  <w:footnote w:id="39">
    <w:p w14:paraId="03E93682" w14:textId="77777777" w:rsidR="007253C8" w:rsidRDefault="007253C8" w:rsidP="007253C8">
      <w:pPr>
        <w:pStyle w:val="FootnoteText"/>
      </w:pPr>
      <w:r>
        <w:rPr>
          <w:rStyle w:val="FootnoteReference"/>
        </w:rPr>
        <w:footnoteRef/>
      </w:r>
      <w:r>
        <w:t xml:space="preserve"> </w:t>
      </w:r>
      <w:r w:rsidRPr="004E6B6E">
        <w:t>D.19-05-039</w:t>
      </w:r>
      <w:r>
        <w:t>, Ordering Paragraph 8.</w:t>
      </w:r>
    </w:p>
  </w:footnote>
  <w:footnote w:id="40">
    <w:p w14:paraId="24DCC789" w14:textId="024DDEED" w:rsidR="007253C8" w:rsidRDefault="007253C8" w:rsidP="007253C8">
      <w:pPr>
        <w:pStyle w:val="FootnoteText"/>
      </w:pPr>
      <w:r>
        <w:rPr>
          <w:rStyle w:val="FootnoteReference"/>
        </w:rPr>
        <w:footnoteRef/>
      </w:r>
      <w:r>
        <w:t xml:space="preserve"> </w:t>
      </w:r>
      <w:r w:rsidR="003E3D17">
        <w:t xml:space="preserve">SDG&amp;E </w:t>
      </w:r>
      <w:r w:rsidRPr="0065774B">
        <w:t>2020 WMP Section 5.3.8.4.2.</w:t>
      </w:r>
    </w:p>
  </w:footnote>
  <w:footnote w:id="41">
    <w:p w14:paraId="44DF8FFC" w14:textId="155B1944" w:rsidR="007253C8" w:rsidRDefault="007253C8" w:rsidP="007253C8">
      <w:pPr>
        <w:pStyle w:val="FootnoteText"/>
      </w:pPr>
      <w:r>
        <w:rPr>
          <w:rStyle w:val="FootnoteReference"/>
        </w:rPr>
        <w:footnoteRef/>
      </w:r>
      <w:r>
        <w:t xml:space="preserve"> D.19-05-039, </w:t>
      </w:r>
      <w:r w:rsidRPr="00737148">
        <w:t>Decision on San Diego Gas &amp; Electric Company’s 2019 Wildfire Mitigation Plan Pursuant to Senate Bill 901</w:t>
      </w:r>
      <w:r>
        <w:t>.</w:t>
      </w:r>
    </w:p>
  </w:footnote>
  <w:footnote w:id="42">
    <w:p w14:paraId="4FA39FBF" w14:textId="77777777" w:rsidR="007253C8" w:rsidRDefault="007253C8" w:rsidP="007253C8">
      <w:pPr>
        <w:pStyle w:val="FootnoteText"/>
      </w:pPr>
      <w:r>
        <w:rPr>
          <w:rStyle w:val="FootnoteReference"/>
        </w:rPr>
        <w:footnoteRef/>
      </w:r>
      <w:r w:rsidRPr="00BB7B3D">
        <w:t xml:space="preserve"> </w:t>
      </w:r>
      <w:hyperlink r:id="rId2" w:history="1">
        <w:r w:rsidRPr="00284FBB">
          <w:rPr>
            <w:rStyle w:val="Hyperlink"/>
          </w:rPr>
          <w:t>https://www.cpuc.ca.gov/about-cpuc/divisions/safety-policy-division/wildfire-and-safety-performance-implementation-of-wildfire-mitigation-plans</w:t>
        </w:r>
      </w:hyperlink>
      <w:r>
        <w:t>.</w:t>
      </w:r>
    </w:p>
  </w:footnote>
  <w:footnote w:id="43">
    <w:p w14:paraId="53343D20" w14:textId="77777777" w:rsidR="007253C8" w:rsidRDefault="007253C8" w:rsidP="007253C8">
      <w:pPr>
        <w:pStyle w:val="FootnoteText"/>
      </w:pPr>
      <w:r>
        <w:rPr>
          <w:rStyle w:val="FootnoteReference"/>
        </w:rPr>
        <w:footnoteRef/>
      </w:r>
      <w:r>
        <w:t xml:space="preserve"> SDG&amp;E Opening Brief at 15-16.</w:t>
      </w:r>
    </w:p>
  </w:footnote>
  <w:footnote w:id="44">
    <w:p w14:paraId="1619CD31" w14:textId="77777777" w:rsidR="007253C8" w:rsidRPr="0037110F" w:rsidRDefault="007253C8" w:rsidP="007253C8">
      <w:pPr>
        <w:pStyle w:val="FootnoteText"/>
        <w:rPr>
          <w:lang w:val="da-DK"/>
        </w:rPr>
      </w:pPr>
      <w:r>
        <w:rPr>
          <w:rStyle w:val="FootnoteReference"/>
        </w:rPr>
        <w:footnoteRef/>
      </w:r>
      <w:r w:rsidRPr="0037110F">
        <w:rPr>
          <w:lang w:val="da-DK"/>
        </w:rPr>
        <w:t xml:space="preserve"> D.24-12-074 at 468.</w:t>
      </w:r>
    </w:p>
  </w:footnote>
  <w:footnote w:id="45">
    <w:p w14:paraId="76E19F19" w14:textId="77777777" w:rsidR="007253C8" w:rsidRPr="0037110F" w:rsidRDefault="007253C8" w:rsidP="007253C8">
      <w:pPr>
        <w:pStyle w:val="FootnoteText"/>
        <w:rPr>
          <w:lang w:val="da-DK"/>
        </w:rPr>
      </w:pPr>
      <w:r w:rsidRPr="3CB917D8">
        <w:rPr>
          <w:rStyle w:val="FootnoteReference"/>
        </w:rPr>
        <w:footnoteRef/>
      </w:r>
      <w:r w:rsidRPr="0037110F">
        <w:rPr>
          <w:lang w:val="da-DK"/>
        </w:rPr>
        <w:t xml:space="preserve"> D.24-12-074 at 468.</w:t>
      </w:r>
    </w:p>
  </w:footnote>
  <w:footnote w:id="46">
    <w:p w14:paraId="003F1669" w14:textId="78B27B14" w:rsidR="00441E77" w:rsidRPr="0037110F" w:rsidRDefault="00441E77">
      <w:pPr>
        <w:pStyle w:val="FootnoteText"/>
        <w:rPr>
          <w:lang w:val="da-DK"/>
        </w:rPr>
      </w:pPr>
      <w:r>
        <w:rPr>
          <w:rStyle w:val="FootnoteReference"/>
        </w:rPr>
        <w:footnoteRef/>
      </w:r>
      <w:r w:rsidRPr="0037110F">
        <w:rPr>
          <w:lang w:val="da-DK"/>
        </w:rPr>
        <w:t xml:space="preserve"> </w:t>
      </w:r>
      <w:r w:rsidRPr="00441E77">
        <w:rPr>
          <w:lang w:val="da-DK"/>
        </w:rPr>
        <w:t>D.22-06-032 at 8; D.17-11-033 at 10 quoting D.87-06-021.</w:t>
      </w:r>
    </w:p>
  </w:footnote>
  <w:footnote w:id="47">
    <w:p w14:paraId="48A17B2A" w14:textId="77777777" w:rsidR="007253C8" w:rsidRDefault="007253C8" w:rsidP="007253C8">
      <w:pPr>
        <w:pStyle w:val="FootnoteText"/>
      </w:pPr>
      <w:r>
        <w:rPr>
          <w:rStyle w:val="FootnoteReference"/>
        </w:rPr>
        <w:footnoteRef/>
      </w:r>
      <w:r>
        <w:t xml:space="preserve"> Administrative Law Judge Ruling Requiring Additional Evidence dated February 18, 2025.</w:t>
      </w:r>
    </w:p>
  </w:footnote>
  <w:footnote w:id="48">
    <w:p w14:paraId="75FEE879" w14:textId="77777777" w:rsidR="007253C8" w:rsidRDefault="007253C8" w:rsidP="007253C8">
      <w:pPr>
        <w:pStyle w:val="FootnoteText"/>
      </w:pPr>
      <w:r>
        <w:rPr>
          <w:rStyle w:val="FootnoteReference"/>
        </w:rPr>
        <w:footnoteRef/>
      </w:r>
      <w:r>
        <w:t xml:space="preserve"> </w:t>
      </w:r>
      <w:r w:rsidRPr="5F19F788">
        <w:rPr>
          <w:rFonts w:eastAsia="Book Antiqua" w:cs="Book Antiqua"/>
        </w:rPr>
        <w:t>SDG&amp;E T2 Ex-09.</w:t>
      </w:r>
      <w:r>
        <w:t xml:space="preserve"> </w:t>
      </w:r>
    </w:p>
  </w:footnote>
  <w:footnote w:id="49">
    <w:p w14:paraId="6595B458" w14:textId="4A5EAA01" w:rsidR="00DD17C1" w:rsidRDefault="00DD17C1">
      <w:pPr>
        <w:pStyle w:val="FootnoteText"/>
      </w:pPr>
      <w:r>
        <w:rPr>
          <w:rStyle w:val="FootnoteReference"/>
        </w:rPr>
        <w:footnoteRef/>
      </w:r>
      <w:r>
        <w:t xml:space="preserve"> TURN Opening Brief at 20.</w:t>
      </w:r>
    </w:p>
  </w:footnote>
  <w:footnote w:id="50">
    <w:p w14:paraId="4F297194" w14:textId="77777777" w:rsidR="007253C8" w:rsidRDefault="007253C8" w:rsidP="007253C8">
      <w:pPr>
        <w:pStyle w:val="FootnoteText"/>
      </w:pPr>
      <w:r>
        <w:rPr>
          <w:rStyle w:val="FootnoteReference"/>
        </w:rPr>
        <w:footnoteRef/>
      </w:r>
      <w:r>
        <w:t xml:space="preserve"> SDG&amp;E Opening Brief at 22.</w:t>
      </w:r>
    </w:p>
  </w:footnote>
  <w:footnote w:id="51">
    <w:p w14:paraId="03F70BEB" w14:textId="77777777" w:rsidR="007253C8" w:rsidRDefault="007253C8" w:rsidP="007253C8">
      <w:pPr>
        <w:pStyle w:val="FootnoteText"/>
      </w:pPr>
      <w:r>
        <w:rPr>
          <w:rStyle w:val="FootnoteReference"/>
        </w:rPr>
        <w:footnoteRef/>
      </w:r>
      <w:r>
        <w:t xml:space="preserve"> SDG&amp;E Opening Brief at 25. </w:t>
      </w:r>
    </w:p>
  </w:footnote>
  <w:footnote w:id="52">
    <w:p w14:paraId="3790DEFC" w14:textId="77777777" w:rsidR="007253C8" w:rsidRDefault="007253C8" w:rsidP="007253C8">
      <w:pPr>
        <w:pStyle w:val="FootnoteText"/>
      </w:pPr>
      <w:r>
        <w:rPr>
          <w:rStyle w:val="FootnoteReference"/>
        </w:rPr>
        <w:footnoteRef/>
      </w:r>
      <w:r>
        <w:t xml:space="preserve"> </w:t>
      </w:r>
      <w:r w:rsidRPr="00BB7B3D">
        <w:t>D.19-05-039</w:t>
      </w:r>
      <w:r>
        <w:t>.</w:t>
      </w:r>
    </w:p>
  </w:footnote>
  <w:footnote w:id="53">
    <w:p w14:paraId="4BC72E41" w14:textId="73591157" w:rsidR="007253C8" w:rsidRDefault="007253C8" w:rsidP="007253C8">
      <w:pPr>
        <w:pStyle w:val="FootnoteText"/>
      </w:pPr>
      <w:r w:rsidRPr="610A5E50">
        <w:rPr>
          <w:rStyle w:val="FootnoteReference"/>
        </w:rPr>
        <w:footnoteRef/>
      </w:r>
      <w:r>
        <w:t xml:space="preserve"> </w:t>
      </w:r>
      <w:r w:rsidRPr="00FE2148">
        <w:rPr>
          <w:i/>
          <w:iCs/>
        </w:rPr>
        <w:t xml:space="preserve">See </w:t>
      </w:r>
      <w:r>
        <w:t xml:space="preserve">also </w:t>
      </w:r>
      <w:r w:rsidRPr="00E70D08">
        <w:rPr>
          <w:rFonts w:eastAsia="Aptos" w:cs="Aptos"/>
        </w:rPr>
        <w:t>SDG</w:t>
      </w:r>
      <w:r w:rsidR="00FF24FB">
        <w:rPr>
          <w:rFonts w:eastAsia="Aptos" w:cs="Aptos"/>
        </w:rPr>
        <w:t>&amp;</w:t>
      </w:r>
      <w:r w:rsidRPr="00E70D08">
        <w:rPr>
          <w:rFonts w:eastAsia="Aptos" w:cs="Aptos"/>
        </w:rPr>
        <w:t>E T2 Ex-06 at 8-11.</w:t>
      </w:r>
    </w:p>
  </w:footnote>
  <w:footnote w:id="54">
    <w:p w14:paraId="3346631C" w14:textId="77777777" w:rsidR="007253C8" w:rsidRDefault="007253C8" w:rsidP="007253C8">
      <w:pPr>
        <w:pStyle w:val="FootnoteText"/>
      </w:pPr>
      <w:r>
        <w:rPr>
          <w:rStyle w:val="FootnoteReference"/>
        </w:rPr>
        <w:footnoteRef/>
      </w:r>
      <w:r>
        <w:t xml:space="preserve"> </w:t>
      </w:r>
      <w:r w:rsidRPr="007B5FFD">
        <w:t>SDG&amp;E Opening Brief at 2</w:t>
      </w:r>
      <w:r>
        <w:t>6</w:t>
      </w:r>
      <w:r w:rsidRPr="007B5FFD">
        <w:t>.</w:t>
      </w:r>
    </w:p>
  </w:footnote>
  <w:footnote w:id="55">
    <w:p w14:paraId="2E54E770" w14:textId="77777777" w:rsidR="007253C8" w:rsidRDefault="007253C8" w:rsidP="007253C8">
      <w:pPr>
        <w:pStyle w:val="FootnoteText"/>
      </w:pPr>
      <w:r>
        <w:rPr>
          <w:rStyle w:val="FootnoteReference"/>
        </w:rPr>
        <w:footnoteRef/>
      </w:r>
      <w:r>
        <w:t xml:space="preserve"> </w:t>
      </w:r>
      <w:r w:rsidRPr="0034312D">
        <w:t>TURN Opening Brief at 9-10.</w:t>
      </w:r>
    </w:p>
  </w:footnote>
  <w:footnote w:id="56">
    <w:p w14:paraId="0A3F8B5B" w14:textId="77777777" w:rsidR="007253C8" w:rsidRDefault="007253C8" w:rsidP="007253C8">
      <w:pPr>
        <w:pStyle w:val="FootnoteText"/>
      </w:pPr>
      <w:r>
        <w:rPr>
          <w:rStyle w:val="FootnoteReference"/>
        </w:rPr>
        <w:footnoteRef/>
      </w:r>
      <w:r>
        <w:t xml:space="preserve"> Resolution </w:t>
      </w:r>
      <w:r w:rsidRPr="00AF4A0D">
        <w:t>WSD-005</w:t>
      </w:r>
      <w:r>
        <w:t xml:space="preserve"> at 11.</w:t>
      </w:r>
    </w:p>
  </w:footnote>
  <w:footnote w:id="57">
    <w:p w14:paraId="42D1E977" w14:textId="62E50FF5" w:rsidR="007253C8" w:rsidRDefault="007253C8" w:rsidP="007253C8">
      <w:pPr>
        <w:pStyle w:val="FootnoteText"/>
      </w:pPr>
      <w:r w:rsidRPr="198B2F7B">
        <w:rPr>
          <w:rStyle w:val="FootnoteReference"/>
        </w:rPr>
        <w:footnoteRef/>
      </w:r>
      <w:r>
        <w:t xml:space="preserve"> The conditions included reporting on the findings of </w:t>
      </w:r>
      <w:r w:rsidR="00462A29">
        <w:t xml:space="preserve">Strategic Undergrounding </w:t>
      </w:r>
      <w:r>
        <w:t>pilot initiatives, outlining what data it plans to collect and report for project scope, cost, and schedule of these projects, and explaining how it intends to track and measure the effectiveness of these projects in comparison to other WMP initiatives. Resolution WSD-005, SDG&amp;E T2 Ex-4 at A-3.</w:t>
      </w:r>
    </w:p>
  </w:footnote>
  <w:footnote w:id="58">
    <w:p w14:paraId="09F6580B" w14:textId="77777777" w:rsidR="007253C8" w:rsidRDefault="007253C8" w:rsidP="007253C8">
      <w:pPr>
        <w:pStyle w:val="FootnoteText"/>
      </w:pPr>
      <w:r>
        <w:rPr>
          <w:rStyle w:val="FootnoteReference"/>
        </w:rPr>
        <w:footnoteRef/>
      </w:r>
      <w:r>
        <w:t xml:space="preserve"> </w:t>
      </w:r>
      <w:r w:rsidRPr="005B1959">
        <w:t xml:space="preserve">PCF </w:t>
      </w:r>
      <w:r>
        <w:t xml:space="preserve">Opening Brief </w:t>
      </w:r>
      <w:r w:rsidRPr="005B1959">
        <w:t>at 13-15</w:t>
      </w:r>
      <w:r>
        <w:t>.</w:t>
      </w:r>
    </w:p>
  </w:footnote>
  <w:footnote w:id="59">
    <w:p w14:paraId="4A9C615B" w14:textId="77777777" w:rsidR="007253C8" w:rsidRDefault="007253C8" w:rsidP="007253C8">
      <w:pPr>
        <w:pStyle w:val="FootnoteText"/>
      </w:pPr>
      <w:r>
        <w:rPr>
          <w:rStyle w:val="FootnoteReference"/>
        </w:rPr>
        <w:footnoteRef/>
      </w:r>
      <w:r>
        <w:t xml:space="preserve"> D.24-12-074 at 53.</w:t>
      </w:r>
    </w:p>
  </w:footnote>
  <w:footnote w:id="60">
    <w:p w14:paraId="6C4FC536" w14:textId="77777777" w:rsidR="007253C8" w:rsidRDefault="007253C8" w:rsidP="007253C8">
      <w:pPr>
        <w:pStyle w:val="FootnoteText"/>
      </w:pPr>
      <w:r w:rsidRPr="589DB049">
        <w:rPr>
          <w:rStyle w:val="FootnoteReference"/>
        </w:rPr>
        <w:footnoteRef/>
      </w:r>
      <w:r>
        <w:t xml:space="preserve"> TURN Opening Brief at 20.</w:t>
      </w:r>
    </w:p>
  </w:footnote>
  <w:footnote w:id="61">
    <w:p w14:paraId="4B4D8AB3" w14:textId="77777777" w:rsidR="007253C8" w:rsidRDefault="007253C8" w:rsidP="007253C8">
      <w:pPr>
        <w:pStyle w:val="FootnoteText"/>
      </w:pPr>
      <w:r w:rsidRPr="3B89121B">
        <w:rPr>
          <w:rStyle w:val="FootnoteReference"/>
        </w:rPr>
        <w:footnoteRef/>
      </w:r>
      <w:r>
        <w:t xml:space="preserve"> D.</w:t>
      </w:r>
      <w:r w:rsidRPr="4215F07E">
        <w:t>22-12-027.</w:t>
      </w:r>
    </w:p>
  </w:footnote>
  <w:footnote w:id="62">
    <w:p w14:paraId="78CEC606" w14:textId="7385C212" w:rsidR="007253C8" w:rsidRPr="002C0E1C" w:rsidRDefault="007253C8" w:rsidP="007253C8">
      <w:pPr>
        <w:pStyle w:val="FootnoteText"/>
      </w:pPr>
      <w:r>
        <w:rPr>
          <w:rStyle w:val="FootnoteReference"/>
        </w:rPr>
        <w:footnoteRef/>
      </w:r>
      <w:r w:rsidRPr="002C0E1C">
        <w:t xml:space="preserve"> SDG&amp;E Opening Brief at 4, citing to D.19-09-051; </w:t>
      </w:r>
      <w:r w:rsidRPr="7B393814">
        <w:t>SDG</w:t>
      </w:r>
      <w:r w:rsidR="009E39A4">
        <w:t>&amp;</w:t>
      </w:r>
      <w:r w:rsidRPr="7B393814">
        <w:t>E T2 Ex-01R at 7-8.</w:t>
      </w:r>
    </w:p>
  </w:footnote>
  <w:footnote w:id="63">
    <w:p w14:paraId="2F8FBB95" w14:textId="77777777" w:rsidR="007253C8" w:rsidRPr="002C4443" w:rsidRDefault="007253C8" w:rsidP="007253C8">
      <w:pPr>
        <w:pStyle w:val="FootnoteText"/>
        <w:rPr>
          <w:lang w:val="da-DK"/>
        </w:rPr>
      </w:pPr>
      <w:r>
        <w:rPr>
          <w:rStyle w:val="FootnoteReference"/>
        </w:rPr>
        <w:footnoteRef/>
      </w:r>
      <w:r w:rsidRPr="002C4443">
        <w:rPr>
          <w:lang w:val="da-DK"/>
        </w:rPr>
        <w:t xml:space="preserve"> D.19-05-36 at 5.</w:t>
      </w:r>
    </w:p>
  </w:footnote>
  <w:footnote w:id="64">
    <w:p w14:paraId="381C1015" w14:textId="77777777" w:rsidR="007253C8" w:rsidRPr="007B1621" w:rsidRDefault="007253C8" w:rsidP="007253C8">
      <w:pPr>
        <w:pStyle w:val="FootnoteText"/>
        <w:rPr>
          <w:lang w:val="da-DK"/>
        </w:rPr>
      </w:pPr>
      <w:r>
        <w:rPr>
          <w:rStyle w:val="FootnoteReference"/>
        </w:rPr>
        <w:footnoteRef/>
      </w:r>
      <w:r w:rsidRPr="007B1621">
        <w:rPr>
          <w:lang w:val="da-DK"/>
        </w:rPr>
        <w:t xml:space="preserve"> SDG&amp;E T2 Ex-09 at 2. </w:t>
      </w:r>
    </w:p>
  </w:footnote>
  <w:footnote w:id="65">
    <w:p w14:paraId="27A1BE03" w14:textId="77777777" w:rsidR="007253C8" w:rsidRDefault="007253C8" w:rsidP="007253C8">
      <w:pPr>
        <w:pStyle w:val="FootnoteText"/>
      </w:pPr>
      <w:r>
        <w:rPr>
          <w:rStyle w:val="FootnoteReference"/>
        </w:rPr>
        <w:footnoteRef/>
      </w:r>
      <w:r w:rsidRPr="007B1621">
        <w:t xml:space="preserve"> Pub. Util. </w:t>
      </w:r>
      <w:r w:rsidRPr="00F27B50">
        <w:t xml:space="preserve">Code § 8386.4(a). </w:t>
      </w:r>
      <w:r w:rsidRPr="001448E1">
        <w:rPr>
          <w:i/>
          <w:iCs/>
        </w:rPr>
        <w:t>See also</w:t>
      </w:r>
      <w:r w:rsidRPr="00F27B50">
        <w:t xml:space="preserve"> D.19-05-039 at Conclusion of Law (COL) 16.</w:t>
      </w:r>
    </w:p>
  </w:footnote>
  <w:footnote w:id="66">
    <w:p w14:paraId="03033E67" w14:textId="407A86F2" w:rsidR="007253C8" w:rsidRDefault="007253C8" w:rsidP="007253C8">
      <w:pPr>
        <w:pStyle w:val="FootnoteText"/>
      </w:pPr>
      <w:r>
        <w:rPr>
          <w:rStyle w:val="FootnoteReference"/>
        </w:rPr>
        <w:footnoteRef/>
      </w:r>
      <w:r>
        <w:t xml:space="preserve"> </w:t>
      </w:r>
      <w:r w:rsidR="00DF3522">
        <w:t xml:space="preserve">SDG&amp;E WMPMA Preliminary Statement, </w:t>
      </w:r>
      <w:r>
        <w:t xml:space="preserve">Revised CPUC Sheet No. 32534-E, Oct. 31, 2019 at 1. </w:t>
      </w:r>
    </w:p>
  </w:footnote>
  <w:footnote w:id="67">
    <w:p w14:paraId="2E7DA992" w14:textId="77777777" w:rsidR="007253C8" w:rsidRDefault="007253C8" w:rsidP="007253C8">
      <w:pPr>
        <w:pStyle w:val="FootnoteText"/>
      </w:pPr>
      <w:r>
        <w:rPr>
          <w:rStyle w:val="FootnoteReference"/>
        </w:rPr>
        <w:footnoteRef/>
      </w:r>
      <w:r>
        <w:t xml:space="preserve"> SDG&amp;E Opening Brief at 19-20.</w:t>
      </w:r>
    </w:p>
  </w:footnote>
  <w:footnote w:id="68">
    <w:p w14:paraId="25DF09B4" w14:textId="5568A031" w:rsidR="007253C8" w:rsidRPr="0037110F" w:rsidRDefault="007253C8" w:rsidP="007253C8">
      <w:pPr>
        <w:pStyle w:val="FootnoteText"/>
        <w:rPr>
          <w:lang w:val="es-CO"/>
        </w:rPr>
      </w:pPr>
      <w:r>
        <w:rPr>
          <w:rStyle w:val="FootnoteReference"/>
        </w:rPr>
        <w:footnoteRef/>
      </w:r>
      <w:r w:rsidRPr="0037110F">
        <w:rPr>
          <w:lang w:val="es-CO"/>
        </w:rPr>
        <w:t xml:space="preserve"> SDG&amp;E Advice Letter (AL) 3454-E/2817</w:t>
      </w:r>
      <w:r w:rsidR="005130B7" w:rsidRPr="0037110F">
        <w:rPr>
          <w:lang w:val="es-CO"/>
        </w:rPr>
        <w:t>-</w:t>
      </w:r>
      <w:r w:rsidRPr="0037110F">
        <w:rPr>
          <w:lang w:val="es-CO"/>
        </w:rPr>
        <w:t>G; SDG</w:t>
      </w:r>
      <w:r w:rsidR="009E39A4" w:rsidRPr="0037110F">
        <w:rPr>
          <w:lang w:val="es-CO"/>
        </w:rPr>
        <w:t>&amp;</w:t>
      </w:r>
      <w:r w:rsidRPr="0037110F">
        <w:rPr>
          <w:lang w:val="es-CO"/>
        </w:rPr>
        <w:t>E AL 3453-E filed October 31, 2019.</w:t>
      </w:r>
    </w:p>
  </w:footnote>
  <w:footnote w:id="69">
    <w:p w14:paraId="788409B1" w14:textId="0175BAB1" w:rsidR="007253C8" w:rsidRDefault="007253C8" w:rsidP="007253C8">
      <w:pPr>
        <w:pStyle w:val="FootnoteText"/>
      </w:pPr>
      <w:r>
        <w:rPr>
          <w:rStyle w:val="FootnoteReference"/>
        </w:rPr>
        <w:footnoteRef/>
      </w:r>
      <w:r>
        <w:t xml:space="preserve"> GRC T2 Wildfire Mitigation Workpaper – Revised 020924.xls; SDG</w:t>
      </w:r>
      <w:r w:rsidR="009E39A4">
        <w:t>&amp;</w:t>
      </w:r>
      <w:r>
        <w:t>E T2 Ex-02-R at 7; SDG</w:t>
      </w:r>
      <w:r w:rsidR="009E39A4">
        <w:t>&amp;</w:t>
      </w:r>
      <w:r>
        <w:t>E T2 Ex-09</w:t>
      </w:r>
      <w:r w:rsidR="00050C93">
        <w:t>.</w:t>
      </w:r>
    </w:p>
  </w:footnote>
  <w:footnote w:id="70">
    <w:p w14:paraId="7C74BA31" w14:textId="77777777" w:rsidR="007253C8" w:rsidRDefault="007253C8" w:rsidP="007253C8">
      <w:pPr>
        <w:pStyle w:val="FootnoteText"/>
      </w:pPr>
      <w:r>
        <w:rPr>
          <w:rStyle w:val="FootnoteReference"/>
        </w:rPr>
        <w:footnoteRef/>
      </w:r>
      <w:r>
        <w:t xml:space="preserve"> SDG&amp;E Opening Brief at 6.</w:t>
      </w:r>
    </w:p>
  </w:footnote>
  <w:footnote w:id="71">
    <w:p w14:paraId="2517E369" w14:textId="08A20412" w:rsidR="007253C8" w:rsidRDefault="007253C8" w:rsidP="007253C8">
      <w:pPr>
        <w:pStyle w:val="FootnoteText"/>
      </w:pPr>
      <w:r>
        <w:rPr>
          <w:rStyle w:val="FootnoteReference"/>
        </w:rPr>
        <w:footnoteRef/>
      </w:r>
      <w:r>
        <w:t xml:space="preserve"> GRC T2 Wildfire Mitigation Workpaper – Revised 020924.xls; SDG</w:t>
      </w:r>
      <w:r w:rsidR="009E39A4">
        <w:t>&amp;</w:t>
      </w:r>
      <w:r>
        <w:t>E T2 Ex-02-R at 7; SDG</w:t>
      </w:r>
      <w:r w:rsidR="009E39A4">
        <w:t>&amp;</w:t>
      </w:r>
      <w:r>
        <w:t>E T2</w:t>
      </w:r>
      <w:r w:rsidR="00F12F17">
        <w:t xml:space="preserve"> </w:t>
      </w:r>
      <w:r>
        <w:t>Ex-09.2.</w:t>
      </w:r>
    </w:p>
  </w:footnote>
  <w:footnote w:id="72">
    <w:p w14:paraId="207C057E" w14:textId="7289D620" w:rsidR="007253C8" w:rsidRDefault="007253C8" w:rsidP="007253C8">
      <w:pPr>
        <w:pStyle w:val="FootnoteText"/>
      </w:pPr>
      <w:r>
        <w:rPr>
          <w:rStyle w:val="FootnoteReference"/>
        </w:rPr>
        <w:footnoteRef/>
      </w:r>
      <w:r>
        <w:t xml:space="preserve"> SDG&amp;E Opening Brief, Table 1 at 29-30.</w:t>
      </w:r>
    </w:p>
  </w:footnote>
  <w:footnote w:id="73">
    <w:p w14:paraId="28780B8A" w14:textId="4BD25D41" w:rsidR="00202602" w:rsidRDefault="00202602">
      <w:pPr>
        <w:pStyle w:val="FootnoteText"/>
      </w:pPr>
      <w:r>
        <w:rPr>
          <w:rStyle w:val="FootnoteReference"/>
        </w:rPr>
        <w:footnoteRef/>
      </w:r>
      <w:r>
        <w:t xml:space="preserve"> SDG&amp;E Opening Brief at 6.</w:t>
      </w:r>
    </w:p>
  </w:footnote>
  <w:footnote w:id="74">
    <w:p w14:paraId="50EB7E27" w14:textId="77777777" w:rsidR="007253C8" w:rsidRDefault="007253C8" w:rsidP="007253C8">
      <w:pPr>
        <w:pStyle w:val="FootnoteText"/>
      </w:pPr>
      <w:r w:rsidRPr="69D97568">
        <w:rPr>
          <w:rStyle w:val="FootnoteReference"/>
        </w:rPr>
        <w:footnoteRef/>
      </w:r>
      <w:r>
        <w:t xml:space="preserve"> TURN Opening Brief at 1.</w:t>
      </w:r>
    </w:p>
  </w:footnote>
  <w:footnote w:id="75">
    <w:p w14:paraId="75536DAA" w14:textId="77777777" w:rsidR="007253C8" w:rsidRDefault="007253C8" w:rsidP="007253C8">
      <w:pPr>
        <w:pStyle w:val="FootnoteText"/>
      </w:pPr>
      <w:r w:rsidRPr="69D97568">
        <w:rPr>
          <w:rStyle w:val="FootnoteReference"/>
        </w:rPr>
        <w:footnoteRef/>
      </w:r>
      <w:r>
        <w:t xml:space="preserve"> Cal Advocates Opening Brief at 1-2.</w:t>
      </w:r>
    </w:p>
  </w:footnote>
  <w:footnote w:id="76">
    <w:p w14:paraId="1CA3083F" w14:textId="1ADB4724" w:rsidR="007253C8" w:rsidRDefault="007253C8" w:rsidP="007253C8">
      <w:pPr>
        <w:pStyle w:val="FootnoteText"/>
      </w:pPr>
      <w:r w:rsidRPr="523FD6F4">
        <w:rPr>
          <w:rStyle w:val="FootnoteReference"/>
        </w:rPr>
        <w:footnoteRef/>
      </w:r>
      <w:r w:rsidRPr="00FE2148">
        <w:rPr>
          <w:i/>
          <w:iCs/>
        </w:rPr>
        <w:t xml:space="preserve"> See</w:t>
      </w:r>
      <w:r>
        <w:t xml:space="preserve"> Section 13.6 for background on the Ernst </w:t>
      </w:r>
      <w:r w:rsidR="00833E74">
        <w:t>&amp;</w:t>
      </w:r>
      <w:r>
        <w:t xml:space="preserve"> Young </w:t>
      </w:r>
      <w:r w:rsidR="001B471C">
        <w:t>r</w:t>
      </w:r>
      <w:r w:rsidR="00E97279">
        <w:t>eport</w:t>
      </w:r>
      <w:r>
        <w:t>.</w:t>
      </w:r>
    </w:p>
  </w:footnote>
  <w:footnote w:id="77">
    <w:p w14:paraId="35802B89" w14:textId="77777777" w:rsidR="007253C8" w:rsidRDefault="007253C8" w:rsidP="007253C8">
      <w:pPr>
        <w:pStyle w:val="FootnoteText"/>
      </w:pPr>
      <w:r w:rsidRPr="69D97568">
        <w:rPr>
          <w:rStyle w:val="FootnoteReference"/>
        </w:rPr>
        <w:footnoteRef/>
      </w:r>
      <w:r>
        <w:t xml:space="preserve"> Cal Advocates Opening Brief at 2-3. </w:t>
      </w:r>
    </w:p>
  </w:footnote>
  <w:footnote w:id="78">
    <w:p w14:paraId="1112E7A9" w14:textId="77777777" w:rsidR="007253C8" w:rsidRDefault="007253C8" w:rsidP="007253C8">
      <w:pPr>
        <w:pStyle w:val="FootnoteText"/>
      </w:pPr>
      <w:r>
        <w:rPr>
          <w:rStyle w:val="FootnoteReference"/>
        </w:rPr>
        <w:footnoteRef/>
      </w:r>
      <w:r>
        <w:t xml:space="preserve"> </w:t>
      </w:r>
      <w:r w:rsidRPr="00BF445B">
        <w:t>PCF Opening Brief at 2</w:t>
      </w:r>
      <w:r>
        <w:t>.</w:t>
      </w:r>
      <w:r w:rsidRPr="00BF445B">
        <w:t xml:space="preserve"> </w:t>
      </w:r>
    </w:p>
  </w:footnote>
  <w:footnote w:id="79">
    <w:p w14:paraId="1D4DFD69" w14:textId="77777777" w:rsidR="007253C8" w:rsidRDefault="007253C8" w:rsidP="007253C8">
      <w:pPr>
        <w:pStyle w:val="FootnoteText"/>
      </w:pPr>
      <w:r>
        <w:rPr>
          <w:rStyle w:val="FootnoteReference"/>
        </w:rPr>
        <w:footnoteRef/>
      </w:r>
      <w:r>
        <w:t xml:space="preserve"> </w:t>
      </w:r>
      <w:r w:rsidRPr="00BF445B">
        <w:t xml:space="preserve">PCF Opening Brief at </w:t>
      </w:r>
      <w:r>
        <w:t>3-4, 35.</w:t>
      </w:r>
    </w:p>
  </w:footnote>
  <w:footnote w:id="80">
    <w:p w14:paraId="53FF75C4" w14:textId="77777777" w:rsidR="007253C8" w:rsidRDefault="007253C8" w:rsidP="007253C8">
      <w:pPr>
        <w:pStyle w:val="FootnoteText"/>
      </w:pPr>
      <w:r>
        <w:rPr>
          <w:rStyle w:val="FootnoteReference"/>
        </w:rPr>
        <w:footnoteRef/>
      </w:r>
      <w:r>
        <w:t xml:space="preserve"> </w:t>
      </w:r>
      <w:r w:rsidRPr="009007EA">
        <w:t xml:space="preserve">PCF Opening Brief at </w:t>
      </w:r>
      <w:r>
        <w:t>6</w:t>
      </w:r>
      <w:r w:rsidRPr="009007EA">
        <w:t>.</w:t>
      </w:r>
    </w:p>
  </w:footnote>
  <w:footnote w:id="81">
    <w:p w14:paraId="0A55CB21" w14:textId="77777777" w:rsidR="007253C8" w:rsidRDefault="007253C8" w:rsidP="007253C8">
      <w:pPr>
        <w:pStyle w:val="FootnoteText"/>
      </w:pPr>
      <w:r>
        <w:rPr>
          <w:rStyle w:val="FootnoteReference"/>
        </w:rPr>
        <w:footnoteRef/>
      </w:r>
      <w:r>
        <w:t xml:space="preserve"> </w:t>
      </w:r>
      <w:r w:rsidRPr="009D25C3">
        <w:t xml:space="preserve">PCF Opening Brief at </w:t>
      </w:r>
      <w:r>
        <w:t>18</w:t>
      </w:r>
      <w:r w:rsidRPr="009D25C3">
        <w:t>.</w:t>
      </w:r>
    </w:p>
  </w:footnote>
  <w:footnote w:id="82">
    <w:p w14:paraId="185E6C2F" w14:textId="77777777" w:rsidR="007253C8" w:rsidRDefault="007253C8" w:rsidP="007253C8">
      <w:pPr>
        <w:pStyle w:val="FootnoteText"/>
      </w:pPr>
      <w:r>
        <w:rPr>
          <w:rStyle w:val="FootnoteReference"/>
        </w:rPr>
        <w:footnoteRef/>
      </w:r>
      <w:r>
        <w:t xml:space="preserve"> </w:t>
      </w:r>
      <w:r w:rsidRPr="009007EA">
        <w:t>PCF Opening Brief at 6</w:t>
      </w:r>
      <w:r>
        <w:t>-7</w:t>
      </w:r>
      <w:r w:rsidRPr="009007EA">
        <w:t>.</w:t>
      </w:r>
    </w:p>
  </w:footnote>
  <w:footnote w:id="83">
    <w:p w14:paraId="79690D94" w14:textId="77777777" w:rsidR="007253C8" w:rsidRDefault="007253C8" w:rsidP="007253C8">
      <w:pPr>
        <w:pStyle w:val="FootnoteText"/>
      </w:pPr>
      <w:r>
        <w:rPr>
          <w:rStyle w:val="FootnoteReference"/>
        </w:rPr>
        <w:footnoteRef/>
      </w:r>
      <w:r>
        <w:t xml:space="preserve"> UCAN Opening Brief at 1-2.</w:t>
      </w:r>
    </w:p>
  </w:footnote>
  <w:footnote w:id="84">
    <w:p w14:paraId="4E3AE40C" w14:textId="77777777" w:rsidR="007253C8" w:rsidRDefault="007253C8" w:rsidP="007253C8">
      <w:pPr>
        <w:pStyle w:val="FootnoteText"/>
      </w:pPr>
      <w:r>
        <w:rPr>
          <w:rStyle w:val="FootnoteReference"/>
        </w:rPr>
        <w:footnoteRef/>
      </w:r>
      <w:r>
        <w:t xml:space="preserve"> SBUA Opening Brief at 2.</w:t>
      </w:r>
    </w:p>
  </w:footnote>
  <w:footnote w:id="85">
    <w:p w14:paraId="444B6ECF" w14:textId="77777777" w:rsidR="007253C8" w:rsidRDefault="007253C8" w:rsidP="007253C8">
      <w:pPr>
        <w:pStyle w:val="FootnoteText"/>
      </w:pPr>
      <w:r>
        <w:rPr>
          <w:rStyle w:val="FootnoteReference"/>
        </w:rPr>
        <w:footnoteRef/>
      </w:r>
      <w:r>
        <w:t xml:space="preserve"> The Commission finds these requests to be outside the scope of this cost recovery proceeding but potentially appropriate to the </w:t>
      </w:r>
      <w:r w:rsidRPr="009F5782">
        <w:t>Rulemaking</w:t>
      </w:r>
      <w:r w:rsidRPr="009F5782" w:rsidDel="004D7419">
        <w:t xml:space="preserve"> </w:t>
      </w:r>
      <w:r w:rsidRPr="009F5782">
        <w:t xml:space="preserve">to Establish a Framework and Processes for Assessing the Affordability of Utility Service </w:t>
      </w:r>
      <w:r>
        <w:t>(proceeding R.18-07-006)</w:t>
      </w:r>
      <w:r w:rsidRPr="009F5782">
        <w:t>.</w:t>
      </w:r>
    </w:p>
  </w:footnote>
  <w:footnote w:id="86">
    <w:p w14:paraId="1CE6DBDC" w14:textId="1707E027" w:rsidR="007253C8" w:rsidRDefault="007253C8" w:rsidP="007253C8">
      <w:pPr>
        <w:pStyle w:val="FootnoteText"/>
      </w:pPr>
      <w:r>
        <w:rPr>
          <w:rStyle w:val="FootnoteReference"/>
        </w:rPr>
        <w:footnoteRef/>
      </w:r>
      <w:r>
        <w:t xml:space="preserve"> </w:t>
      </w:r>
      <w:r w:rsidRPr="00C95511">
        <w:rPr>
          <w:i/>
          <w:iCs/>
        </w:rPr>
        <w:t>See</w:t>
      </w:r>
      <w:r w:rsidRPr="007235B7">
        <w:t xml:space="preserve"> Environmental &amp; Social Justice Action Plan Version 2.0, adopted by the Commission on April </w:t>
      </w:r>
      <w:r w:rsidR="000E222B">
        <w:t>7</w:t>
      </w:r>
      <w:r w:rsidRPr="007235B7">
        <w:t>, 2022</w:t>
      </w:r>
      <w:r>
        <w:t>,</w:t>
      </w:r>
      <w:r w:rsidRPr="007235B7">
        <w:t xml:space="preserve"> at https://www.cpuc.ca.gov/-/media/cpuc-website/divisions/news-and</w:t>
      </w:r>
      <w:r w:rsidR="00DF48FD">
        <w:t>-</w:t>
      </w:r>
      <w:r w:rsidRPr="007235B7">
        <w:t>outreach/documents/news-office/key-issues/esj/esj-action-plan-v2jw.pdf.</w:t>
      </w:r>
    </w:p>
  </w:footnote>
  <w:footnote w:id="87">
    <w:p w14:paraId="5F8D4689" w14:textId="6BA3EDBC" w:rsidR="007253C8" w:rsidRDefault="007253C8" w:rsidP="007253C8">
      <w:pPr>
        <w:pStyle w:val="FootnoteText"/>
      </w:pPr>
      <w:r>
        <w:rPr>
          <w:rStyle w:val="FootnoteReference"/>
        </w:rPr>
        <w:footnoteRef/>
      </w:r>
      <w:r>
        <w:t xml:space="preserve"> </w:t>
      </w:r>
      <w:r w:rsidRPr="00C95511">
        <w:rPr>
          <w:i/>
          <w:iCs/>
        </w:rPr>
        <w:t>See also</w:t>
      </w:r>
      <w:r>
        <w:t xml:space="preserve"> </w:t>
      </w:r>
      <w:r w:rsidRPr="004614EE">
        <w:t>Pub. Util. Code Section 8386.4(b)</w:t>
      </w:r>
      <w:r>
        <w:t xml:space="preserve"> for </w:t>
      </w:r>
      <w:r w:rsidRPr="004614EE">
        <w:t>application</w:t>
      </w:r>
      <w:r>
        <w:t>s</w:t>
      </w:r>
      <w:r w:rsidRPr="004614EE">
        <w:t xml:space="preserve"> for recovery of the cost of implementing </w:t>
      </w:r>
      <w:r w:rsidR="00A74149">
        <w:t>an electrical corporation’s</w:t>
      </w:r>
      <w:r w:rsidRPr="004614EE">
        <w:t xml:space="preserve"> wildfire mitigation plan</w:t>
      </w:r>
      <w:r>
        <w:t>.</w:t>
      </w:r>
    </w:p>
  </w:footnote>
  <w:footnote w:id="88">
    <w:p w14:paraId="49D7D7C7" w14:textId="77777777" w:rsidR="007253C8" w:rsidRPr="00C95396" w:rsidRDefault="007253C8" w:rsidP="007253C8">
      <w:pPr>
        <w:pStyle w:val="FootnoteText"/>
        <w:rPr>
          <w:lang w:val="da-DK"/>
        </w:rPr>
      </w:pPr>
      <w:r>
        <w:rPr>
          <w:rStyle w:val="FootnoteReference"/>
        </w:rPr>
        <w:footnoteRef/>
      </w:r>
      <w:r w:rsidRPr="00C95396">
        <w:rPr>
          <w:lang w:val="da-DK"/>
        </w:rPr>
        <w:t xml:space="preserve"> D.09-03-025 at 8; D.06-05-016 at 7.</w:t>
      </w:r>
    </w:p>
  </w:footnote>
  <w:footnote w:id="89">
    <w:p w14:paraId="787DB73E" w14:textId="77777777" w:rsidR="007253C8" w:rsidRPr="00C95396" w:rsidRDefault="007253C8" w:rsidP="007253C8">
      <w:pPr>
        <w:pStyle w:val="FootnoteText"/>
        <w:rPr>
          <w:lang w:val="da-DK"/>
        </w:rPr>
      </w:pPr>
      <w:r>
        <w:rPr>
          <w:rStyle w:val="FootnoteReference"/>
        </w:rPr>
        <w:footnoteRef/>
      </w:r>
      <w:r w:rsidRPr="00C95396">
        <w:rPr>
          <w:lang w:val="da-DK"/>
        </w:rPr>
        <w:t xml:space="preserve"> D.19-05-020 at 7; D.15-11-021 at 8-9; D.14-08-032 at 17.</w:t>
      </w:r>
    </w:p>
  </w:footnote>
  <w:footnote w:id="90">
    <w:p w14:paraId="09EBD072" w14:textId="77777777" w:rsidR="007253C8" w:rsidRDefault="007253C8" w:rsidP="007253C8">
      <w:pPr>
        <w:pStyle w:val="FootnoteText"/>
      </w:pPr>
      <w:r>
        <w:rPr>
          <w:rStyle w:val="FootnoteReference"/>
        </w:rPr>
        <w:footnoteRef/>
      </w:r>
      <w:r>
        <w:t xml:space="preserve"> </w:t>
      </w:r>
      <w:r w:rsidRPr="000F51D1">
        <w:t>D.08-12-058 at 19, citing Witkin, Calif. Evidence, 4th Edition, Vol. 1 at 184.</w:t>
      </w:r>
    </w:p>
  </w:footnote>
  <w:footnote w:id="91">
    <w:p w14:paraId="0440E542" w14:textId="77777777" w:rsidR="00F27FB3" w:rsidRDefault="00A8321F">
      <w:pPr>
        <w:pStyle w:val="FootnoteText"/>
      </w:pPr>
      <w:r>
        <w:rPr>
          <w:rStyle w:val="FootnoteReference"/>
        </w:rPr>
        <w:footnoteRef/>
      </w:r>
      <w:r>
        <w:t xml:space="preserve"> </w:t>
      </w:r>
      <w:r w:rsidR="00F27FB3">
        <w:t xml:space="preserve">More succinctly, the prudent manager considers: </w:t>
      </w:r>
    </w:p>
    <w:p w14:paraId="07518E49" w14:textId="5ECC35F3" w:rsidR="00F27FB3" w:rsidRDefault="00A8321F" w:rsidP="0037110F">
      <w:pPr>
        <w:pStyle w:val="FootnoteText"/>
        <w:numPr>
          <w:ilvl w:val="0"/>
          <w:numId w:val="31"/>
        </w:numPr>
      </w:pPr>
      <w:r w:rsidRPr="00A8321F">
        <w:t>the practices, methods, and acts a utility is engaged in</w:t>
      </w:r>
      <w:r w:rsidR="00F27FB3">
        <w:t xml:space="preserve"> at a particular time</w:t>
      </w:r>
      <w:r w:rsidRPr="00A8321F">
        <w:t>;</w:t>
      </w:r>
      <w:r w:rsidR="00F27FB3">
        <w:t xml:space="preserve"> </w:t>
      </w:r>
    </w:p>
    <w:p w14:paraId="2ED2942A" w14:textId="77777777" w:rsidR="00F27FB3" w:rsidRDefault="00F27FB3" w:rsidP="00F27FB3">
      <w:pPr>
        <w:pStyle w:val="FootnoteText"/>
        <w:numPr>
          <w:ilvl w:val="0"/>
          <w:numId w:val="31"/>
        </w:numPr>
      </w:pPr>
      <w:r>
        <w:t>t</w:t>
      </w:r>
      <w:r w:rsidR="00A8321F" w:rsidRPr="00A8321F">
        <w:t>he facts known or which should have been known at the time;</w:t>
      </w:r>
      <w:r>
        <w:t xml:space="preserve"> </w:t>
      </w:r>
    </w:p>
    <w:p w14:paraId="3DC81FCD" w14:textId="77777777" w:rsidR="00F27FB3" w:rsidRDefault="00F27FB3">
      <w:pPr>
        <w:pStyle w:val="FootnoteText"/>
        <w:numPr>
          <w:ilvl w:val="0"/>
          <w:numId w:val="31"/>
        </w:numPr>
      </w:pPr>
      <w:r>
        <w:t>g</w:t>
      </w:r>
      <w:r w:rsidR="00A8321F" w:rsidRPr="00A8321F">
        <w:t>ood utility practices, including cost-effectiveness (the lowest reasonable cost), reliability, safety, and expedition</w:t>
      </w:r>
      <w:r>
        <w:t xml:space="preserve">; and </w:t>
      </w:r>
    </w:p>
    <w:p w14:paraId="51C00390" w14:textId="40F623CC" w:rsidR="00A8321F" w:rsidRDefault="00F27FB3">
      <w:pPr>
        <w:pStyle w:val="FootnoteText"/>
        <w:numPr>
          <w:ilvl w:val="0"/>
          <w:numId w:val="31"/>
        </w:numPr>
      </w:pPr>
      <w:r>
        <w:t xml:space="preserve">a </w:t>
      </w:r>
      <w:r w:rsidR="00A8321F" w:rsidRPr="00A8321F">
        <w:t>spectrum of possible practices, methods, or acts consistent with the utility system needs and the interest of the ratepayers in an imperfect, not necessarily optimum way.</w:t>
      </w:r>
      <w:r w:rsidR="00A8321F" w:rsidRPr="00A8321F">
        <w:rPr>
          <w:vertAlign w:val="superscript"/>
        </w:rPr>
        <w:footnoteRef/>
      </w:r>
    </w:p>
    <w:p w14:paraId="02D3E562" w14:textId="5F69FF6C" w:rsidR="00F27FB3" w:rsidRDefault="00F27FB3" w:rsidP="00F27FB3">
      <w:pPr>
        <w:pStyle w:val="FootnoteText"/>
      </w:pPr>
      <w:r w:rsidRPr="00F27FB3">
        <w:t>D.22-06-032 at 8, quoting D.02-08-064 at 6, quoting D.87-06-021</w:t>
      </w:r>
      <w:r>
        <w:t>.</w:t>
      </w:r>
    </w:p>
  </w:footnote>
  <w:footnote w:id="92">
    <w:p w14:paraId="36A84FE6" w14:textId="77777777" w:rsidR="007253C8" w:rsidRPr="00511B27" w:rsidRDefault="007253C8" w:rsidP="007253C8">
      <w:pPr>
        <w:pStyle w:val="FootnoteText"/>
        <w:rPr>
          <w:lang w:val="da-DK"/>
        </w:rPr>
      </w:pPr>
      <w:r>
        <w:rPr>
          <w:rStyle w:val="FootnoteReference"/>
        </w:rPr>
        <w:footnoteRef/>
      </w:r>
      <w:r w:rsidRPr="00511B27">
        <w:rPr>
          <w:lang w:val="da-DK"/>
        </w:rPr>
        <w:t xml:space="preserve"> </w:t>
      </w:r>
      <w:bookmarkStart w:id="28" w:name="_Hlk189054786"/>
      <w:r w:rsidRPr="00511B27">
        <w:rPr>
          <w:lang w:val="da-DK"/>
        </w:rPr>
        <w:t xml:space="preserve">D.22-06-032 at 8; D.17-11-033 </w:t>
      </w:r>
      <w:bookmarkEnd w:id="28"/>
      <w:r w:rsidRPr="00511B27">
        <w:rPr>
          <w:lang w:val="da-DK"/>
        </w:rPr>
        <w:t>at 10 quoting D.87-06-021.</w:t>
      </w:r>
    </w:p>
  </w:footnote>
  <w:footnote w:id="93">
    <w:p w14:paraId="720E0404" w14:textId="77777777" w:rsidR="007253C8" w:rsidRPr="005279C5" w:rsidRDefault="007253C8" w:rsidP="007253C8">
      <w:pPr>
        <w:pStyle w:val="FootnoteText"/>
        <w:rPr>
          <w:lang w:val="da-DK"/>
        </w:rPr>
      </w:pPr>
      <w:r>
        <w:rPr>
          <w:rStyle w:val="FootnoteReference"/>
        </w:rPr>
        <w:footnoteRef/>
      </w:r>
      <w:r w:rsidRPr="005279C5">
        <w:rPr>
          <w:lang w:val="da-DK"/>
        </w:rPr>
        <w:t xml:space="preserve"> D.14-06-007 at 36.</w:t>
      </w:r>
    </w:p>
  </w:footnote>
  <w:footnote w:id="94">
    <w:p w14:paraId="1EBD0903" w14:textId="5871B7A8" w:rsidR="007253C8" w:rsidRPr="000772C9" w:rsidRDefault="007253C8" w:rsidP="007253C8">
      <w:pPr>
        <w:pStyle w:val="FootnoteText"/>
      </w:pPr>
      <w:r>
        <w:rPr>
          <w:rStyle w:val="FootnoteReference"/>
        </w:rPr>
        <w:footnoteRef/>
      </w:r>
      <w:r w:rsidRPr="000772C9">
        <w:t xml:space="preserve"> </w:t>
      </w:r>
      <w:r w:rsidR="00161B87" w:rsidRPr="000772C9">
        <w:t>Sempra Op</w:t>
      </w:r>
      <w:r w:rsidR="00161B87" w:rsidRPr="0037110F">
        <w:t xml:space="preserve">ening Brief </w:t>
      </w:r>
      <w:r w:rsidR="001A79EB" w:rsidRPr="0037110F">
        <w:t xml:space="preserve">at </w:t>
      </w:r>
      <w:r w:rsidR="00161B87" w:rsidRPr="0037110F">
        <w:t>9-1</w:t>
      </w:r>
      <w:r w:rsidR="001A79EB" w:rsidRPr="0037110F">
        <w:t xml:space="preserve">0; </w:t>
      </w:r>
      <w:r w:rsidR="001A79EB" w:rsidRPr="001A79EB">
        <w:t>D.22-06-032 at 7-8</w:t>
      </w:r>
      <w:r w:rsidR="001A79EB">
        <w:t xml:space="preserve">; </w:t>
      </w:r>
      <w:r w:rsidRPr="000772C9">
        <w:t>D.02-08-064 at 6 quoting D.87-06-021.</w:t>
      </w:r>
    </w:p>
  </w:footnote>
  <w:footnote w:id="95">
    <w:p w14:paraId="550F7FCC" w14:textId="77777777" w:rsidR="007253C8" w:rsidRDefault="007253C8" w:rsidP="007253C8">
      <w:pPr>
        <w:pStyle w:val="FootnoteText"/>
      </w:pPr>
      <w:r w:rsidRPr="3CB917D8">
        <w:rPr>
          <w:rStyle w:val="FootnoteReference"/>
        </w:rPr>
        <w:footnoteRef/>
      </w:r>
      <w:r>
        <w:t xml:space="preserve"> D.20-07-038 at 3-4; D.87-12-067 at 25-26; 1987 Cal. PUC LEXIS 424, *37.</w:t>
      </w:r>
    </w:p>
  </w:footnote>
  <w:footnote w:id="96">
    <w:p w14:paraId="4EA6886E" w14:textId="77777777" w:rsidR="007253C8" w:rsidRDefault="007253C8" w:rsidP="007253C8">
      <w:pPr>
        <w:pStyle w:val="FootnoteText"/>
      </w:pPr>
      <w:r>
        <w:rPr>
          <w:rStyle w:val="FootnoteReference"/>
        </w:rPr>
        <w:footnoteRef/>
      </w:r>
      <w:r>
        <w:t xml:space="preserve"> </w:t>
      </w:r>
      <w:r w:rsidRPr="004614EE">
        <w:rPr>
          <w:i/>
          <w:iCs/>
        </w:rPr>
        <w:t>People v. Boulter</w:t>
      </w:r>
      <w:r>
        <w:t>,</w:t>
      </w:r>
      <w:r w:rsidRPr="004614EE">
        <w:t xml:space="preserve"> 199 Cal.App.4</w:t>
      </w:r>
      <w:r>
        <w:t>th</w:t>
      </w:r>
      <w:r w:rsidRPr="004614EE">
        <w:t xml:space="preserve"> 761, 768 (2011).</w:t>
      </w:r>
    </w:p>
  </w:footnote>
  <w:footnote w:id="97">
    <w:p w14:paraId="65CCBD33" w14:textId="77777777" w:rsidR="007253C8" w:rsidRDefault="007253C8" w:rsidP="007253C8">
      <w:pPr>
        <w:pStyle w:val="FootnoteText"/>
      </w:pPr>
      <w:r>
        <w:rPr>
          <w:rStyle w:val="FootnoteReference"/>
        </w:rPr>
        <w:footnoteRef/>
      </w:r>
      <w:r>
        <w:t xml:space="preserve"> </w:t>
      </w:r>
      <w:r w:rsidRPr="009701AA">
        <w:t>D.07-07-004, Appendix A at 30.</w:t>
      </w:r>
    </w:p>
  </w:footnote>
  <w:footnote w:id="98">
    <w:p w14:paraId="7A83342D" w14:textId="77777777" w:rsidR="007253C8" w:rsidRDefault="007253C8" w:rsidP="007253C8">
      <w:pPr>
        <w:pStyle w:val="FootnoteText"/>
      </w:pPr>
      <w:r w:rsidRPr="4E666287">
        <w:rPr>
          <w:rStyle w:val="FootnoteReference"/>
        </w:rPr>
        <w:footnoteRef/>
      </w:r>
      <w:r>
        <w:t xml:space="preserve"> </w:t>
      </w:r>
      <w:r w:rsidRPr="00F01C83">
        <w:t xml:space="preserve">D.24-05-037 at 15-16; D.21-08-024 at 16; </w:t>
      </w:r>
      <w:r>
        <w:t xml:space="preserve">D.05-08-037 at Finding of Fact (FOF) 3; </w:t>
      </w:r>
      <w:r w:rsidRPr="00F01C83">
        <w:t>D.05-08-037 at FOF 4; D.05-08-037 at FOF 6; D.05-08-037 at FOF 8; D.05-08-037 at FOF 11; D.05-08-037 at 18-19; D.24-05-037 at 21.</w:t>
      </w:r>
    </w:p>
  </w:footnote>
  <w:footnote w:id="99">
    <w:p w14:paraId="16759CB5" w14:textId="77777777" w:rsidR="007253C8" w:rsidRDefault="007253C8" w:rsidP="007253C8">
      <w:pPr>
        <w:pStyle w:val="FootnoteText"/>
      </w:pPr>
      <w:r>
        <w:rPr>
          <w:rStyle w:val="FootnoteReference"/>
        </w:rPr>
        <w:footnoteRef/>
      </w:r>
      <w:r>
        <w:t xml:space="preserve"> </w:t>
      </w:r>
      <w:r w:rsidRPr="00444EEE">
        <w:t>Application (A.) 17-10-007, Application of San Diego Gas &amp; Electric Company for Authority, Among Other Things, to Update its Electric and Gas Revenue Requirement and Base Rates Effective on January 1, 2019 (October 6, 2017)</w:t>
      </w:r>
      <w:r>
        <w:t xml:space="preserve"> resulting in </w:t>
      </w:r>
      <w:r w:rsidRPr="00444EEE">
        <w:t xml:space="preserve">D.19-09-051. </w:t>
      </w:r>
    </w:p>
  </w:footnote>
  <w:footnote w:id="100">
    <w:p w14:paraId="3909970F" w14:textId="77777777" w:rsidR="007253C8" w:rsidRPr="0037110F" w:rsidRDefault="007253C8" w:rsidP="007253C8">
      <w:pPr>
        <w:pStyle w:val="FootnoteText"/>
      </w:pPr>
      <w:r>
        <w:rPr>
          <w:rStyle w:val="FootnoteReference"/>
        </w:rPr>
        <w:footnoteRef/>
      </w:r>
      <w:r>
        <w:t xml:space="preserve"> D.21-08-024 at 12, citing Resolution (Res.) </w:t>
      </w:r>
      <w:r w:rsidRPr="0037110F">
        <w:t xml:space="preserve">E-3238 at 2-3. </w:t>
      </w:r>
    </w:p>
  </w:footnote>
  <w:footnote w:id="101">
    <w:p w14:paraId="7A6AE89A" w14:textId="0FDAB74D" w:rsidR="00DA04BA" w:rsidRDefault="00DA04BA" w:rsidP="00DA04BA">
      <w:pPr>
        <w:pStyle w:val="FootnoteText"/>
      </w:pPr>
      <w:r>
        <w:rPr>
          <w:rStyle w:val="FootnoteReference"/>
        </w:rPr>
        <w:footnoteRef/>
      </w:r>
      <w:r>
        <w:t xml:space="preserve"> D.23-02-017 </w:t>
      </w:r>
      <w:r w:rsidRPr="00DA04BA">
        <w:t xml:space="preserve">did not make findings on incrementality as it </w:t>
      </w:r>
      <w:r>
        <w:t>just</w:t>
      </w:r>
      <w:r w:rsidRPr="00DA04BA">
        <w:t xml:space="preserve"> approved the settlement and therefore is not precedential. </w:t>
      </w:r>
    </w:p>
  </w:footnote>
  <w:footnote w:id="102">
    <w:p w14:paraId="4BF17235" w14:textId="77777777" w:rsidR="007253C8" w:rsidRPr="00CF4DEF" w:rsidRDefault="007253C8" w:rsidP="007253C8">
      <w:pPr>
        <w:pStyle w:val="FootnoteText"/>
        <w:rPr>
          <w:lang w:val="da-DK"/>
        </w:rPr>
      </w:pPr>
      <w:r>
        <w:rPr>
          <w:rStyle w:val="FootnoteReference"/>
        </w:rPr>
        <w:footnoteRef/>
      </w:r>
      <w:r w:rsidRPr="00CF4DEF">
        <w:rPr>
          <w:lang w:val="da-DK"/>
        </w:rPr>
        <w:t xml:space="preserve"> Res. ESRB-4 at Ordering Paragraph 4.</w:t>
      </w:r>
    </w:p>
  </w:footnote>
  <w:footnote w:id="103">
    <w:p w14:paraId="08B72EE1" w14:textId="77777777" w:rsidR="007253C8" w:rsidRPr="00F01C83" w:rsidRDefault="007253C8" w:rsidP="007253C8">
      <w:pPr>
        <w:pStyle w:val="FootnoteText"/>
        <w:rPr>
          <w:lang w:val="da-DK"/>
        </w:rPr>
      </w:pPr>
      <w:r>
        <w:rPr>
          <w:rStyle w:val="FootnoteReference"/>
        </w:rPr>
        <w:footnoteRef/>
      </w:r>
      <w:r w:rsidRPr="00F01C83">
        <w:rPr>
          <w:lang w:val="da-DK"/>
        </w:rPr>
        <w:t xml:space="preserve"> D.22-06-032 at 9.</w:t>
      </w:r>
    </w:p>
  </w:footnote>
  <w:footnote w:id="104">
    <w:p w14:paraId="768E161F" w14:textId="61426D29" w:rsidR="007253C8" w:rsidRPr="00F01C83" w:rsidRDefault="007253C8" w:rsidP="007253C8">
      <w:pPr>
        <w:pStyle w:val="FootnoteText"/>
        <w:rPr>
          <w:lang w:val="da-DK"/>
        </w:rPr>
      </w:pPr>
      <w:r>
        <w:rPr>
          <w:rStyle w:val="FootnoteReference"/>
        </w:rPr>
        <w:footnoteRef/>
      </w:r>
      <w:r w:rsidRPr="00F01C83">
        <w:rPr>
          <w:lang w:val="da-DK"/>
        </w:rPr>
        <w:t xml:space="preserve"> SDG</w:t>
      </w:r>
      <w:r w:rsidR="006E7774">
        <w:rPr>
          <w:lang w:val="da-DK"/>
        </w:rPr>
        <w:t>&amp;</w:t>
      </w:r>
      <w:r w:rsidRPr="00F01C83">
        <w:rPr>
          <w:lang w:val="da-DK"/>
        </w:rPr>
        <w:t>E T2 Ex-01-R at 18.</w:t>
      </w:r>
    </w:p>
  </w:footnote>
  <w:footnote w:id="105">
    <w:p w14:paraId="43F39FCB" w14:textId="77777777" w:rsidR="007253C8" w:rsidRPr="001B5F28" w:rsidRDefault="007253C8" w:rsidP="007253C8">
      <w:pPr>
        <w:pStyle w:val="FootnoteText"/>
        <w:rPr>
          <w:lang w:val="es-CO"/>
        </w:rPr>
      </w:pPr>
      <w:r w:rsidRPr="3CB917D8">
        <w:rPr>
          <w:rStyle w:val="FootnoteReference"/>
        </w:rPr>
        <w:footnoteRef/>
      </w:r>
      <w:r w:rsidRPr="001B5F28">
        <w:rPr>
          <w:lang w:val="es-CO"/>
        </w:rPr>
        <w:t xml:space="preserve"> SDG&amp;E T2 Ex-01-R at 34.</w:t>
      </w:r>
    </w:p>
  </w:footnote>
  <w:footnote w:id="106">
    <w:p w14:paraId="74460463" w14:textId="46CD075F" w:rsidR="007253C8" w:rsidRDefault="007253C8" w:rsidP="007253C8">
      <w:pPr>
        <w:pStyle w:val="FootnoteText"/>
      </w:pPr>
      <w:r w:rsidRPr="3CB917D8">
        <w:rPr>
          <w:rStyle w:val="FootnoteReference"/>
        </w:rPr>
        <w:footnoteRef/>
      </w:r>
      <w:r>
        <w:t xml:space="preserve"> </w:t>
      </w:r>
      <w:r w:rsidR="006E7774">
        <w:t xml:space="preserve">SDG&amp;E </w:t>
      </w:r>
      <w:r>
        <w:t>2020 WMP Section 5.3.8.4.2.</w:t>
      </w:r>
    </w:p>
  </w:footnote>
  <w:footnote w:id="107">
    <w:p w14:paraId="3D233B68" w14:textId="77777777" w:rsidR="007253C8" w:rsidRDefault="007253C8" w:rsidP="007253C8">
      <w:pPr>
        <w:pStyle w:val="FootnoteText"/>
      </w:pPr>
      <w:r>
        <w:rPr>
          <w:rStyle w:val="FootnoteReference"/>
        </w:rPr>
        <w:footnoteRef/>
      </w:r>
      <w:r>
        <w:t xml:space="preserve"> SDG&amp;E Opening Brief, Table 1 at p. 29.</w:t>
      </w:r>
    </w:p>
  </w:footnote>
  <w:footnote w:id="108">
    <w:p w14:paraId="0BAADEEC" w14:textId="77CAFF84" w:rsidR="007253C8" w:rsidRPr="0037110F" w:rsidRDefault="007253C8" w:rsidP="007253C8">
      <w:pPr>
        <w:pStyle w:val="FootnoteText"/>
        <w:rPr>
          <w:lang w:val="es-CO"/>
        </w:rPr>
      </w:pPr>
      <w:r>
        <w:rPr>
          <w:rStyle w:val="FootnoteReference"/>
        </w:rPr>
        <w:footnoteRef/>
      </w:r>
      <w:r w:rsidRPr="0037110F">
        <w:rPr>
          <w:lang w:val="es-CO"/>
        </w:rPr>
        <w:t xml:space="preserve"> SDG</w:t>
      </w:r>
      <w:r w:rsidR="006E7774" w:rsidRPr="0037110F">
        <w:rPr>
          <w:lang w:val="es-CO"/>
        </w:rPr>
        <w:t>&amp;</w:t>
      </w:r>
      <w:r w:rsidRPr="0037110F">
        <w:rPr>
          <w:lang w:val="es-CO"/>
        </w:rPr>
        <w:t>E T2 Ex-01-R at 33.</w:t>
      </w:r>
    </w:p>
  </w:footnote>
  <w:footnote w:id="109">
    <w:p w14:paraId="3536CAEB" w14:textId="2B0DC11F" w:rsidR="007253C8" w:rsidRDefault="007253C8" w:rsidP="007253C8">
      <w:pPr>
        <w:pStyle w:val="FootnoteText"/>
      </w:pPr>
      <w:r w:rsidRPr="7B393814">
        <w:rPr>
          <w:rStyle w:val="FootnoteReference"/>
        </w:rPr>
        <w:footnoteRef/>
      </w:r>
      <w:r>
        <w:t xml:space="preserve"> SDG</w:t>
      </w:r>
      <w:r w:rsidR="006E7774">
        <w:t>&amp;</w:t>
      </w:r>
      <w:r>
        <w:t>E 2020 WMP, Appendix A at 8.</w:t>
      </w:r>
    </w:p>
  </w:footnote>
  <w:footnote w:id="110">
    <w:p w14:paraId="12136248" w14:textId="0AE434A5" w:rsidR="007253C8" w:rsidRDefault="007253C8" w:rsidP="007253C8">
      <w:pPr>
        <w:pStyle w:val="FootnoteText"/>
      </w:pPr>
      <w:r>
        <w:rPr>
          <w:rStyle w:val="FootnoteReference"/>
        </w:rPr>
        <w:footnoteRef/>
      </w:r>
      <w:r>
        <w:t xml:space="preserve"> SDG&amp;E 2019 WMP Appendix A </w:t>
      </w:r>
      <w:r w:rsidR="00A12342">
        <w:t>at</w:t>
      </w:r>
      <w:r>
        <w:t xml:space="preserve"> A-20; D.</w:t>
      </w:r>
      <w:r w:rsidRPr="000F739F">
        <w:t>19-05-039</w:t>
      </w:r>
      <w:r>
        <w:t xml:space="preserve"> </w:t>
      </w:r>
      <w:r w:rsidRPr="000F739F">
        <w:t>approving 2019 WMP</w:t>
      </w:r>
      <w:r>
        <w:t>.</w:t>
      </w:r>
    </w:p>
  </w:footnote>
  <w:footnote w:id="111">
    <w:p w14:paraId="0CAE0D85" w14:textId="77777777" w:rsidR="007253C8" w:rsidRDefault="007253C8" w:rsidP="007253C8">
      <w:pPr>
        <w:pStyle w:val="FootnoteText"/>
      </w:pPr>
      <w:r>
        <w:rPr>
          <w:rStyle w:val="FootnoteReference"/>
        </w:rPr>
        <w:footnoteRef/>
      </w:r>
      <w:r>
        <w:t xml:space="preserve"> SDG&amp;E 2020 WMP (Feb. 7, 2020), Appendix A, Table 23, Row 77.</w:t>
      </w:r>
    </w:p>
  </w:footnote>
  <w:footnote w:id="112">
    <w:p w14:paraId="0C4964FC" w14:textId="599EB329" w:rsidR="007253C8" w:rsidRDefault="007253C8" w:rsidP="007253C8">
      <w:pPr>
        <w:pStyle w:val="FootnoteText"/>
      </w:pPr>
      <w:r>
        <w:rPr>
          <w:rStyle w:val="FootnoteReference"/>
        </w:rPr>
        <w:footnoteRef/>
      </w:r>
      <w:r>
        <w:t xml:space="preserve"> There is a discrepancy between A</w:t>
      </w:r>
      <w:r w:rsidR="00C13923">
        <w:t>.</w:t>
      </w:r>
      <w:r>
        <w:t>22</w:t>
      </w:r>
      <w:r w:rsidR="00C13923">
        <w:t>-</w:t>
      </w:r>
      <w:r>
        <w:t>05</w:t>
      </w:r>
      <w:r w:rsidR="00C13923">
        <w:t>-</w:t>
      </w:r>
      <w:r>
        <w:t>016 Ex. SDG</w:t>
      </w:r>
      <w:r w:rsidR="009E39A4">
        <w:t>&amp;</w:t>
      </w:r>
      <w:r>
        <w:t>E-T2-01-R p. JW-48 and SDG&amp;E 2020 WMP (Feb. 7, 2020) Appendix A Table 23 Row 77. While both documents show 2.6 (or 3) miles installed, the former shows a cost of $0.198</w:t>
      </w:r>
      <w:r w:rsidR="00C13923">
        <w:t xml:space="preserve"> million</w:t>
      </w:r>
      <w:r>
        <w:t xml:space="preserve"> while the latter shows a cost of $4.727</w:t>
      </w:r>
      <w:r w:rsidR="00C13923">
        <w:t xml:space="preserve"> million</w:t>
      </w:r>
      <w:r>
        <w:t xml:space="preserve">. This discrepancy is why there is no unit cost shown for 2019 </w:t>
      </w:r>
      <w:r w:rsidR="00462A29">
        <w:t>Strategic Undergrounding</w:t>
      </w:r>
      <w:r w:rsidR="00EB33A9">
        <w:t>.</w:t>
      </w:r>
    </w:p>
  </w:footnote>
  <w:footnote w:id="113">
    <w:p w14:paraId="672FF06B" w14:textId="681B4523" w:rsidR="00874D5D" w:rsidRDefault="00874D5D">
      <w:pPr>
        <w:pStyle w:val="FootnoteText"/>
      </w:pPr>
      <w:r>
        <w:rPr>
          <w:rStyle w:val="FootnoteReference"/>
        </w:rPr>
        <w:footnoteRef/>
      </w:r>
      <w:r>
        <w:t xml:space="preserve"> </w:t>
      </w:r>
      <w:r w:rsidRPr="00874D5D">
        <w:t>SDG</w:t>
      </w:r>
      <w:r w:rsidR="006E7774">
        <w:t>&amp;</w:t>
      </w:r>
      <w:r w:rsidRPr="00874D5D">
        <w:t>E 2021 WMP, Attachment B, Table 12.</w:t>
      </w:r>
    </w:p>
  </w:footnote>
  <w:footnote w:id="114">
    <w:p w14:paraId="119761D1" w14:textId="64B65487" w:rsidR="00874D5D" w:rsidRPr="00485EF1" w:rsidRDefault="00874D5D">
      <w:pPr>
        <w:pStyle w:val="FootnoteText"/>
        <w:rPr>
          <w:lang w:val="es-CO"/>
        </w:rPr>
      </w:pPr>
      <w:r>
        <w:rPr>
          <w:rStyle w:val="FootnoteReference"/>
        </w:rPr>
        <w:footnoteRef/>
      </w:r>
      <w:r w:rsidRPr="00485EF1">
        <w:rPr>
          <w:lang w:val="es-CO"/>
        </w:rPr>
        <w:t xml:space="preserve"> SDG&amp;E 2020 WMP (Feb. 7, 2020 or Mar. 3, 2020).</w:t>
      </w:r>
    </w:p>
  </w:footnote>
  <w:footnote w:id="115">
    <w:p w14:paraId="47852C79" w14:textId="71E846DB" w:rsidR="00874D5D" w:rsidRPr="00485EF1" w:rsidRDefault="00874D5D">
      <w:pPr>
        <w:pStyle w:val="FootnoteText"/>
        <w:rPr>
          <w:lang w:val="es-CO"/>
        </w:rPr>
      </w:pPr>
      <w:r>
        <w:rPr>
          <w:rStyle w:val="FootnoteReference"/>
        </w:rPr>
        <w:footnoteRef/>
      </w:r>
      <w:r w:rsidRPr="00485EF1">
        <w:rPr>
          <w:lang w:val="es-CO"/>
        </w:rPr>
        <w:t xml:space="preserve"> SDG</w:t>
      </w:r>
      <w:r w:rsidR="006E7774" w:rsidRPr="00485EF1">
        <w:rPr>
          <w:lang w:val="es-CO"/>
        </w:rPr>
        <w:t>&amp;</w:t>
      </w:r>
      <w:r w:rsidRPr="00485EF1">
        <w:rPr>
          <w:lang w:val="es-CO"/>
        </w:rPr>
        <w:t>E T2 Ex-01-R at 36.</w:t>
      </w:r>
    </w:p>
  </w:footnote>
  <w:footnote w:id="116">
    <w:p w14:paraId="66598FE1" w14:textId="242EECB2" w:rsidR="00874D5D" w:rsidRDefault="00874D5D">
      <w:pPr>
        <w:pStyle w:val="FootnoteText"/>
      </w:pPr>
      <w:r>
        <w:rPr>
          <w:rStyle w:val="FootnoteReference"/>
        </w:rPr>
        <w:footnoteRef/>
      </w:r>
      <w:r>
        <w:t xml:space="preserve"> </w:t>
      </w:r>
      <w:r w:rsidRPr="00874D5D">
        <w:t>SDG&amp;E forecasted different numbers in different WMPs: SDG&amp;E</w:t>
      </w:r>
      <w:r w:rsidR="009545B0">
        <w:t xml:space="preserve"> </w:t>
      </w:r>
      <w:r w:rsidRPr="00874D5D">
        <w:t>forecasted</w:t>
      </w:r>
      <w:r w:rsidR="009545B0">
        <w:t xml:space="preserve"> </w:t>
      </w:r>
      <w:r w:rsidRPr="00874D5D">
        <w:t xml:space="preserve">25 miles in </w:t>
      </w:r>
      <w:r w:rsidR="002776B3">
        <w:t>its</w:t>
      </w:r>
      <w:r w:rsidRPr="00874D5D">
        <w:t xml:space="preserve"> 2020 WMP filed February 7, 2020 at 85 and in Appendix A, Table 23, Row 78; SDG&amp;E’s 2020 WMP filed March 2, 2020 at 86 forecasted 25 miles; whereas, Appendix A, Table 23, Row 78</w:t>
      </w:r>
      <w:r w:rsidR="0062042F">
        <w:t xml:space="preserve"> </w:t>
      </w:r>
      <w:r w:rsidRPr="00874D5D">
        <w:t>forecasted</w:t>
      </w:r>
      <w:r w:rsidR="0062042F">
        <w:t xml:space="preserve"> </w:t>
      </w:r>
      <w:r w:rsidRPr="00874D5D">
        <w:t>8 to 12 miles for $24.800 million to $37.200 million, at a unit cost of $3.100 million per mile.</w:t>
      </w:r>
    </w:p>
  </w:footnote>
  <w:footnote w:id="117">
    <w:p w14:paraId="4B634755" w14:textId="653F1321" w:rsidR="00874D5D" w:rsidRPr="00485EF1" w:rsidRDefault="00874D5D">
      <w:pPr>
        <w:pStyle w:val="FootnoteText"/>
        <w:rPr>
          <w:lang w:val="es-CO"/>
        </w:rPr>
      </w:pPr>
      <w:r>
        <w:rPr>
          <w:rStyle w:val="FootnoteReference"/>
        </w:rPr>
        <w:footnoteRef/>
      </w:r>
      <w:r w:rsidRPr="00485EF1">
        <w:rPr>
          <w:lang w:val="es-CO"/>
        </w:rPr>
        <w:t xml:space="preserve"> SDG</w:t>
      </w:r>
      <w:r w:rsidR="006E7774" w:rsidRPr="00485EF1">
        <w:rPr>
          <w:lang w:val="es-CO"/>
        </w:rPr>
        <w:t>&amp;</w:t>
      </w:r>
      <w:r w:rsidRPr="00485EF1">
        <w:rPr>
          <w:lang w:val="es-CO"/>
        </w:rPr>
        <w:t>E T2 Ex-01-R at 48.</w:t>
      </w:r>
    </w:p>
  </w:footnote>
  <w:footnote w:id="118">
    <w:p w14:paraId="12B6349A" w14:textId="10AB88CA" w:rsidR="00874D5D" w:rsidRDefault="00874D5D">
      <w:pPr>
        <w:pStyle w:val="FootnoteText"/>
      </w:pPr>
      <w:r>
        <w:rPr>
          <w:rStyle w:val="FootnoteReference"/>
        </w:rPr>
        <w:footnoteRef/>
      </w:r>
      <w:r>
        <w:t xml:space="preserve"> </w:t>
      </w:r>
      <w:r w:rsidRPr="00874D5D">
        <w:t>SDG</w:t>
      </w:r>
      <w:r w:rsidR="007E052C">
        <w:t>&amp;</w:t>
      </w:r>
      <w:r w:rsidRPr="00874D5D">
        <w:t>E 2022 WMP</w:t>
      </w:r>
      <w:r w:rsidR="00F35D26">
        <w:t>,</w:t>
      </w:r>
      <w:r w:rsidRPr="00874D5D">
        <w:t xml:space="preserve"> Attachment B</w:t>
      </w:r>
      <w:r w:rsidR="00F35D26">
        <w:t>,</w:t>
      </w:r>
      <w:r w:rsidRPr="00874D5D">
        <w:t xml:space="preserve"> Table 12.</w:t>
      </w:r>
    </w:p>
  </w:footnote>
  <w:footnote w:id="119">
    <w:p w14:paraId="67ED53D6" w14:textId="0BD3D7AF" w:rsidR="00874D5D" w:rsidRDefault="00874D5D">
      <w:pPr>
        <w:pStyle w:val="FootnoteText"/>
      </w:pPr>
      <w:r>
        <w:rPr>
          <w:rStyle w:val="FootnoteReference"/>
        </w:rPr>
        <w:footnoteRef/>
      </w:r>
      <w:r>
        <w:t xml:space="preserve"> </w:t>
      </w:r>
      <w:r w:rsidRPr="00874D5D">
        <w:t>SDG&amp;E 2021 WMP</w:t>
      </w:r>
      <w:r w:rsidR="00F35D26">
        <w:t>,</w:t>
      </w:r>
      <w:r w:rsidRPr="00874D5D">
        <w:t xml:space="preserve"> Attachment B, Table 12 Row 41, dated either Feb. 5, 2021 or Mar. 4, 2021.</w:t>
      </w:r>
    </w:p>
  </w:footnote>
  <w:footnote w:id="120">
    <w:p w14:paraId="644F0EF7" w14:textId="05E0AD3F" w:rsidR="007253C8" w:rsidRPr="00FD5C1B" w:rsidRDefault="007253C8" w:rsidP="007253C8">
      <w:pPr>
        <w:pStyle w:val="FootnoteText"/>
      </w:pPr>
      <w:r>
        <w:rPr>
          <w:rStyle w:val="FootnoteReference"/>
        </w:rPr>
        <w:footnoteRef/>
      </w:r>
      <w:r>
        <w:t xml:space="preserve"> </w:t>
      </w:r>
      <w:r w:rsidR="009F01FA">
        <w:t>SDG&amp;E 2021 WMP</w:t>
      </w:r>
      <w:r w:rsidR="00F35D26">
        <w:t>,</w:t>
      </w:r>
      <w:r w:rsidR="009F01FA">
        <w:t xml:space="preserve"> Attachment B, Table 12 Row 41, dated either Feb. 5, 2021 or Mar. 4, 2021.</w:t>
      </w:r>
    </w:p>
  </w:footnote>
  <w:footnote w:id="121">
    <w:p w14:paraId="78C8C46F" w14:textId="060B597A" w:rsidR="00874D5D" w:rsidRDefault="00874D5D">
      <w:pPr>
        <w:pStyle w:val="FootnoteText"/>
      </w:pPr>
      <w:r>
        <w:rPr>
          <w:rStyle w:val="FootnoteReference"/>
        </w:rPr>
        <w:footnoteRef/>
      </w:r>
      <w:r>
        <w:t xml:space="preserve"> </w:t>
      </w:r>
      <w:r w:rsidRPr="00874D5D">
        <w:t>SDG</w:t>
      </w:r>
      <w:r w:rsidR="007E052C">
        <w:t>&amp;</w:t>
      </w:r>
      <w:r w:rsidRPr="00874D5D">
        <w:t>E 2022 WMP, Attachment B, Table 12.</w:t>
      </w:r>
    </w:p>
  </w:footnote>
  <w:footnote w:id="122">
    <w:p w14:paraId="35488FD9" w14:textId="3C5979A7" w:rsidR="00874D5D" w:rsidRDefault="00874D5D">
      <w:pPr>
        <w:pStyle w:val="FootnoteText"/>
      </w:pPr>
      <w:r>
        <w:rPr>
          <w:rStyle w:val="FootnoteReference"/>
        </w:rPr>
        <w:footnoteRef/>
      </w:r>
      <w:r>
        <w:t xml:space="preserve"> </w:t>
      </w:r>
      <w:r w:rsidRPr="00874D5D">
        <w:t>SDG&amp;E 2022 WMP, Attachment B, Table 12, Row 27.</w:t>
      </w:r>
    </w:p>
  </w:footnote>
  <w:footnote w:id="123">
    <w:p w14:paraId="37D95A93" w14:textId="053C88FA" w:rsidR="00874D5D" w:rsidRPr="00485EF1" w:rsidRDefault="00874D5D">
      <w:pPr>
        <w:pStyle w:val="FootnoteText"/>
        <w:rPr>
          <w:lang w:val="es-CO"/>
        </w:rPr>
      </w:pPr>
      <w:r>
        <w:rPr>
          <w:rStyle w:val="FootnoteReference"/>
        </w:rPr>
        <w:footnoteRef/>
      </w:r>
      <w:r w:rsidRPr="00485EF1">
        <w:rPr>
          <w:lang w:val="es-CO"/>
        </w:rPr>
        <w:t xml:space="preserve"> SDG</w:t>
      </w:r>
      <w:r w:rsidR="004A03FE" w:rsidRPr="00485EF1">
        <w:rPr>
          <w:lang w:val="es-CO"/>
        </w:rPr>
        <w:t>&amp;</w:t>
      </w:r>
      <w:r w:rsidRPr="00485EF1">
        <w:rPr>
          <w:lang w:val="es-CO"/>
        </w:rPr>
        <w:t>E T2 Ex-01-R at 36.</w:t>
      </w:r>
    </w:p>
  </w:footnote>
  <w:footnote w:id="124">
    <w:p w14:paraId="72397281" w14:textId="7A96826B" w:rsidR="00874D5D" w:rsidRDefault="00874D5D">
      <w:pPr>
        <w:pStyle w:val="FootnoteText"/>
      </w:pPr>
      <w:r>
        <w:rPr>
          <w:rStyle w:val="FootnoteReference"/>
        </w:rPr>
        <w:footnoteRef/>
      </w:r>
      <w:r>
        <w:t xml:space="preserve"> </w:t>
      </w:r>
      <w:r w:rsidRPr="00874D5D">
        <w:t>SDG&amp;E 2022 WMP, Attachment B, Table 12, Row 43.</w:t>
      </w:r>
    </w:p>
  </w:footnote>
  <w:footnote w:id="125">
    <w:p w14:paraId="56D67240" w14:textId="6F67A48F" w:rsidR="00874D5D" w:rsidRPr="00485EF1" w:rsidRDefault="00874D5D">
      <w:pPr>
        <w:pStyle w:val="FootnoteText"/>
        <w:rPr>
          <w:lang w:val="es-CO"/>
        </w:rPr>
      </w:pPr>
      <w:r>
        <w:rPr>
          <w:rStyle w:val="FootnoteReference"/>
        </w:rPr>
        <w:footnoteRef/>
      </w:r>
      <w:r w:rsidRPr="00485EF1">
        <w:rPr>
          <w:lang w:val="es-CO"/>
        </w:rPr>
        <w:t xml:space="preserve"> SDG</w:t>
      </w:r>
      <w:r w:rsidR="004A03FE" w:rsidRPr="00485EF1">
        <w:rPr>
          <w:lang w:val="es-CO"/>
        </w:rPr>
        <w:t>&amp;</w:t>
      </w:r>
      <w:r w:rsidRPr="00485EF1">
        <w:rPr>
          <w:lang w:val="es-CO"/>
        </w:rPr>
        <w:t>E T2 Ex-01-R at 48.</w:t>
      </w:r>
    </w:p>
  </w:footnote>
  <w:footnote w:id="126">
    <w:p w14:paraId="0C4CDC4A" w14:textId="53F13CE4" w:rsidR="007253C8" w:rsidRPr="00485EF1" w:rsidRDefault="007253C8" w:rsidP="007253C8">
      <w:pPr>
        <w:pStyle w:val="FootnoteText"/>
        <w:rPr>
          <w:lang w:val="es-CO"/>
        </w:rPr>
      </w:pPr>
      <w:r>
        <w:rPr>
          <w:rStyle w:val="FootnoteReference"/>
        </w:rPr>
        <w:footnoteRef/>
      </w:r>
      <w:r w:rsidRPr="00485EF1">
        <w:rPr>
          <w:lang w:val="es-CO"/>
        </w:rPr>
        <w:t xml:space="preserve"> SDG</w:t>
      </w:r>
      <w:r w:rsidR="004A03FE" w:rsidRPr="00485EF1">
        <w:rPr>
          <w:lang w:val="es-CO"/>
        </w:rPr>
        <w:t>&amp;</w:t>
      </w:r>
      <w:r w:rsidRPr="00485EF1">
        <w:rPr>
          <w:lang w:val="es-CO"/>
        </w:rPr>
        <w:t>E T2 Ex-01-R at 33.</w:t>
      </w:r>
    </w:p>
  </w:footnote>
  <w:footnote w:id="127">
    <w:p w14:paraId="7BABC51E" w14:textId="77777777" w:rsidR="007253C8" w:rsidRPr="00485EF1" w:rsidRDefault="007253C8" w:rsidP="007253C8">
      <w:pPr>
        <w:pStyle w:val="FootnoteText"/>
        <w:rPr>
          <w:lang w:val="es-CO"/>
        </w:rPr>
      </w:pPr>
      <w:r w:rsidRPr="3CB917D8">
        <w:rPr>
          <w:rStyle w:val="FootnoteReference"/>
        </w:rPr>
        <w:footnoteRef/>
      </w:r>
      <w:r w:rsidRPr="00485EF1">
        <w:rPr>
          <w:lang w:val="es-CO"/>
        </w:rPr>
        <w:t xml:space="preserve"> SDG&amp;E T2 Ex-01-R at 54.</w:t>
      </w:r>
    </w:p>
  </w:footnote>
  <w:footnote w:id="128">
    <w:p w14:paraId="07B5FF9F" w14:textId="77777777" w:rsidR="007253C8" w:rsidRPr="00A201D2" w:rsidRDefault="007253C8" w:rsidP="007253C8">
      <w:pPr>
        <w:pStyle w:val="FootnoteText"/>
        <w:rPr>
          <w:lang w:val="es-CO"/>
        </w:rPr>
      </w:pPr>
      <w:r>
        <w:rPr>
          <w:rStyle w:val="FootnoteReference"/>
        </w:rPr>
        <w:footnoteRef/>
      </w:r>
      <w:r w:rsidRPr="00A201D2">
        <w:rPr>
          <w:lang w:val="es-CO"/>
        </w:rPr>
        <w:t xml:space="preserve"> SDG&amp;E T2 Ex-01-R at 49-50.</w:t>
      </w:r>
    </w:p>
  </w:footnote>
  <w:footnote w:id="129">
    <w:p w14:paraId="6C1C23A4" w14:textId="77777777" w:rsidR="007253C8" w:rsidRPr="00F01C83" w:rsidRDefault="007253C8" w:rsidP="007253C8">
      <w:pPr>
        <w:pStyle w:val="FootnoteText"/>
        <w:rPr>
          <w:lang w:val="es-CO"/>
        </w:rPr>
      </w:pPr>
      <w:r>
        <w:rPr>
          <w:rStyle w:val="FootnoteReference"/>
        </w:rPr>
        <w:footnoteRef/>
      </w:r>
      <w:r w:rsidRPr="00F01C83">
        <w:rPr>
          <w:lang w:val="es-CO"/>
        </w:rPr>
        <w:t xml:space="preserve"> </w:t>
      </w:r>
      <w:r w:rsidRPr="0073634F">
        <w:rPr>
          <w:lang w:val="es-CO"/>
        </w:rPr>
        <w:t>SDG&amp;E T2 Ex-01-R at 54.</w:t>
      </w:r>
    </w:p>
  </w:footnote>
  <w:footnote w:id="130">
    <w:p w14:paraId="0E904337" w14:textId="77777777" w:rsidR="007253C8" w:rsidRPr="00561581" w:rsidRDefault="007253C8" w:rsidP="007253C8">
      <w:pPr>
        <w:pStyle w:val="FootnoteText"/>
      </w:pPr>
      <w:r>
        <w:rPr>
          <w:rStyle w:val="FootnoteReference"/>
        </w:rPr>
        <w:footnoteRef/>
      </w:r>
      <w:r w:rsidRPr="00561581">
        <w:t xml:space="preserve"> PCF Opening Brief </w:t>
      </w:r>
      <w:r>
        <w:t>at 56.</w:t>
      </w:r>
    </w:p>
  </w:footnote>
  <w:footnote w:id="131">
    <w:p w14:paraId="4F6F598A" w14:textId="77777777" w:rsidR="007253C8" w:rsidRDefault="007253C8" w:rsidP="007253C8">
      <w:pPr>
        <w:pStyle w:val="FootnoteText"/>
      </w:pPr>
      <w:r>
        <w:rPr>
          <w:rStyle w:val="FootnoteReference"/>
        </w:rPr>
        <w:footnoteRef/>
      </w:r>
      <w:r>
        <w:t xml:space="preserve"> P</w:t>
      </w:r>
      <w:r w:rsidRPr="00561581">
        <w:t>CF Opening Brief at 6</w:t>
      </w:r>
      <w:r>
        <w:t>1; Sempra Opening Brief at 30 citing to D.19-05-039 at 7.</w:t>
      </w:r>
    </w:p>
  </w:footnote>
  <w:footnote w:id="132">
    <w:p w14:paraId="7DCAE4B0" w14:textId="77777777" w:rsidR="007253C8" w:rsidRPr="00457AC8" w:rsidRDefault="007253C8" w:rsidP="007253C8">
      <w:pPr>
        <w:pStyle w:val="FootnoteText"/>
      </w:pPr>
      <w:r>
        <w:rPr>
          <w:rStyle w:val="FootnoteReference"/>
        </w:rPr>
        <w:footnoteRef/>
      </w:r>
      <w:r w:rsidRPr="00457AC8">
        <w:t xml:space="preserve"> Pub. Util. Code </w:t>
      </w:r>
      <w:r>
        <w:t>S</w:t>
      </w:r>
      <w:r w:rsidRPr="00457AC8">
        <w:t>ection 8386(a).</w:t>
      </w:r>
    </w:p>
  </w:footnote>
  <w:footnote w:id="133">
    <w:p w14:paraId="6BB420CE" w14:textId="77777777" w:rsidR="007253C8" w:rsidRPr="000E1A31" w:rsidRDefault="007253C8" w:rsidP="007253C8">
      <w:pPr>
        <w:pStyle w:val="FootnoteText"/>
      </w:pPr>
      <w:r>
        <w:rPr>
          <w:rStyle w:val="FootnoteReference"/>
        </w:rPr>
        <w:footnoteRef/>
      </w:r>
      <w:r>
        <w:t xml:space="preserve"> </w:t>
      </w:r>
      <w:r w:rsidRPr="000E1A31">
        <w:t>C</w:t>
      </w:r>
      <w:r>
        <w:t xml:space="preserve">al </w:t>
      </w:r>
      <w:r w:rsidRPr="000E1A31">
        <w:t>A</w:t>
      </w:r>
      <w:r>
        <w:t>dvocates Ex</w:t>
      </w:r>
      <w:r w:rsidRPr="000E1A31">
        <w:t>-03 at 6-7, SDG&amp;E’s response to data request PubAdv-SDG&amp;E-318-MW5, Q.13a.</w:t>
      </w:r>
    </w:p>
    <w:p w14:paraId="785B7C30" w14:textId="77777777" w:rsidR="007253C8" w:rsidRDefault="007253C8" w:rsidP="007253C8">
      <w:pPr>
        <w:pStyle w:val="FootnoteText"/>
      </w:pPr>
    </w:p>
  </w:footnote>
  <w:footnote w:id="134">
    <w:p w14:paraId="280B1320" w14:textId="295738FC" w:rsidR="0076086B" w:rsidRPr="0076086B" w:rsidRDefault="0076086B">
      <w:pPr>
        <w:pStyle w:val="FootnoteText"/>
      </w:pPr>
      <w:r>
        <w:rPr>
          <w:rStyle w:val="FootnoteReference"/>
        </w:rPr>
        <w:footnoteRef/>
      </w:r>
      <w:r w:rsidRPr="0076086B">
        <w:t xml:space="preserve"> SDG&amp;E O</w:t>
      </w:r>
      <w:r w:rsidRPr="0037110F">
        <w:t>pening Brief a</w:t>
      </w:r>
      <w:r>
        <w:t>t 48.</w:t>
      </w:r>
    </w:p>
  </w:footnote>
  <w:footnote w:id="135">
    <w:p w14:paraId="563E2442" w14:textId="1F33422D" w:rsidR="001135A5" w:rsidRDefault="001135A5">
      <w:pPr>
        <w:pStyle w:val="FootnoteText"/>
      </w:pPr>
      <w:r>
        <w:rPr>
          <w:rStyle w:val="FootnoteReference"/>
        </w:rPr>
        <w:footnoteRef/>
      </w:r>
      <w:r>
        <w:t xml:space="preserve"> </w:t>
      </w:r>
      <w:r w:rsidRPr="001A79EB">
        <w:t>D.22-06-032 at 8</w:t>
      </w:r>
      <w:r w:rsidR="00510624">
        <w:t>,</w:t>
      </w:r>
      <w:r w:rsidR="00567367">
        <w:t xml:space="preserve"> quoting</w:t>
      </w:r>
      <w:r>
        <w:t xml:space="preserve"> </w:t>
      </w:r>
      <w:r w:rsidRPr="000772C9">
        <w:t>D.02-08-064 at 6</w:t>
      </w:r>
      <w:r w:rsidR="00510624">
        <w:t>,</w:t>
      </w:r>
      <w:r w:rsidRPr="000772C9">
        <w:t xml:space="preserve"> quoting D.87-06-021</w:t>
      </w:r>
      <w:r w:rsidR="00567367">
        <w:t>.</w:t>
      </w:r>
    </w:p>
  </w:footnote>
  <w:footnote w:id="136">
    <w:p w14:paraId="28DFEE7B" w14:textId="6E14BF77" w:rsidR="00BA1C0C" w:rsidRDefault="00BA1C0C">
      <w:pPr>
        <w:pStyle w:val="FootnoteText"/>
      </w:pPr>
      <w:r>
        <w:rPr>
          <w:rStyle w:val="FootnoteReference"/>
        </w:rPr>
        <w:footnoteRef/>
      </w:r>
      <w:r>
        <w:t xml:space="preserve"> </w:t>
      </w:r>
      <w:r w:rsidRPr="00BA1C0C">
        <w:t>D.19-05-039</w:t>
      </w:r>
      <w:r>
        <w:t xml:space="preserve"> at </w:t>
      </w:r>
      <w:r w:rsidRPr="00BA1C0C">
        <w:t>27</w:t>
      </w:r>
      <w:r>
        <w:t xml:space="preserve">, Conclusions of Law 5 and </w:t>
      </w:r>
      <w:r w:rsidRPr="00BA1C0C">
        <w:t>6</w:t>
      </w:r>
      <w:r>
        <w:t xml:space="preserve">; PCF Opening Comments at </w:t>
      </w:r>
      <w:r w:rsidR="004E5615">
        <w:t>13-14.</w:t>
      </w:r>
    </w:p>
  </w:footnote>
  <w:footnote w:id="137">
    <w:p w14:paraId="68B8394B" w14:textId="0B496FCD" w:rsidR="007253C8" w:rsidRPr="00485EF1" w:rsidRDefault="007253C8" w:rsidP="007253C8">
      <w:pPr>
        <w:pStyle w:val="FootnoteText"/>
        <w:rPr>
          <w:lang w:val="es-CO"/>
        </w:rPr>
      </w:pPr>
      <w:r w:rsidRPr="251A6C64">
        <w:rPr>
          <w:rStyle w:val="FootnoteReference"/>
        </w:rPr>
        <w:footnoteRef/>
      </w:r>
      <w:r w:rsidRPr="00485EF1">
        <w:rPr>
          <w:lang w:val="es-CO"/>
        </w:rPr>
        <w:t xml:space="preserve"> SDG</w:t>
      </w:r>
      <w:r w:rsidR="009E39A4" w:rsidRPr="00485EF1">
        <w:rPr>
          <w:lang w:val="es-CO"/>
        </w:rPr>
        <w:t>&amp;</w:t>
      </w:r>
      <w:r w:rsidRPr="00485EF1">
        <w:rPr>
          <w:lang w:val="es-CO"/>
        </w:rPr>
        <w:t>E T2 Ex-01-R at 33.</w:t>
      </w:r>
    </w:p>
  </w:footnote>
  <w:footnote w:id="138">
    <w:p w14:paraId="7E7AD5D3" w14:textId="77777777" w:rsidR="007253C8" w:rsidRPr="00485EF1" w:rsidRDefault="007253C8" w:rsidP="007253C8">
      <w:pPr>
        <w:pStyle w:val="FootnoteText"/>
        <w:rPr>
          <w:lang w:val="es-CO"/>
        </w:rPr>
      </w:pPr>
      <w:r>
        <w:rPr>
          <w:rStyle w:val="FootnoteReference"/>
        </w:rPr>
        <w:footnoteRef/>
      </w:r>
      <w:r w:rsidRPr="00485EF1">
        <w:rPr>
          <w:lang w:val="es-CO"/>
        </w:rPr>
        <w:t xml:space="preserve"> SDG&amp;E T2 Ex-01-R at 36.</w:t>
      </w:r>
    </w:p>
  </w:footnote>
  <w:footnote w:id="139">
    <w:p w14:paraId="4969E8DA" w14:textId="77777777" w:rsidR="007253C8" w:rsidRPr="000E45F8" w:rsidRDefault="007253C8" w:rsidP="007253C8">
      <w:pPr>
        <w:pStyle w:val="FootnoteText"/>
        <w:rPr>
          <w:lang w:val="es-CO"/>
        </w:rPr>
      </w:pPr>
      <w:r>
        <w:rPr>
          <w:rStyle w:val="FootnoteReference"/>
        </w:rPr>
        <w:footnoteRef/>
      </w:r>
      <w:r w:rsidRPr="000E45F8">
        <w:rPr>
          <w:lang w:val="es-CO"/>
        </w:rPr>
        <w:t xml:space="preserve"> SDG&amp;E T2 Ex-01-R at 36.</w:t>
      </w:r>
    </w:p>
  </w:footnote>
  <w:footnote w:id="140">
    <w:p w14:paraId="7F16CDEE" w14:textId="77777777" w:rsidR="007253C8" w:rsidRPr="00040BDD" w:rsidRDefault="007253C8" w:rsidP="007253C8">
      <w:pPr>
        <w:pStyle w:val="FootnoteText"/>
        <w:rPr>
          <w:lang w:val="es-CO"/>
        </w:rPr>
      </w:pPr>
      <w:r>
        <w:rPr>
          <w:rStyle w:val="FootnoteReference"/>
        </w:rPr>
        <w:footnoteRef/>
      </w:r>
      <w:r w:rsidRPr="00040BDD">
        <w:rPr>
          <w:lang w:val="es-CO"/>
        </w:rPr>
        <w:t xml:space="preserve"> SDG&amp;E T2 Ex-01-R at 3</w:t>
      </w:r>
      <w:r>
        <w:rPr>
          <w:lang w:val="es-CO"/>
        </w:rPr>
        <w:t>7</w:t>
      </w:r>
      <w:r w:rsidRPr="00040BDD">
        <w:rPr>
          <w:lang w:val="es-CO"/>
        </w:rPr>
        <w:t>.</w:t>
      </w:r>
    </w:p>
  </w:footnote>
  <w:footnote w:id="141">
    <w:p w14:paraId="28E72264" w14:textId="77777777" w:rsidR="007253C8" w:rsidRPr="00561581" w:rsidRDefault="007253C8" w:rsidP="007253C8">
      <w:pPr>
        <w:pStyle w:val="FootnoteText"/>
      </w:pPr>
      <w:r>
        <w:rPr>
          <w:rStyle w:val="FootnoteReference"/>
        </w:rPr>
        <w:footnoteRef/>
      </w:r>
      <w:r>
        <w:t xml:space="preserve"> </w:t>
      </w:r>
      <w:r w:rsidRPr="00660BE0">
        <w:t>PCF</w:t>
      </w:r>
      <w:r>
        <w:t xml:space="preserve"> </w:t>
      </w:r>
      <w:r w:rsidRPr="00660BE0">
        <w:t>T2</w:t>
      </w:r>
      <w:r>
        <w:t xml:space="preserve"> Ex</w:t>
      </w:r>
      <w:r w:rsidRPr="00660BE0">
        <w:t>-01 at 7</w:t>
      </w:r>
      <w:r>
        <w:t xml:space="preserve">, 9; </w:t>
      </w:r>
      <w:r w:rsidRPr="00561581">
        <w:t xml:space="preserve">PCF Opening Brief </w:t>
      </w:r>
      <w:r>
        <w:t>at 56.</w:t>
      </w:r>
    </w:p>
  </w:footnote>
  <w:footnote w:id="142">
    <w:p w14:paraId="461F24C7" w14:textId="77777777" w:rsidR="007253C8" w:rsidRDefault="007253C8" w:rsidP="007253C8">
      <w:pPr>
        <w:pStyle w:val="FootnoteText"/>
      </w:pPr>
      <w:r>
        <w:rPr>
          <w:rStyle w:val="FootnoteReference"/>
        </w:rPr>
        <w:footnoteRef/>
      </w:r>
      <w:r>
        <w:t xml:space="preserve"> </w:t>
      </w:r>
      <w:r w:rsidRPr="00561581">
        <w:t>PCF Opening Brief at 6</w:t>
      </w:r>
      <w:r>
        <w:t>1</w:t>
      </w:r>
      <w:r w:rsidRPr="00561581">
        <w:t>.</w:t>
      </w:r>
    </w:p>
  </w:footnote>
  <w:footnote w:id="143">
    <w:p w14:paraId="33D2C6F4" w14:textId="71B3799C" w:rsidR="007253C8" w:rsidRPr="007728B8" w:rsidRDefault="007253C8" w:rsidP="007253C8">
      <w:pPr>
        <w:pStyle w:val="FootnoteText"/>
      </w:pPr>
      <w:r>
        <w:rPr>
          <w:rStyle w:val="FootnoteReference"/>
        </w:rPr>
        <w:footnoteRef/>
      </w:r>
      <w:r w:rsidRPr="00634EE2">
        <w:t xml:space="preserve"> Pub. Util. </w:t>
      </w:r>
      <w:r w:rsidRPr="007728B8">
        <w:t xml:space="preserve">Code </w:t>
      </w:r>
      <w:r w:rsidR="00E56902">
        <w:t>S</w:t>
      </w:r>
      <w:r w:rsidRPr="007728B8">
        <w:t>ection 8386(a).</w:t>
      </w:r>
    </w:p>
  </w:footnote>
  <w:footnote w:id="144">
    <w:p w14:paraId="38273E41" w14:textId="77777777" w:rsidR="007253C8" w:rsidRPr="007728B8" w:rsidRDefault="007253C8" w:rsidP="007253C8">
      <w:pPr>
        <w:pStyle w:val="FootnoteText"/>
      </w:pPr>
      <w:r>
        <w:rPr>
          <w:rStyle w:val="FootnoteReference"/>
        </w:rPr>
        <w:footnoteRef/>
      </w:r>
      <w:r w:rsidRPr="007728B8">
        <w:t xml:space="preserve"> SDG&amp;E Reply Brief a</w:t>
      </w:r>
      <w:r>
        <w:t>t 33-34.</w:t>
      </w:r>
    </w:p>
  </w:footnote>
  <w:footnote w:id="145">
    <w:p w14:paraId="548C259E" w14:textId="77777777" w:rsidR="007253C8" w:rsidRPr="00F01C83" w:rsidRDefault="007253C8" w:rsidP="007253C8">
      <w:pPr>
        <w:pStyle w:val="FootnoteText"/>
        <w:rPr>
          <w:lang w:val="da-DK"/>
        </w:rPr>
      </w:pPr>
      <w:r w:rsidRPr="0A336C7F">
        <w:rPr>
          <w:rStyle w:val="FootnoteReference"/>
        </w:rPr>
        <w:footnoteRef/>
      </w:r>
      <w:r w:rsidRPr="00F01C83">
        <w:rPr>
          <w:lang w:val="da-DK"/>
        </w:rPr>
        <w:t xml:space="preserve"> SDG&amp;E T2 Ex-01 at 36.</w:t>
      </w:r>
    </w:p>
  </w:footnote>
  <w:footnote w:id="146">
    <w:p w14:paraId="1F8C0EB8" w14:textId="77777777" w:rsidR="007253C8" w:rsidRPr="00F01C83" w:rsidRDefault="007253C8" w:rsidP="007253C8">
      <w:pPr>
        <w:pStyle w:val="FootnoteText"/>
        <w:rPr>
          <w:lang w:val="da-DK"/>
        </w:rPr>
      </w:pPr>
      <w:r w:rsidRPr="0A336C7F">
        <w:rPr>
          <w:rStyle w:val="FootnoteReference"/>
        </w:rPr>
        <w:footnoteRef/>
      </w:r>
      <w:r w:rsidRPr="00F01C83">
        <w:rPr>
          <w:lang w:val="da-DK"/>
        </w:rPr>
        <w:t xml:space="preserve"> D.23-11-069 at 273.</w:t>
      </w:r>
    </w:p>
  </w:footnote>
  <w:footnote w:id="147">
    <w:p w14:paraId="5B1D6708" w14:textId="77777777" w:rsidR="007253C8" w:rsidRPr="00485EF1" w:rsidRDefault="007253C8" w:rsidP="007253C8">
      <w:pPr>
        <w:pStyle w:val="FootnoteText"/>
        <w:rPr>
          <w:lang w:val="es-CO"/>
        </w:rPr>
      </w:pPr>
      <w:r w:rsidRPr="34EFD5F1">
        <w:rPr>
          <w:rStyle w:val="FootnoteReference"/>
        </w:rPr>
        <w:footnoteRef/>
      </w:r>
      <w:r w:rsidRPr="00485EF1">
        <w:rPr>
          <w:lang w:val="es-CO"/>
        </w:rPr>
        <w:t xml:space="preserve"> UCAN T2 Ex-01 at 12.</w:t>
      </w:r>
    </w:p>
  </w:footnote>
  <w:footnote w:id="148">
    <w:p w14:paraId="120694F8" w14:textId="75D1726B" w:rsidR="007253C8" w:rsidRPr="00485EF1" w:rsidRDefault="007253C8" w:rsidP="007253C8">
      <w:pPr>
        <w:pStyle w:val="FootnoteText"/>
        <w:rPr>
          <w:rFonts w:ascii="Aptos" w:eastAsia="Aptos" w:hAnsi="Aptos" w:cs="Aptos"/>
          <w:lang w:val="es-CO"/>
        </w:rPr>
      </w:pPr>
      <w:r w:rsidRPr="0A336C7F">
        <w:rPr>
          <w:rStyle w:val="FootnoteReference"/>
        </w:rPr>
        <w:footnoteRef/>
      </w:r>
      <w:r w:rsidRPr="00485EF1">
        <w:rPr>
          <w:lang w:val="es-CO"/>
        </w:rPr>
        <w:t xml:space="preserve"> </w:t>
      </w:r>
      <w:r w:rsidRPr="00485EF1">
        <w:rPr>
          <w:rFonts w:eastAsia="Aptos" w:cs="Aptos"/>
          <w:lang w:val="es-CO"/>
        </w:rPr>
        <w:t>SDG</w:t>
      </w:r>
      <w:r w:rsidR="009E39A4" w:rsidRPr="00485EF1">
        <w:rPr>
          <w:rFonts w:eastAsia="Aptos" w:cs="Aptos"/>
          <w:lang w:val="es-CO"/>
        </w:rPr>
        <w:t>&amp;</w:t>
      </w:r>
      <w:r w:rsidRPr="00485EF1">
        <w:rPr>
          <w:rFonts w:eastAsia="Aptos" w:cs="Aptos"/>
          <w:lang w:val="es-CO"/>
        </w:rPr>
        <w:t>E T2 Ex-06 at 8-10.</w:t>
      </w:r>
    </w:p>
  </w:footnote>
  <w:footnote w:id="149">
    <w:p w14:paraId="5516E632" w14:textId="565C20A9" w:rsidR="007253C8" w:rsidRPr="00634EE2" w:rsidRDefault="007253C8" w:rsidP="007253C8">
      <w:pPr>
        <w:pStyle w:val="FootnoteText"/>
      </w:pPr>
      <w:r>
        <w:rPr>
          <w:rStyle w:val="FootnoteReference"/>
        </w:rPr>
        <w:footnoteRef/>
      </w:r>
      <w:r w:rsidRPr="00634EE2">
        <w:t xml:space="preserve"> UCAN Opening Brief at 6-7</w:t>
      </w:r>
      <w:r>
        <w:t>.</w:t>
      </w:r>
      <w:r w:rsidRPr="00634EE2">
        <w:t xml:space="preserve"> </w:t>
      </w:r>
    </w:p>
  </w:footnote>
  <w:footnote w:id="150">
    <w:p w14:paraId="652AC8D6" w14:textId="0D80FF39" w:rsidR="008B6DE3" w:rsidRDefault="008B6DE3">
      <w:pPr>
        <w:pStyle w:val="FootnoteText"/>
      </w:pPr>
      <w:r>
        <w:rPr>
          <w:rStyle w:val="FootnoteReference"/>
        </w:rPr>
        <w:footnoteRef/>
      </w:r>
      <w:r>
        <w:t xml:space="preserve"> P. U. Code §451.1.</w:t>
      </w:r>
    </w:p>
  </w:footnote>
  <w:footnote w:id="151">
    <w:p w14:paraId="45FCFB31" w14:textId="05B46109" w:rsidR="000B6F41" w:rsidRPr="000B6F41" w:rsidRDefault="000B6F41">
      <w:pPr>
        <w:pStyle w:val="FootnoteText"/>
      </w:pPr>
      <w:r>
        <w:rPr>
          <w:rStyle w:val="FootnoteReference"/>
        </w:rPr>
        <w:footnoteRef/>
      </w:r>
      <w:r w:rsidRPr="000B6F41">
        <w:t xml:space="preserve"> </w:t>
      </w:r>
      <w:r w:rsidRPr="0037110F">
        <w:t xml:space="preserve">PCF Opening Comments at 11. </w:t>
      </w:r>
    </w:p>
  </w:footnote>
  <w:footnote w:id="152">
    <w:p w14:paraId="6A89F968" w14:textId="77777777" w:rsidR="007253C8" w:rsidRPr="001B5F28" w:rsidRDefault="007253C8" w:rsidP="007253C8">
      <w:pPr>
        <w:pStyle w:val="FootnoteText"/>
      </w:pPr>
      <w:r>
        <w:rPr>
          <w:rStyle w:val="FootnoteReference"/>
        </w:rPr>
        <w:footnoteRef/>
      </w:r>
      <w:r w:rsidRPr="001B5F28">
        <w:t xml:space="preserve"> </w:t>
      </w:r>
      <w:bookmarkStart w:id="37" w:name="_Hlk187822469"/>
      <w:r w:rsidRPr="001B5F28">
        <w:t>SDG&amp;E T2 Ex-01-R at 48.</w:t>
      </w:r>
      <w:bookmarkEnd w:id="37"/>
    </w:p>
  </w:footnote>
  <w:footnote w:id="153">
    <w:p w14:paraId="4A32048A" w14:textId="77777777" w:rsidR="007253C8" w:rsidRPr="005E58F2" w:rsidRDefault="007253C8" w:rsidP="007253C8">
      <w:pPr>
        <w:pStyle w:val="FootnoteText"/>
        <w:rPr>
          <w:lang w:val="es-CO"/>
        </w:rPr>
      </w:pPr>
      <w:r>
        <w:rPr>
          <w:rStyle w:val="FootnoteReference"/>
        </w:rPr>
        <w:footnoteRef/>
      </w:r>
      <w:r w:rsidRPr="005E58F2">
        <w:rPr>
          <w:lang w:val="es-CO"/>
        </w:rPr>
        <w:t xml:space="preserve"> SDG&amp;E T2 Ex-01-R at 48</w:t>
      </w:r>
      <w:r>
        <w:rPr>
          <w:lang w:val="es-CO"/>
        </w:rPr>
        <w:t>-49</w:t>
      </w:r>
      <w:r w:rsidRPr="005E58F2">
        <w:rPr>
          <w:lang w:val="es-CO"/>
        </w:rPr>
        <w:t>.</w:t>
      </w:r>
    </w:p>
  </w:footnote>
  <w:footnote w:id="154">
    <w:p w14:paraId="7BE50256" w14:textId="77777777" w:rsidR="007253C8" w:rsidRPr="00AC04F6" w:rsidRDefault="007253C8" w:rsidP="007253C8">
      <w:pPr>
        <w:pStyle w:val="FootnoteText"/>
        <w:rPr>
          <w:lang w:val="es-CO"/>
        </w:rPr>
      </w:pPr>
      <w:r>
        <w:rPr>
          <w:rStyle w:val="FootnoteReference"/>
        </w:rPr>
        <w:footnoteRef/>
      </w:r>
      <w:r w:rsidRPr="00AC04F6">
        <w:rPr>
          <w:lang w:val="es-CO"/>
        </w:rPr>
        <w:t xml:space="preserve"> SDG&amp;E T2 Ex-01-R at 50.</w:t>
      </w:r>
    </w:p>
  </w:footnote>
  <w:footnote w:id="155">
    <w:p w14:paraId="1B97A624" w14:textId="7FBD76F9"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53.</w:t>
      </w:r>
    </w:p>
  </w:footnote>
  <w:footnote w:id="156">
    <w:p w14:paraId="19153092" w14:textId="77777777" w:rsidR="007253C8" w:rsidRDefault="007253C8" w:rsidP="007253C8">
      <w:pPr>
        <w:pStyle w:val="FootnoteText"/>
      </w:pPr>
      <w:r w:rsidRPr="711A917D">
        <w:rPr>
          <w:rStyle w:val="FootnoteReference"/>
        </w:rPr>
        <w:footnoteRef/>
      </w:r>
      <w:r>
        <w:t xml:space="preserve"> Cal Advocates Opening Brief at 19-20.</w:t>
      </w:r>
    </w:p>
  </w:footnote>
  <w:footnote w:id="157">
    <w:p w14:paraId="5CF5203D" w14:textId="77777777" w:rsidR="007253C8" w:rsidRPr="007728B8" w:rsidRDefault="007253C8" w:rsidP="007253C8">
      <w:pPr>
        <w:pStyle w:val="FootnoteText"/>
      </w:pPr>
      <w:r>
        <w:rPr>
          <w:rStyle w:val="FootnoteReference"/>
        </w:rPr>
        <w:footnoteRef/>
      </w:r>
      <w:r w:rsidRPr="00F01C83">
        <w:t xml:space="preserve"> Pub. Util. </w:t>
      </w:r>
      <w:r w:rsidRPr="007728B8">
        <w:t>Code section 8386(a).</w:t>
      </w:r>
    </w:p>
  </w:footnote>
  <w:footnote w:id="158">
    <w:p w14:paraId="42E29DC6" w14:textId="77777777" w:rsidR="007253C8" w:rsidRDefault="007253C8" w:rsidP="007253C8">
      <w:pPr>
        <w:pStyle w:val="FootnoteText"/>
      </w:pPr>
      <w:r>
        <w:rPr>
          <w:rStyle w:val="FootnoteReference"/>
        </w:rPr>
        <w:footnoteRef/>
      </w:r>
      <w:r>
        <w:t xml:space="preserve"> Cal Advocates Opening Brief at 19-20.</w:t>
      </w:r>
    </w:p>
  </w:footnote>
  <w:footnote w:id="159">
    <w:p w14:paraId="0ACB9810" w14:textId="77777777" w:rsidR="007253C8" w:rsidRPr="00561581" w:rsidRDefault="007253C8" w:rsidP="007253C8">
      <w:pPr>
        <w:pStyle w:val="FootnoteText"/>
      </w:pPr>
      <w:r>
        <w:rPr>
          <w:rStyle w:val="FootnoteReference"/>
        </w:rPr>
        <w:footnoteRef/>
      </w:r>
      <w:r>
        <w:t xml:space="preserve"> </w:t>
      </w:r>
      <w:r w:rsidRPr="00660BE0">
        <w:t>PCF</w:t>
      </w:r>
      <w:r>
        <w:t xml:space="preserve"> </w:t>
      </w:r>
      <w:r w:rsidRPr="00660BE0">
        <w:t>T2</w:t>
      </w:r>
      <w:r>
        <w:t xml:space="preserve"> Ex</w:t>
      </w:r>
      <w:r w:rsidRPr="00660BE0">
        <w:t>-01 at 7</w:t>
      </w:r>
      <w:r>
        <w:t xml:space="preserve">, 9; </w:t>
      </w:r>
      <w:r w:rsidRPr="00561581">
        <w:t xml:space="preserve">PCF Opening Brief </w:t>
      </w:r>
      <w:r>
        <w:t>at 56.</w:t>
      </w:r>
    </w:p>
  </w:footnote>
  <w:footnote w:id="160">
    <w:p w14:paraId="3F955D34" w14:textId="77777777" w:rsidR="007253C8" w:rsidRDefault="007253C8" w:rsidP="007253C8">
      <w:pPr>
        <w:pStyle w:val="FootnoteText"/>
      </w:pPr>
      <w:r>
        <w:rPr>
          <w:rStyle w:val="FootnoteReference"/>
        </w:rPr>
        <w:footnoteRef/>
      </w:r>
      <w:r>
        <w:t xml:space="preserve"> </w:t>
      </w:r>
      <w:r w:rsidRPr="00561581">
        <w:t>PCF Opening Brief at 6</w:t>
      </w:r>
      <w:r>
        <w:t>1</w:t>
      </w:r>
      <w:r w:rsidRPr="00561581">
        <w:t>.</w:t>
      </w:r>
    </w:p>
  </w:footnote>
  <w:footnote w:id="161">
    <w:p w14:paraId="602560FD" w14:textId="77777777" w:rsidR="007253C8" w:rsidRDefault="007253C8" w:rsidP="007253C8">
      <w:pPr>
        <w:pStyle w:val="FootnoteText"/>
      </w:pPr>
      <w:r>
        <w:rPr>
          <w:rStyle w:val="FootnoteReference"/>
        </w:rPr>
        <w:footnoteRef/>
      </w:r>
      <w:r>
        <w:t xml:space="preserve"> PCF Opening Brief at 33.</w:t>
      </w:r>
    </w:p>
  </w:footnote>
  <w:footnote w:id="162">
    <w:p w14:paraId="1506C698" w14:textId="77777777" w:rsidR="007253C8" w:rsidRPr="00794ECC" w:rsidRDefault="007253C8" w:rsidP="007253C8">
      <w:pPr>
        <w:pStyle w:val="FootnoteText"/>
      </w:pPr>
      <w:r>
        <w:rPr>
          <w:rStyle w:val="FootnoteReference"/>
        </w:rPr>
        <w:footnoteRef/>
      </w:r>
      <w:r w:rsidRPr="00794ECC">
        <w:t xml:space="preserve"> TURN Opening </w:t>
      </w:r>
      <w:r>
        <w:t>Brief at 10.</w:t>
      </w:r>
    </w:p>
  </w:footnote>
  <w:footnote w:id="163">
    <w:p w14:paraId="3FFD7249" w14:textId="77777777" w:rsidR="007253C8" w:rsidRDefault="007253C8" w:rsidP="007253C8">
      <w:pPr>
        <w:pStyle w:val="FootnoteText"/>
      </w:pPr>
      <w:r>
        <w:rPr>
          <w:rStyle w:val="FootnoteReference"/>
        </w:rPr>
        <w:footnoteRef/>
      </w:r>
      <w:r>
        <w:t xml:space="preserve"> SDG&amp;E Opening Brief at 43-44.</w:t>
      </w:r>
    </w:p>
  </w:footnote>
  <w:footnote w:id="164">
    <w:p w14:paraId="791635C7" w14:textId="698873D8" w:rsidR="007253C8" w:rsidRPr="007728B8" w:rsidRDefault="007253C8" w:rsidP="007253C8">
      <w:pPr>
        <w:pStyle w:val="FootnoteText"/>
      </w:pPr>
      <w:r>
        <w:rPr>
          <w:rStyle w:val="FootnoteReference"/>
        </w:rPr>
        <w:footnoteRef/>
      </w:r>
      <w:r w:rsidRPr="000C3284">
        <w:t xml:space="preserve"> Pub. Util. </w:t>
      </w:r>
      <w:r w:rsidRPr="007728B8">
        <w:t xml:space="preserve">Code </w:t>
      </w:r>
      <w:r w:rsidR="006A0985">
        <w:t>S</w:t>
      </w:r>
      <w:r w:rsidRPr="007728B8">
        <w:t>ection 8386(a)</w:t>
      </w:r>
      <w:r w:rsidR="004C2825">
        <w:t xml:space="preserve">; </w:t>
      </w:r>
      <w:r w:rsidR="004C2825" w:rsidRPr="004C2825">
        <w:t>Cal Advocates Opening Brief at 19-20.</w:t>
      </w:r>
    </w:p>
  </w:footnote>
  <w:footnote w:id="165">
    <w:p w14:paraId="58C9711B" w14:textId="77777777" w:rsidR="007253C8" w:rsidRDefault="007253C8" w:rsidP="007253C8">
      <w:pPr>
        <w:pStyle w:val="FootnoteText"/>
      </w:pPr>
      <w:r>
        <w:rPr>
          <w:rStyle w:val="FootnoteReference"/>
        </w:rPr>
        <w:footnoteRef/>
      </w:r>
      <w:r>
        <w:t xml:space="preserve"> SDG&amp;E Reply Brief at 40-43.</w:t>
      </w:r>
    </w:p>
  </w:footnote>
  <w:footnote w:id="166">
    <w:p w14:paraId="4304F51F" w14:textId="275DDAB9" w:rsidR="007253C8" w:rsidRDefault="007253C8" w:rsidP="007253C8">
      <w:pPr>
        <w:pStyle w:val="FootnoteText"/>
      </w:pPr>
      <w:r>
        <w:rPr>
          <w:rStyle w:val="FootnoteReference"/>
        </w:rPr>
        <w:footnoteRef/>
      </w:r>
      <w:r>
        <w:t xml:space="preserve"> </w:t>
      </w:r>
      <w:r w:rsidR="0091677D">
        <w:t>PCF</w:t>
      </w:r>
      <w:r>
        <w:t xml:space="preserve"> </w:t>
      </w:r>
      <w:r w:rsidRPr="00096DBE">
        <w:t>Opening Brief at 33</w:t>
      </w:r>
      <w:r>
        <w:t>.</w:t>
      </w:r>
    </w:p>
  </w:footnote>
  <w:footnote w:id="167">
    <w:p w14:paraId="303C77B6" w14:textId="77777777" w:rsidR="007253C8" w:rsidRDefault="007253C8" w:rsidP="007253C8">
      <w:pPr>
        <w:pStyle w:val="FootnoteText"/>
      </w:pPr>
      <w:r>
        <w:rPr>
          <w:rStyle w:val="FootnoteReference"/>
        </w:rPr>
        <w:footnoteRef/>
      </w:r>
      <w:r>
        <w:t xml:space="preserve"> SDG&amp;E Reply Brief at 56-61.</w:t>
      </w:r>
    </w:p>
  </w:footnote>
  <w:footnote w:id="168">
    <w:p w14:paraId="1AC9459B" w14:textId="32D10CB9" w:rsidR="007253C8" w:rsidRDefault="007253C8" w:rsidP="007253C8">
      <w:pPr>
        <w:pStyle w:val="FootnoteText"/>
      </w:pPr>
      <w:r w:rsidRPr="7FA93A28">
        <w:rPr>
          <w:rStyle w:val="FootnoteReference"/>
        </w:rPr>
        <w:footnoteRef/>
      </w:r>
      <w:r>
        <w:t xml:space="preserve"> D.24-12-074 at 474, 481.</w:t>
      </w:r>
    </w:p>
  </w:footnote>
  <w:footnote w:id="169">
    <w:p w14:paraId="367FFF89" w14:textId="569CB130" w:rsidR="007253C8" w:rsidRPr="00B206C7" w:rsidRDefault="007253C8" w:rsidP="007253C8">
      <w:pPr>
        <w:pStyle w:val="FootnoteText"/>
        <w:rPr>
          <w:b/>
          <w:bCs/>
        </w:rPr>
      </w:pPr>
      <w:r>
        <w:rPr>
          <w:rStyle w:val="FootnoteReference"/>
        </w:rPr>
        <w:footnoteRef/>
      </w:r>
      <w:r>
        <w:t xml:space="preserve"> For the 20</w:t>
      </w:r>
      <w:r w:rsidRPr="0095147C">
        <w:t>1</w:t>
      </w:r>
      <w:r w:rsidRPr="006A641A">
        <w:t>9</w:t>
      </w:r>
      <w:r>
        <w:t>–</w:t>
      </w:r>
      <w:r w:rsidRPr="006A641A">
        <w:t>22</w:t>
      </w:r>
      <w:r w:rsidRPr="0095147C">
        <w:t xml:space="preserve"> period</w:t>
      </w:r>
      <w:r w:rsidR="00CB0E43">
        <w:t>,</w:t>
      </w:r>
      <w:r w:rsidRPr="0095147C">
        <w:t xml:space="preserve"> SDG&amp;E completed </w:t>
      </w:r>
      <w:r w:rsidRPr="006A641A">
        <w:t xml:space="preserve">109.5 </w:t>
      </w:r>
      <w:r w:rsidRPr="0095147C">
        <w:t>miles of Strategic U</w:t>
      </w:r>
      <w:r w:rsidRPr="006A641A">
        <w:t>ndergrounding</w:t>
      </w:r>
      <w:r w:rsidRPr="0095147C">
        <w:t xml:space="preserve">, </w:t>
      </w:r>
      <w:r w:rsidRPr="006A641A">
        <w:t xml:space="preserve">341.6 </w:t>
      </w:r>
      <w:r w:rsidRPr="0095147C">
        <w:t xml:space="preserve">miles of </w:t>
      </w:r>
      <w:r>
        <w:t>DOSH</w:t>
      </w:r>
      <w:r w:rsidRPr="0095147C">
        <w:t xml:space="preserve">, and </w:t>
      </w:r>
      <w:r w:rsidRPr="006A641A">
        <w:t>83.1</w:t>
      </w:r>
      <w:r>
        <w:t xml:space="preserve"> miles</w:t>
      </w:r>
      <w:r w:rsidRPr="0095147C">
        <w:t xml:space="preserve"> of </w:t>
      </w:r>
      <w:r w:rsidR="00462A29">
        <w:t>Covered Conductor</w:t>
      </w:r>
      <w:r>
        <w:t>;</w:t>
      </w:r>
      <w:r w:rsidRPr="0095147C">
        <w:t xml:space="preserve"> (</w:t>
      </w:r>
      <w:r w:rsidRPr="006A641A">
        <w:t>109.5</w:t>
      </w:r>
      <w:r>
        <w:t xml:space="preserve"> </w:t>
      </w:r>
      <w:r w:rsidRPr="006A641A">
        <w:t>/</w:t>
      </w:r>
      <w:r w:rsidRPr="0095147C">
        <w:t xml:space="preserve"> (341.6 </w:t>
      </w:r>
      <w:r>
        <w:t>+</w:t>
      </w:r>
      <w:r w:rsidRPr="0095147C">
        <w:t xml:space="preserve"> 83.1))</w:t>
      </w:r>
      <w:r w:rsidRPr="006A641A">
        <w:t xml:space="preserve"> = </w:t>
      </w:r>
      <w:r w:rsidRPr="0095147C">
        <w:t xml:space="preserve">approximately </w:t>
      </w:r>
      <w:r w:rsidRPr="006A641A">
        <w:t>26%</w:t>
      </w:r>
      <w:r w:rsidRPr="0095147C">
        <w:t>.</w:t>
      </w:r>
    </w:p>
  </w:footnote>
  <w:footnote w:id="170">
    <w:p w14:paraId="4A5BBAFB" w14:textId="1D253AAF" w:rsidR="00172E12" w:rsidRDefault="00172E12">
      <w:pPr>
        <w:pStyle w:val="FootnoteText"/>
      </w:pPr>
      <w:r>
        <w:rPr>
          <w:rStyle w:val="FootnoteReference"/>
        </w:rPr>
        <w:footnoteRef/>
      </w:r>
      <w:r>
        <w:t xml:space="preserve"> TURN Opening Comments at 5-9; PCF Opening Brief at 11-13.</w:t>
      </w:r>
    </w:p>
  </w:footnote>
  <w:footnote w:id="171">
    <w:p w14:paraId="30D855F7" w14:textId="04146761" w:rsidR="006B6145" w:rsidRDefault="006B6145">
      <w:pPr>
        <w:pStyle w:val="FootnoteText"/>
      </w:pPr>
      <w:r>
        <w:rPr>
          <w:rStyle w:val="FootnoteReference"/>
        </w:rPr>
        <w:footnoteRef/>
      </w:r>
      <w:r>
        <w:t xml:space="preserve"> TURN Opening Comments at 9.</w:t>
      </w:r>
    </w:p>
  </w:footnote>
  <w:footnote w:id="172">
    <w:p w14:paraId="677AF565" w14:textId="77777777" w:rsidR="007253C8" w:rsidRDefault="007253C8" w:rsidP="007253C8">
      <w:pPr>
        <w:pStyle w:val="FootnoteText"/>
      </w:pPr>
      <w:r>
        <w:rPr>
          <w:rStyle w:val="FootnoteReference"/>
        </w:rPr>
        <w:footnoteRef/>
      </w:r>
      <w:r>
        <w:t xml:space="preserve"> D.24-12-074 at 483.</w:t>
      </w:r>
    </w:p>
  </w:footnote>
  <w:footnote w:id="173">
    <w:p w14:paraId="73252098" w14:textId="77777777" w:rsidR="007253C8" w:rsidRDefault="007253C8" w:rsidP="007253C8">
      <w:pPr>
        <w:pStyle w:val="FootnoteText"/>
      </w:pPr>
      <w:r w:rsidRPr="006E018D">
        <w:rPr>
          <w:rStyle w:val="FootnoteReference"/>
        </w:rPr>
        <w:footnoteRef/>
      </w:r>
      <w:r>
        <w:t xml:space="preserve"> SDG&amp;E Opening Brief at 41-43; SDG&amp;E T2 Ex-06 at 27-29.</w:t>
      </w:r>
    </w:p>
  </w:footnote>
  <w:footnote w:id="174">
    <w:p w14:paraId="72605F8D" w14:textId="77777777" w:rsidR="007253C8" w:rsidRPr="006A58DA" w:rsidRDefault="007253C8" w:rsidP="007253C8">
      <w:pPr>
        <w:pStyle w:val="FootnoteText"/>
        <w:rPr>
          <w:highlight w:val="yellow"/>
        </w:rPr>
      </w:pPr>
      <w:r>
        <w:rPr>
          <w:rStyle w:val="FootnoteReference"/>
        </w:rPr>
        <w:footnoteRef/>
      </w:r>
      <w:r>
        <w:t xml:space="preserve"> </w:t>
      </w:r>
      <w:r w:rsidRPr="00934E21">
        <w:t>2020</w:t>
      </w:r>
      <w:r>
        <w:t>–</w:t>
      </w:r>
      <w:r w:rsidRPr="00934E21">
        <w:t xml:space="preserve">22 WMP Update dated </w:t>
      </w:r>
      <w:r>
        <w:t xml:space="preserve">February 5, 2021 at </w:t>
      </w:r>
      <w:r w:rsidRPr="00934E21">
        <w:t>201</w:t>
      </w:r>
      <w:r>
        <w:t>.</w:t>
      </w:r>
    </w:p>
  </w:footnote>
  <w:footnote w:id="175">
    <w:p w14:paraId="763E99A2" w14:textId="77777777" w:rsidR="007253C8" w:rsidRPr="00934E21" w:rsidRDefault="007253C8" w:rsidP="007253C8">
      <w:pPr>
        <w:pStyle w:val="FootnoteText"/>
      </w:pPr>
      <w:r>
        <w:rPr>
          <w:rStyle w:val="FootnoteReference"/>
        </w:rPr>
        <w:footnoteRef/>
      </w:r>
      <w:r w:rsidRPr="00934E21">
        <w:t xml:space="preserve"> Cal Advocates Opening </w:t>
      </w:r>
      <w:r>
        <w:t>Brief at 26-27.</w:t>
      </w:r>
    </w:p>
  </w:footnote>
  <w:footnote w:id="176">
    <w:p w14:paraId="5A98CDF7" w14:textId="77777777" w:rsidR="007253C8" w:rsidRPr="00F01C83" w:rsidRDefault="007253C8" w:rsidP="007253C8">
      <w:pPr>
        <w:pStyle w:val="FootnoteText"/>
        <w:rPr>
          <w:lang w:val="da-DK"/>
        </w:rPr>
      </w:pPr>
      <w:r>
        <w:rPr>
          <w:rStyle w:val="FootnoteReference"/>
        </w:rPr>
        <w:footnoteRef/>
      </w:r>
      <w:r w:rsidRPr="00F01C83">
        <w:rPr>
          <w:lang w:val="da-DK"/>
        </w:rPr>
        <w:t xml:space="preserve"> PCF T2 Ex-01 at 18-21.</w:t>
      </w:r>
    </w:p>
  </w:footnote>
  <w:footnote w:id="177">
    <w:p w14:paraId="33226F26" w14:textId="5446714D" w:rsidR="007253C8" w:rsidRPr="00F01C83" w:rsidRDefault="007253C8" w:rsidP="007253C8">
      <w:pPr>
        <w:pStyle w:val="FootnoteText"/>
        <w:rPr>
          <w:lang w:val="da-DK"/>
        </w:rPr>
      </w:pPr>
      <w:r>
        <w:rPr>
          <w:rStyle w:val="FootnoteReference"/>
        </w:rPr>
        <w:footnoteRef/>
      </w:r>
      <w:r w:rsidRPr="00F01C83">
        <w:rPr>
          <w:lang w:val="da-DK"/>
        </w:rPr>
        <w:t xml:space="preserve"> SDG&amp;E T2 Ex-06 at 33-35.</w:t>
      </w:r>
    </w:p>
  </w:footnote>
  <w:footnote w:id="178">
    <w:p w14:paraId="4B0EC64B" w14:textId="77777777" w:rsidR="007253C8" w:rsidRPr="006A58DA" w:rsidRDefault="007253C8" w:rsidP="007253C8">
      <w:pPr>
        <w:pStyle w:val="FootnoteText"/>
        <w:rPr>
          <w:lang w:val="da-DK"/>
        </w:rPr>
      </w:pPr>
      <w:r>
        <w:rPr>
          <w:rStyle w:val="FootnoteReference"/>
        </w:rPr>
        <w:footnoteRef/>
      </w:r>
      <w:r w:rsidRPr="006A58DA">
        <w:rPr>
          <w:lang w:val="da-DK"/>
        </w:rPr>
        <w:t xml:space="preserve"> PCF T2 Ex-01 at 22-23.</w:t>
      </w:r>
    </w:p>
  </w:footnote>
  <w:footnote w:id="179">
    <w:p w14:paraId="10D9FBA6" w14:textId="2D758245" w:rsidR="007253C8" w:rsidRDefault="007253C8" w:rsidP="007253C8">
      <w:pPr>
        <w:pStyle w:val="FootnoteText"/>
        <w:rPr>
          <w:lang w:val="da-DK"/>
        </w:rPr>
      </w:pPr>
      <w:r w:rsidRPr="59165C81">
        <w:rPr>
          <w:rStyle w:val="FootnoteReference"/>
        </w:rPr>
        <w:footnoteRef/>
      </w:r>
      <w:r w:rsidRPr="59165C81">
        <w:rPr>
          <w:lang w:val="da-DK"/>
        </w:rPr>
        <w:t xml:space="preserve"> SDG&amp;E 2022 WMP Update at 3, 225.</w:t>
      </w:r>
    </w:p>
  </w:footnote>
  <w:footnote w:id="180">
    <w:p w14:paraId="1597BEF6" w14:textId="77777777" w:rsidR="007253C8" w:rsidRPr="004446D9" w:rsidRDefault="007253C8" w:rsidP="007253C8">
      <w:pPr>
        <w:pStyle w:val="FootnoteText"/>
        <w:rPr>
          <w:lang w:val="es-CO"/>
        </w:rPr>
      </w:pPr>
      <w:r>
        <w:rPr>
          <w:rStyle w:val="FootnoteReference"/>
        </w:rPr>
        <w:footnoteRef/>
      </w:r>
      <w:r w:rsidRPr="004446D9">
        <w:rPr>
          <w:lang w:val="es-CO"/>
        </w:rPr>
        <w:t xml:space="preserve"> SDG&amp;E T2 Ex-01-R at 34-35.</w:t>
      </w:r>
    </w:p>
  </w:footnote>
  <w:footnote w:id="181">
    <w:p w14:paraId="7985AAEC" w14:textId="77777777" w:rsidR="007253C8" w:rsidRPr="005C6503" w:rsidRDefault="007253C8" w:rsidP="007253C8">
      <w:pPr>
        <w:pStyle w:val="FootnoteText"/>
        <w:rPr>
          <w:lang w:val="es-CO"/>
        </w:rPr>
      </w:pPr>
      <w:r>
        <w:rPr>
          <w:rStyle w:val="FootnoteReference"/>
        </w:rPr>
        <w:footnoteRef/>
      </w:r>
      <w:r w:rsidRPr="005C6503">
        <w:rPr>
          <w:lang w:val="es-CO"/>
        </w:rPr>
        <w:t xml:space="preserve"> SDG&amp;E T2 Ex-01-R at 39-40.</w:t>
      </w:r>
    </w:p>
  </w:footnote>
  <w:footnote w:id="182">
    <w:p w14:paraId="17FB0B7C" w14:textId="77777777" w:rsidR="007253C8" w:rsidRPr="004626F0" w:rsidRDefault="007253C8" w:rsidP="007253C8">
      <w:pPr>
        <w:pStyle w:val="FootnoteText"/>
        <w:rPr>
          <w:lang w:val="da-DK"/>
        </w:rPr>
      </w:pPr>
      <w:r>
        <w:rPr>
          <w:rStyle w:val="FootnoteReference"/>
        </w:rPr>
        <w:footnoteRef/>
      </w:r>
      <w:r w:rsidRPr="004626F0">
        <w:rPr>
          <w:lang w:val="da-DK"/>
        </w:rPr>
        <w:t xml:space="preserve"> D.19-09-051 at 467-468.</w:t>
      </w:r>
    </w:p>
  </w:footnote>
  <w:footnote w:id="183">
    <w:p w14:paraId="14F44F51" w14:textId="77777777" w:rsidR="007253C8" w:rsidRPr="006A58DA" w:rsidRDefault="007253C8" w:rsidP="007253C8">
      <w:pPr>
        <w:pStyle w:val="FootnoteText"/>
        <w:rPr>
          <w:lang w:val="da-DK"/>
        </w:rPr>
      </w:pPr>
      <w:r>
        <w:rPr>
          <w:rStyle w:val="FootnoteReference"/>
        </w:rPr>
        <w:footnoteRef/>
      </w:r>
      <w:r w:rsidRPr="006A58DA">
        <w:rPr>
          <w:lang w:val="da-DK"/>
        </w:rPr>
        <w:t xml:space="preserve"> SDG&amp;E T2 Ex-01-R at 59-60.</w:t>
      </w:r>
    </w:p>
  </w:footnote>
  <w:footnote w:id="184">
    <w:p w14:paraId="7B93A3E6" w14:textId="77777777" w:rsidR="007253C8" w:rsidRPr="006A58DA" w:rsidRDefault="007253C8" w:rsidP="007253C8">
      <w:pPr>
        <w:pStyle w:val="FootnoteText"/>
        <w:rPr>
          <w:lang w:val="es-CO"/>
        </w:rPr>
      </w:pPr>
      <w:r>
        <w:rPr>
          <w:rStyle w:val="FootnoteReference"/>
        </w:rPr>
        <w:footnoteRef/>
      </w:r>
      <w:r w:rsidRPr="006A58DA">
        <w:rPr>
          <w:lang w:val="es-CO"/>
        </w:rPr>
        <w:t xml:space="preserve"> SDG&amp;E T2 Ex-06 at 30-31.</w:t>
      </w:r>
    </w:p>
  </w:footnote>
  <w:footnote w:id="185">
    <w:p w14:paraId="6A03A7B6" w14:textId="77777777" w:rsidR="007253C8" w:rsidRPr="00F01C83" w:rsidRDefault="007253C8" w:rsidP="007253C8">
      <w:pPr>
        <w:pStyle w:val="FootnoteText"/>
        <w:rPr>
          <w:lang w:val="es-CO"/>
        </w:rPr>
      </w:pPr>
      <w:r>
        <w:rPr>
          <w:rStyle w:val="FootnoteReference"/>
        </w:rPr>
        <w:footnoteRef/>
      </w:r>
      <w:r w:rsidRPr="00F01C83">
        <w:rPr>
          <w:lang w:val="es-CO"/>
        </w:rPr>
        <w:t xml:space="preserve"> SDG&amp;E T2 Ex-01-R at 59.</w:t>
      </w:r>
    </w:p>
  </w:footnote>
  <w:footnote w:id="186">
    <w:p w14:paraId="2945E662" w14:textId="77777777" w:rsidR="007253C8" w:rsidRPr="0046276F" w:rsidRDefault="007253C8" w:rsidP="007253C8">
      <w:pPr>
        <w:pStyle w:val="FootnoteText"/>
        <w:rPr>
          <w:lang w:val="es-CO"/>
        </w:rPr>
      </w:pPr>
      <w:r>
        <w:rPr>
          <w:rStyle w:val="FootnoteReference"/>
        </w:rPr>
        <w:footnoteRef/>
      </w:r>
      <w:r w:rsidRPr="0046276F">
        <w:rPr>
          <w:lang w:val="es-CO"/>
        </w:rPr>
        <w:t xml:space="preserve"> SDG&amp;E T2 Ex-01-R at 44-45</w:t>
      </w:r>
      <w:r>
        <w:rPr>
          <w:lang w:val="es-CO"/>
        </w:rPr>
        <w:t>.</w:t>
      </w:r>
    </w:p>
  </w:footnote>
  <w:footnote w:id="187">
    <w:p w14:paraId="79A3FB57" w14:textId="77777777" w:rsidR="007253C8" w:rsidRPr="00CC17F7" w:rsidRDefault="007253C8" w:rsidP="007253C8">
      <w:pPr>
        <w:pStyle w:val="FootnoteText"/>
        <w:rPr>
          <w:lang w:val="es-CO"/>
        </w:rPr>
      </w:pPr>
      <w:r>
        <w:rPr>
          <w:rStyle w:val="FootnoteReference"/>
        </w:rPr>
        <w:footnoteRef/>
      </w:r>
      <w:r w:rsidRPr="00CC17F7">
        <w:rPr>
          <w:lang w:val="es-CO"/>
        </w:rPr>
        <w:t xml:space="preserve"> SDG&amp;E T2 Ex-01-R at 45</w:t>
      </w:r>
      <w:r>
        <w:rPr>
          <w:lang w:val="es-CO"/>
        </w:rPr>
        <w:t>-46</w:t>
      </w:r>
      <w:r w:rsidRPr="00CC17F7">
        <w:rPr>
          <w:lang w:val="es-CO"/>
        </w:rPr>
        <w:t>.</w:t>
      </w:r>
    </w:p>
  </w:footnote>
  <w:footnote w:id="188">
    <w:p w14:paraId="22EE2C39" w14:textId="7E9EDD16" w:rsidR="007253C8" w:rsidRPr="00F01C83" w:rsidRDefault="007253C8" w:rsidP="007253C8">
      <w:pPr>
        <w:pStyle w:val="FootnoteText"/>
        <w:rPr>
          <w:u w:val="single"/>
          <w:lang w:val="da-DK"/>
        </w:rPr>
      </w:pPr>
      <w:r w:rsidRPr="49FA6DA2">
        <w:rPr>
          <w:rStyle w:val="FootnoteReference"/>
        </w:rPr>
        <w:footnoteRef/>
      </w:r>
      <w:r w:rsidRPr="00F01C83">
        <w:rPr>
          <w:lang w:val="da-DK"/>
        </w:rPr>
        <w:t xml:space="preserve"> (9/829)</w:t>
      </w:r>
      <w:r w:rsidR="001F4EA1">
        <w:rPr>
          <w:lang w:val="da-DK"/>
        </w:rPr>
        <w:t xml:space="preserve"> </w:t>
      </w:r>
      <w:r w:rsidRPr="00F01C83">
        <w:rPr>
          <w:lang w:val="da-DK"/>
        </w:rPr>
        <w:t>x</w:t>
      </w:r>
      <w:r w:rsidR="001F4EA1">
        <w:rPr>
          <w:lang w:val="da-DK"/>
        </w:rPr>
        <w:t xml:space="preserve"> </w:t>
      </w:r>
      <w:r w:rsidRPr="00F01C83">
        <w:rPr>
          <w:lang w:val="da-DK"/>
        </w:rPr>
        <w:t>$22.744 million = $0.247 million.</w:t>
      </w:r>
    </w:p>
  </w:footnote>
  <w:footnote w:id="189">
    <w:p w14:paraId="262344AD" w14:textId="77777777" w:rsidR="007253C8" w:rsidRPr="00F01C83" w:rsidRDefault="007253C8" w:rsidP="007253C8">
      <w:pPr>
        <w:pStyle w:val="FootnoteText"/>
        <w:rPr>
          <w:lang w:val="da-DK"/>
        </w:rPr>
      </w:pPr>
      <w:r w:rsidRPr="49FA6DA2">
        <w:rPr>
          <w:rStyle w:val="FootnoteReference"/>
        </w:rPr>
        <w:footnoteRef/>
      </w:r>
      <w:r w:rsidRPr="00F01C83">
        <w:rPr>
          <w:lang w:val="da-DK"/>
        </w:rPr>
        <w:t xml:space="preserve"> SDG&amp;E T2 Ex-01-R at 46.</w:t>
      </w:r>
    </w:p>
  </w:footnote>
  <w:footnote w:id="190">
    <w:p w14:paraId="320E5CA4" w14:textId="77777777" w:rsidR="007253C8" w:rsidRPr="007F153A" w:rsidRDefault="007253C8" w:rsidP="007253C8">
      <w:pPr>
        <w:pStyle w:val="FootnoteText"/>
        <w:rPr>
          <w:lang w:val="es-CO"/>
        </w:rPr>
      </w:pPr>
      <w:r>
        <w:rPr>
          <w:rStyle w:val="FootnoteReference"/>
        </w:rPr>
        <w:footnoteRef/>
      </w:r>
      <w:r w:rsidRPr="007F153A">
        <w:rPr>
          <w:lang w:val="es-CO"/>
        </w:rPr>
        <w:t xml:space="preserve"> SDG</w:t>
      </w:r>
      <w:r>
        <w:rPr>
          <w:lang w:val="es-CO"/>
        </w:rPr>
        <w:t xml:space="preserve">&amp;E T2 </w:t>
      </w:r>
      <w:r w:rsidRPr="00D91191">
        <w:rPr>
          <w:lang w:val="es-CO"/>
        </w:rPr>
        <w:t>Ex-01-R.</w:t>
      </w:r>
    </w:p>
  </w:footnote>
  <w:footnote w:id="191">
    <w:p w14:paraId="6C04D777" w14:textId="77777777" w:rsidR="007253C8" w:rsidRPr="00D91191" w:rsidRDefault="007253C8" w:rsidP="007253C8">
      <w:pPr>
        <w:pStyle w:val="FootnoteText"/>
        <w:rPr>
          <w:lang w:val="es-CO"/>
        </w:rPr>
      </w:pPr>
      <w:r>
        <w:rPr>
          <w:rStyle w:val="FootnoteReference"/>
        </w:rPr>
        <w:footnoteRef/>
      </w:r>
      <w:r w:rsidRPr="00D91191">
        <w:rPr>
          <w:lang w:val="es-CO"/>
        </w:rPr>
        <w:t xml:space="preserve"> SDG&amp;E T2 Ex-06 at 30-31.</w:t>
      </w:r>
    </w:p>
  </w:footnote>
  <w:footnote w:id="192">
    <w:p w14:paraId="10CAF2E9" w14:textId="77777777" w:rsidR="007253C8" w:rsidRPr="00B9618B" w:rsidRDefault="007253C8" w:rsidP="007253C8">
      <w:pPr>
        <w:pStyle w:val="FootnoteText"/>
        <w:rPr>
          <w:lang w:val="es-CO"/>
        </w:rPr>
      </w:pPr>
      <w:r>
        <w:rPr>
          <w:rStyle w:val="FootnoteReference"/>
        </w:rPr>
        <w:footnoteRef/>
      </w:r>
      <w:r w:rsidRPr="00B9618B">
        <w:rPr>
          <w:lang w:val="es-CO"/>
        </w:rPr>
        <w:t xml:space="preserve"> SDG&amp;E T2 Ex-09.</w:t>
      </w:r>
    </w:p>
  </w:footnote>
  <w:footnote w:id="193">
    <w:p w14:paraId="1D91ED6C" w14:textId="46C817F2" w:rsidR="007253C8" w:rsidRPr="00B9618B" w:rsidRDefault="007253C8" w:rsidP="007253C8">
      <w:pPr>
        <w:pStyle w:val="FootnoteText"/>
        <w:rPr>
          <w:lang w:val="es-CO"/>
        </w:rPr>
      </w:pPr>
      <w:r>
        <w:rPr>
          <w:rStyle w:val="FootnoteReference"/>
        </w:rPr>
        <w:footnoteRef/>
      </w:r>
      <w:r w:rsidRPr="00B9618B">
        <w:rPr>
          <w:lang w:val="es-CO"/>
        </w:rPr>
        <w:t xml:space="preserve"> SDG</w:t>
      </w:r>
      <w:r w:rsidR="00403B5C">
        <w:rPr>
          <w:lang w:val="es-CO"/>
        </w:rPr>
        <w:t>&amp;</w:t>
      </w:r>
      <w:r w:rsidRPr="00B9618B">
        <w:rPr>
          <w:lang w:val="es-CO"/>
        </w:rPr>
        <w:t>E T2 Ex-01-R at 94-95.</w:t>
      </w:r>
    </w:p>
  </w:footnote>
  <w:footnote w:id="194">
    <w:p w14:paraId="024DFC77" w14:textId="44CDFF28" w:rsidR="007253C8" w:rsidRPr="005130B7" w:rsidRDefault="007253C8" w:rsidP="007253C8">
      <w:pPr>
        <w:pStyle w:val="FootnoteText"/>
        <w:rPr>
          <w:lang w:val="es-CO"/>
        </w:rPr>
      </w:pPr>
      <w:r>
        <w:rPr>
          <w:rStyle w:val="FootnoteReference"/>
        </w:rPr>
        <w:footnoteRef/>
      </w:r>
      <w:r w:rsidRPr="005130B7">
        <w:rPr>
          <w:lang w:val="es-CO"/>
        </w:rPr>
        <w:t xml:space="preserve"> SDG</w:t>
      </w:r>
      <w:r w:rsidR="00403B5C">
        <w:rPr>
          <w:lang w:val="es-CO"/>
        </w:rPr>
        <w:t>&amp;</w:t>
      </w:r>
      <w:r w:rsidRPr="005130B7">
        <w:rPr>
          <w:lang w:val="es-CO"/>
        </w:rPr>
        <w:t>E T2 Ex-01-R at 94-100.</w:t>
      </w:r>
    </w:p>
  </w:footnote>
  <w:footnote w:id="195">
    <w:p w14:paraId="04DB0580" w14:textId="22EC4913" w:rsidR="007253C8" w:rsidRPr="00485EF1" w:rsidRDefault="007253C8" w:rsidP="007253C8">
      <w:pPr>
        <w:pStyle w:val="FootnoteText"/>
      </w:pPr>
      <w:r>
        <w:rPr>
          <w:rStyle w:val="FootnoteReference"/>
        </w:rPr>
        <w:footnoteRef/>
      </w:r>
      <w:r w:rsidRPr="00485EF1">
        <w:t xml:space="preserve"> SDG</w:t>
      </w:r>
      <w:r w:rsidR="00403B5C" w:rsidRPr="00485EF1">
        <w:t>&amp;</w:t>
      </w:r>
      <w:r w:rsidRPr="00485EF1">
        <w:t>E</w:t>
      </w:r>
      <w:r w:rsidR="002C1DCD" w:rsidRPr="00485EF1">
        <w:t xml:space="preserve"> </w:t>
      </w:r>
      <w:r w:rsidRPr="00485EF1">
        <w:t>T2 Ex-01-R at 94 and SDG</w:t>
      </w:r>
      <w:r w:rsidR="00403B5C" w:rsidRPr="00485EF1">
        <w:t>&amp;</w:t>
      </w:r>
      <w:r w:rsidRPr="00485EF1">
        <w:t xml:space="preserve">E </w:t>
      </w:r>
      <w:r w:rsidR="002C1DCD" w:rsidRPr="00485EF1">
        <w:t xml:space="preserve">T2 </w:t>
      </w:r>
      <w:r w:rsidRPr="00485EF1">
        <w:t>Ex-02-R at 6-7. </w:t>
      </w:r>
    </w:p>
  </w:footnote>
  <w:footnote w:id="196">
    <w:p w14:paraId="616EAFAE" w14:textId="77777777" w:rsidR="007253C8" w:rsidRPr="00485EF1" w:rsidRDefault="007253C8" w:rsidP="007253C8">
      <w:pPr>
        <w:pStyle w:val="FootnoteText"/>
      </w:pPr>
      <w:r>
        <w:rPr>
          <w:rStyle w:val="FootnoteReference"/>
        </w:rPr>
        <w:footnoteRef/>
      </w:r>
      <w:r w:rsidRPr="00485EF1">
        <w:t xml:space="preserve"> PCF T2 Ex-41 at 4-5, 23.</w:t>
      </w:r>
    </w:p>
  </w:footnote>
  <w:footnote w:id="197">
    <w:p w14:paraId="6E568F2C" w14:textId="77777777" w:rsidR="007253C8" w:rsidRPr="00485EF1" w:rsidRDefault="007253C8" w:rsidP="007253C8">
      <w:pPr>
        <w:pStyle w:val="FootnoteText"/>
      </w:pPr>
      <w:r>
        <w:rPr>
          <w:rStyle w:val="FootnoteReference"/>
        </w:rPr>
        <w:footnoteRef/>
      </w:r>
      <w:r w:rsidRPr="00485EF1">
        <w:t xml:space="preserve"> SDG&amp;E T2 Ex-06C at 51.</w:t>
      </w:r>
    </w:p>
  </w:footnote>
  <w:footnote w:id="198">
    <w:p w14:paraId="09BF8E43" w14:textId="0338B7E0" w:rsidR="007253C8" w:rsidRPr="00485EF1" w:rsidRDefault="007253C8" w:rsidP="007253C8">
      <w:pPr>
        <w:pStyle w:val="FootnoteText"/>
      </w:pPr>
      <w:r>
        <w:rPr>
          <w:rStyle w:val="FootnoteReference"/>
        </w:rPr>
        <w:footnoteRef/>
      </w:r>
      <w:r w:rsidRPr="00485EF1">
        <w:t xml:space="preserve"> SDG</w:t>
      </w:r>
      <w:r w:rsidR="00403B5C" w:rsidRPr="00485EF1">
        <w:t>&amp;</w:t>
      </w:r>
      <w:r w:rsidRPr="00485EF1">
        <w:t>E T2 Ex-01-R at 21-22.</w:t>
      </w:r>
    </w:p>
  </w:footnote>
  <w:footnote w:id="199">
    <w:p w14:paraId="14C15CCF" w14:textId="38EE40EA" w:rsidR="007253C8" w:rsidRPr="00485EF1" w:rsidRDefault="007253C8" w:rsidP="007253C8">
      <w:pPr>
        <w:pStyle w:val="FootnoteText"/>
      </w:pPr>
      <w:r>
        <w:rPr>
          <w:rStyle w:val="FootnoteReference"/>
        </w:rPr>
        <w:footnoteRef/>
      </w:r>
      <w:r w:rsidRPr="00485EF1">
        <w:t xml:space="preserve"> SDG</w:t>
      </w:r>
      <w:r w:rsidR="00403B5C" w:rsidRPr="00485EF1">
        <w:t>&amp;</w:t>
      </w:r>
      <w:r w:rsidRPr="00485EF1">
        <w:t>E T2 Ex-01-R at 22.</w:t>
      </w:r>
    </w:p>
  </w:footnote>
  <w:footnote w:id="200">
    <w:p w14:paraId="59123B14" w14:textId="41FB5971" w:rsidR="007253C8" w:rsidRPr="005130B7" w:rsidRDefault="007253C8" w:rsidP="007253C8">
      <w:pPr>
        <w:pStyle w:val="FootnoteText"/>
        <w:rPr>
          <w:lang w:val="es-CO"/>
        </w:rPr>
      </w:pPr>
      <w:r>
        <w:rPr>
          <w:rStyle w:val="FootnoteReference"/>
        </w:rPr>
        <w:footnoteRef/>
      </w:r>
      <w:r w:rsidRPr="005130B7">
        <w:rPr>
          <w:lang w:val="es-CO"/>
        </w:rPr>
        <w:t xml:space="preserve"> SDG</w:t>
      </w:r>
      <w:r w:rsidR="00403B5C">
        <w:rPr>
          <w:lang w:val="es-CO"/>
        </w:rPr>
        <w:t>&amp;</w:t>
      </w:r>
      <w:r w:rsidRPr="005130B7">
        <w:rPr>
          <w:lang w:val="es-CO"/>
        </w:rPr>
        <w:t>E T2 Ex-01-R at 22.</w:t>
      </w:r>
    </w:p>
  </w:footnote>
  <w:footnote w:id="201">
    <w:p w14:paraId="2B714BDA" w14:textId="64E06500" w:rsidR="007253C8" w:rsidRPr="005130B7" w:rsidRDefault="007253C8" w:rsidP="007253C8">
      <w:pPr>
        <w:pStyle w:val="FootnoteText"/>
        <w:rPr>
          <w:lang w:val="es-CO"/>
        </w:rPr>
      </w:pPr>
      <w:r>
        <w:rPr>
          <w:rStyle w:val="FootnoteReference"/>
        </w:rPr>
        <w:footnoteRef/>
      </w:r>
      <w:r w:rsidRPr="005130B7">
        <w:rPr>
          <w:lang w:val="es-CO"/>
        </w:rPr>
        <w:t xml:space="preserve"> SDG</w:t>
      </w:r>
      <w:r w:rsidR="00403B5C">
        <w:rPr>
          <w:lang w:val="es-CO"/>
        </w:rPr>
        <w:t>&amp;</w:t>
      </w:r>
      <w:r w:rsidRPr="005130B7">
        <w:rPr>
          <w:lang w:val="es-CO"/>
        </w:rPr>
        <w:t>E T2 Ex-01-R at 22.</w:t>
      </w:r>
    </w:p>
  </w:footnote>
  <w:footnote w:id="202">
    <w:p w14:paraId="3477BF04" w14:textId="77777777" w:rsidR="007253C8" w:rsidRPr="00CC6D3F" w:rsidRDefault="007253C8" w:rsidP="007253C8">
      <w:pPr>
        <w:pStyle w:val="FootnoteText"/>
      </w:pPr>
      <w:r>
        <w:rPr>
          <w:rStyle w:val="FootnoteReference"/>
        </w:rPr>
        <w:footnoteRef/>
      </w:r>
      <w:r w:rsidRPr="00FE726C">
        <w:t xml:space="preserve"> PCF-T2 Ex-41 at 4-5</w:t>
      </w:r>
      <w:r>
        <w:t>, 23.</w:t>
      </w:r>
    </w:p>
  </w:footnote>
  <w:footnote w:id="203">
    <w:p w14:paraId="70E7C79B" w14:textId="77777777" w:rsidR="007253C8" w:rsidRPr="00F01C83" w:rsidRDefault="007253C8" w:rsidP="007253C8">
      <w:pPr>
        <w:pStyle w:val="FootnoteText"/>
      </w:pPr>
      <w:r>
        <w:rPr>
          <w:rStyle w:val="FootnoteReference"/>
        </w:rPr>
        <w:footnoteRef/>
      </w:r>
      <w:r w:rsidRPr="00F01C83">
        <w:t xml:space="preserve"> SDG&amp;E T2 Ex-06C at 51.</w:t>
      </w:r>
    </w:p>
  </w:footnote>
  <w:footnote w:id="204">
    <w:p w14:paraId="06E16645" w14:textId="15101261" w:rsidR="007253C8" w:rsidRPr="00657DC7" w:rsidRDefault="007253C8" w:rsidP="007253C8">
      <w:pPr>
        <w:pStyle w:val="FootnoteText"/>
      </w:pPr>
      <w:r>
        <w:rPr>
          <w:rStyle w:val="FootnoteReference"/>
        </w:rPr>
        <w:footnoteRef/>
      </w:r>
      <w:r>
        <w:t xml:space="preserve"> Public Resources Code Sections 4292 and 4293 and General Order 95;</w:t>
      </w:r>
      <w:r w:rsidRPr="00657DC7">
        <w:t xml:space="preserve"> SDG</w:t>
      </w:r>
      <w:r w:rsidR="00403B5C">
        <w:t>&amp;</w:t>
      </w:r>
      <w:r w:rsidRPr="00657DC7">
        <w:t>E T2 Ex-01-R at 63.</w:t>
      </w:r>
    </w:p>
  </w:footnote>
  <w:footnote w:id="205">
    <w:p w14:paraId="101D1A58" w14:textId="4F6B8C30" w:rsidR="007253C8" w:rsidRPr="00F01C83" w:rsidRDefault="007253C8" w:rsidP="007253C8">
      <w:pPr>
        <w:pStyle w:val="FootnoteText"/>
        <w:rPr>
          <w:lang w:val="es-CO"/>
        </w:rPr>
      </w:pPr>
      <w:r>
        <w:rPr>
          <w:rStyle w:val="FootnoteReference"/>
        </w:rPr>
        <w:footnoteRef/>
      </w:r>
      <w:r w:rsidRPr="00F01C83">
        <w:rPr>
          <w:lang w:val="es-CO"/>
        </w:rPr>
        <w:t xml:space="preserve"> SDG</w:t>
      </w:r>
      <w:r w:rsidR="00403B5C">
        <w:rPr>
          <w:lang w:val="es-CO"/>
        </w:rPr>
        <w:t>&amp;</w:t>
      </w:r>
      <w:r w:rsidRPr="00F01C83">
        <w:rPr>
          <w:lang w:val="es-CO"/>
        </w:rPr>
        <w:t>E T2 Ex-09.</w:t>
      </w:r>
    </w:p>
  </w:footnote>
  <w:footnote w:id="206">
    <w:p w14:paraId="47885B10" w14:textId="77777777" w:rsidR="007253C8" w:rsidRPr="007507B0" w:rsidRDefault="007253C8" w:rsidP="007253C8">
      <w:pPr>
        <w:pStyle w:val="FootnoteText"/>
        <w:rPr>
          <w:lang w:val="es-CO"/>
        </w:rPr>
      </w:pPr>
      <w:r>
        <w:rPr>
          <w:rStyle w:val="FootnoteReference"/>
        </w:rPr>
        <w:footnoteRef/>
      </w:r>
      <w:r w:rsidRPr="007507B0">
        <w:rPr>
          <w:lang w:val="es-CO"/>
        </w:rPr>
        <w:t xml:space="preserve"> SDG&amp;E T2 Ex-01-R at 62-63.</w:t>
      </w:r>
    </w:p>
  </w:footnote>
  <w:footnote w:id="207">
    <w:p w14:paraId="551A5E63" w14:textId="77777777" w:rsidR="007253C8" w:rsidRPr="00485EF1" w:rsidRDefault="007253C8" w:rsidP="007253C8">
      <w:pPr>
        <w:pStyle w:val="FootnoteText"/>
        <w:rPr>
          <w:lang w:val="da-DK"/>
        </w:rPr>
      </w:pPr>
      <w:r w:rsidRPr="07FC7D73">
        <w:rPr>
          <w:rStyle w:val="FootnoteReference"/>
        </w:rPr>
        <w:footnoteRef/>
      </w:r>
      <w:r w:rsidRPr="00485EF1">
        <w:rPr>
          <w:lang w:val="da-DK"/>
        </w:rPr>
        <w:t xml:space="preserve"> PCF T2 Ex-01 at 4-5.</w:t>
      </w:r>
    </w:p>
  </w:footnote>
  <w:footnote w:id="208">
    <w:p w14:paraId="6FA3D32E" w14:textId="77777777" w:rsidR="007253C8" w:rsidRPr="00485EF1" w:rsidRDefault="007253C8" w:rsidP="007253C8">
      <w:pPr>
        <w:pStyle w:val="FootnoteText"/>
        <w:rPr>
          <w:lang w:val="da-DK"/>
        </w:rPr>
      </w:pPr>
      <w:r>
        <w:rPr>
          <w:rStyle w:val="FootnoteReference"/>
        </w:rPr>
        <w:footnoteRef/>
      </w:r>
      <w:r w:rsidRPr="00485EF1">
        <w:rPr>
          <w:lang w:val="da-DK"/>
        </w:rPr>
        <w:t xml:space="preserve"> D.97-03-070; D.17-12-024. </w:t>
      </w:r>
    </w:p>
  </w:footnote>
  <w:footnote w:id="209">
    <w:p w14:paraId="7AE97608" w14:textId="17046B3D" w:rsidR="007253C8" w:rsidRPr="00485EF1" w:rsidRDefault="007253C8" w:rsidP="007253C8">
      <w:pPr>
        <w:pStyle w:val="FootnoteText"/>
        <w:rPr>
          <w:lang w:val="da-DK"/>
        </w:rPr>
      </w:pPr>
      <w:r>
        <w:rPr>
          <w:rStyle w:val="FootnoteReference"/>
        </w:rPr>
        <w:footnoteRef/>
      </w:r>
      <w:r w:rsidRPr="00485EF1">
        <w:rPr>
          <w:lang w:val="da-DK"/>
        </w:rPr>
        <w:t xml:space="preserve"> </w:t>
      </w:r>
      <w:r w:rsidR="00816770" w:rsidRPr="00485EF1">
        <w:rPr>
          <w:lang w:val="da-DK"/>
        </w:rPr>
        <w:t xml:space="preserve">SDG&amp;E </w:t>
      </w:r>
      <w:r w:rsidRPr="00485EF1">
        <w:rPr>
          <w:lang w:val="da-DK"/>
        </w:rPr>
        <w:t>2020–2022 W</w:t>
      </w:r>
      <w:r w:rsidR="00E70838" w:rsidRPr="00485EF1">
        <w:rPr>
          <w:lang w:val="da-DK"/>
        </w:rPr>
        <w:t>MP</w:t>
      </w:r>
      <w:r w:rsidRPr="00485EF1">
        <w:rPr>
          <w:lang w:val="da-DK"/>
        </w:rPr>
        <w:t xml:space="preserve"> </w:t>
      </w:r>
      <w:r w:rsidRPr="0037110F">
        <w:rPr>
          <w:lang w:val="da-DK"/>
        </w:rPr>
        <w:t>Update</w:t>
      </w:r>
      <w:r w:rsidRPr="00485EF1">
        <w:rPr>
          <w:lang w:val="da-DK"/>
        </w:rPr>
        <w:t xml:space="preserve"> at 248.</w:t>
      </w:r>
    </w:p>
  </w:footnote>
  <w:footnote w:id="210">
    <w:p w14:paraId="69620784" w14:textId="41E769FA" w:rsidR="007253C8" w:rsidRPr="00B9618B" w:rsidRDefault="007253C8" w:rsidP="007253C8">
      <w:pPr>
        <w:pStyle w:val="FootnoteText"/>
        <w:rPr>
          <w:lang w:val="es-CO"/>
        </w:rPr>
      </w:pPr>
      <w:r>
        <w:rPr>
          <w:rStyle w:val="FootnoteReference"/>
        </w:rPr>
        <w:footnoteRef/>
      </w:r>
      <w:r w:rsidRPr="00B9618B">
        <w:rPr>
          <w:lang w:val="es-CO"/>
        </w:rPr>
        <w:t xml:space="preserve"> SDG</w:t>
      </w:r>
      <w:r w:rsidR="00403B5C">
        <w:rPr>
          <w:lang w:val="es-CO"/>
        </w:rPr>
        <w:t>&amp;</w:t>
      </w:r>
      <w:r w:rsidRPr="00B9618B">
        <w:rPr>
          <w:lang w:val="es-CO"/>
        </w:rPr>
        <w:t>E T2 Ex-01-R at 64-65.</w:t>
      </w:r>
    </w:p>
  </w:footnote>
  <w:footnote w:id="211">
    <w:p w14:paraId="70C74178" w14:textId="7E2203D6" w:rsidR="007253C8" w:rsidRPr="00B9618B" w:rsidRDefault="007253C8" w:rsidP="007253C8">
      <w:pPr>
        <w:pStyle w:val="FootnoteText"/>
        <w:rPr>
          <w:lang w:val="es-CO"/>
        </w:rPr>
      </w:pPr>
      <w:r>
        <w:rPr>
          <w:rStyle w:val="FootnoteReference"/>
        </w:rPr>
        <w:footnoteRef/>
      </w:r>
      <w:r w:rsidRPr="00B9618B">
        <w:rPr>
          <w:lang w:val="es-CO"/>
        </w:rPr>
        <w:t xml:space="preserve"> SDG</w:t>
      </w:r>
      <w:r w:rsidR="00403B5C">
        <w:rPr>
          <w:lang w:val="es-CO"/>
        </w:rPr>
        <w:t>&amp;</w:t>
      </w:r>
      <w:r w:rsidRPr="00B9618B">
        <w:rPr>
          <w:lang w:val="es-CO"/>
        </w:rPr>
        <w:t>E T2 Ex-01-R at 62.</w:t>
      </w:r>
    </w:p>
  </w:footnote>
  <w:footnote w:id="212">
    <w:p w14:paraId="272795BA" w14:textId="61B05F42" w:rsidR="007253C8" w:rsidRPr="00485EF1" w:rsidRDefault="007253C8" w:rsidP="007253C8">
      <w:pPr>
        <w:pStyle w:val="FootnoteText"/>
      </w:pPr>
      <w:r w:rsidRPr="523FD6F4">
        <w:rPr>
          <w:rStyle w:val="FootnoteReference"/>
        </w:rPr>
        <w:footnoteRef/>
      </w:r>
      <w:r w:rsidRPr="00485EF1">
        <w:t xml:space="preserve"> SDG</w:t>
      </w:r>
      <w:r w:rsidR="00403B5C" w:rsidRPr="00485EF1">
        <w:t>&amp;</w:t>
      </w:r>
      <w:r w:rsidRPr="00485EF1">
        <w:t>E T2 Ex-09.</w:t>
      </w:r>
    </w:p>
  </w:footnote>
  <w:footnote w:id="213">
    <w:p w14:paraId="34A7C13C" w14:textId="77777777" w:rsidR="007253C8" w:rsidRPr="004D2C5F" w:rsidRDefault="007253C8" w:rsidP="007253C8">
      <w:pPr>
        <w:pStyle w:val="FootnoteText"/>
      </w:pPr>
      <w:r>
        <w:rPr>
          <w:rStyle w:val="FootnoteReference"/>
        </w:rPr>
        <w:footnoteRef/>
      </w:r>
      <w:r w:rsidRPr="004D2C5F">
        <w:t xml:space="preserve"> SDG&amp;E 2020 WMP date</w:t>
      </w:r>
      <w:r>
        <w:t>d March 2, 2020 at 87.</w:t>
      </w:r>
    </w:p>
  </w:footnote>
  <w:footnote w:id="214">
    <w:p w14:paraId="22ACEB46" w14:textId="50F5156B"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62.</w:t>
      </w:r>
    </w:p>
  </w:footnote>
  <w:footnote w:id="215">
    <w:p w14:paraId="5ECA930D" w14:textId="77777777" w:rsidR="007253C8" w:rsidRPr="00485EF1" w:rsidRDefault="007253C8" w:rsidP="007253C8">
      <w:pPr>
        <w:pStyle w:val="FootnoteText"/>
        <w:rPr>
          <w:lang w:val="es-CO"/>
        </w:rPr>
      </w:pPr>
      <w:r w:rsidRPr="3D8F3C49">
        <w:rPr>
          <w:rStyle w:val="FootnoteReference"/>
        </w:rPr>
        <w:footnoteRef/>
      </w:r>
      <w:r w:rsidRPr="00485EF1">
        <w:rPr>
          <w:lang w:val="es-CO"/>
        </w:rPr>
        <w:t xml:space="preserve"> SDG&amp;E T2 Ex-01-R at 68.</w:t>
      </w:r>
    </w:p>
  </w:footnote>
  <w:footnote w:id="216">
    <w:p w14:paraId="1C784386" w14:textId="77777777" w:rsidR="007253C8" w:rsidRPr="004D2C5F" w:rsidRDefault="007253C8" w:rsidP="007253C8">
      <w:pPr>
        <w:pStyle w:val="FootnoteText"/>
        <w:rPr>
          <w:lang w:val="es-CO"/>
        </w:rPr>
      </w:pPr>
      <w:r>
        <w:rPr>
          <w:rStyle w:val="FootnoteReference"/>
        </w:rPr>
        <w:footnoteRef/>
      </w:r>
      <w:r w:rsidRPr="004D2C5F">
        <w:rPr>
          <w:lang w:val="es-CO"/>
        </w:rPr>
        <w:t xml:space="preserve"> SDG&amp;E T2 Ex-01-R at 69.</w:t>
      </w:r>
    </w:p>
  </w:footnote>
  <w:footnote w:id="217">
    <w:p w14:paraId="4CC33170" w14:textId="77777777" w:rsidR="007253C8" w:rsidRPr="00A44091" w:rsidRDefault="007253C8" w:rsidP="007253C8">
      <w:pPr>
        <w:pStyle w:val="FootnoteText"/>
        <w:rPr>
          <w:lang w:val="es-CO"/>
        </w:rPr>
      </w:pPr>
      <w:r>
        <w:rPr>
          <w:rStyle w:val="FootnoteReference"/>
        </w:rPr>
        <w:footnoteRef/>
      </w:r>
      <w:r w:rsidRPr="00A44091">
        <w:rPr>
          <w:lang w:val="es-CO"/>
        </w:rPr>
        <w:t xml:space="preserve"> SDG&amp;E T2 Ex-01-R at 68.</w:t>
      </w:r>
    </w:p>
  </w:footnote>
  <w:footnote w:id="218">
    <w:p w14:paraId="774C73A5" w14:textId="77777777" w:rsidR="007253C8" w:rsidRDefault="007253C8" w:rsidP="007253C8">
      <w:pPr>
        <w:pStyle w:val="FootnoteText"/>
      </w:pPr>
      <w:r w:rsidRPr="01B6D398">
        <w:rPr>
          <w:rStyle w:val="FootnoteReference"/>
        </w:rPr>
        <w:footnoteRef/>
      </w:r>
      <w:r>
        <w:t xml:space="preserve"> SDG&amp;E 2022 Risk Spending Accountability Report dated at A-15.</w:t>
      </w:r>
    </w:p>
  </w:footnote>
  <w:footnote w:id="219">
    <w:p w14:paraId="4AFD789A" w14:textId="77777777" w:rsidR="007253C8" w:rsidRDefault="007253C8" w:rsidP="007253C8">
      <w:pPr>
        <w:pStyle w:val="FootnoteText"/>
      </w:pPr>
      <w:r w:rsidRPr="2441FEFA">
        <w:rPr>
          <w:rStyle w:val="FootnoteReference"/>
        </w:rPr>
        <w:footnoteRef/>
      </w:r>
      <w:r>
        <w:t xml:space="preserve"> SDG&amp;E 2022 Risk Spending Accountability Report dated at A-15.</w:t>
      </w:r>
    </w:p>
  </w:footnote>
  <w:footnote w:id="220">
    <w:p w14:paraId="790888EE" w14:textId="1939829C" w:rsidR="007253C8" w:rsidRPr="0039768D" w:rsidRDefault="007253C8" w:rsidP="007253C8">
      <w:pPr>
        <w:pStyle w:val="FootnoteText"/>
      </w:pPr>
      <w:r>
        <w:rPr>
          <w:rStyle w:val="FootnoteReference"/>
        </w:rPr>
        <w:footnoteRef/>
      </w:r>
      <w:r>
        <w:t xml:space="preserve"> </w:t>
      </w:r>
      <w:r w:rsidR="00DA3D1A">
        <w:t>SDG&amp;E 2022 Risk Spending Accountability Report dated at A-15.</w:t>
      </w:r>
    </w:p>
  </w:footnote>
  <w:footnote w:id="221">
    <w:p w14:paraId="5779FC42" w14:textId="144736A9" w:rsidR="007253C8" w:rsidRPr="00485EF1" w:rsidRDefault="007253C8" w:rsidP="007253C8">
      <w:pPr>
        <w:pStyle w:val="FootnoteText"/>
        <w:rPr>
          <w:lang w:val="es-CO"/>
        </w:rPr>
      </w:pPr>
      <w:r w:rsidRPr="523FD6F4">
        <w:rPr>
          <w:rStyle w:val="FootnoteReference"/>
        </w:rPr>
        <w:footnoteRef/>
      </w:r>
      <w:r w:rsidRPr="00485EF1">
        <w:rPr>
          <w:lang w:val="es-CO"/>
        </w:rPr>
        <w:t xml:space="preserve"> SDG</w:t>
      </w:r>
      <w:r w:rsidR="00403B5C" w:rsidRPr="00485EF1">
        <w:rPr>
          <w:lang w:val="es-CO"/>
        </w:rPr>
        <w:t>&amp;</w:t>
      </w:r>
      <w:r w:rsidRPr="00485EF1">
        <w:rPr>
          <w:lang w:val="es-CO"/>
        </w:rPr>
        <w:t>E T2 Ex-01-R at 75.</w:t>
      </w:r>
    </w:p>
  </w:footnote>
  <w:footnote w:id="222">
    <w:p w14:paraId="7DCF5C18" w14:textId="77777777" w:rsidR="007253C8" w:rsidRDefault="007253C8" w:rsidP="007253C8">
      <w:pPr>
        <w:pStyle w:val="FootnoteText"/>
      </w:pPr>
      <w:r>
        <w:rPr>
          <w:rStyle w:val="FootnoteReference"/>
        </w:rPr>
        <w:footnoteRef/>
      </w:r>
      <w:r>
        <w:t xml:space="preserve"> </w:t>
      </w:r>
      <w:r w:rsidRPr="00200163">
        <w:t>SDG&amp;E Reply Brief at 36.</w:t>
      </w:r>
    </w:p>
  </w:footnote>
  <w:footnote w:id="223">
    <w:p w14:paraId="170D090C" w14:textId="77777777" w:rsidR="007253C8" w:rsidRPr="00200163" w:rsidRDefault="007253C8" w:rsidP="007253C8">
      <w:pPr>
        <w:pStyle w:val="FootnoteText"/>
      </w:pPr>
      <w:r>
        <w:rPr>
          <w:rStyle w:val="FootnoteReference"/>
        </w:rPr>
        <w:footnoteRef/>
      </w:r>
      <w:r w:rsidRPr="00200163">
        <w:t xml:space="preserve"> SDG&amp;E Reply Brief a</w:t>
      </w:r>
      <w:r>
        <w:t>t 36.</w:t>
      </w:r>
    </w:p>
  </w:footnote>
  <w:footnote w:id="224">
    <w:p w14:paraId="6A20BC71" w14:textId="77777777" w:rsidR="007253C8" w:rsidRDefault="007253C8" w:rsidP="007253C8">
      <w:pPr>
        <w:pStyle w:val="FootnoteText"/>
      </w:pPr>
      <w:r>
        <w:rPr>
          <w:rStyle w:val="FootnoteReference"/>
        </w:rPr>
        <w:footnoteRef/>
      </w:r>
      <w:r>
        <w:t xml:space="preserve"> </w:t>
      </w:r>
      <w:r w:rsidRPr="00F1142E">
        <w:t>SDG</w:t>
      </w:r>
      <w:r>
        <w:t>&amp;</w:t>
      </w:r>
      <w:r w:rsidRPr="00F1142E">
        <w:t>E</w:t>
      </w:r>
      <w:r>
        <w:t xml:space="preserve"> </w:t>
      </w:r>
      <w:r w:rsidRPr="00F1142E">
        <w:t>T2</w:t>
      </w:r>
      <w:r>
        <w:t xml:space="preserve"> Ex</w:t>
      </w:r>
      <w:r w:rsidRPr="00F1142E">
        <w:t xml:space="preserve">-01-R </w:t>
      </w:r>
      <w:r>
        <w:t xml:space="preserve">at </w:t>
      </w:r>
      <w:r w:rsidRPr="00F1142E">
        <w:t>72-73</w:t>
      </w:r>
      <w:r>
        <w:t>; SDG&amp;E Reply Brief at 37.</w:t>
      </w:r>
    </w:p>
  </w:footnote>
  <w:footnote w:id="225">
    <w:p w14:paraId="04EA25E7" w14:textId="77777777" w:rsidR="007253C8" w:rsidRDefault="007253C8" w:rsidP="007253C8">
      <w:pPr>
        <w:pStyle w:val="FootnoteText"/>
      </w:pPr>
      <w:r>
        <w:rPr>
          <w:rStyle w:val="FootnoteReference"/>
        </w:rPr>
        <w:footnoteRef/>
      </w:r>
      <w:r>
        <w:t xml:space="preserve"> </w:t>
      </w:r>
      <w:r w:rsidRPr="00131FA2">
        <w:t>SDG&amp;E Reply Brief at 3</w:t>
      </w:r>
      <w:r>
        <w:t>8</w:t>
      </w:r>
      <w:r w:rsidRPr="00131FA2">
        <w:t>.</w:t>
      </w:r>
    </w:p>
  </w:footnote>
  <w:footnote w:id="226">
    <w:p w14:paraId="25BCC325" w14:textId="4ADF21ED"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72-73.</w:t>
      </w:r>
    </w:p>
  </w:footnote>
  <w:footnote w:id="227">
    <w:p w14:paraId="55972D12" w14:textId="734DCDAA"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71.</w:t>
      </w:r>
    </w:p>
  </w:footnote>
  <w:footnote w:id="228">
    <w:p w14:paraId="23A8E215" w14:textId="77777777" w:rsidR="007253C8" w:rsidRDefault="007253C8" w:rsidP="007253C8">
      <w:pPr>
        <w:pStyle w:val="FootnoteText"/>
      </w:pPr>
      <w:r>
        <w:rPr>
          <w:rStyle w:val="FootnoteReference"/>
        </w:rPr>
        <w:footnoteRef/>
      </w:r>
      <w:r>
        <w:t xml:space="preserve"> PCF T2 Ex-01 at 13-14; </w:t>
      </w:r>
      <w:r w:rsidRPr="0052296A">
        <w:t xml:space="preserve">PCF </w:t>
      </w:r>
      <w:r>
        <w:t xml:space="preserve">Opening Brief </w:t>
      </w:r>
      <w:r w:rsidRPr="0052296A">
        <w:t>at 57</w:t>
      </w:r>
      <w:r>
        <w:t>.</w:t>
      </w:r>
    </w:p>
  </w:footnote>
  <w:footnote w:id="229">
    <w:p w14:paraId="20F6119A" w14:textId="77777777" w:rsidR="007253C8" w:rsidRDefault="007253C8" w:rsidP="007253C8">
      <w:pPr>
        <w:pStyle w:val="FootnoteText"/>
      </w:pPr>
      <w:r>
        <w:rPr>
          <w:rStyle w:val="FootnoteReference"/>
        </w:rPr>
        <w:footnoteRef/>
      </w:r>
      <w:r>
        <w:t xml:space="preserve"> PCF Reply Brief at 57-58.</w:t>
      </w:r>
    </w:p>
  </w:footnote>
  <w:footnote w:id="230">
    <w:p w14:paraId="1B0E0FD9" w14:textId="77777777" w:rsidR="007253C8" w:rsidRDefault="007253C8" w:rsidP="007253C8">
      <w:pPr>
        <w:pStyle w:val="FootnoteText"/>
      </w:pPr>
      <w:r>
        <w:rPr>
          <w:rStyle w:val="FootnoteReference"/>
        </w:rPr>
        <w:footnoteRef/>
      </w:r>
      <w:r>
        <w:t xml:space="preserve"> </w:t>
      </w:r>
      <w:r w:rsidRPr="00190A85">
        <w:t>PCF Opening Brief at 58</w:t>
      </w:r>
      <w:r>
        <w:t>.</w:t>
      </w:r>
    </w:p>
  </w:footnote>
  <w:footnote w:id="231">
    <w:p w14:paraId="0582B594" w14:textId="77777777" w:rsidR="007253C8" w:rsidRPr="006F1EA5" w:rsidRDefault="007253C8" w:rsidP="007253C8">
      <w:pPr>
        <w:pStyle w:val="FootnoteText"/>
      </w:pPr>
      <w:r>
        <w:rPr>
          <w:rStyle w:val="FootnoteReference"/>
        </w:rPr>
        <w:footnoteRef/>
      </w:r>
      <w:r w:rsidRPr="006F1EA5">
        <w:t xml:space="preserve"> SDG&amp;E </w:t>
      </w:r>
      <w:r>
        <w:t xml:space="preserve">Reply </w:t>
      </w:r>
      <w:r w:rsidRPr="006F1EA5">
        <w:t>Brief a</w:t>
      </w:r>
      <w:r>
        <w:t>t 36-39.</w:t>
      </w:r>
    </w:p>
  </w:footnote>
  <w:footnote w:id="232">
    <w:p w14:paraId="027C95A8" w14:textId="77777777" w:rsidR="007253C8" w:rsidRDefault="007253C8" w:rsidP="007253C8">
      <w:pPr>
        <w:pStyle w:val="FootnoteText"/>
      </w:pPr>
      <w:r>
        <w:rPr>
          <w:rStyle w:val="FootnoteReference"/>
        </w:rPr>
        <w:footnoteRef/>
      </w:r>
      <w:r>
        <w:t xml:space="preserve"> </w:t>
      </w:r>
      <w:r w:rsidRPr="00FB633E">
        <w:t>SDG&amp;E 2020 WMP </w:t>
      </w:r>
      <w:r>
        <w:t>dated February 7, 2020 at 1</w:t>
      </w:r>
      <w:r w:rsidRPr="00FB633E">
        <w:t>05</w:t>
      </w:r>
      <w:r>
        <w:t xml:space="preserve">, </w:t>
      </w:r>
      <w:r w:rsidRPr="00FB633E">
        <w:t>SDG&amp;E 2020 WMP </w:t>
      </w:r>
      <w:r>
        <w:t xml:space="preserve">dated March 2, 2020 at </w:t>
      </w:r>
      <w:r w:rsidRPr="00FB633E">
        <w:t>106.</w:t>
      </w:r>
    </w:p>
  </w:footnote>
  <w:footnote w:id="233">
    <w:p w14:paraId="63CEAD3E" w14:textId="24D40651" w:rsidR="00B509AE" w:rsidRDefault="00B509AE">
      <w:pPr>
        <w:pStyle w:val="FootnoteText"/>
      </w:pPr>
      <w:r>
        <w:rPr>
          <w:rStyle w:val="FootnoteReference"/>
        </w:rPr>
        <w:footnoteRef/>
      </w:r>
      <w:r>
        <w:t xml:space="preserve"> </w:t>
      </w:r>
      <w:r w:rsidR="000C6627">
        <w:t xml:space="preserve">From SDG&amp;E’s figures in Table 7.6A for </w:t>
      </w:r>
      <w:r w:rsidR="00B71C05">
        <w:t>2019</w:t>
      </w:r>
      <w:r w:rsidR="000C6627">
        <w:t xml:space="preserve">, </w:t>
      </w:r>
      <w:r w:rsidR="004C12FD" w:rsidRPr="004C12FD">
        <w:t>$274,000 in capital expenditures plus $13,557 in O&amp;M costs divided by 37,310 inspections equals $371 per inspection.</w:t>
      </w:r>
    </w:p>
  </w:footnote>
  <w:footnote w:id="234">
    <w:p w14:paraId="318437ED" w14:textId="77777777" w:rsidR="007253C8" w:rsidRDefault="007253C8" w:rsidP="007253C8">
      <w:pPr>
        <w:pStyle w:val="FootnoteText"/>
      </w:pPr>
      <w:r w:rsidRPr="73E4AAD3">
        <w:rPr>
          <w:rStyle w:val="FootnoteReference"/>
        </w:rPr>
        <w:footnoteRef/>
      </w:r>
      <w:r>
        <w:t xml:space="preserve"> SDG&amp;E 2020 WMP Q4 Report at 11.</w:t>
      </w:r>
    </w:p>
  </w:footnote>
  <w:footnote w:id="235">
    <w:p w14:paraId="38624BBF" w14:textId="10136F1B" w:rsidR="007253C8" w:rsidRDefault="007253C8" w:rsidP="007253C8">
      <w:pPr>
        <w:pStyle w:val="FootnoteText"/>
      </w:pPr>
      <w:r>
        <w:rPr>
          <w:rStyle w:val="FootnoteReference"/>
        </w:rPr>
        <w:footnoteRef/>
      </w:r>
      <w:r>
        <w:t xml:space="preserve"> </w:t>
      </w:r>
      <w:r w:rsidRPr="00B80E83">
        <w:t>SDG&amp;E 2020 WMP </w:t>
      </w:r>
      <w:r>
        <w:t xml:space="preserve">dated February 7, 2020 at </w:t>
      </w:r>
      <w:r w:rsidRPr="00B80E83">
        <w:t>105; SDG&amp;E 2020 WMP Revised (</w:t>
      </w:r>
      <w:r>
        <w:t>Mar. 2, 2020</w:t>
      </w:r>
      <w:r w:rsidRPr="00B80E83">
        <w:t>) at 106</w:t>
      </w:r>
      <w:r>
        <w:t xml:space="preserve">; </w:t>
      </w:r>
      <w:r w:rsidRPr="008C6F3D">
        <w:t>SDG&amp;E 2020 WMP Q4 Report at 11.</w:t>
      </w:r>
    </w:p>
  </w:footnote>
  <w:footnote w:id="236">
    <w:p w14:paraId="0CC392EE" w14:textId="6F5D1B5A" w:rsidR="00B47579" w:rsidRPr="00B47579" w:rsidRDefault="00B47579">
      <w:pPr>
        <w:pStyle w:val="FootnoteText"/>
      </w:pPr>
      <w:r>
        <w:rPr>
          <w:rStyle w:val="FootnoteReference"/>
        </w:rPr>
        <w:footnoteRef/>
      </w:r>
      <w:r w:rsidRPr="00B47579">
        <w:t xml:space="preserve"> SDG&amp;E </w:t>
      </w:r>
      <w:r w:rsidRPr="0037110F">
        <w:t xml:space="preserve">Opening </w:t>
      </w:r>
      <w:r>
        <w:t>Comments at 11-16.</w:t>
      </w:r>
    </w:p>
  </w:footnote>
  <w:footnote w:id="237">
    <w:p w14:paraId="20651DA3" w14:textId="7AD79125" w:rsidR="00D957CE" w:rsidRPr="001B5F28" w:rsidRDefault="00D957CE">
      <w:pPr>
        <w:pStyle w:val="FootnoteText"/>
      </w:pPr>
      <w:r>
        <w:rPr>
          <w:rStyle w:val="FootnoteReference"/>
        </w:rPr>
        <w:footnoteRef/>
      </w:r>
      <w:r w:rsidRPr="001B5F28">
        <w:t xml:space="preserve"> </w:t>
      </w:r>
      <w:r w:rsidR="0077309D" w:rsidRPr="001A79EB">
        <w:t>D.22-06-032 at 8</w:t>
      </w:r>
      <w:r w:rsidR="00734301">
        <w:t>,</w:t>
      </w:r>
      <w:r w:rsidR="0077309D">
        <w:t xml:space="preserve"> quoting </w:t>
      </w:r>
      <w:r w:rsidR="0077309D" w:rsidRPr="000772C9">
        <w:t>D.02-08-064 at 6</w:t>
      </w:r>
      <w:r w:rsidR="00734301">
        <w:t>,</w:t>
      </w:r>
      <w:r w:rsidR="0077309D" w:rsidRPr="000772C9">
        <w:t xml:space="preserve"> quoting D.87-06-021</w:t>
      </w:r>
      <w:r w:rsidR="0077309D">
        <w:t>.</w:t>
      </w:r>
    </w:p>
  </w:footnote>
  <w:footnote w:id="238">
    <w:p w14:paraId="15683CD6" w14:textId="6C5FEE34" w:rsidR="009523CA" w:rsidRPr="001B5F28" w:rsidRDefault="009523CA">
      <w:pPr>
        <w:pStyle w:val="FootnoteText"/>
      </w:pPr>
      <w:r>
        <w:rPr>
          <w:rStyle w:val="FootnoteReference"/>
        </w:rPr>
        <w:footnoteRef/>
      </w:r>
      <w:r w:rsidRPr="001B5F28">
        <w:t xml:space="preserve"> D.24-12-074 at </w:t>
      </w:r>
      <w:r w:rsidRPr="0037110F">
        <w:t>467-468.</w:t>
      </w:r>
    </w:p>
  </w:footnote>
  <w:footnote w:id="239">
    <w:p w14:paraId="2D6985A4" w14:textId="4AAC06C0" w:rsidR="001D4D18" w:rsidRPr="001D4D18" w:rsidRDefault="001D4D18">
      <w:pPr>
        <w:pStyle w:val="FootnoteText"/>
      </w:pPr>
      <w:r>
        <w:rPr>
          <w:rStyle w:val="FootnoteReference"/>
        </w:rPr>
        <w:footnoteRef/>
      </w:r>
      <w:r w:rsidRPr="001D4D18">
        <w:t xml:space="preserve"> SDG&amp;E </w:t>
      </w:r>
      <w:r w:rsidRPr="0037110F">
        <w:t xml:space="preserve">Opening Comments at </w:t>
      </w:r>
      <w:r w:rsidR="00485EF1">
        <w:t xml:space="preserve">2, </w:t>
      </w:r>
      <w:r>
        <w:t>12.</w:t>
      </w:r>
    </w:p>
  </w:footnote>
  <w:footnote w:id="240">
    <w:p w14:paraId="56C2A8C8" w14:textId="3098FE30" w:rsidR="00C94010" w:rsidRDefault="00C94010">
      <w:pPr>
        <w:pStyle w:val="FootnoteText"/>
      </w:pPr>
      <w:r>
        <w:rPr>
          <w:rStyle w:val="FootnoteReference"/>
        </w:rPr>
        <w:footnoteRef/>
      </w:r>
      <w:r>
        <w:t xml:space="preserve"> SDG&amp;E Opening Comments at 2.</w:t>
      </w:r>
    </w:p>
  </w:footnote>
  <w:footnote w:id="241">
    <w:p w14:paraId="566D78C6" w14:textId="248A37AE" w:rsidR="00C94010" w:rsidRPr="00C94010" w:rsidRDefault="00C94010">
      <w:pPr>
        <w:pStyle w:val="FootnoteText"/>
      </w:pPr>
      <w:r>
        <w:rPr>
          <w:rStyle w:val="FootnoteReference"/>
        </w:rPr>
        <w:footnoteRef/>
      </w:r>
      <w:r w:rsidRPr="00C94010">
        <w:t xml:space="preserve"> SDG&amp;E </w:t>
      </w:r>
      <w:r w:rsidRPr="0037110F">
        <w:t xml:space="preserve">Opening Comments at </w:t>
      </w:r>
      <w:r>
        <w:t>14.</w:t>
      </w:r>
    </w:p>
  </w:footnote>
  <w:footnote w:id="242">
    <w:p w14:paraId="50CFA02A" w14:textId="77777777" w:rsidR="00EC1CCD" w:rsidRPr="005A3E20" w:rsidRDefault="00EC1CCD" w:rsidP="00EC1CCD">
      <w:pPr>
        <w:pStyle w:val="FootnoteText"/>
      </w:pPr>
      <w:r>
        <w:rPr>
          <w:rStyle w:val="FootnoteReference"/>
        </w:rPr>
        <w:footnoteRef/>
      </w:r>
      <w:r w:rsidRPr="005A3E20">
        <w:t xml:space="preserve"> SDG&amp;E</w:t>
      </w:r>
      <w:r w:rsidRPr="00832233">
        <w:t xml:space="preserve"> Opening Comments at 1</w:t>
      </w:r>
      <w:r>
        <w:t>5-16.</w:t>
      </w:r>
    </w:p>
  </w:footnote>
  <w:footnote w:id="243">
    <w:p w14:paraId="2E009E1D" w14:textId="77777777" w:rsidR="007253C8" w:rsidRPr="001B5F28" w:rsidRDefault="007253C8" w:rsidP="007253C8">
      <w:pPr>
        <w:pStyle w:val="FootnoteText"/>
      </w:pPr>
      <w:r>
        <w:rPr>
          <w:rStyle w:val="FootnoteReference"/>
        </w:rPr>
        <w:footnoteRef/>
      </w:r>
      <w:r w:rsidRPr="001B5F28">
        <w:t xml:space="preserve"> PCF T2 Ex-01 at 13-14.</w:t>
      </w:r>
    </w:p>
  </w:footnote>
  <w:footnote w:id="244">
    <w:p w14:paraId="68BE97D9" w14:textId="77777777" w:rsidR="007253C8" w:rsidRDefault="007253C8" w:rsidP="007253C8">
      <w:pPr>
        <w:pStyle w:val="FootnoteText"/>
      </w:pPr>
      <w:r w:rsidRPr="6D755159">
        <w:rPr>
          <w:rStyle w:val="FootnoteReference"/>
        </w:rPr>
        <w:footnoteRef/>
      </w:r>
      <w:r>
        <w:t xml:space="preserve"> PCF T2 Ex-01 at 17-18.</w:t>
      </w:r>
    </w:p>
  </w:footnote>
  <w:footnote w:id="245">
    <w:p w14:paraId="29665AF9" w14:textId="3F3746AD" w:rsidR="00CC19EA" w:rsidRDefault="00CC19EA">
      <w:pPr>
        <w:pStyle w:val="FootnoteText"/>
      </w:pPr>
      <w:r>
        <w:rPr>
          <w:rStyle w:val="FootnoteReference"/>
        </w:rPr>
        <w:footnoteRef/>
      </w:r>
      <w:r>
        <w:t xml:space="preserve"> </w:t>
      </w:r>
      <w:r w:rsidRPr="00CC19EA">
        <w:rPr>
          <w:i/>
          <w:iCs/>
        </w:rPr>
        <w:t>See</w:t>
      </w:r>
      <w:r w:rsidR="00366A3D">
        <w:rPr>
          <w:i/>
          <w:iCs/>
        </w:rPr>
        <w:t xml:space="preserve"> </w:t>
      </w:r>
      <w:r w:rsidR="00366A3D">
        <w:t>D.24-12-074 at 233, 239, D</w:t>
      </w:r>
      <w:r w:rsidR="00366A3D" w:rsidRPr="0037110F">
        <w:rPr>
          <w:i/>
          <w:iCs/>
        </w:rPr>
        <w:t xml:space="preserve">ecision </w:t>
      </w:r>
      <w:r w:rsidRPr="0037110F">
        <w:rPr>
          <w:i/>
          <w:iCs/>
        </w:rPr>
        <w:t>Addressing The 2024 Test Year General Rate Cases of Southern California Gas Company and San Diego Gas &amp; Electric Company</w:t>
      </w:r>
      <w:r w:rsidRPr="00CC19EA">
        <w:t xml:space="preserve">, </w:t>
      </w:r>
      <w:r w:rsidR="00366A3D">
        <w:t>dated.</w:t>
      </w:r>
    </w:p>
  </w:footnote>
  <w:footnote w:id="246">
    <w:p w14:paraId="72D44D73" w14:textId="77777777" w:rsidR="007253C8" w:rsidRDefault="007253C8" w:rsidP="007253C8">
      <w:pPr>
        <w:pStyle w:val="FootnoteText"/>
      </w:pPr>
      <w:r>
        <w:rPr>
          <w:rStyle w:val="FootnoteReference"/>
        </w:rPr>
        <w:footnoteRef/>
      </w:r>
      <w:r>
        <w:t xml:space="preserve"> </w:t>
      </w:r>
      <w:r w:rsidRPr="00646036">
        <w:t>PCF Opening Brief at 63, citing to D.16-08-018 at 192.</w:t>
      </w:r>
    </w:p>
  </w:footnote>
  <w:footnote w:id="247">
    <w:p w14:paraId="55AC2B03" w14:textId="79848140"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67.</w:t>
      </w:r>
    </w:p>
  </w:footnote>
  <w:footnote w:id="248">
    <w:p w14:paraId="48FB0435" w14:textId="76EF864D" w:rsidR="007253C8" w:rsidRPr="00485EF1" w:rsidRDefault="007253C8" w:rsidP="007253C8">
      <w:pPr>
        <w:pStyle w:val="FootnoteText"/>
        <w:rPr>
          <w:lang w:val="es-CO"/>
        </w:rPr>
      </w:pPr>
      <w:r>
        <w:rPr>
          <w:rStyle w:val="FootnoteReference"/>
        </w:rPr>
        <w:footnoteRef/>
      </w:r>
      <w:r w:rsidRPr="00485EF1">
        <w:rPr>
          <w:lang w:val="es-CO"/>
        </w:rPr>
        <w:t xml:space="preserve"> </w:t>
      </w:r>
      <w:r w:rsidR="00BA63C2" w:rsidRPr="00485EF1">
        <w:rPr>
          <w:lang w:val="es-CO"/>
        </w:rPr>
        <w:t>SDG</w:t>
      </w:r>
      <w:r w:rsidR="00403B5C" w:rsidRPr="00485EF1">
        <w:rPr>
          <w:lang w:val="es-CO"/>
        </w:rPr>
        <w:t>&amp;</w:t>
      </w:r>
      <w:r w:rsidR="00BA63C2" w:rsidRPr="00485EF1">
        <w:rPr>
          <w:lang w:val="es-CO"/>
        </w:rPr>
        <w:t>E T2 Ex-01-R at 67.</w:t>
      </w:r>
    </w:p>
  </w:footnote>
  <w:footnote w:id="249">
    <w:p w14:paraId="60DD313B" w14:textId="57007362" w:rsidR="007253C8" w:rsidRPr="00485EF1" w:rsidRDefault="007253C8" w:rsidP="007253C8">
      <w:pPr>
        <w:pStyle w:val="FootnoteText"/>
        <w:rPr>
          <w:lang w:val="es-CO"/>
        </w:rPr>
      </w:pPr>
      <w:r>
        <w:rPr>
          <w:rStyle w:val="FootnoteReference"/>
        </w:rPr>
        <w:footnoteRef/>
      </w:r>
      <w:r w:rsidRPr="00485EF1">
        <w:rPr>
          <w:lang w:val="es-CO"/>
        </w:rPr>
        <w:t xml:space="preserve"> </w:t>
      </w:r>
      <w:r w:rsidR="00BA63C2" w:rsidRPr="00485EF1">
        <w:rPr>
          <w:lang w:val="es-CO"/>
        </w:rPr>
        <w:t>SDG</w:t>
      </w:r>
      <w:r w:rsidR="00403B5C" w:rsidRPr="00485EF1">
        <w:rPr>
          <w:lang w:val="es-CO"/>
        </w:rPr>
        <w:t>&amp;</w:t>
      </w:r>
      <w:r w:rsidR="00BA63C2" w:rsidRPr="00485EF1">
        <w:rPr>
          <w:lang w:val="es-CO"/>
        </w:rPr>
        <w:t>E T2 Ex-01-R at 67.</w:t>
      </w:r>
    </w:p>
  </w:footnote>
  <w:footnote w:id="250">
    <w:p w14:paraId="20B68551" w14:textId="250F7C44"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67.</w:t>
      </w:r>
    </w:p>
  </w:footnote>
  <w:footnote w:id="251">
    <w:p w14:paraId="152548F3" w14:textId="7E347B5C" w:rsidR="007253C8" w:rsidRPr="00485EF1" w:rsidRDefault="007253C8" w:rsidP="007253C8">
      <w:pPr>
        <w:pStyle w:val="FootnoteText"/>
        <w:rPr>
          <w:lang w:val="es-CO"/>
        </w:rPr>
      </w:pPr>
      <w:r>
        <w:rPr>
          <w:rStyle w:val="FootnoteReference"/>
        </w:rPr>
        <w:footnoteRef/>
      </w:r>
      <w:r w:rsidRPr="00485EF1">
        <w:rPr>
          <w:lang w:val="es-CO"/>
        </w:rPr>
        <w:t xml:space="preserve"> </w:t>
      </w:r>
      <w:r w:rsidR="00BA63C2" w:rsidRPr="00485EF1">
        <w:rPr>
          <w:lang w:val="es-CO"/>
        </w:rPr>
        <w:t>SDG</w:t>
      </w:r>
      <w:r w:rsidR="00403B5C" w:rsidRPr="00485EF1">
        <w:rPr>
          <w:lang w:val="es-CO"/>
        </w:rPr>
        <w:t>&amp;</w:t>
      </w:r>
      <w:r w:rsidR="00BA63C2" w:rsidRPr="00485EF1">
        <w:rPr>
          <w:lang w:val="es-CO"/>
        </w:rPr>
        <w:t>E T2 Ex-01-R at 67.</w:t>
      </w:r>
    </w:p>
  </w:footnote>
  <w:footnote w:id="252">
    <w:p w14:paraId="526C418E" w14:textId="2E5BF06C"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74.</w:t>
      </w:r>
    </w:p>
  </w:footnote>
  <w:footnote w:id="253">
    <w:p w14:paraId="1E1BD608" w14:textId="5CCD7E86"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73.</w:t>
      </w:r>
    </w:p>
  </w:footnote>
  <w:footnote w:id="254">
    <w:p w14:paraId="2CEEA489" w14:textId="551943D6"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76.</w:t>
      </w:r>
    </w:p>
  </w:footnote>
  <w:footnote w:id="255">
    <w:p w14:paraId="5EBC16D7" w14:textId="7603CEE2" w:rsidR="0000310C" w:rsidRPr="0037110F" w:rsidRDefault="0000310C">
      <w:pPr>
        <w:pStyle w:val="FootnoteText"/>
        <w:rPr>
          <w:lang w:val="es-CO"/>
        </w:rPr>
      </w:pPr>
      <w:r>
        <w:rPr>
          <w:rStyle w:val="FootnoteReference"/>
        </w:rPr>
        <w:footnoteRef/>
      </w:r>
      <w:r w:rsidRPr="0037110F">
        <w:rPr>
          <w:lang w:val="es-CO"/>
        </w:rPr>
        <w:t xml:space="preserve"> SDG&amp;E T2 Ex-0</w:t>
      </w:r>
      <w:r>
        <w:rPr>
          <w:lang w:val="es-CO"/>
        </w:rPr>
        <w:t>1-R at 76.</w:t>
      </w:r>
    </w:p>
  </w:footnote>
  <w:footnote w:id="256">
    <w:p w14:paraId="73D8FFDD" w14:textId="549A10B6" w:rsidR="00923ED8" w:rsidRDefault="00923ED8">
      <w:pPr>
        <w:pStyle w:val="FootnoteText"/>
      </w:pPr>
      <w:r>
        <w:rPr>
          <w:rStyle w:val="FootnoteReference"/>
        </w:rPr>
        <w:footnoteRef/>
      </w:r>
      <w:r>
        <w:t xml:space="preserve"> SDG&amp;E Opening Comments at 22, fn. 74 citing to </w:t>
      </w:r>
      <w:r w:rsidRPr="00923ED8">
        <w:t>SDG&amp;E</w:t>
      </w:r>
      <w:r>
        <w:t xml:space="preserve"> Ex</w:t>
      </w:r>
      <w:r w:rsidRPr="00923ED8">
        <w:t>-T2-01</w:t>
      </w:r>
      <w:r>
        <w:t>-</w:t>
      </w:r>
      <w:r w:rsidRPr="00923ED8">
        <w:t xml:space="preserve">R-C </w:t>
      </w:r>
      <w:r>
        <w:t>(</w:t>
      </w:r>
      <w:r w:rsidRPr="00923ED8">
        <w:t>SDG&amp;E 2022 WMP Update).</w:t>
      </w:r>
    </w:p>
  </w:footnote>
  <w:footnote w:id="257">
    <w:p w14:paraId="5A2AD503" w14:textId="7799119B"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76.</w:t>
      </w:r>
    </w:p>
  </w:footnote>
  <w:footnote w:id="258">
    <w:p w14:paraId="383ACB9A" w14:textId="21E25153" w:rsidR="007253C8" w:rsidRPr="00485EF1" w:rsidRDefault="007253C8" w:rsidP="007253C8">
      <w:pPr>
        <w:pStyle w:val="FootnoteText"/>
        <w:rPr>
          <w:lang w:val="es-CO"/>
        </w:rPr>
      </w:pPr>
      <w:r>
        <w:rPr>
          <w:rStyle w:val="FootnoteReference"/>
        </w:rPr>
        <w:footnoteRef/>
      </w:r>
      <w:r w:rsidRPr="00485EF1">
        <w:rPr>
          <w:lang w:val="es-CO"/>
        </w:rPr>
        <w:t xml:space="preserve"> </w:t>
      </w:r>
      <w:r w:rsidR="00EF229F" w:rsidRPr="00485EF1">
        <w:rPr>
          <w:lang w:val="es-CO"/>
        </w:rPr>
        <w:t>SDG</w:t>
      </w:r>
      <w:r w:rsidR="00403B5C" w:rsidRPr="00485EF1">
        <w:rPr>
          <w:lang w:val="es-CO"/>
        </w:rPr>
        <w:t>&amp;</w:t>
      </w:r>
      <w:r w:rsidR="00EF229F" w:rsidRPr="00485EF1">
        <w:rPr>
          <w:lang w:val="es-CO"/>
        </w:rPr>
        <w:t>E T2 Ex-01-R at 76.</w:t>
      </w:r>
    </w:p>
  </w:footnote>
  <w:footnote w:id="259">
    <w:p w14:paraId="42A1A1EB" w14:textId="6779AE25" w:rsidR="007253C8" w:rsidRPr="00485EF1" w:rsidRDefault="007253C8" w:rsidP="007253C8">
      <w:pPr>
        <w:pStyle w:val="FootnoteText"/>
        <w:rPr>
          <w:i/>
          <w:iCs/>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79.</w:t>
      </w:r>
    </w:p>
  </w:footnote>
  <w:footnote w:id="260">
    <w:p w14:paraId="4DCD9F71" w14:textId="77777777" w:rsidR="007253C8" w:rsidRPr="00485EF1" w:rsidRDefault="007253C8" w:rsidP="007253C8">
      <w:pPr>
        <w:pStyle w:val="FootnoteText"/>
      </w:pPr>
      <w:r>
        <w:rPr>
          <w:rStyle w:val="FootnoteReference"/>
        </w:rPr>
        <w:footnoteRef/>
      </w:r>
      <w:r w:rsidRPr="00485EF1">
        <w:t xml:space="preserve"> D.19-09-051.</w:t>
      </w:r>
    </w:p>
  </w:footnote>
  <w:footnote w:id="261">
    <w:p w14:paraId="646AA18B" w14:textId="77777777" w:rsidR="007253C8" w:rsidRPr="00485EF1" w:rsidRDefault="007253C8" w:rsidP="007253C8">
      <w:pPr>
        <w:pStyle w:val="FootnoteText"/>
      </w:pPr>
      <w:r>
        <w:rPr>
          <w:rStyle w:val="FootnoteReference"/>
        </w:rPr>
        <w:footnoteRef/>
      </w:r>
      <w:r w:rsidRPr="00485EF1">
        <w:t xml:space="preserve"> D.19-09-051 at 266-267.</w:t>
      </w:r>
    </w:p>
  </w:footnote>
  <w:footnote w:id="262">
    <w:p w14:paraId="69C4361F" w14:textId="77777777" w:rsidR="007253C8" w:rsidRDefault="007253C8" w:rsidP="007253C8">
      <w:pPr>
        <w:pStyle w:val="FootnoteText"/>
      </w:pPr>
      <w:r>
        <w:rPr>
          <w:rStyle w:val="FootnoteReference"/>
        </w:rPr>
        <w:footnoteRef/>
      </w:r>
      <w:r>
        <w:t xml:space="preserve"> </w:t>
      </w:r>
      <w:r w:rsidRPr="00963950">
        <w:t>C</w:t>
      </w:r>
      <w:r>
        <w:t xml:space="preserve">al </w:t>
      </w:r>
      <w:r w:rsidRPr="00963950">
        <w:t>A</w:t>
      </w:r>
      <w:r>
        <w:t>dvocates</w:t>
      </w:r>
      <w:r w:rsidRPr="00963950">
        <w:t xml:space="preserve"> Opening Brief at 12</w:t>
      </w:r>
    </w:p>
  </w:footnote>
  <w:footnote w:id="263">
    <w:p w14:paraId="275D414B" w14:textId="77777777" w:rsidR="007253C8" w:rsidRDefault="007253C8" w:rsidP="007253C8">
      <w:pPr>
        <w:pStyle w:val="FootnoteText"/>
      </w:pPr>
      <w:r>
        <w:rPr>
          <w:rStyle w:val="FootnoteReference"/>
        </w:rPr>
        <w:footnoteRef/>
      </w:r>
      <w:r>
        <w:t xml:space="preserve"> SDG&amp;E Reply Brief at 44-45.</w:t>
      </w:r>
    </w:p>
  </w:footnote>
  <w:footnote w:id="264">
    <w:p w14:paraId="3F9EA1A7" w14:textId="77777777" w:rsidR="007253C8" w:rsidRDefault="007253C8" w:rsidP="007253C8">
      <w:pPr>
        <w:pStyle w:val="FootnoteText"/>
      </w:pPr>
      <w:r>
        <w:rPr>
          <w:rStyle w:val="FootnoteReference"/>
        </w:rPr>
        <w:footnoteRef/>
      </w:r>
      <w:r>
        <w:t xml:space="preserve"> </w:t>
      </w:r>
      <w:r w:rsidRPr="00963950">
        <w:t>P</w:t>
      </w:r>
      <w:r>
        <w:t>ub. Util. Code S</w:t>
      </w:r>
      <w:r w:rsidRPr="00963950">
        <w:t>ection 8386.4(a) state</w:t>
      </w:r>
      <w:r>
        <w:t>s that “a</w:t>
      </w:r>
      <w:r w:rsidRPr="0097347B">
        <w:t>t the time of approval of an electrical corporation’s wildfire mitigation plan, the commission shall authorize the electrical corporation to establish a memorandum account to track costs incurred to implement the plan.</w:t>
      </w:r>
      <w:r>
        <w:t>” Pub. Util. Code Section 8386.4</w:t>
      </w:r>
      <w:r w:rsidRPr="00963950">
        <w:t>(b)(1)</w:t>
      </w:r>
      <w:r>
        <w:t xml:space="preserve"> states that “E</w:t>
      </w:r>
      <w:r w:rsidRPr="0097347B">
        <w:t>ach electrical corporation shall establish a memorandum account to track costs incurred for fire risk mitigation that are not otherwise covered in the electrical corporation’s revenue requirements.</w:t>
      </w:r>
      <w:r>
        <w:t>”</w:t>
      </w:r>
    </w:p>
  </w:footnote>
  <w:footnote w:id="265">
    <w:p w14:paraId="43AC617A" w14:textId="77777777" w:rsidR="007253C8" w:rsidRDefault="007253C8" w:rsidP="007253C8">
      <w:pPr>
        <w:pStyle w:val="FootnoteText"/>
      </w:pPr>
      <w:r>
        <w:rPr>
          <w:rStyle w:val="FootnoteReference"/>
        </w:rPr>
        <w:footnoteRef/>
      </w:r>
      <w:r>
        <w:t xml:space="preserve"> SDG&amp;E Opening Brief at 57, citing to </w:t>
      </w:r>
      <w:r w:rsidRPr="00B65BF2">
        <w:t>SB 247, Stats. 2019-2020, Ch. 406 at Section 2(b)</w:t>
      </w:r>
      <w:r>
        <w:t>.</w:t>
      </w:r>
    </w:p>
  </w:footnote>
  <w:footnote w:id="266">
    <w:p w14:paraId="47246F0B" w14:textId="77777777" w:rsidR="007253C8" w:rsidRDefault="007253C8" w:rsidP="007253C8">
      <w:pPr>
        <w:pStyle w:val="FootnoteText"/>
      </w:pPr>
      <w:r>
        <w:rPr>
          <w:rStyle w:val="FootnoteReference"/>
        </w:rPr>
        <w:footnoteRef/>
      </w:r>
      <w:r>
        <w:t xml:space="preserve"> SDG&amp;E Reply Brief at 44-45.</w:t>
      </w:r>
    </w:p>
  </w:footnote>
  <w:footnote w:id="267">
    <w:p w14:paraId="5BC4DE26" w14:textId="78381BB5"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78.</w:t>
      </w:r>
    </w:p>
  </w:footnote>
  <w:footnote w:id="268">
    <w:p w14:paraId="2A8B39E3" w14:textId="25135E47"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78.</w:t>
      </w:r>
    </w:p>
  </w:footnote>
  <w:footnote w:id="269">
    <w:p w14:paraId="67D849B5" w14:textId="0977745E" w:rsidR="00FD0B48" w:rsidRDefault="00FD0B48">
      <w:pPr>
        <w:pStyle w:val="FootnoteText"/>
      </w:pPr>
      <w:r>
        <w:rPr>
          <w:rStyle w:val="FootnoteReference"/>
        </w:rPr>
        <w:footnoteRef/>
      </w:r>
      <w:r>
        <w:t xml:space="preserve"> SDG&amp;E Opening Comments at 23.</w:t>
      </w:r>
    </w:p>
  </w:footnote>
  <w:footnote w:id="270">
    <w:p w14:paraId="26314D27" w14:textId="7EDA9A8C" w:rsidR="00FD0B48" w:rsidRPr="00485EF1" w:rsidRDefault="00FD0B48">
      <w:pPr>
        <w:pStyle w:val="FootnoteText"/>
        <w:rPr>
          <w:lang w:val="da-DK"/>
        </w:rPr>
      </w:pPr>
      <w:r>
        <w:rPr>
          <w:rStyle w:val="FootnoteReference"/>
        </w:rPr>
        <w:footnoteRef/>
      </w:r>
      <w:r w:rsidRPr="00485EF1">
        <w:rPr>
          <w:lang w:val="da-DK"/>
        </w:rPr>
        <w:t xml:space="preserve"> D.24-12-074 at 489.</w:t>
      </w:r>
    </w:p>
  </w:footnote>
  <w:footnote w:id="271">
    <w:p w14:paraId="4B92BC50" w14:textId="77777777" w:rsidR="00485DBD" w:rsidRPr="00485EF1" w:rsidRDefault="00485DBD" w:rsidP="00485DBD">
      <w:pPr>
        <w:pStyle w:val="FootnoteText"/>
        <w:rPr>
          <w:lang w:val="da-DK"/>
        </w:rPr>
      </w:pPr>
      <w:r>
        <w:rPr>
          <w:rStyle w:val="FootnoteReference"/>
        </w:rPr>
        <w:footnoteRef/>
      </w:r>
      <w:r w:rsidRPr="00485EF1">
        <w:rPr>
          <w:lang w:val="da-DK"/>
        </w:rPr>
        <w:t xml:space="preserve"> SDGE T2 Ex-01R at 78.</w:t>
      </w:r>
    </w:p>
  </w:footnote>
  <w:footnote w:id="272">
    <w:p w14:paraId="3A388A63" w14:textId="4250ADD3"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82-84.</w:t>
      </w:r>
    </w:p>
  </w:footnote>
  <w:footnote w:id="273">
    <w:p w14:paraId="531F5F1D" w14:textId="720E4341" w:rsidR="00FB61D9" w:rsidRPr="00FB61D9" w:rsidRDefault="00FB61D9">
      <w:pPr>
        <w:pStyle w:val="FootnoteText"/>
      </w:pPr>
      <w:r>
        <w:rPr>
          <w:rStyle w:val="FootnoteReference"/>
        </w:rPr>
        <w:footnoteRef/>
      </w:r>
      <w:r w:rsidRPr="00FB61D9">
        <w:t xml:space="preserve"> SDG&amp;E Op</w:t>
      </w:r>
      <w:r w:rsidRPr="0037110F">
        <w:t xml:space="preserve">ening Comments at </w:t>
      </w:r>
      <w:r>
        <w:t>23.</w:t>
      </w:r>
    </w:p>
  </w:footnote>
  <w:footnote w:id="274">
    <w:p w14:paraId="623ECA55" w14:textId="77777777" w:rsidR="00417697" w:rsidRPr="00485EF1" w:rsidRDefault="00417697" w:rsidP="00417697">
      <w:pPr>
        <w:pStyle w:val="FootnoteText"/>
        <w:rPr>
          <w:lang w:val="es-CO"/>
        </w:rPr>
      </w:pPr>
      <w:r>
        <w:rPr>
          <w:rStyle w:val="FootnoteReference"/>
        </w:rPr>
        <w:footnoteRef/>
      </w:r>
      <w:r w:rsidRPr="00485EF1">
        <w:rPr>
          <w:lang w:val="es-CO"/>
        </w:rPr>
        <w:t xml:space="preserve"> </w:t>
      </w:r>
      <w:r w:rsidRPr="0037110F">
        <w:rPr>
          <w:lang w:val="es-CO"/>
        </w:rPr>
        <w:t>SDG</w:t>
      </w:r>
      <w:r w:rsidRPr="00485EF1">
        <w:rPr>
          <w:lang w:val="es-CO"/>
        </w:rPr>
        <w:t>&amp;</w:t>
      </w:r>
      <w:r w:rsidRPr="0037110F">
        <w:rPr>
          <w:lang w:val="es-CO"/>
        </w:rPr>
        <w:t>E T2 Ex-01-R at 82.</w:t>
      </w:r>
    </w:p>
  </w:footnote>
  <w:footnote w:id="275">
    <w:p w14:paraId="1DE50981" w14:textId="77777777" w:rsidR="00417697" w:rsidRPr="000B4088" w:rsidRDefault="00417697" w:rsidP="00417697">
      <w:pPr>
        <w:pStyle w:val="FootnoteText"/>
        <w:rPr>
          <w:lang w:val="da-DK"/>
        </w:rPr>
      </w:pPr>
      <w:r>
        <w:rPr>
          <w:rStyle w:val="FootnoteReference"/>
        </w:rPr>
        <w:footnoteRef/>
      </w:r>
      <w:r w:rsidRPr="000B4088">
        <w:rPr>
          <w:lang w:val="da-DK"/>
        </w:rPr>
        <w:t xml:space="preserve"> SDGE T2 Ex-01-R at 81-82.</w:t>
      </w:r>
    </w:p>
  </w:footnote>
  <w:footnote w:id="276">
    <w:p w14:paraId="7B779220" w14:textId="4A0B9C33" w:rsidR="007253C8" w:rsidRPr="000B4088" w:rsidRDefault="007253C8" w:rsidP="007253C8">
      <w:pPr>
        <w:pStyle w:val="FootnoteText"/>
        <w:rPr>
          <w:lang w:val="da-DK"/>
        </w:rPr>
      </w:pPr>
      <w:r>
        <w:rPr>
          <w:rStyle w:val="FootnoteReference"/>
        </w:rPr>
        <w:footnoteRef/>
      </w:r>
      <w:r w:rsidRPr="000B4088">
        <w:rPr>
          <w:lang w:val="da-DK"/>
        </w:rPr>
        <w:t xml:space="preserve"> SDG</w:t>
      </w:r>
      <w:r w:rsidR="00403B5C" w:rsidRPr="000B4088">
        <w:rPr>
          <w:lang w:val="da-DK"/>
        </w:rPr>
        <w:t>&amp;</w:t>
      </w:r>
      <w:r w:rsidRPr="000B4088">
        <w:rPr>
          <w:lang w:val="da-DK"/>
        </w:rPr>
        <w:t>E T2 Ex-01-R at 82-84.</w:t>
      </w:r>
    </w:p>
  </w:footnote>
  <w:footnote w:id="277">
    <w:p w14:paraId="352DC3FF" w14:textId="31D80862"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82-84.</w:t>
      </w:r>
    </w:p>
  </w:footnote>
  <w:footnote w:id="278">
    <w:p w14:paraId="37C4D68B" w14:textId="77777777" w:rsidR="007253C8" w:rsidRDefault="007253C8" w:rsidP="007253C8">
      <w:pPr>
        <w:pStyle w:val="FootnoteText"/>
      </w:pPr>
      <w:r>
        <w:rPr>
          <w:rStyle w:val="FootnoteReference"/>
        </w:rPr>
        <w:footnoteRef/>
      </w:r>
      <w:r>
        <w:t xml:space="preserve"> </w:t>
      </w:r>
      <w:r w:rsidRPr="00DD57CA">
        <w:t>C</w:t>
      </w:r>
      <w:r>
        <w:t xml:space="preserve">al Advocates T2 </w:t>
      </w:r>
      <w:r w:rsidRPr="00DD57CA">
        <w:t xml:space="preserve">Ex-02 at </w:t>
      </w:r>
      <w:r>
        <w:t>16-18.</w:t>
      </w:r>
    </w:p>
  </w:footnote>
  <w:footnote w:id="279">
    <w:p w14:paraId="15676239" w14:textId="77777777" w:rsidR="007253C8" w:rsidRDefault="007253C8" w:rsidP="007253C8">
      <w:pPr>
        <w:pStyle w:val="FootnoteText"/>
      </w:pPr>
      <w:r>
        <w:rPr>
          <w:rStyle w:val="FootnoteReference"/>
        </w:rPr>
        <w:footnoteRef/>
      </w:r>
      <w:r>
        <w:t xml:space="preserve"> SDG&amp;E Reply Brief at 46-48.</w:t>
      </w:r>
    </w:p>
  </w:footnote>
  <w:footnote w:id="280">
    <w:p w14:paraId="3A2FE260" w14:textId="6C380D90" w:rsidR="007253C8" w:rsidRPr="00485EF1" w:rsidRDefault="007253C8" w:rsidP="007253C8">
      <w:pPr>
        <w:pStyle w:val="FootnoteText"/>
        <w:rPr>
          <w:lang w:val="es-CO"/>
        </w:rPr>
      </w:pPr>
      <w:r w:rsidRPr="550177A5">
        <w:rPr>
          <w:rStyle w:val="FootnoteReference"/>
        </w:rPr>
        <w:footnoteRef/>
      </w:r>
      <w:r w:rsidRPr="00485EF1">
        <w:rPr>
          <w:lang w:val="es-CO"/>
        </w:rPr>
        <w:t xml:space="preserve"> SDG</w:t>
      </w:r>
      <w:r w:rsidR="00403B5C" w:rsidRPr="00485EF1">
        <w:rPr>
          <w:lang w:val="es-CO"/>
        </w:rPr>
        <w:t>&amp;</w:t>
      </w:r>
      <w:r w:rsidRPr="00485EF1">
        <w:rPr>
          <w:lang w:val="es-CO"/>
        </w:rPr>
        <w:t>E T2 Ex-01-R at 84.</w:t>
      </w:r>
    </w:p>
  </w:footnote>
  <w:footnote w:id="281">
    <w:p w14:paraId="5A0C4328" w14:textId="69FEB47A"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84.</w:t>
      </w:r>
    </w:p>
  </w:footnote>
  <w:footnote w:id="282">
    <w:p w14:paraId="23793DE9" w14:textId="242557F6"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84-85.</w:t>
      </w:r>
    </w:p>
  </w:footnote>
  <w:footnote w:id="283">
    <w:p w14:paraId="7D48C817" w14:textId="11B56CD9"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85-86.</w:t>
      </w:r>
    </w:p>
  </w:footnote>
  <w:footnote w:id="284">
    <w:p w14:paraId="6C312040" w14:textId="77777777" w:rsidR="007253C8" w:rsidRPr="00485EF1" w:rsidRDefault="007253C8" w:rsidP="007253C8">
      <w:pPr>
        <w:pStyle w:val="FootnoteText"/>
        <w:rPr>
          <w:rFonts w:ascii="Aptos" w:eastAsia="Aptos" w:hAnsi="Aptos" w:cs="Aptos"/>
          <w:lang w:val="es-CO"/>
        </w:rPr>
      </w:pPr>
      <w:r w:rsidRPr="16287259">
        <w:rPr>
          <w:rStyle w:val="FootnoteReference"/>
        </w:rPr>
        <w:footnoteRef/>
      </w:r>
      <w:r w:rsidRPr="00485EF1">
        <w:rPr>
          <w:lang w:val="es-CO"/>
        </w:rPr>
        <w:t xml:space="preserve"> SDG&amp;E T2 Ex-06 at 44.</w:t>
      </w:r>
    </w:p>
  </w:footnote>
  <w:footnote w:id="285">
    <w:p w14:paraId="33AF27DE" w14:textId="512E72B6"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86.</w:t>
      </w:r>
    </w:p>
  </w:footnote>
  <w:footnote w:id="286">
    <w:p w14:paraId="619949C9" w14:textId="04B67C16"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86.</w:t>
      </w:r>
    </w:p>
  </w:footnote>
  <w:footnote w:id="287">
    <w:p w14:paraId="50B09190" w14:textId="77777777" w:rsidR="007253C8" w:rsidRPr="00485EF1" w:rsidRDefault="007253C8" w:rsidP="007253C8">
      <w:pPr>
        <w:pStyle w:val="FootnoteText"/>
        <w:rPr>
          <w:lang w:val="es-CO"/>
        </w:rPr>
      </w:pPr>
      <w:r>
        <w:rPr>
          <w:rStyle w:val="FootnoteReference"/>
        </w:rPr>
        <w:footnoteRef/>
      </w:r>
      <w:r w:rsidRPr="00485EF1">
        <w:rPr>
          <w:lang w:val="es-CO"/>
        </w:rPr>
        <w:t xml:space="preserve"> SBUA T2 Ex-01 at 10-11.</w:t>
      </w:r>
    </w:p>
  </w:footnote>
  <w:footnote w:id="288">
    <w:p w14:paraId="20CD3095" w14:textId="77777777" w:rsidR="007253C8" w:rsidRPr="00485EF1" w:rsidRDefault="007253C8" w:rsidP="007253C8">
      <w:pPr>
        <w:pStyle w:val="FootnoteText"/>
        <w:rPr>
          <w:lang w:val="es-CO"/>
        </w:rPr>
      </w:pPr>
      <w:r>
        <w:rPr>
          <w:rStyle w:val="FootnoteReference"/>
        </w:rPr>
        <w:footnoteRef/>
      </w:r>
      <w:r w:rsidRPr="00485EF1">
        <w:rPr>
          <w:lang w:val="es-CO"/>
        </w:rPr>
        <w:t xml:space="preserve"> SDG&amp;E T2 Ex-06 at 44-45.</w:t>
      </w:r>
    </w:p>
  </w:footnote>
  <w:footnote w:id="289">
    <w:p w14:paraId="7ACD93D9" w14:textId="77777777" w:rsidR="007253C8" w:rsidRPr="00486A55" w:rsidRDefault="007253C8" w:rsidP="007253C8">
      <w:pPr>
        <w:pStyle w:val="FootnoteText"/>
      </w:pPr>
      <w:r>
        <w:rPr>
          <w:rStyle w:val="FootnoteReference"/>
        </w:rPr>
        <w:footnoteRef/>
      </w:r>
      <w:r w:rsidRPr="00486A55">
        <w:t xml:space="preserve"> SDG&amp;E T2</w:t>
      </w:r>
      <w:r>
        <w:t xml:space="preserve"> Ex</w:t>
      </w:r>
      <w:r w:rsidRPr="00486A55">
        <w:t>-06 at 44-45; SDG&amp;E Rep</w:t>
      </w:r>
      <w:r>
        <w:t>ly Brief at 45-46.</w:t>
      </w:r>
    </w:p>
  </w:footnote>
  <w:footnote w:id="290">
    <w:p w14:paraId="3BADF63A" w14:textId="77777777" w:rsidR="007253C8" w:rsidRPr="009E1A7E" w:rsidRDefault="007253C8" w:rsidP="007253C8">
      <w:pPr>
        <w:pStyle w:val="FootnoteText"/>
        <w:rPr>
          <w:lang w:val="da-DK"/>
        </w:rPr>
      </w:pPr>
      <w:r>
        <w:rPr>
          <w:rStyle w:val="FootnoteReference"/>
        </w:rPr>
        <w:footnoteRef/>
      </w:r>
      <w:r w:rsidRPr="009E1A7E">
        <w:rPr>
          <w:lang w:val="da-DK"/>
        </w:rPr>
        <w:t xml:space="preserve"> SDG&amp;E 2022 WMP Update </w:t>
      </w:r>
      <w:r w:rsidRPr="00486A55">
        <w:rPr>
          <w:lang w:val="da-DK"/>
        </w:rPr>
        <w:t>at 313</w:t>
      </w:r>
      <w:r w:rsidRPr="009E1A7E">
        <w:rPr>
          <w:lang w:val="da-DK"/>
        </w:rPr>
        <w:t>.</w:t>
      </w:r>
    </w:p>
  </w:footnote>
  <w:footnote w:id="291">
    <w:p w14:paraId="1BCBD56E" w14:textId="6562CE6E" w:rsidR="007253C8" w:rsidRPr="00485EF1" w:rsidRDefault="007253C8" w:rsidP="007253C8">
      <w:pPr>
        <w:pStyle w:val="FootnoteText"/>
        <w:rPr>
          <w:lang w:val="es-CO"/>
        </w:rPr>
      </w:pPr>
      <w:r w:rsidRPr="16287259">
        <w:rPr>
          <w:rStyle w:val="FootnoteReference"/>
        </w:rPr>
        <w:footnoteRef/>
      </w:r>
      <w:r w:rsidRPr="00485EF1">
        <w:rPr>
          <w:lang w:val="es-CO"/>
        </w:rPr>
        <w:t xml:space="preserve"> SDG</w:t>
      </w:r>
      <w:r w:rsidR="00403B5C" w:rsidRPr="00485EF1">
        <w:rPr>
          <w:lang w:val="es-CO"/>
        </w:rPr>
        <w:t>&amp;</w:t>
      </w:r>
      <w:r w:rsidRPr="00485EF1">
        <w:rPr>
          <w:lang w:val="es-CO"/>
        </w:rPr>
        <w:t>E T2 Ex-01-R at 98.</w:t>
      </w:r>
    </w:p>
  </w:footnote>
  <w:footnote w:id="292">
    <w:p w14:paraId="75C7A5F0" w14:textId="77777777" w:rsidR="007253C8" w:rsidRPr="00485EF1" w:rsidRDefault="007253C8" w:rsidP="007253C8">
      <w:pPr>
        <w:pStyle w:val="FootnoteText"/>
        <w:rPr>
          <w:rFonts w:ascii="Aptos" w:eastAsia="Aptos" w:hAnsi="Aptos" w:cs="Aptos"/>
          <w:lang w:val="es-CO"/>
        </w:rPr>
      </w:pPr>
      <w:r w:rsidRPr="16287259">
        <w:rPr>
          <w:rStyle w:val="FootnoteReference"/>
        </w:rPr>
        <w:footnoteRef/>
      </w:r>
      <w:r w:rsidRPr="00485EF1">
        <w:rPr>
          <w:lang w:val="es-CO"/>
        </w:rPr>
        <w:t xml:space="preserve"> SDG&amp;E T2 Ex-01-R at 87.</w:t>
      </w:r>
    </w:p>
  </w:footnote>
  <w:footnote w:id="293">
    <w:p w14:paraId="1607E8CA" w14:textId="77777777" w:rsidR="00591004" w:rsidRPr="00485EF1" w:rsidRDefault="00591004" w:rsidP="00591004">
      <w:pPr>
        <w:pStyle w:val="FootnoteText"/>
        <w:rPr>
          <w:lang w:val="es-CO"/>
        </w:rPr>
      </w:pPr>
      <w:r>
        <w:rPr>
          <w:rStyle w:val="FootnoteReference"/>
        </w:rPr>
        <w:footnoteRef/>
      </w:r>
      <w:r w:rsidRPr="00485EF1">
        <w:rPr>
          <w:lang w:val="es-CO"/>
        </w:rPr>
        <w:t xml:space="preserve"> SDG&amp;E T2 Ex-01-R at 88.</w:t>
      </w:r>
    </w:p>
  </w:footnote>
  <w:footnote w:id="294">
    <w:p w14:paraId="39A85B82" w14:textId="5B367D08"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89-90.</w:t>
      </w:r>
    </w:p>
  </w:footnote>
  <w:footnote w:id="295">
    <w:p w14:paraId="35F626EE" w14:textId="38EA8B66"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90-91.</w:t>
      </w:r>
    </w:p>
  </w:footnote>
  <w:footnote w:id="296">
    <w:p w14:paraId="3F403F0B" w14:textId="77777777" w:rsidR="007253C8" w:rsidRDefault="007253C8" w:rsidP="007253C8">
      <w:pPr>
        <w:pStyle w:val="FootnoteText"/>
      </w:pPr>
      <w:r>
        <w:rPr>
          <w:rStyle w:val="FootnoteReference"/>
        </w:rPr>
        <w:footnoteRef/>
      </w:r>
      <w:r>
        <w:t xml:space="preserve"> </w:t>
      </w:r>
      <w:r w:rsidRPr="00357C4A">
        <w:t>Cal Advocates T2 Ex-05 at 5</w:t>
      </w:r>
      <w:r>
        <w:t>.</w:t>
      </w:r>
    </w:p>
  </w:footnote>
  <w:footnote w:id="297">
    <w:p w14:paraId="1EBF66E2" w14:textId="77777777" w:rsidR="007253C8" w:rsidRDefault="007253C8" w:rsidP="007253C8">
      <w:pPr>
        <w:pStyle w:val="FootnoteText"/>
      </w:pPr>
      <w:r>
        <w:rPr>
          <w:rStyle w:val="FootnoteReference"/>
        </w:rPr>
        <w:footnoteRef/>
      </w:r>
      <w:r>
        <w:t xml:space="preserve"> </w:t>
      </w:r>
      <w:r w:rsidRPr="00AC67D4">
        <w:t>SDG&amp;E T2 Ex-06 at 20</w:t>
      </w:r>
      <w:r w:rsidRPr="00373588">
        <w:t>.</w:t>
      </w:r>
    </w:p>
  </w:footnote>
  <w:footnote w:id="298">
    <w:p w14:paraId="29EA08D9" w14:textId="57C17721" w:rsidR="0087649C" w:rsidRDefault="0087649C">
      <w:pPr>
        <w:pStyle w:val="FootnoteText"/>
      </w:pPr>
      <w:r>
        <w:rPr>
          <w:rStyle w:val="FootnoteReference"/>
        </w:rPr>
        <w:footnoteRef/>
      </w:r>
      <w:r>
        <w:t xml:space="preserve"> SDG&amp;E Opening Comments at 19-20.</w:t>
      </w:r>
    </w:p>
  </w:footnote>
  <w:footnote w:id="299">
    <w:p w14:paraId="16E13E03" w14:textId="5BB9E86E" w:rsidR="002B6813" w:rsidRPr="00485EF1" w:rsidRDefault="002B6813">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90-91.</w:t>
      </w:r>
    </w:p>
  </w:footnote>
  <w:footnote w:id="300">
    <w:p w14:paraId="2C1166AD" w14:textId="4EE898F7" w:rsidR="00D04916" w:rsidRPr="00D04916" w:rsidRDefault="00D04916">
      <w:pPr>
        <w:pStyle w:val="FootnoteText"/>
      </w:pPr>
      <w:r>
        <w:rPr>
          <w:rStyle w:val="FootnoteReference"/>
        </w:rPr>
        <w:footnoteRef/>
      </w:r>
      <w:r w:rsidRPr="00D04916">
        <w:t xml:space="preserve"> Af</w:t>
      </w:r>
      <w:r w:rsidRPr="0037110F">
        <w:t>ter be</w:t>
      </w:r>
      <w:r>
        <w:t xml:space="preserve">ing contested initially, this amount was confirmed in </w:t>
      </w:r>
      <w:r w:rsidRPr="00D04916">
        <w:t>C</w:t>
      </w:r>
      <w:r>
        <w:t>A</w:t>
      </w:r>
      <w:r w:rsidRPr="00D04916">
        <w:t xml:space="preserve"> T2 Ex-05-R</w:t>
      </w:r>
      <w:r>
        <w:t>; SDG&amp;E Opening Comments at 21-22.</w:t>
      </w:r>
    </w:p>
  </w:footnote>
  <w:footnote w:id="301">
    <w:p w14:paraId="74957AFD" w14:textId="13D4351E" w:rsidR="007253C8" w:rsidRPr="00485EF1" w:rsidRDefault="007253C8" w:rsidP="007253C8">
      <w:pPr>
        <w:pStyle w:val="FootnoteText"/>
        <w:rPr>
          <w:lang w:val="es-CO"/>
        </w:rPr>
      </w:pPr>
      <w:r>
        <w:rPr>
          <w:rStyle w:val="FootnoteReference"/>
        </w:rPr>
        <w:footnoteRef/>
      </w:r>
      <w:r w:rsidRPr="00485EF1">
        <w:rPr>
          <w:lang w:val="es-CO"/>
        </w:rPr>
        <w:t xml:space="preserve"> SDG</w:t>
      </w:r>
      <w:r w:rsidR="00403B5C" w:rsidRPr="00485EF1">
        <w:rPr>
          <w:lang w:val="es-CO"/>
        </w:rPr>
        <w:t>&amp;</w:t>
      </w:r>
      <w:r w:rsidRPr="00485EF1">
        <w:rPr>
          <w:lang w:val="es-CO"/>
        </w:rPr>
        <w:t>E T2 Ex-01-R at 92.</w:t>
      </w:r>
    </w:p>
  </w:footnote>
  <w:footnote w:id="302">
    <w:p w14:paraId="259C44BB" w14:textId="77777777" w:rsidR="007253C8" w:rsidRPr="0086306F" w:rsidRDefault="007253C8" w:rsidP="007253C8">
      <w:pPr>
        <w:pStyle w:val="FootnoteText"/>
      </w:pPr>
      <w:r>
        <w:rPr>
          <w:rStyle w:val="FootnoteReference"/>
        </w:rPr>
        <w:footnoteRef/>
      </w:r>
      <w:r w:rsidRPr="0086306F">
        <w:t xml:space="preserve"> SDG&amp;E T2 Ex-09, citing to SDG&amp;E Ex-WP, Electric Distribution O&amp;M, A</w:t>
      </w:r>
      <w:r>
        <w:t>sset Management.</w:t>
      </w:r>
    </w:p>
  </w:footnote>
  <w:footnote w:id="303">
    <w:p w14:paraId="7705877B" w14:textId="357FEEE8" w:rsidR="007253C8" w:rsidRPr="00A63AC4" w:rsidRDefault="007253C8" w:rsidP="007253C8">
      <w:pPr>
        <w:pStyle w:val="FootnoteText"/>
        <w:rPr>
          <w:lang w:val="es-CO"/>
        </w:rPr>
      </w:pPr>
      <w:r>
        <w:rPr>
          <w:rStyle w:val="FootnoteReference"/>
        </w:rPr>
        <w:footnoteRef/>
      </w:r>
      <w:r w:rsidRPr="00A63AC4">
        <w:rPr>
          <w:lang w:val="es-CO"/>
        </w:rPr>
        <w:t xml:space="preserve"> SDG&amp;E T2 Ex-06 at 92-94.</w:t>
      </w:r>
    </w:p>
  </w:footnote>
  <w:footnote w:id="304">
    <w:p w14:paraId="2A2B79D0" w14:textId="77777777" w:rsidR="007253C8" w:rsidRPr="00A63AC4" w:rsidRDefault="007253C8" w:rsidP="007253C8">
      <w:pPr>
        <w:pStyle w:val="FootnoteText"/>
        <w:rPr>
          <w:lang w:val="es-CO"/>
        </w:rPr>
      </w:pPr>
      <w:r>
        <w:rPr>
          <w:rStyle w:val="FootnoteReference"/>
        </w:rPr>
        <w:footnoteRef/>
      </w:r>
      <w:r w:rsidRPr="00A63AC4">
        <w:rPr>
          <w:lang w:val="es-CO"/>
        </w:rPr>
        <w:t xml:space="preserve"> SDG&amp;E T2 Ex-06 at 93-94.</w:t>
      </w:r>
    </w:p>
  </w:footnote>
  <w:footnote w:id="305">
    <w:p w14:paraId="60ECEB6A" w14:textId="1FC1E716" w:rsidR="007253C8" w:rsidRDefault="007253C8" w:rsidP="007253C8">
      <w:pPr>
        <w:pStyle w:val="FootnoteText"/>
      </w:pPr>
      <w:r>
        <w:rPr>
          <w:rStyle w:val="FootnoteReference"/>
        </w:rPr>
        <w:footnoteRef/>
      </w:r>
      <w:r>
        <w:t xml:space="preserve"> </w:t>
      </w:r>
      <w:r w:rsidRPr="00446F1E">
        <w:t>Cal Advocates T2 Ex-05</w:t>
      </w:r>
      <w:r w:rsidR="00043471">
        <w:t>-R</w:t>
      </w:r>
      <w:r w:rsidRPr="00446F1E">
        <w:t xml:space="preserve"> at 5</w:t>
      </w:r>
      <w:r>
        <w:t>.</w:t>
      </w:r>
    </w:p>
  </w:footnote>
  <w:footnote w:id="306">
    <w:p w14:paraId="4390DACD" w14:textId="261050E4" w:rsidR="003055E3" w:rsidRDefault="003055E3">
      <w:pPr>
        <w:pStyle w:val="FootnoteText"/>
      </w:pPr>
      <w:r>
        <w:rPr>
          <w:rStyle w:val="FootnoteReference"/>
        </w:rPr>
        <w:footnoteRef/>
      </w:r>
      <w:r>
        <w:t xml:space="preserve"> SDG&amp;E Opening Comments at 21-22.</w:t>
      </w:r>
    </w:p>
  </w:footnote>
  <w:footnote w:id="307">
    <w:p w14:paraId="01B4EF23" w14:textId="77777777" w:rsidR="007253C8" w:rsidRPr="00F01C83" w:rsidRDefault="007253C8" w:rsidP="007253C8">
      <w:pPr>
        <w:pStyle w:val="FootnoteText"/>
        <w:rPr>
          <w:lang w:val="es-CO"/>
        </w:rPr>
      </w:pPr>
      <w:r w:rsidRPr="73E4AAD3">
        <w:rPr>
          <w:rStyle w:val="FootnoteReference"/>
        </w:rPr>
        <w:footnoteRef/>
      </w:r>
      <w:r w:rsidRPr="00F01C83">
        <w:rPr>
          <w:lang w:val="es-CO"/>
        </w:rPr>
        <w:t xml:space="preserve"> SDG&amp;E T2 Ex-01-R at 12-13, 44-45.</w:t>
      </w:r>
    </w:p>
  </w:footnote>
  <w:footnote w:id="308">
    <w:p w14:paraId="1546CBDD" w14:textId="54FA9C6E" w:rsidR="007253C8" w:rsidRPr="00F01C83" w:rsidRDefault="007253C8" w:rsidP="007253C8">
      <w:pPr>
        <w:pStyle w:val="FootnoteText"/>
        <w:rPr>
          <w:lang w:val="es-CO"/>
        </w:rPr>
      </w:pPr>
      <w:r>
        <w:rPr>
          <w:rStyle w:val="FootnoteReference"/>
        </w:rPr>
        <w:footnoteRef/>
      </w:r>
      <w:r w:rsidRPr="00F01C83">
        <w:rPr>
          <w:lang w:val="es-CO"/>
        </w:rPr>
        <w:t xml:space="preserve"> SDG</w:t>
      </w:r>
      <w:r w:rsidR="008571C1">
        <w:rPr>
          <w:lang w:val="es-CO"/>
        </w:rPr>
        <w:t>&amp;</w:t>
      </w:r>
      <w:r w:rsidRPr="00F01C83">
        <w:rPr>
          <w:lang w:val="es-CO"/>
        </w:rPr>
        <w:t>E T2 Ex-01-R at 101.</w:t>
      </w:r>
    </w:p>
  </w:footnote>
  <w:footnote w:id="309">
    <w:p w14:paraId="58078EF7" w14:textId="66AF6BEA" w:rsidR="007253C8" w:rsidRPr="00F01C83" w:rsidRDefault="007253C8" w:rsidP="007253C8">
      <w:pPr>
        <w:pStyle w:val="FootnoteText"/>
        <w:rPr>
          <w:lang w:val="es-CO"/>
        </w:rPr>
      </w:pPr>
      <w:r>
        <w:rPr>
          <w:rStyle w:val="FootnoteReference"/>
        </w:rPr>
        <w:footnoteRef/>
      </w:r>
      <w:r w:rsidRPr="00F01C83">
        <w:rPr>
          <w:lang w:val="es-CO"/>
        </w:rPr>
        <w:t xml:space="preserve"> SDG</w:t>
      </w:r>
      <w:r w:rsidR="008571C1">
        <w:rPr>
          <w:lang w:val="es-CO"/>
        </w:rPr>
        <w:t>&amp;</w:t>
      </w:r>
      <w:r w:rsidRPr="00F01C83">
        <w:rPr>
          <w:lang w:val="es-CO"/>
        </w:rPr>
        <w:t>E T2 Ex-01-R at 102-103.</w:t>
      </w:r>
    </w:p>
  </w:footnote>
  <w:footnote w:id="310">
    <w:p w14:paraId="3504749F" w14:textId="7C31F74F" w:rsidR="007253C8" w:rsidRPr="00F01C83" w:rsidRDefault="007253C8" w:rsidP="007253C8">
      <w:pPr>
        <w:pStyle w:val="FootnoteText"/>
        <w:rPr>
          <w:lang w:val="es-CO"/>
        </w:rPr>
      </w:pPr>
      <w:r>
        <w:rPr>
          <w:rStyle w:val="FootnoteReference"/>
        </w:rPr>
        <w:footnoteRef/>
      </w:r>
      <w:r w:rsidRPr="00F01C83">
        <w:rPr>
          <w:lang w:val="es-CO"/>
        </w:rPr>
        <w:t xml:space="preserve"> SDG</w:t>
      </w:r>
      <w:r w:rsidR="008571C1">
        <w:rPr>
          <w:lang w:val="es-CO"/>
        </w:rPr>
        <w:t>&amp;</w:t>
      </w:r>
      <w:r w:rsidRPr="00F01C83">
        <w:rPr>
          <w:lang w:val="es-CO"/>
        </w:rPr>
        <w:t>E T2 Ex-01-R at 102.</w:t>
      </w:r>
    </w:p>
  </w:footnote>
  <w:footnote w:id="311">
    <w:p w14:paraId="06FAB7E7" w14:textId="4A042E83" w:rsidR="007253C8" w:rsidRPr="00F01C83" w:rsidRDefault="007253C8" w:rsidP="007253C8">
      <w:pPr>
        <w:pStyle w:val="FootnoteText"/>
        <w:rPr>
          <w:lang w:val="es-CO"/>
        </w:rPr>
      </w:pPr>
      <w:r>
        <w:rPr>
          <w:rStyle w:val="FootnoteReference"/>
        </w:rPr>
        <w:footnoteRef/>
      </w:r>
      <w:r w:rsidRPr="00F01C83">
        <w:rPr>
          <w:lang w:val="es-CO"/>
        </w:rPr>
        <w:t xml:space="preserve"> SDG</w:t>
      </w:r>
      <w:r w:rsidR="008571C1">
        <w:rPr>
          <w:lang w:val="es-CO"/>
        </w:rPr>
        <w:t>&amp;</w:t>
      </w:r>
      <w:r w:rsidRPr="00F01C83">
        <w:rPr>
          <w:lang w:val="es-CO"/>
        </w:rPr>
        <w:t>E T2 Ex-01-R at 100.</w:t>
      </w:r>
    </w:p>
  </w:footnote>
  <w:footnote w:id="312">
    <w:p w14:paraId="5B6DDEF9" w14:textId="5790C39D" w:rsidR="007253C8" w:rsidRPr="00485EF1" w:rsidRDefault="007253C8" w:rsidP="007253C8">
      <w:pPr>
        <w:pStyle w:val="FootnoteText"/>
        <w:rPr>
          <w:lang w:val="es-CO"/>
        </w:rPr>
      </w:pPr>
      <w:r>
        <w:rPr>
          <w:rStyle w:val="FootnoteReference"/>
        </w:rPr>
        <w:footnoteRef/>
      </w:r>
      <w:r w:rsidRPr="00485EF1">
        <w:rPr>
          <w:lang w:val="es-CO"/>
        </w:rPr>
        <w:t xml:space="preserve"> SDG</w:t>
      </w:r>
      <w:r w:rsidR="008571C1" w:rsidRPr="00485EF1">
        <w:rPr>
          <w:lang w:val="es-CO"/>
        </w:rPr>
        <w:t>&amp;</w:t>
      </w:r>
      <w:r w:rsidRPr="00485EF1">
        <w:rPr>
          <w:lang w:val="es-CO"/>
        </w:rPr>
        <w:t>E T2 Ex-01-R at 103-105.</w:t>
      </w:r>
    </w:p>
  </w:footnote>
  <w:footnote w:id="313">
    <w:p w14:paraId="210FF04B" w14:textId="29CDEC6F" w:rsidR="007253C8" w:rsidRPr="00485EF1" w:rsidRDefault="007253C8" w:rsidP="007253C8">
      <w:pPr>
        <w:pStyle w:val="FootnoteText"/>
        <w:rPr>
          <w:lang w:val="es-CO"/>
        </w:rPr>
      </w:pPr>
      <w:r>
        <w:rPr>
          <w:rStyle w:val="FootnoteReference"/>
        </w:rPr>
        <w:footnoteRef/>
      </w:r>
      <w:r w:rsidRPr="00485EF1">
        <w:rPr>
          <w:lang w:val="es-CO"/>
        </w:rPr>
        <w:t xml:space="preserve"> SDG</w:t>
      </w:r>
      <w:r w:rsidR="008571C1" w:rsidRPr="00485EF1">
        <w:rPr>
          <w:lang w:val="es-CO"/>
        </w:rPr>
        <w:t>&amp;</w:t>
      </w:r>
      <w:r w:rsidRPr="00485EF1">
        <w:rPr>
          <w:lang w:val="es-CO"/>
        </w:rPr>
        <w:t>E T2 Ex-01-R at 102.</w:t>
      </w:r>
    </w:p>
  </w:footnote>
  <w:footnote w:id="314">
    <w:p w14:paraId="7B822E0E" w14:textId="77777777" w:rsidR="007253C8" w:rsidRDefault="007253C8" w:rsidP="007253C8">
      <w:pPr>
        <w:pStyle w:val="FootnoteText"/>
      </w:pPr>
      <w:r>
        <w:rPr>
          <w:rStyle w:val="FootnoteReference"/>
        </w:rPr>
        <w:footnoteRef/>
      </w:r>
      <w:r>
        <w:t xml:space="preserve"> </w:t>
      </w:r>
      <w:r w:rsidRPr="00FE459D">
        <w:t>Cal Advocates T2 Ex-02 at 14.</w:t>
      </w:r>
    </w:p>
  </w:footnote>
  <w:footnote w:id="315">
    <w:p w14:paraId="4C2DD3DC" w14:textId="77777777" w:rsidR="007253C8" w:rsidRDefault="007253C8" w:rsidP="007253C8">
      <w:pPr>
        <w:pStyle w:val="FootnoteText"/>
      </w:pPr>
      <w:r w:rsidRPr="135C542A">
        <w:rPr>
          <w:rStyle w:val="FootnoteReference"/>
        </w:rPr>
        <w:footnoteRef/>
      </w:r>
      <w:r>
        <w:t xml:space="preserve"> Cal Advocates T2 Ex-02 at 14, citing to D.19-05-042.</w:t>
      </w:r>
    </w:p>
  </w:footnote>
  <w:footnote w:id="316">
    <w:p w14:paraId="152573AB" w14:textId="77777777" w:rsidR="007253C8" w:rsidRDefault="007253C8" w:rsidP="007253C8">
      <w:pPr>
        <w:pStyle w:val="FootnoteText"/>
      </w:pPr>
      <w:r>
        <w:rPr>
          <w:rStyle w:val="FootnoteReference"/>
        </w:rPr>
        <w:footnoteRef/>
      </w:r>
      <w:r>
        <w:t xml:space="preserve"> San Diego Reply Brief at 44 citing to D.</w:t>
      </w:r>
      <w:r w:rsidRPr="00FE459D">
        <w:t xml:space="preserve">19-05-042, Appendix A at </w:t>
      </w:r>
      <w:r>
        <w:t>A1-</w:t>
      </w:r>
      <w:r w:rsidRPr="00FE459D">
        <w:t>A2</w:t>
      </w:r>
      <w:r>
        <w:t xml:space="preserve">, </w:t>
      </w:r>
      <w:r w:rsidRPr="00FE459D">
        <w:t>A15</w:t>
      </w:r>
      <w:r>
        <w:t>-</w:t>
      </w:r>
      <w:r w:rsidRPr="00FE459D">
        <w:t>A16.</w:t>
      </w:r>
    </w:p>
  </w:footnote>
  <w:footnote w:id="317">
    <w:p w14:paraId="58D32B4E" w14:textId="77777777" w:rsidR="007253C8" w:rsidRPr="00F01C83" w:rsidRDefault="007253C8" w:rsidP="007253C8">
      <w:pPr>
        <w:pStyle w:val="FootnoteText"/>
        <w:rPr>
          <w:lang w:val="es-CO"/>
        </w:rPr>
      </w:pPr>
      <w:r>
        <w:rPr>
          <w:rStyle w:val="FootnoteReference"/>
        </w:rPr>
        <w:footnoteRef/>
      </w:r>
      <w:r w:rsidRPr="00F01C83">
        <w:rPr>
          <w:lang w:val="es-CO"/>
        </w:rPr>
        <w:t xml:space="preserve"> SDG&amp;E T2 Ex-06 at 40-42.</w:t>
      </w:r>
    </w:p>
  </w:footnote>
  <w:footnote w:id="318">
    <w:p w14:paraId="3831346A" w14:textId="77777777" w:rsidR="007253C8" w:rsidRPr="00F01C83" w:rsidRDefault="007253C8" w:rsidP="007253C8">
      <w:pPr>
        <w:pStyle w:val="FootnoteText"/>
        <w:rPr>
          <w:lang w:val="es-CO"/>
        </w:rPr>
      </w:pPr>
      <w:r>
        <w:rPr>
          <w:rStyle w:val="FootnoteReference"/>
        </w:rPr>
        <w:footnoteRef/>
      </w:r>
      <w:r w:rsidRPr="00F01C83">
        <w:rPr>
          <w:lang w:val="es-CO"/>
        </w:rPr>
        <w:t xml:space="preserve"> SDG&amp;E T2 Ex-06 at 39-40.</w:t>
      </w:r>
    </w:p>
  </w:footnote>
  <w:footnote w:id="319">
    <w:p w14:paraId="10E33108" w14:textId="50FC5CB9" w:rsidR="00745CE6" w:rsidRDefault="00745CE6">
      <w:pPr>
        <w:pStyle w:val="FootnoteText"/>
      </w:pPr>
      <w:r>
        <w:rPr>
          <w:rStyle w:val="FootnoteReference"/>
        </w:rPr>
        <w:footnoteRef/>
      </w:r>
      <w:r>
        <w:t xml:space="preserve"> SDG&amp;E Opening Comments at 17-19.</w:t>
      </w:r>
    </w:p>
  </w:footnote>
  <w:footnote w:id="320">
    <w:p w14:paraId="45D03846" w14:textId="7190B41F" w:rsidR="00885761" w:rsidRDefault="00885761">
      <w:pPr>
        <w:pStyle w:val="FootnoteText"/>
      </w:pPr>
      <w:r>
        <w:rPr>
          <w:rStyle w:val="FootnoteReference"/>
        </w:rPr>
        <w:footnoteRef/>
      </w:r>
      <w:r>
        <w:t xml:space="preserve"> Oral </w:t>
      </w:r>
      <w:r w:rsidR="00E61F37">
        <w:t xml:space="preserve">Argument Transcript </w:t>
      </w:r>
      <w:r w:rsidR="00513054">
        <w:t xml:space="preserve">Vol. 28 </w:t>
      </w:r>
      <w:r w:rsidR="00E61F37">
        <w:t xml:space="preserve">at </w:t>
      </w:r>
      <w:r w:rsidR="001B5F28">
        <w:t>4763-4765</w:t>
      </w:r>
      <w:r w:rsidR="00E61F37" w:rsidRPr="00064206">
        <w:t xml:space="preserve">; </w:t>
      </w:r>
      <w:r w:rsidR="00866F59" w:rsidRPr="0037110F">
        <w:t>SDG</w:t>
      </w:r>
      <w:r w:rsidR="008571C1" w:rsidRPr="0037110F">
        <w:t>&amp;</w:t>
      </w:r>
      <w:r w:rsidR="00866F59" w:rsidRPr="0037110F">
        <w:t>E-T2-09, Attachment (O&amp;M) B-2 at 27, Attachment B-16 at 41.</w:t>
      </w:r>
    </w:p>
  </w:footnote>
  <w:footnote w:id="321">
    <w:p w14:paraId="52B4A19F" w14:textId="77777777" w:rsidR="007253C8" w:rsidRDefault="007253C8" w:rsidP="007253C8">
      <w:pPr>
        <w:pStyle w:val="FootnoteText"/>
      </w:pPr>
      <w:r>
        <w:rPr>
          <w:rStyle w:val="FootnoteReference"/>
        </w:rPr>
        <w:footnoteRef/>
      </w:r>
      <w:r>
        <w:t xml:space="preserve"> SDG&amp;E Opening Brief at 73-74.</w:t>
      </w:r>
    </w:p>
  </w:footnote>
  <w:footnote w:id="322">
    <w:p w14:paraId="76A925CD" w14:textId="77777777" w:rsidR="007253C8" w:rsidRDefault="007253C8" w:rsidP="007253C8">
      <w:pPr>
        <w:pStyle w:val="FootnoteText"/>
      </w:pPr>
      <w:r>
        <w:rPr>
          <w:rStyle w:val="FootnoteReference"/>
        </w:rPr>
        <w:footnoteRef/>
      </w:r>
      <w:r>
        <w:t xml:space="preserve"> </w:t>
      </w:r>
      <w:r w:rsidRPr="00F91484">
        <w:t>SDG&amp;E Opening Brief at 74</w:t>
      </w:r>
      <w:r>
        <w:t>-77</w:t>
      </w:r>
      <w:r w:rsidRPr="00F91484">
        <w:t>.</w:t>
      </w:r>
    </w:p>
  </w:footnote>
  <w:footnote w:id="323">
    <w:p w14:paraId="521C2FE5" w14:textId="77777777" w:rsidR="007253C8" w:rsidRDefault="007253C8" w:rsidP="007253C8">
      <w:pPr>
        <w:pStyle w:val="FootnoteText"/>
      </w:pPr>
      <w:r>
        <w:rPr>
          <w:rStyle w:val="FootnoteReference"/>
        </w:rPr>
        <w:footnoteRef/>
      </w:r>
      <w:r>
        <w:t xml:space="preserve"> </w:t>
      </w:r>
      <w:r w:rsidRPr="000746F3">
        <w:t>Cal Advocates Opening Brief at 7</w:t>
      </w:r>
      <w:r>
        <w:t>.</w:t>
      </w:r>
    </w:p>
  </w:footnote>
  <w:footnote w:id="324">
    <w:p w14:paraId="1E6638F0" w14:textId="77777777" w:rsidR="007253C8" w:rsidRDefault="007253C8" w:rsidP="007253C8">
      <w:pPr>
        <w:pStyle w:val="FootnoteText"/>
      </w:pPr>
      <w:r>
        <w:rPr>
          <w:rStyle w:val="FootnoteReference"/>
        </w:rPr>
        <w:footnoteRef/>
      </w:r>
      <w:r>
        <w:t xml:space="preserve"> Cal Advocates Opening Brief at 7-8.</w:t>
      </w:r>
    </w:p>
  </w:footnote>
  <w:footnote w:id="325">
    <w:p w14:paraId="52A3135F" w14:textId="77777777" w:rsidR="007253C8" w:rsidRDefault="007253C8" w:rsidP="007253C8">
      <w:pPr>
        <w:pStyle w:val="FootnoteText"/>
      </w:pPr>
      <w:r w:rsidRPr="7154D2E1">
        <w:rPr>
          <w:rStyle w:val="FootnoteReference"/>
        </w:rPr>
        <w:footnoteRef/>
      </w:r>
      <w:r>
        <w:t xml:space="preserve"> Cal Advocates Opening Brief at 8.</w:t>
      </w:r>
    </w:p>
  </w:footnote>
  <w:footnote w:id="326">
    <w:p w14:paraId="552B0897" w14:textId="77777777" w:rsidR="007253C8" w:rsidRDefault="007253C8" w:rsidP="007253C8">
      <w:pPr>
        <w:pStyle w:val="FootnoteText"/>
      </w:pPr>
      <w:r>
        <w:rPr>
          <w:rStyle w:val="FootnoteReference"/>
        </w:rPr>
        <w:footnoteRef/>
      </w:r>
      <w:r>
        <w:t xml:space="preserve"> </w:t>
      </w:r>
      <w:r w:rsidRPr="00E322D7">
        <w:t>SDG&amp;E T2 Ex-06 at 21-22</w:t>
      </w:r>
      <w:r>
        <w:t xml:space="preserve">, citing to </w:t>
      </w:r>
      <w:r w:rsidRPr="00E322D7">
        <w:t>SDG&amp;E</w:t>
      </w:r>
      <w:r>
        <w:t xml:space="preserve"> </w:t>
      </w:r>
      <w:r w:rsidRPr="00E322D7">
        <w:t>T2</w:t>
      </w:r>
      <w:r>
        <w:t xml:space="preserve"> Ex</w:t>
      </w:r>
      <w:r w:rsidRPr="00E322D7">
        <w:t>-07</w:t>
      </w:r>
      <w:r>
        <w:t xml:space="preserve"> at 2-9.</w:t>
      </w:r>
    </w:p>
  </w:footnote>
  <w:footnote w:id="327">
    <w:p w14:paraId="6EF563F7" w14:textId="07FD1D7D" w:rsidR="007253C8" w:rsidRDefault="007253C8" w:rsidP="007253C8">
      <w:pPr>
        <w:pStyle w:val="FootnoteText"/>
      </w:pPr>
      <w:r>
        <w:rPr>
          <w:rStyle w:val="FootnoteReference"/>
        </w:rPr>
        <w:footnoteRef/>
      </w:r>
      <w:r>
        <w:t xml:space="preserve"> Cal Advocates Opening Brief at 8-9; Cal Advocates T2 Ex-02 at 9, citing to SDG&amp;E’s response to a data request. </w:t>
      </w:r>
    </w:p>
  </w:footnote>
  <w:footnote w:id="328">
    <w:p w14:paraId="5708F623" w14:textId="14610AC5" w:rsidR="007253C8" w:rsidRDefault="007253C8" w:rsidP="007253C8">
      <w:pPr>
        <w:pStyle w:val="FootnoteText"/>
      </w:pPr>
      <w:r>
        <w:rPr>
          <w:rStyle w:val="FootnoteReference"/>
        </w:rPr>
        <w:footnoteRef/>
      </w:r>
      <w:r>
        <w:t xml:space="preserve"> Cal Advocates Opening Brief at 8-9; Cal Advocates T2 Ex-02 at 9, citing to SDG&amp;E’s response to a data request. </w:t>
      </w:r>
    </w:p>
  </w:footnote>
  <w:footnote w:id="329">
    <w:p w14:paraId="0DD77CDA" w14:textId="77777777" w:rsidR="007253C8" w:rsidRDefault="007253C8" w:rsidP="007253C8">
      <w:pPr>
        <w:pStyle w:val="FootnoteText"/>
      </w:pPr>
      <w:r>
        <w:rPr>
          <w:rStyle w:val="FootnoteReference"/>
        </w:rPr>
        <w:footnoteRef/>
      </w:r>
      <w:r>
        <w:t xml:space="preserve"> </w:t>
      </w:r>
      <w:r w:rsidRPr="00F176EC">
        <w:t xml:space="preserve">SDG&amp;E Opening </w:t>
      </w:r>
      <w:r>
        <w:t>B</w:t>
      </w:r>
      <w:r w:rsidRPr="00F176EC">
        <w:t>rief at 78</w:t>
      </w:r>
      <w:r>
        <w:t>.</w:t>
      </w:r>
    </w:p>
  </w:footnote>
  <w:footnote w:id="330">
    <w:p w14:paraId="1EDD6C66" w14:textId="77777777" w:rsidR="007253C8" w:rsidRDefault="007253C8" w:rsidP="007253C8">
      <w:pPr>
        <w:pStyle w:val="FootnoteText"/>
      </w:pPr>
      <w:r>
        <w:rPr>
          <w:rStyle w:val="FootnoteReference"/>
        </w:rPr>
        <w:footnoteRef/>
      </w:r>
      <w:r>
        <w:t xml:space="preserve"> </w:t>
      </w:r>
      <w:r w:rsidRPr="00AD4D3C">
        <w:t>SDG&amp;E T2 Ex-06 at 47-48.</w:t>
      </w:r>
    </w:p>
  </w:footnote>
  <w:footnote w:id="331">
    <w:p w14:paraId="2F94372F" w14:textId="77777777" w:rsidR="007253C8" w:rsidRDefault="007253C8" w:rsidP="007253C8">
      <w:pPr>
        <w:pStyle w:val="FootnoteText"/>
      </w:pPr>
      <w:r>
        <w:rPr>
          <w:rStyle w:val="FootnoteReference"/>
        </w:rPr>
        <w:footnoteRef/>
      </w:r>
      <w:r>
        <w:t xml:space="preserve"> Cal Advocates Opening Brief at 12.</w:t>
      </w:r>
    </w:p>
  </w:footnote>
  <w:footnote w:id="332">
    <w:p w14:paraId="6415CD67" w14:textId="77777777" w:rsidR="007253C8" w:rsidRPr="006A58DA" w:rsidRDefault="007253C8" w:rsidP="007253C8">
      <w:pPr>
        <w:pStyle w:val="FootnoteText"/>
        <w:rPr>
          <w:lang w:val="da-DK"/>
        </w:rPr>
      </w:pPr>
      <w:r>
        <w:rPr>
          <w:rStyle w:val="FootnoteReference"/>
        </w:rPr>
        <w:footnoteRef/>
      </w:r>
      <w:r w:rsidRPr="006A58DA">
        <w:rPr>
          <w:lang w:val="da-DK"/>
        </w:rPr>
        <w:t xml:space="preserve"> D.24-12-074 at 771.</w:t>
      </w:r>
    </w:p>
  </w:footnote>
  <w:footnote w:id="333">
    <w:p w14:paraId="3375E5A0" w14:textId="77777777" w:rsidR="007253C8" w:rsidRPr="006A58DA" w:rsidRDefault="007253C8" w:rsidP="007253C8">
      <w:pPr>
        <w:pStyle w:val="FootnoteText"/>
        <w:rPr>
          <w:lang w:val="da-DK"/>
        </w:rPr>
      </w:pPr>
      <w:r>
        <w:rPr>
          <w:rStyle w:val="FootnoteReference"/>
        </w:rPr>
        <w:footnoteRef/>
      </w:r>
      <w:r w:rsidRPr="006A58DA">
        <w:rPr>
          <w:lang w:val="da-DK"/>
        </w:rPr>
        <w:t xml:space="preserve"> SDG&amp;E T2 Ex-06 at 25-26.</w:t>
      </w:r>
    </w:p>
  </w:footnote>
  <w:footnote w:id="334">
    <w:p w14:paraId="4CF6F29B" w14:textId="77777777" w:rsidR="007253C8" w:rsidRPr="006A58DA" w:rsidRDefault="007253C8" w:rsidP="007253C8">
      <w:pPr>
        <w:pStyle w:val="FootnoteText"/>
      </w:pPr>
      <w:r>
        <w:rPr>
          <w:rStyle w:val="FootnoteReference"/>
        </w:rPr>
        <w:footnoteRef/>
      </w:r>
      <w:r>
        <w:t xml:space="preserve"> </w:t>
      </w:r>
      <w:r w:rsidRPr="006A58DA">
        <w:t>SDG&amp;E T2 Ex-06 at 25-27.</w:t>
      </w:r>
    </w:p>
  </w:footnote>
  <w:footnote w:id="335">
    <w:p w14:paraId="38C60917" w14:textId="77777777" w:rsidR="007253C8" w:rsidRDefault="007253C8" w:rsidP="007253C8">
      <w:pPr>
        <w:pStyle w:val="FootnoteText"/>
      </w:pPr>
      <w:r>
        <w:rPr>
          <w:rStyle w:val="FootnoteReference"/>
        </w:rPr>
        <w:footnoteRef/>
      </w:r>
      <w:r>
        <w:t xml:space="preserve"> </w:t>
      </w:r>
      <w:r w:rsidRPr="00545A43">
        <w:rPr>
          <w:bCs/>
        </w:rPr>
        <w:t>Cal Advocates Opening Brief at 9</w:t>
      </w:r>
      <w:r>
        <w:rPr>
          <w:bCs/>
        </w:rPr>
        <w:t xml:space="preserve">; </w:t>
      </w:r>
      <w:r w:rsidRPr="00165934">
        <w:rPr>
          <w:bCs/>
        </w:rPr>
        <w:t>CA</w:t>
      </w:r>
      <w:r>
        <w:rPr>
          <w:bCs/>
        </w:rPr>
        <w:t xml:space="preserve"> T2 </w:t>
      </w:r>
      <w:r w:rsidRPr="00165934">
        <w:rPr>
          <w:bCs/>
        </w:rPr>
        <w:t>Ex-02 at 10-11</w:t>
      </w:r>
      <w:r>
        <w:rPr>
          <w:bCs/>
        </w:rPr>
        <w:t>.</w:t>
      </w:r>
    </w:p>
  </w:footnote>
  <w:footnote w:id="336">
    <w:p w14:paraId="20577699" w14:textId="77777777" w:rsidR="007253C8" w:rsidRDefault="007253C8" w:rsidP="007253C8">
      <w:pPr>
        <w:pStyle w:val="FootnoteText"/>
      </w:pPr>
      <w:r>
        <w:rPr>
          <w:rStyle w:val="FootnoteReference"/>
        </w:rPr>
        <w:footnoteRef/>
      </w:r>
      <w:r>
        <w:t xml:space="preserve"> SDG&amp;E Reply Brief at 64.</w:t>
      </w:r>
    </w:p>
  </w:footnote>
  <w:footnote w:id="337">
    <w:p w14:paraId="566D8ABF" w14:textId="77777777" w:rsidR="007253C8" w:rsidRDefault="007253C8" w:rsidP="007253C8">
      <w:pPr>
        <w:pStyle w:val="FootnoteText"/>
      </w:pPr>
      <w:r w:rsidRPr="16287259">
        <w:rPr>
          <w:rStyle w:val="FootnoteReference"/>
        </w:rPr>
        <w:footnoteRef/>
      </w:r>
      <w:r>
        <w:t xml:space="preserve"> SDG&amp;E Reply Brief at 66.</w:t>
      </w:r>
    </w:p>
  </w:footnote>
  <w:footnote w:id="338">
    <w:p w14:paraId="43709FF2" w14:textId="6EFF3208" w:rsidR="007253C8" w:rsidRDefault="007253C8" w:rsidP="007253C8">
      <w:pPr>
        <w:pStyle w:val="FootnoteText"/>
      </w:pPr>
      <w:r w:rsidRPr="594E653A">
        <w:rPr>
          <w:rStyle w:val="FootnoteReference"/>
        </w:rPr>
        <w:footnoteRef/>
      </w:r>
      <w:r>
        <w:t xml:space="preserve"> SDG&amp;E Opening Brief at 88, citing to </w:t>
      </w:r>
      <w:r w:rsidRPr="594E653A">
        <w:t>SDG</w:t>
      </w:r>
      <w:r w:rsidR="008571C1">
        <w:t>&amp;</w:t>
      </w:r>
      <w:r w:rsidRPr="594E653A">
        <w:t>E T2 Ex-02-R at 16.</w:t>
      </w:r>
    </w:p>
  </w:footnote>
  <w:footnote w:id="339">
    <w:p w14:paraId="52B4E998" w14:textId="77777777" w:rsidR="007253C8" w:rsidRDefault="007253C8" w:rsidP="007253C8">
      <w:pPr>
        <w:pStyle w:val="FootnoteText"/>
      </w:pPr>
      <w:r>
        <w:rPr>
          <w:rStyle w:val="FootnoteReference"/>
        </w:rPr>
        <w:footnoteRef/>
      </w:r>
      <w:r>
        <w:t xml:space="preserve"> </w:t>
      </w:r>
      <w:r w:rsidRPr="0075086D">
        <w:t>SDG&amp;E Reply Brief at 64</w:t>
      </w:r>
      <w:r>
        <w:t>-67.</w:t>
      </w:r>
    </w:p>
  </w:footnote>
  <w:footnote w:id="340">
    <w:p w14:paraId="01724E87" w14:textId="4879C190" w:rsidR="007253C8" w:rsidRDefault="007253C8" w:rsidP="007253C8">
      <w:pPr>
        <w:pStyle w:val="FootnoteText"/>
      </w:pPr>
      <w:r>
        <w:rPr>
          <w:rStyle w:val="FootnoteReference"/>
        </w:rPr>
        <w:footnoteRef/>
      </w:r>
      <w:r>
        <w:t xml:space="preserve"> </w:t>
      </w:r>
      <w:r w:rsidRPr="0075086D">
        <w:t>SDG&amp;E Reply Brief at 6</w:t>
      </w:r>
      <w:r>
        <w:t>6, f</w:t>
      </w:r>
      <w:r w:rsidR="00EE7657">
        <w:t>ootnote</w:t>
      </w:r>
      <w:r>
        <w:t xml:space="preserve"> 216.</w:t>
      </w:r>
    </w:p>
  </w:footnote>
  <w:footnote w:id="341">
    <w:p w14:paraId="193B5083" w14:textId="7676B44E" w:rsidR="007253C8" w:rsidRPr="0075086D" w:rsidRDefault="007253C8" w:rsidP="007253C8">
      <w:pPr>
        <w:pStyle w:val="FootnoteText"/>
      </w:pPr>
      <w:r>
        <w:rPr>
          <w:rStyle w:val="FootnoteReference"/>
        </w:rPr>
        <w:footnoteRef/>
      </w:r>
      <w:r w:rsidRPr="0075086D">
        <w:t xml:space="preserve"> SDG</w:t>
      </w:r>
      <w:r w:rsidR="008571C1">
        <w:t>&amp;</w:t>
      </w:r>
      <w:r w:rsidRPr="0075086D">
        <w:t>E T2 Ex-07 at 18.</w:t>
      </w:r>
    </w:p>
  </w:footnote>
  <w:footnote w:id="342">
    <w:p w14:paraId="138C5F4D" w14:textId="77777777" w:rsidR="007253C8" w:rsidRDefault="007253C8" w:rsidP="007253C8">
      <w:pPr>
        <w:pStyle w:val="FootnoteText"/>
      </w:pPr>
      <w:r w:rsidRPr="4615CA94">
        <w:rPr>
          <w:rStyle w:val="FootnoteReference"/>
        </w:rPr>
        <w:footnoteRef/>
      </w:r>
      <w:r>
        <w:t xml:space="preserve"> SDG&amp;E Opening Brief at 77-79; CA Ex-04.</w:t>
      </w:r>
    </w:p>
  </w:footnote>
  <w:footnote w:id="343">
    <w:p w14:paraId="0B30C450" w14:textId="77777777" w:rsidR="007253C8" w:rsidRDefault="007253C8" w:rsidP="007253C8">
      <w:pPr>
        <w:pStyle w:val="FootnoteText"/>
      </w:pPr>
      <w:r>
        <w:rPr>
          <w:rStyle w:val="FootnoteReference"/>
        </w:rPr>
        <w:footnoteRef/>
      </w:r>
      <w:r>
        <w:t xml:space="preserve"> D.24-12-074 at 21-22; D.20-01-002 at 8-10.</w:t>
      </w:r>
    </w:p>
  </w:footnote>
  <w:footnote w:id="344">
    <w:p w14:paraId="68E7D6C9" w14:textId="77777777" w:rsidR="007253C8" w:rsidRDefault="007253C8" w:rsidP="007253C8">
      <w:pPr>
        <w:pStyle w:val="FootnoteText"/>
      </w:pPr>
      <w:r w:rsidRPr="13745B57">
        <w:rPr>
          <w:rStyle w:val="FootnoteReference"/>
        </w:rPr>
        <w:footnoteRef/>
      </w:r>
      <w:r>
        <w:t xml:space="preserve"> D.19-12-056 at 2.</w:t>
      </w:r>
    </w:p>
  </w:footnote>
  <w:footnote w:id="345">
    <w:p w14:paraId="2127DB8A" w14:textId="77777777" w:rsidR="007253C8" w:rsidRDefault="007253C8" w:rsidP="007253C8">
      <w:pPr>
        <w:pStyle w:val="FootnoteText"/>
      </w:pPr>
      <w:r>
        <w:rPr>
          <w:rStyle w:val="FootnoteReference"/>
        </w:rPr>
        <w:footnoteRef/>
      </w:r>
      <w:r>
        <w:t xml:space="preserve"> This is consistent with the Commission’s ruling in PG&amp;E’s GRC with respect to balances recorded to a memorandum account pending a reasonableness review.</w:t>
      </w:r>
      <w:r w:rsidRPr="00705043">
        <w:t xml:space="preserve"> </w:t>
      </w:r>
      <w:r>
        <w:t>SDG&amp;E Opening Brief at 89.</w:t>
      </w:r>
    </w:p>
  </w:footnote>
  <w:footnote w:id="346">
    <w:p w14:paraId="111DF854" w14:textId="77777777" w:rsidR="007253C8" w:rsidRDefault="007253C8" w:rsidP="007253C8">
      <w:pPr>
        <w:pStyle w:val="FootnoteText"/>
      </w:pPr>
      <w:r>
        <w:rPr>
          <w:rStyle w:val="FootnoteReference"/>
        </w:rPr>
        <w:footnoteRef/>
      </w:r>
      <w:r>
        <w:t xml:space="preserve"> </w:t>
      </w:r>
      <w:r w:rsidRPr="00093EA4">
        <w:t xml:space="preserve">SDG&amp;E </w:t>
      </w:r>
      <w:r>
        <w:t>T2-02R Appendix 7</w:t>
      </w:r>
      <w:r w:rsidRPr="00093EA4">
        <w:t>.</w:t>
      </w:r>
    </w:p>
  </w:footnote>
  <w:footnote w:id="347">
    <w:p w14:paraId="45CC7506" w14:textId="77777777" w:rsidR="007253C8" w:rsidRDefault="007253C8" w:rsidP="007253C8">
      <w:pPr>
        <w:pStyle w:val="FootnoteText"/>
      </w:pPr>
      <w:r>
        <w:rPr>
          <w:rStyle w:val="FootnoteReference"/>
        </w:rPr>
        <w:footnoteRef/>
      </w:r>
      <w:r>
        <w:t xml:space="preserve"> </w:t>
      </w:r>
      <w:r w:rsidRPr="00093EA4">
        <w:t xml:space="preserve">SDG&amp;E </w:t>
      </w:r>
      <w:r>
        <w:t>T2-02R Appendix 7</w:t>
      </w:r>
      <w:r w:rsidRPr="00093EA4">
        <w:t>.</w:t>
      </w:r>
    </w:p>
  </w:footnote>
  <w:footnote w:id="348">
    <w:p w14:paraId="4FB23E19" w14:textId="77777777" w:rsidR="007253C8" w:rsidRDefault="007253C8" w:rsidP="007253C8">
      <w:pPr>
        <w:pStyle w:val="FootnoteText"/>
      </w:pPr>
      <w:r>
        <w:rPr>
          <w:rStyle w:val="FootnoteReference"/>
        </w:rPr>
        <w:footnoteRef/>
      </w:r>
      <w:r>
        <w:t xml:space="preserve"> Cal Advocates Opening Brief at 50.</w:t>
      </w:r>
    </w:p>
  </w:footnote>
  <w:footnote w:id="349">
    <w:p w14:paraId="04051389" w14:textId="77777777" w:rsidR="007253C8" w:rsidRDefault="007253C8" w:rsidP="007253C8">
      <w:pPr>
        <w:pStyle w:val="FootnoteText"/>
      </w:pPr>
      <w:r>
        <w:rPr>
          <w:rStyle w:val="FootnoteReference"/>
        </w:rPr>
        <w:footnoteRef/>
      </w:r>
      <w:r>
        <w:t xml:space="preserve"> PCF Opening Brief at 67-69.</w:t>
      </w:r>
    </w:p>
  </w:footnote>
  <w:footnote w:id="350">
    <w:p w14:paraId="51CB2910" w14:textId="4D24FFE7" w:rsidR="007253C8" w:rsidRDefault="007253C8" w:rsidP="007253C8">
      <w:pPr>
        <w:pStyle w:val="FootnoteText"/>
      </w:pPr>
      <w:r>
        <w:rPr>
          <w:rStyle w:val="FootnoteReference"/>
        </w:rPr>
        <w:footnoteRef/>
      </w:r>
      <w:r>
        <w:t xml:space="preserve"> SBUA Opening Brief at </w:t>
      </w:r>
      <w:r w:rsidR="00202602">
        <w:t>18-</w:t>
      </w:r>
      <w:r>
        <w:t>19.</w:t>
      </w:r>
    </w:p>
  </w:footnote>
  <w:footnote w:id="351">
    <w:p w14:paraId="79F330C9" w14:textId="77777777" w:rsidR="007253C8" w:rsidRDefault="007253C8" w:rsidP="007253C8">
      <w:pPr>
        <w:pStyle w:val="FootnoteText"/>
      </w:pPr>
      <w:r>
        <w:rPr>
          <w:rStyle w:val="FootnoteReference"/>
        </w:rPr>
        <w:footnoteRef/>
      </w:r>
      <w:r>
        <w:t xml:space="preserve"> </w:t>
      </w:r>
      <w:r w:rsidRPr="00785D19">
        <w:t>SDG&amp;E Reply Brief at 68-70.</w:t>
      </w:r>
    </w:p>
  </w:footnote>
  <w:footnote w:id="352">
    <w:p w14:paraId="2E80162D" w14:textId="480FD456" w:rsidR="002A095D" w:rsidRPr="002A095D" w:rsidRDefault="002A095D">
      <w:pPr>
        <w:pStyle w:val="FootnoteText"/>
      </w:pPr>
      <w:r>
        <w:rPr>
          <w:rStyle w:val="FootnoteReference"/>
        </w:rPr>
        <w:footnoteRef/>
      </w:r>
      <w:r w:rsidRPr="002A095D">
        <w:t xml:space="preserve"> </w:t>
      </w:r>
      <w:hyperlink r:id="rId3" w:history="1">
        <w:r w:rsidRPr="002A095D">
          <w:rPr>
            <w:rStyle w:val="Hyperlink"/>
          </w:rPr>
          <w:t>SDGE_ELEC_ELEC-PRELIM_WMPMA</w:t>
        </w:r>
      </w:hyperlink>
      <w:r w:rsidR="007A3FB3">
        <w:t>, “Wildfire Mitigation Plan Memorandum Account (WMPMA)” Preliminary Statement,</w:t>
      </w:r>
      <w:r>
        <w:t xml:space="preserve"> available </w:t>
      </w:r>
      <w:hyperlink r:id="rId4" w:history="1">
        <w:r w:rsidR="007A3FB3" w:rsidRPr="00F07D2C">
          <w:rPr>
            <w:rStyle w:val="Hyperlink"/>
          </w:rPr>
          <w:t>from</w:t>
        </w:r>
      </w:hyperlink>
      <w:r w:rsidR="007A3FB3">
        <w:t xml:space="preserve"> </w:t>
      </w:r>
      <w:r w:rsidR="007A3FB3" w:rsidRPr="007A3FB3">
        <w:t>https://tariffsprd.sdge.com/sdge/tariffs/?utilId=SDGE&amp;bookId=ELEC&amp;sectId=ELEC-PRELIM</w:t>
      </w:r>
      <w:r>
        <w:t>.</w:t>
      </w:r>
    </w:p>
  </w:footnote>
  <w:footnote w:id="353">
    <w:p w14:paraId="536A2D27" w14:textId="6F257CFF" w:rsidR="00823ECB" w:rsidRPr="0037110F" w:rsidRDefault="00823ECB">
      <w:pPr>
        <w:pStyle w:val="FootnoteText"/>
        <w:rPr>
          <w:i/>
          <w:iCs/>
          <w:lang w:val="es-CO"/>
        </w:rPr>
      </w:pPr>
      <w:r>
        <w:rPr>
          <w:rStyle w:val="FootnoteReference"/>
        </w:rPr>
        <w:footnoteRef/>
      </w:r>
      <w:r w:rsidRPr="00485EF1">
        <w:rPr>
          <w:lang w:val="es-CO"/>
        </w:rPr>
        <w:t xml:space="preserve"> </w:t>
      </w:r>
      <w:r w:rsidRPr="00485EF1">
        <w:rPr>
          <w:i/>
          <w:iCs/>
          <w:lang w:val="es-CO"/>
        </w:rPr>
        <w:t>Ibid.</w:t>
      </w:r>
    </w:p>
  </w:footnote>
  <w:footnote w:id="354">
    <w:p w14:paraId="5EF1FEEF" w14:textId="50281A08" w:rsidR="00D3408E" w:rsidRDefault="00D3408E">
      <w:pPr>
        <w:pStyle w:val="FootnoteText"/>
      </w:pPr>
      <w:r>
        <w:rPr>
          <w:rStyle w:val="FootnoteReference"/>
        </w:rPr>
        <w:footnoteRef/>
      </w:r>
      <w:r>
        <w:t xml:space="preserve"> </w:t>
      </w:r>
      <w:r w:rsidRPr="00D3408E">
        <w:t>A</w:t>
      </w:r>
      <w:r>
        <w:t>ssigned</w:t>
      </w:r>
      <w:r w:rsidRPr="00D3408E">
        <w:t xml:space="preserve"> C</w:t>
      </w:r>
      <w:r>
        <w:t xml:space="preserve">ommissioner’s </w:t>
      </w:r>
      <w:r w:rsidRPr="00D3408E">
        <w:t>A</w:t>
      </w:r>
      <w:r>
        <w:t xml:space="preserve">mended </w:t>
      </w:r>
      <w:r w:rsidRPr="00D3408E">
        <w:t>S</w:t>
      </w:r>
      <w:r>
        <w:t xml:space="preserve">coping Memo and Ruling for </w:t>
      </w:r>
      <w:r w:rsidRPr="00D3408E">
        <w:t>T</w:t>
      </w:r>
      <w:r>
        <w:t xml:space="preserve">rack </w:t>
      </w:r>
      <w:r w:rsidRPr="00D3408E">
        <w:t>3</w:t>
      </w:r>
      <w:r>
        <w:t xml:space="preserve"> dated March 12, 2025 at 3.</w:t>
      </w:r>
    </w:p>
  </w:footnote>
  <w:footnote w:id="355">
    <w:p w14:paraId="736B16CE" w14:textId="51CF234E" w:rsidR="00D3408E" w:rsidRDefault="00D3408E">
      <w:pPr>
        <w:pStyle w:val="FootnoteText"/>
      </w:pPr>
      <w:r>
        <w:rPr>
          <w:rStyle w:val="FootnoteReference"/>
        </w:rPr>
        <w:footnoteRef/>
      </w:r>
      <w:r>
        <w:t xml:space="preserve"> TURN Opening Comments at 5.</w:t>
      </w:r>
    </w:p>
  </w:footnote>
  <w:footnote w:id="356">
    <w:p w14:paraId="01A39765" w14:textId="2ECC1A21" w:rsidR="007253C8" w:rsidRPr="0037110F" w:rsidRDefault="007253C8" w:rsidP="007253C8">
      <w:pPr>
        <w:pStyle w:val="FootnoteText"/>
      </w:pPr>
      <w:r>
        <w:rPr>
          <w:rStyle w:val="FootnoteReference"/>
        </w:rPr>
        <w:footnoteRef/>
      </w:r>
      <w:r w:rsidRPr="0037110F">
        <w:t xml:space="preserve"> SDG&amp;E T2 Ex-02R.</w:t>
      </w:r>
    </w:p>
  </w:footnote>
  <w:footnote w:id="357">
    <w:p w14:paraId="7BF3A147" w14:textId="77777777" w:rsidR="007253C8" w:rsidRPr="00485EF1" w:rsidRDefault="007253C8" w:rsidP="007253C8">
      <w:pPr>
        <w:pStyle w:val="FootnoteText"/>
      </w:pPr>
      <w:r>
        <w:rPr>
          <w:rStyle w:val="FootnoteReference"/>
        </w:rPr>
        <w:footnoteRef/>
      </w:r>
      <w:r w:rsidRPr="00485EF1">
        <w:t xml:space="preserve"> SDG&amp;E T2 Ex-02R.</w:t>
      </w:r>
    </w:p>
  </w:footnote>
  <w:footnote w:id="358">
    <w:p w14:paraId="4C7F2BB6" w14:textId="77777777" w:rsidR="007253C8" w:rsidRDefault="007253C8" w:rsidP="007253C8">
      <w:pPr>
        <w:pStyle w:val="FootnoteText"/>
      </w:pPr>
      <w:r>
        <w:rPr>
          <w:rStyle w:val="FootnoteReference"/>
        </w:rPr>
        <w:footnoteRef/>
      </w:r>
      <w:r>
        <w:t xml:space="preserve"> Appendix B Cost Reduction Summary.</w:t>
      </w:r>
    </w:p>
  </w:footnote>
  <w:footnote w:id="359">
    <w:p w14:paraId="45BCC15B" w14:textId="77777777" w:rsidR="007253C8" w:rsidRDefault="007253C8" w:rsidP="007253C8">
      <w:pPr>
        <w:pStyle w:val="FootnoteText"/>
      </w:pPr>
      <w:r>
        <w:rPr>
          <w:rStyle w:val="FootnoteReference"/>
        </w:rPr>
        <w:footnoteRef/>
      </w:r>
      <w:r>
        <w:t xml:space="preserve"> Appendix C Results of Operations Model (Electric).</w:t>
      </w:r>
    </w:p>
  </w:footnote>
  <w:footnote w:id="360">
    <w:p w14:paraId="75528A89" w14:textId="77777777" w:rsidR="007253C8" w:rsidRDefault="007253C8" w:rsidP="007253C8">
      <w:pPr>
        <w:pStyle w:val="FootnoteText"/>
      </w:pPr>
      <w:r>
        <w:rPr>
          <w:rStyle w:val="FootnoteReference"/>
        </w:rPr>
        <w:footnoteRef/>
      </w:r>
      <w:r>
        <w:t xml:space="preserve"> Appendix C Results of Operations Model (Electric).</w:t>
      </w:r>
    </w:p>
  </w:footnote>
  <w:footnote w:id="361">
    <w:p w14:paraId="03CA56A3" w14:textId="0DF5DBEA" w:rsidR="00FF5E2A" w:rsidRDefault="00FF5E2A">
      <w:pPr>
        <w:pStyle w:val="FootnoteText"/>
      </w:pPr>
      <w:r>
        <w:rPr>
          <w:rStyle w:val="FootnoteReference"/>
        </w:rPr>
        <w:footnoteRef/>
      </w:r>
      <w:r>
        <w:t xml:space="preserve"> </w:t>
      </w:r>
      <w:r w:rsidRPr="00FF5E2A">
        <w:t>Table 7 reflects Table 5 from Ex. SDG</w:t>
      </w:r>
      <w:r w:rsidR="00403B5C">
        <w:t>&amp;</w:t>
      </w:r>
      <w:r w:rsidRPr="00FF5E2A">
        <w:t>E-T2-02R (Gentes) at 8, modified to reflect the E&amp;Y adjustments discussed in Section IV(G)(3) above to reduce SDG&amp;E’s request for recovery. See Ex. SDG</w:t>
      </w:r>
      <w:r w:rsidR="00403B5C">
        <w:t>&amp;</w:t>
      </w:r>
      <w:r w:rsidRPr="00FF5E2A">
        <w:t>E-T2-11</w:t>
      </w:r>
      <w:r>
        <w:t xml:space="preserve">; </w:t>
      </w:r>
      <w:r w:rsidR="0027473E">
        <w:t xml:space="preserve">SDG&amp;E </w:t>
      </w:r>
      <w:r>
        <w:t>Opening Brief at 91.</w:t>
      </w:r>
    </w:p>
  </w:footnote>
  <w:footnote w:id="362">
    <w:p w14:paraId="7A9998BC" w14:textId="77777777" w:rsidR="007253C8" w:rsidRDefault="007253C8" w:rsidP="007253C8">
      <w:pPr>
        <w:pStyle w:val="FootnoteText"/>
      </w:pPr>
      <w:r w:rsidRPr="7ED2919C">
        <w:rPr>
          <w:rStyle w:val="FootnoteReference"/>
        </w:rPr>
        <w:footnoteRef/>
      </w:r>
      <w:r>
        <w:t xml:space="preserve"> SDG&amp;E T2 Ex-02, Appendix </w:t>
      </w:r>
      <w:r w:rsidRPr="7ED2919C">
        <w:t>4, Wildfire Mitigation Plan Memorandum Account (WMPMA) - Gas Account # 1150745 / (2190351), Appendix 6.</w:t>
      </w:r>
    </w:p>
  </w:footnote>
  <w:footnote w:id="363">
    <w:p w14:paraId="1207FB88" w14:textId="6E3056E7" w:rsidR="00BB5737" w:rsidRPr="00485EF1" w:rsidRDefault="00BB5737">
      <w:pPr>
        <w:pStyle w:val="FootnoteText"/>
        <w:rPr>
          <w:lang w:val="es-CO"/>
        </w:rPr>
      </w:pPr>
      <w:r>
        <w:rPr>
          <w:rStyle w:val="FootnoteReference"/>
        </w:rPr>
        <w:footnoteRef/>
      </w:r>
      <w:r w:rsidRPr="00485EF1">
        <w:rPr>
          <w:lang w:val="es-CO"/>
        </w:rPr>
        <w:t xml:space="preserve"> </w:t>
      </w:r>
      <w:r w:rsidR="00EB1746" w:rsidRPr="00485EF1">
        <w:rPr>
          <w:lang w:val="es-CO"/>
        </w:rPr>
        <w:t>SDG</w:t>
      </w:r>
      <w:r w:rsidR="00403B5C" w:rsidRPr="00485EF1">
        <w:rPr>
          <w:lang w:val="es-CO"/>
        </w:rPr>
        <w:t>&amp;</w:t>
      </w:r>
      <w:r w:rsidR="00EB1746" w:rsidRPr="00485EF1">
        <w:rPr>
          <w:lang w:val="es-CO"/>
        </w:rPr>
        <w:t>E T2 Ex-01R at 58-59.</w:t>
      </w:r>
    </w:p>
  </w:footnote>
  <w:footnote w:id="364">
    <w:p w14:paraId="35127937" w14:textId="2251C8A7" w:rsidR="00AE5735" w:rsidRDefault="00AE5735">
      <w:pPr>
        <w:pStyle w:val="FootnoteText"/>
      </w:pPr>
      <w:r>
        <w:rPr>
          <w:rStyle w:val="FootnoteReference"/>
        </w:rPr>
        <w:footnoteRef/>
      </w:r>
      <w:r>
        <w:t xml:space="preserve"> </w:t>
      </w:r>
      <w:r w:rsidRPr="00AE5735">
        <w:t>D.19-09-051 at 601</w:t>
      </w:r>
      <w:r>
        <w:t xml:space="preserve">, 606-607; </w:t>
      </w:r>
      <w:r w:rsidR="00FE616A">
        <w:t>SDG&amp;E</w:t>
      </w:r>
      <w:r>
        <w:t xml:space="preserve"> Opening Comments at 24-25.</w:t>
      </w:r>
    </w:p>
  </w:footnote>
  <w:footnote w:id="365">
    <w:p w14:paraId="33D93556" w14:textId="562B31FA" w:rsidR="00A77A6D" w:rsidRDefault="00A77A6D">
      <w:pPr>
        <w:pStyle w:val="FootnoteText"/>
      </w:pPr>
      <w:r>
        <w:rPr>
          <w:rStyle w:val="FootnoteReference"/>
        </w:rPr>
        <w:footnoteRef/>
      </w:r>
      <w:r>
        <w:t xml:space="preserve"> PCF Opening Brief at 67</w:t>
      </w:r>
      <w:r w:rsidR="00F34A8F">
        <w:t>-69</w:t>
      </w:r>
      <w:r>
        <w:t>; PCF Opening Comments at 22-23; SBUA Reply Comments at 6.</w:t>
      </w:r>
    </w:p>
  </w:footnote>
  <w:footnote w:id="366">
    <w:p w14:paraId="718564F2" w14:textId="77777777" w:rsidR="007253C8" w:rsidRDefault="007253C8" w:rsidP="007253C8">
      <w:pPr>
        <w:pStyle w:val="FootnoteText"/>
      </w:pPr>
      <w:r>
        <w:rPr>
          <w:rStyle w:val="FootnoteReference"/>
        </w:rPr>
        <w:footnoteRef/>
      </w:r>
      <w:r>
        <w:t xml:space="preserve"> Appendix C Results of Operations (Electric).</w:t>
      </w:r>
    </w:p>
  </w:footnote>
  <w:footnote w:id="367">
    <w:p w14:paraId="257E9379" w14:textId="77777777" w:rsidR="007253C8" w:rsidRDefault="007253C8" w:rsidP="007253C8">
      <w:pPr>
        <w:pStyle w:val="FootnoteText"/>
      </w:pPr>
      <w:r>
        <w:rPr>
          <w:rStyle w:val="FootnoteReference"/>
        </w:rPr>
        <w:footnoteRef/>
      </w:r>
      <w:r>
        <w:t xml:space="preserve"> SDG&amp;E Opening Brief at 92.</w:t>
      </w:r>
    </w:p>
  </w:footnote>
  <w:footnote w:id="368">
    <w:p w14:paraId="03EC50AB" w14:textId="77777777" w:rsidR="007253C8" w:rsidRDefault="007253C8" w:rsidP="007253C8">
      <w:pPr>
        <w:pStyle w:val="FootnoteText"/>
      </w:pPr>
      <w:r>
        <w:rPr>
          <w:rStyle w:val="FootnoteReference"/>
        </w:rPr>
        <w:footnoteRef/>
      </w:r>
      <w:r>
        <w:t xml:space="preserve"> </w:t>
      </w:r>
      <w:r w:rsidRPr="00EE1BF6">
        <w:t>D.24-02-010, O</w:t>
      </w:r>
      <w:r>
        <w:t xml:space="preserve">rdering </w:t>
      </w:r>
      <w:r w:rsidRPr="00EE1BF6">
        <w:t>P</w:t>
      </w:r>
      <w:r>
        <w:t>aragraph</w:t>
      </w:r>
      <w:r w:rsidRPr="00EE1BF6">
        <w:t xml:space="preserve"> 1 at 22.</w:t>
      </w:r>
    </w:p>
  </w:footnote>
  <w:footnote w:id="369">
    <w:p w14:paraId="1BDF5D15" w14:textId="77777777" w:rsidR="007253C8" w:rsidRDefault="007253C8" w:rsidP="007253C8">
      <w:pPr>
        <w:pStyle w:val="FootnoteText"/>
      </w:pPr>
      <w:r>
        <w:rPr>
          <w:rStyle w:val="FootnoteReference"/>
        </w:rPr>
        <w:footnoteRef/>
      </w:r>
      <w:r>
        <w:t xml:space="preserve"> </w:t>
      </w:r>
      <w:r w:rsidRPr="00FE2148">
        <w:rPr>
          <w:i/>
          <w:iCs/>
        </w:rPr>
        <w:t>See</w:t>
      </w:r>
      <w:r>
        <w:t xml:space="preserve"> Appendix C Total Revenue Requirement table for Electric and Gas.</w:t>
      </w:r>
    </w:p>
  </w:footnote>
  <w:footnote w:id="370">
    <w:p w14:paraId="6302A181" w14:textId="77777777" w:rsidR="007253C8" w:rsidRDefault="007253C8" w:rsidP="007253C8">
      <w:pPr>
        <w:pStyle w:val="FootnoteText"/>
      </w:pPr>
      <w:r w:rsidRPr="7288415D">
        <w:rPr>
          <w:rStyle w:val="FootnoteReference"/>
        </w:rPr>
        <w:footnoteRef/>
      </w:r>
      <w:r>
        <w:t xml:space="preserve"> SDG&amp;E Opening Brief at 96-97.</w:t>
      </w:r>
    </w:p>
  </w:footnote>
  <w:footnote w:id="371">
    <w:p w14:paraId="76FAB883" w14:textId="77777777" w:rsidR="007253C8" w:rsidRDefault="007253C8" w:rsidP="007253C8">
      <w:pPr>
        <w:pStyle w:val="FootnoteText"/>
        <w:spacing w:line="259" w:lineRule="auto"/>
      </w:pPr>
      <w:r w:rsidRPr="7288415D">
        <w:rPr>
          <w:rStyle w:val="FootnoteReference"/>
        </w:rPr>
        <w:footnoteRef/>
      </w:r>
      <w:r>
        <w:t xml:space="preserve"> SDG&amp;E Opening Brief at </w:t>
      </w:r>
      <w:r w:rsidRPr="7288415D">
        <w:t>93.</w:t>
      </w:r>
    </w:p>
  </w:footnote>
  <w:footnote w:id="372">
    <w:p w14:paraId="0B8573F4" w14:textId="77777777" w:rsidR="007253C8" w:rsidRDefault="007253C8" w:rsidP="007253C8">
      <w:pPr>
        <w:pStyle w:val="FootnoteText"/>
      </w:pPr>
      <w:r w:rsidRPr="07AF63C0">
        <w:rPr>
          <w:rStyle w:val="FootnoteReference"/>
        </w:rPr>
        <w:footnoteRef/>
      </w:r>
      <w:r>
        <w:t xml:space="preserve"> SDG&amp;E Reply Brief at 80.</w:t>
      </w:r>
    </w:p>
  </w:footnote>
  <w:footnote w:id="373">
    <w:p w14:paraId="19BDFC95" w14:textId="77777777" w:rsidR="007253C8" w:rsidRDefault="007253C8" w:rsidP="007253C8">
      <w:pPr>
        <w:pStyle w:val="FootnoteText"/>
      </w:pPr>
      <w:r>
        <w:rPr>
          <w:rStyle w:val="FootnoteReference"/>
        </w:rPr>
        <w:footnoteRef/>
      </w:r>
      <w:r>
        <w:t xml:space="preserve"> TURN Opening Brief at 29-31.</w:t>
      </w:r>
    </w:p>
  </w:footnote>
  <w:footnote w:id="374">
    <w:p w14:paraId="288FA8A9" w14:textId="77777777" w:rsidR="007253C8" w:rsidRDefault="007253C8" w:rsidP="007253C8">
      <w:pPr>
        <w:pStyle w:val="FootnoteText"/>
      </w:pPr>
      <w:r w:rsidRPr="502CF684">
        <w:rPr>
          <w:rStyle w:val="FootnoteReference"/>
        </w:rPr>
        <w:footnoteRef/>
      </w:r>
      <w:r w:rsidRPr="502CF684">
        <w:t xml:space="preserve"> D.21-10-025 at 27-29.</w:t>
      </w:r>
    </w:p>
  </w:footnote>
  <w:footnote w:id="375">
    <w:p w14:paraId="2A462EA4" w14:textId="02037CD8" w:rsidR="007253C8" w:rsidRDefault="007253C8" w:rsidP="007253C8">
      <w:pPr>
        <w:pStyle w:val="FootnoteText"/>
      </w:pPr>
      <w:r>
        <w:rPr>
          <w:rStyle w:val="FootnoteReference"/>
        </w:rPr>
        <w:footnoteRef/>
      </w:r>
      <w:r>
        <w:t xml:space="preserve"> Pub. Util. Code Sec</w:t>
      </w:r>
      <w:r w:rsidR="00A873DB">
        <w:t>tion</w:t>
      </w:r>
      <w:r w:rsidRPr="00EF59A1">
        <w:t xml:space="preserve"> 850.1(g).</w:t>
      </w:r>
    </w:p>
  </w:footnote>
  <w:footnote w:id="376">
    <w:p w14:paraId="61781BD9" w14:textId="77777777" w:rsidR="007253C8" w:rsidRDefault="007253C8" w:rsidP="007253C8">
      <w:pPr>
        <w:pStyle w:val="FootnoteText"/>
      </w:pPr>
      <w:r>
        <w:rPr>
          <w:rStyle w:val="FootnoteReference"/>
        </w:rPr>
        <w:footnoteRef/>
      </w:r>
      <w:r>
        <w:t xml:space="preserve"> TURN Opening Brief at 24-26.</w:t>
      </w:r>
    </w:p>
  </w:footnote>
  <w:footnote w:id="377">
    <w:p w14:paraId="57D13E9B" w14:textId="77777777" w:rsidR="007253C8" w:rsidRDefault="007253C8" w:rsidP="007253C8">
      <w:pPr>
        <w:pStyle w:val="FootnoteText"/>
      </w:pPr>
      <w:r>
        <w:rPr>
          <w:rStyle w:val="FootnoteReference"/>
        </w:rPr>
        <w:footnoteRef/>
      </w:r>
      <w:r>
        <w:t xml:space="preserve"> TURN Opening Brief at 32.</w:t>
      </w:r>
    </w:p>
  </w:footnote>
  <w:footnote w:id="378">
    <w:p w14:paraId="115B93EF" w14:textId="77777777" w:rsidR="007253C8" w:rsidRDefault="007253C8" w:rsidP="007253C8">
      <w:pPr>
        <w:pStyle w:val="FootnoteText"/>
      </w:pPr>
      <w:r>
        <w:rPr>
          <w:rStyle w:val="FootnoteReference"/>
        </w:rPr>
        <w:footnoteRef/>
      </w:r>
      <w:r>
        <w:t xml:space="preserve"> TURN Opening Brief at 37-38.</w:t>
      </w:r>
    </w:p>
  </w:footnote>
  <w:footnote w:id="379">
    <w:p w14:paraId="0146E037" w14:textId="77777777" w:rsidR="007253C8" w:rsidRDefault="007253C8" w:rsidP="007253C8">
      <w:pPr>
        <w:pStyle w:val="FootnoteText"/>
      </w:pPr>
      <w:r>
        <w:rPr>
          <w:rStyle w:val="FootnoteReference"/>
        </w:rPr>
        <w:footnoteRef/>
      </w:r>
      <w:r>
        <w:t xml:space="preserve"> UCAN Opening Brief at 10-13.</w:t>
      </w:r>
    </w:p>
  </w:footnote>
  <w:footnote w:id="380">
    <w:p w14:paraId="17144DCA" w14:textId="77777777" w:rsidR="007253C8" w:rsidRDefault="007253C8" w:rsidP="007253C8">
      <w:pPr>
        <w:pStyle w:val="FootnoteText"/>
      </w:pPr>
      <w:r>
        <w:rPr>
          <w:rStyle w:val="FootnoteReference"/>
        </w:rPr>
        <w:footnoteRef/>
      </w:r>
      <w:r>
        <w:t xml:space="preserve"> PCF Opening Brief at 69-71.</w:t>
      </w:r>
    </w:p>
  </w:footnote>
  <w:footnote w:id="381">
    <w:p w14:paraId="00F8ED85" w14:textId="77777777" w:rsidR="007253C8" w:rsidRDefault="007253C8" w:rsidP="007253C8">
      <w:pPr>
        <w:pStyle w:val="FootnoteText"/>
      </w:pPr>
      <w:r>
        <w:rPr>
          <w:rStyle w:val="FootnoteReference"/>
        </w:rPr>
        <w:footnoteRef/>
      </w:r>
      <w:r>
        <w:t xml:space="preserve"> SDG&amp;E Reply Brief at 80.</w:t>
      </w:r>
    </w:p>
  </w:footnote>
  <w:footnote w:id="382">
    <w:p w14:paraId="68BCA998" w14:textId="77777777" w:rsidR="007253C8" w:rsidRDefault="007253C8" w:rsidP="007253C8">
      <w:pPr>
        <w:pStyle w:val="FootnoteText"/>
      </w:pPr>
      <w:r>
        <w:rPr>
          <w:rStyle w:val="FootnoteReference"/>
        </w:rPr>
        <w:footnoteRef/>
      </w:r>
      <w:r>
        <w:t xml:space="preserve"> SDG&amp;E Reply Brief at 71-73.</w:t>
      </w:r>
    </w:p>
  </w:footnote>
  <w:footnote w:id="383">
    <w:p w14:paraId="28C31D1A" w14:textId="77777777" w:rsidR="007253C8" w:rsidRDefault="007253C8" w:rsidP="007253C8">
      <w:pPr>
        <w:pStyle w:val="FootnoteText"/>
      </w:pPr>
      <w:r>
        <w:rPr>
          <w:rStyle w:val="FootnoteReference"/>
        </w:rPr>
        <w:footnoteRef/>
      </w:r>
      <w:r>
        <w:t xml:space="preserve"> </w:t>
      </w:r>
      <w:r w:rsidRPr="0077297C">
        <w:t>SDG&amp;E Reply Brief at 7</w:t>
      </w:r>
      <w:r>
        <w:t>6-79.</w:t>
      </w:r>
    </w:p>
  </w:footnote>
  <w:footnote w:id="384">
    <w:p w14:paraId="604032DA" w14:textId="77777777" w:rsidR="007253C8" w:rsidRDefault="007253C8" w:rsidP="007253C8">
      <w:pPr>
        <w:pStyle w:val="FootnoteText"/>
      </w:pPr>
      <w:r w:rsidRPr="2A473F36">
        <w:rPr>
          <w:rStyle w:val="FootnoteReference"/>
        </w:rPr>
        <w:footnoteRef/>
      </w:r>
      <w:r>
        <w:t xml:space="preserve"> SDG&amp;E shall update the 2026 and 2027 revenue requirements with the authorized rate of return approved in the cost of capital proceeding. </w:t>
      </w:r>
    </w:p>
  </w:footnote>
  <w:footnote w:id="385">
    <w:p w14:paraId="19EBCF2E" w14:textId="77777777" w:rsidR="007253C8" w:rsidRPr="00766345" w:rsidRDefault="007253C8" w:rsidP="007253C8">
      <w:pPr>
        <w:pStyle w:val="FootnoteText"/>
        <w:rPr>
          <w:b/>
          <w:bCs/>
        </w:rPr>
      </w:pPr>
      <w:r>
        <w:rPr>
          <w:rStyle w:val="FootnoteReference"/>
        </w:rPr>
        <w:footnoteRef/>
      </w:r>
      <w:r>
        <w:t xml:space="preserve"> </w:t>
      </w:r>
      <w:r w:rsidRPr="00EE5FF7">
        <w:t>PCF Opening Brief at 17-18.</w:t>
      </w:r>
    </w:p>
  </w:footnote>
  <w:footnote w:id="386">
    <w:p w14:paraId="0677E677" w14:textId="77777777" w:rsidR="007253C8" w:rsidRPr="0067413C" w:rsidRDefault="007253C8" w:rsidP="007253C8">
      <w:pPr>
        <w:pStyle w:val="FootnoteText"/>
        <w:rPr>
          <w:b/>
          <w:bCs/>
        </w:rPr>
      </w:pPr>
      <w:r>
        <w:rPr>
          <w:rStyle w:val="FootnoteReference"/>
        </w:rPr>
        <w:footnoteRef/>
      </w:r>
      <w:r>
        <w:t xml:space="preserve"> </w:t>
      </w:r>
      <w:r w:rsidRPr="00EE5FF7">
        <w:t>SDG&amp;E Reply Brief at 50-51.</w:t>
      </w:r>
    </w:p>
  </w:footnote>
  <w:footnote w:id="387">
    <w:p w14:paraId="40D11309" w14:textId="77777777" w:rsidR="007253C8" w:rsidRDefault="007253C8" w:rsidP="007253C8">
      <w:pPr>
        <w:pStyle w:val="FootnoteText"/>
      </w:pPr>
      <w:r>
        <w:rPr>
          <w:rStyle w:val="FootnoteReference"/>
        </w:rPr>
        <w:footnoteRef/>
      </w:r>
      <w:r>
        <w:t xml:space="preserve"> SDG&amp;E Reply Brief at 50, citing to </w:t>
      </w:r>
      <w:r w:rsidRPr="0067413C">
        <w:t>D.19-05-036 at 21</w:t>
      </w:r>
      <w:r>
        <w:t>; Pub. Util. Code Section 8386.4(b)(1) states that “[t]</w:t>
      </w:r>
      <w:r w:rsidRPr="0067413C">
        <w:t>he commission shall consider whether the cost of implementing each electrical corporation’s plan is just and reasonable in its general rate case application.</w:t>
      </w:r>
      <w:r>
        <w:t>”</w:t>
      </w:r>
    </w:p>
  </w:footnote>
  <w:footnote w:id="388">
    <w:p w14:paraId="2FD415C4" w14:textId="77777777" w:rsidR="007253C8" w:rsidRDefault="007253C8" w:rsidP="007253C8">
      <w:pPr>
        <w:pStyle w:val="FootnoteText"/>
      </w:pPr>
      <w:r>
        <w:rPr>
          <w:rStyle w:val="FootnoteReference"/>
        </w:rPr>
        <w:footnoteRef/>
      </w:r>
      <w:r>
        <w:t xml:space="preserve"> PCF Opening Brief at 32-33.</w:t>
      </w:r>
    </w:p>
  </w:footnote>
  <w:footnote w:id="389">
    <w:p w14:paraId="7653BD57" w14:textId="77777777" w:rsidR="007253C8" w:rsidRDefault="007253C8" w:rsidP="007253C8">
      <w:pPr>
        <w:pStyle w:val="FootnoteText"/>
      </w:pPr>
      <w:r>
        <w:rPr>
          <w:rStyle w:val="FootnoteReference"/>
        </w:rPr>
        <w:footnoteRef/>
      </w:r>
      <w:r>
        <w:t xml:space="preserve"> PCF Opening Brief at 34.</w:t>
      </w:r>
    </w:p>
  </w:footnote>
  <w:footnote w:id="390">
    <w:p w14:paraId="0593BB34" w14:textId="77777777" w:rsidR="007253C8" w:rsidRDefault="007253C8" w:rsidP="007253C8">
      <w:pPr>
        <w:pStyle w:val="FootnoteText"/>
      </w:pPr>
      <w:r>
        <w:rPr>
          <w:rStyle w:val="FootnoteReference"/>
        </w:rPr>
        <w:footnoteRef/>
      </w:r>
      <w:r>
        <w:t xml:space="preserve"> SDG&amp;E Reply Brief at 55-64.</w:t>
      </w:r>
    </w:p>
  </w:footnote>
  <w:footnote w:id="391">
    <w:p w14:paraId="14E9CEB3" w14:textId="2403FFE8" w:rsidR="0079543E" w:rsidRDefault="0079543E">
      <w:pPr>
        <w:pStyle w:val="FootnoteText"/>
      </w:pPr>
      <w:r>
        <w:rPr>
          <w:rStyle w:val="FootnoteReference"/>
        </w:rPr>
        <w:footnoteRef/>
      </w:r>
      <w:r>
        <w:t xml:space="preserve"> SDG&amp;E Reply Brief at 56-61.</w:t>
      </w:r>
    </w:p>
  </w:footnote>
  <w:footnote w:id="392">
    <w:p w14:paraId="7410F806" w14:textId="77777777" w:rsidR="007253C8" w:rsidRDefault="007253C8" w:rsidP="007253C8">
      <w:pPr>
        <w:pStyle w:val="FootnoteText"/>
      </w:pPr>
      <w:r w:rsidRPr="7B393814">
        <w:rPr>
          <w:rStyle w:val="FootnoteReference"/>
        </w:rPr>
        <w:footnoteRef/>
      </w:r>
      <w:r>
        <w:t xml:space="preserve"> SDG&amp;E Reply Brief at 62.</w:t>
      </w:r>
    </w:p>
  </w:footnote>
  <w:footnote w:id="393">
    <w:p w14:paraId="4A07F23E" w14:textId="77777777" w:rsidR="007253C8" w:rsidRDefault="007253C8" w:rsidP="007253C8">
      <w:pPr>
        <w:pStyle w:val="FootnoteText"/>
      </w:pPr>
      <w:r>
        <w:rPr>
          <w:rStyle w:val="FootnoteReference"/>
        </w:rPr>
        <w:footnoteRef/>
      </w:r>
      <w:r>
        <w:t xml:space="preserve"> PCF Opening Brief at 23-31.</w:t>
      </w:r>
    </w:p>
  </w:footnote>
  <w:footnote w:id="394">
    <w:p w14:paraId="7E73A906" w14:textId="77777777" w:rsidR="00D7242E" w:rsidRDefault="00D7242E" w:rsidP="00D7242E">
      <w:pPr>
        <w:pStyle w:val="FootnoteText"/>
      </w:pPr>
      <w:r>
        <w:rPr>
          <w:rStyle w:val="FootnoteReference"/>
        </w:rPr>
        <w:footnoteRef/>
      </w:r>
      <w:r>
        <w:t xml:space="preserve"> </w:t>
      </w:r>
      <w:r w:rsidRPr="008F799C">
        <w:t>SDG&amp;E Opening Comments at 9-11.</w:t>
      </w:r>
    </w:p>
  </w:footnote>
  <w:footnote w:id="395">
    <w:p w14:paraId="36284038" w14:textId="77777777" w:rsidR="00D7242E" w:rsidRPr="00485EF1" w:rsidRDefault="00D7242E" w:rsidP="00D7242E">
      <w:pPr>
        <w:pStyle w:val="FootnoteText"/>
      </w:pPr>
      <w:r w:rsidRPr="0089772B">
        <w:rPr>
          <w:rStyle w:val="FootnoteReference"/>
        </w:rPr>
        <w:footnoteRef/>
      </w:r>
      <w:r w:rsidRPr="00485EF1">
        <w:t xml:space="preserve"> D.24-12-074 at 467-468.</w:t>
      </w:r>
    </w:p>
  </w:footnote>
  <w:footnote w:id="396">
    <w:p w14:paraId="413473B1" w14:textId="368B673D" w:rsidR="00D7242E" w:rsidRPr="00485EF1" w:rsidRDefault="00D7242E" w:rsidP="00D7242E">
      <w:pPr>
        <w:pStyle w:val="FootnoteText"/>
      </w:pPr>
      <w:r w:rsidRPr="0089772B">
        <w:rPr>
          <w:rStyle w:val="FootnoteReference"/>
        </w:rPr>
        <w:footnoteRef/>
      </w:r>
      <w:r w:rsidRPr="00485EF1">
        <w:t xml:space="preserve"> Pub. Util. </w:t>
      </w:r>
      <w:r w:rsidR="00FF49EC" w:rsidRPr="00485EF1">
        <w:t>Code Section</w:t>
      </w:r>
      <w:r w:rsidRPr="00485EF1">
        <w:t xml:space="preserve"> 8389.</w:t>
      </w:r>
    </w:p>
  </w:footnote>
  <w:footnote w:id="397">
    <w:p w14:paraId="144734DB" w14:textId="77777777" w:rsidR="00D7242E" w:rsidRDefault="00D7242E" w:rsidP="00D7242E">
      <w:pPr>
        <w:pStyle w:val="FootnoteText"/>
      </w:pPr>
      <w:r w:rsidRPr="0089772B">
        <w:rPr>
          <w:rStyle w:val="FootnoteReference"/>
        </w:rPr>
        <w:footnoteRef/>
      </w:r>
      <w:r w:rsidRPr="0089772B">
        <w:t xml:space="preserve"> D.24-12-074 at 467.</w:t>
      </w:r>
    </w:p>
  </w:footnote>
  <w:footnote w:id="398">
    <w:p w14:paraId="0AC36A16" w14:textId="39EFC715" w:rsidR="00D7242E" w:rsidRPr="00B03E4F" w:rsidRDefault="00D7242E" w:rsidP="00D7242E">
      <w:pPr>
        <w:pStyle w:val="FootnoteText"/>
      </w:pPr>
      <w:r w:rsidRPr="00B03E4F">
        <w:rPr>
          <w:rStyle w:val="FootnoteReference"/>
        </w:rPr>
        <w:footnoteRef/>
      </w:r>
      <w:r w:rsidRPr="00B03E4F">
        <w:t xml:space="preserve"> Pub. Util. </w:t>
      </w:r>
      <w:r w:rsidR="00FF49EC">
        <w:t xml:space="preserve">Code </w:t>
      </w:r>
      <w:r w:rsidRPr="00B03E4F">
        <w:t>Section 8386.4.</w:t>
      </w:r>
    </w:p>
  </w:footnote>
  <w:footnote w:id="399">
    <w:p w14:paraId="05C98E22" w14:textId="77777777" w:rsidR="00D7242E" w:rsidRPr="000E53E1" w:rsidRDefault="00D7242E" w:rsidP="00D7242E">
      <w:pPr>
        <w:pStyle w:val="FootnoteText"/>
      </w:pPr>
      <w:r w:rsidRPr="000E53E1">
        <w:rPr>
          <w:rStyle w:val="FootnoteReference"/>
        </w:rPr>
        <w:footnoteRef/>
      </w:r>
      <w:r w:rsidRPr="000E53E1">
        <w:t xml:space="preserve"> SDG&amp;E Opening Comments at 3-9.</w:t>
      </w:r>
    </w:p>
  </w:footnote>
  <w:footnote w:id="400">
    <w:p w14:paraId="205E7469" w14:textId="77777777" w:rsidR="00D7242E" w:rsidRPr="00AD49D0" w:rsidRDefault="00D7242E" w:rsidP="00D7242E">
      <w:pPr>
        <w:pStyle w:val="FootnoteText"/>
      </w:pPr>
      <w:r w:rsidRPr="00AD49D0">
        <w:rPr>
          <w:rStyle w:val="FootnoteReference"/>
        </w:rPr>
        <w:footnoteRef/>
      </w:r>
      <w:r w:rsidRPr="00AD49D0">
        <w:t xml:space="preserve"> D.20-01-002 at 10; SDG&amp;E Opening Comments at 6.</w:t>
      </w:r>
    </w:p>
  </w:footnote>
  <w:footnote w:id="401">
    <w:p w14:paraId="638B7536" w14:textId="0129E499" w:rsidR="00D7242E" w:rsidRPr="00AD49D0" w:rsidRDefault="00D7242E" w:rsidP="00D7242E">
      <w:pPr>
        <w:pStyle w:val="FootnoteText"/>
      </w:pPr>
      <w:r w:rsidRPr="00AD49D0">
        <w:rPr>
          <w:rStyle w:val="FootnoteReference"/>
        </w:rPr>
        <w:footnoteRef/>
      </w:r>
      <w:r w:rsidRPr="00AD49D0">
        <w:t xml:space="preserve"> Oral Argument Transcript </w:t>
      </w:r>
      <w:r w:rsidR="00BE2BFB">
        <w:t xml:space="preserve">Vol. 28 </w:t>
      </w:r>
      <w:r w:rsidRPr="00AD49D0">
        <w:t>at 4763-4765; SDG</w:t>
      </w:r>
      <w:r w:rsidR="00403B5C">
        <w:t>&amp;</w:t>
      </w:r>
      <w:r w:rsidRPr="00AD49D0">
        <w:t>E-T2-09, Attachment (O&amp;M) B-2 at 27, Attachment B-16 at 41.</w:t>
      </w:r>
    </w:p>
  </w:footnote>
  <w:footnote w:id="402">
    <w:p w14:paraId="19BD0725" w14:textId="77777777" w:rsidR="00D7242E" w:rsidRPr="00DF20DC" w:rsidRDefault="00D7242E" w:rsidP="00D7242E">
      <w:pPr>
        <w:pStyle w:val="FootnoteText"/>
      </w:pPr>
      <w:r w:rsidRPr="00DF20DC">
        <w:rPr>
          <w:rStyle w:val="FootnoteReference"/>
        </w:rPr>
        <w:footnoteRef/>
      </w:r>
      <w:r w:rsidRPr="00DF20DC">
        <w:t xml:space="preserve"> SDG&amp;E Opening Comments at 7-8.</w:t>
      </w:r>
    </w:p>
  </w:footnote>
  <w:footnote w:id="403">
    <w:p w14:paraId="03C7DC34" w14:textId="77777777" w:rsidR="00D7242E" w:rsidRDefault="00D7242E" w:rsidP="00D7242E">
      <w:pPr>
        <w:pStyle w:val="FootnoteText"/>
      </w:pPr>
      <w:r w:rsidRPr="00DF20DC">
        <w:rPr>
          <w:rStyle w:val="FootnoteReference"/>
        </w:rPr>
        <w:footnoteRef/>
      </w:r>
      <w:r w:rsidRPr="00DF20DC">
        <w:t xml:space="preserve"> D.20-01-002 at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2ADA" w14:textId="77777777" w:rsidR="0036272C" w:rsidRDefault="0036272C" w:rsidP="007253C8">
    <w:pPr>
      <w:pStyle w:val="Header"/>
      <w:ind w:firstLine="0"/>
    </w:pPr>
  </w:p>
  <w:p w14:paraId="59AFD1D3" w14:textId="77777777" w:rsidR="0036272C" w:rsidRDefault="0036272C" w:rsidP="007253C8">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8F56" w14:textId="02E63C79" w:rsidR="00E23CBB" w:rsidRDefault="00E51E5E" w:rsidP="00EE4315">
    <w:pPr>
      <w:pStyle w:val="Header"/>
      <w:tabs>
        <w:tab w:val="clear" w:pos="4680"/>
      </w:tabs>
      <w:ind w:firstLine="0"/>
      <w:rPr>
        <w:b/>
      </w:rPr>
    </w:pPr>
    <w:r>
      <w:t xml:space="preserve">A.22-05-015 et al., </w:t>
    </w:r>
    <w:r w:rsidR="007253C8">
      <w:t>ALJ/JRO/</w:t>
    </w:r>
    <w:proofErr w:type="spellStart"/>
    <w:r w:rsidR="007253C8">
      <w:t>hma</w:t>
    </w:r>
    <w:proofErr w:type="spellEnd"/>
    <w:r w:rsidR="00E23CBB">
      <w:tab/>
    </w:r>
    <w:r w:rsidR="00E23CBB">
      <w:rPr>
        <w:b/>
      </w:rPr>
      <w:t>PROPOSED DECISION</w:t>
    </w:r>
    <w:r w:rsidR="00566885">
      <w:rPr>
        <w:b/>
      </w:rPr>
      <w:t xml:space="preserve"> (Rev. 1)</w:t>
    </w:r>
  </w:p>
  <w:p w14:paraId="551D563A" w14:textId="77777777" w:rsidR="007253C8" w:rsidRDefault="007253C8" w:rsidP="00B3087D">
    <w:pPr>
      <w:pStyle w:val="Header"/>
      <w:tabs>
        <w:tab w:val="clear" w:pos="4680"/>
      </w:tabs>
      <w:ind w:firstLine="0"/>
      <w:rPr>
        <w:i/>
        <w:color w:val="FF0000"/>
      </w:rPr>
    </w:pPr>
  </w:p>
  <w:p w14:paraId="4F04B647" w14:textId="77777777" w:rsidR="007253C8" w:rsidRPr="00B3087D" w:rsidRDefault="007253C8" w:rsidP="00B3087D">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0ADF" w14:textId="3D0EB91A" w:rsidR="007253C8" w:rsidRPr="00B3087D" w:rsidRDefault="007253C8" w:rsidP="00FE2148">
    <w:pPr>
      <w:spacing w:line="240" w:lineRule="auto"/>
      <w:ind w:firstLine="0"/>
      <w:rPr>
        <w:i/>
        <w:color w:val="FF0000"/>
      </w:rPr>
    </w:pPr>
    <w:r w:rsidRPr="00484D20">
      <w:t>A.22</w:t>
    </w:r>
    <w:r w:rsidRPr="00484D20">
      <w:noBreakHyphen/>
      <w:t>05</w:t>
    </w:r>
    <w:r w:rsidRPr="00484D20">
      <w:noBreakHyphen/>
      <w:t>015 et al.  ALJ/JOR/</w:t>
    </w:r>
    <w:proofErr w:type="spellStart"/>
    <w:r w:rsidRPr="00484D20">
      <w:t>hma</w:t>
    </w:r>
    <w:proofErr w:type="spellEnd"/>
    <w:r w:rsidRPr="00484D20">
      <w:tab/>
    </w:r>
    <w:r w:rsidRPr="00484D20">
      <w:tab/>
    </w:r>
    <w:r w:rsidR="00566885">
      <w:t xml:space="preserve">       </w:t>
    </w:r>
    <w:r w:rsidRPr="00484D20">
      <w:rPr>
        <w:b/>
        <w:bCs/>
      </w:rPr>
      <w:t>PROPOSED DECISION</w:t>
    </w:r>
    <w:r w:rsidR="00566885">
      <w:rPr>
        <w:b/>
        <w:bCs/>
      </w:rPr>
      <w:t xml:space="preserve"> (Rev. 1)</w:t>
    </w:r>
    <w:r w:rsidRPr="00484D20">
      <w:rPr>
        <w:b/>
        <w:bCs/>
      </w:rPr>
      <w:t xml:space="preserve"> </w:t>
    </w:r>
  </w:p>
  <w:p w14:paraId="435579F6" w14:textId="77777777" w:rsidR="007253C8" w:rsidRDefault="007253C8" w:rsidP="007253C8">
    <w:pPr>
      <w:pStyle w:val="Header"/>
      <w:ind w:firstLine="0"/>
      <w:rPr>
        <w:i/>
        <w:color w:val="FF0000"/>
        <w:lang w:val="da-DK"/>
      </w:rPr>
    </w:pPr>
  </w:p>
  <w:p w14:paraId="25E80DCE" w14:textId="77777777" w:rsidR="007253C8" w:rsidRPr="00E3017A" w:rsidRDefault="007253C8" w:rsidP="007253C8">
    <w:pPr>
      <w:pStyle w:val="Header"/>
      <w:ind w:firstLine="0"/>
      <w:rPr>
        <w:i/>
        <w:color w:val="FF0000"/>
        <w:lang w:val="da-D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C471" w14:textId="7F5A6A9A" w:rsidR="007253C8" w:rsidRPr="00E51E5E" w:rsidRDefault="00E51E5E" w:rsidP="00FE2148">
    <w:pPr>
      <w:spacing w:line="240" w:lineRule="auto"/>
      <w:ind w:firstLine="0"/>
      <w:rPr>
        <w:i/>
        <w:color w:val="FF0000"/>
      </w:rPr>
    </w:pPr>
    <w:r w:rsidRPr="00484D20">
      <w:t>A.22</w:t>
    </w:r>
    <w:r w:rsidRPr="00484D20">
      <w:noBreakHyphen/>
      <w:t>05</w:t>
    </w:r>
    <w:r w:rsidRPr="00484D20">
      <w:noBreakHyphen/>
      <w:t>015 et al.  ALJ/JOR/</w:t>
    </w:r>
    <w:proofErr w:type="spellStart"/>
    <w:r w:rsidRPr="00484D20">
      <w:t>hma</w:t>
    </w:r>
    <w:proofErr w:type="spellEnd"/>
    <w:r w:rsidRPr="00484D20">
      <w:tab/>
    </w:r>
    <w:r w:rsidRPr="00484D20">
      <w:tab/>
    </w:r>
    <w:r w:rsidR="00566885">
      <w:t xml:space="preserve">       </w:t>
    </w:r>
    <w:r w:rsidRPr="00484D20">
      <w:rPr>
        <w:b/>
        <w:bCs/>
      </w:rPr>
      <w:t xml:space="preserve">PROPOSED DECISION </w:t>
    </w:r>
    <w:r w:rsidR="00566885">
      <w:rPr>
        <w:b/>
        <w:bCs/>
      </w:rPr>
      <w:t>(Rev. 1)</w:t>
    </w:r>
  </w:p>
  <w:p w14:paraId="707403DB" w14:textId="77777777" w:rsidR="007253C8" w:rsidRDefault="007253C8" w:rsidP="007253C8">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B4020D"/>
    <w:multiLevelType w:val="hybridMultilevel"/>
    <w:tmpl w:val="92101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7316F41"/>
    <w:multiLevelType w:val="multilevel"/>
    <w:tmpl w:val="ADFC19CE"/>
    <w:lvl w:ilvl="0">
      <w:start w:val="12"/>
      <w:numFmt w:val="decimal"/>
      <w:lvlText w:val="%1"/>
      <w:lvlJc w:val="left"/>
      <w:pPr>
        <w:ind w:left="490" w:hanging="4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A77791D"/>
    <w:multiLevelType w:val="multilevel"/>
    <w:tmpl w:val="5F8877EC"/>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10F65AE"/>
    <w:multiLevelType w:val="hybridMultilevel"/>
    <w:tmpl w:val="B37E9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30E17"/>
    <w:multiLevelType w:val="multilevel"/>
    <w:tmpl w:val="549EB8B0"/>
    <w:styleLink w:val="LFO9"/>
    <w:lvl w:ilvl="0">
      <w:start w:val="1"/>
      <w:numFmt w:val="decimal"/>
      <w:lvlText w:val="%1"/>
      <w:lvlJc w:val="left"/>
      <w:pPr>
        <w:ind w:left="360" w:hanging="36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7EF3CF1"/>
    <w:multiLevelType w:val="multilevel"/>
    <w:tmpl w:val="3B381F90"/>
    <w:lvl w:ilvl="0">
      <w:start w:val="13"/>
      <w:numFmt w:val="decimal"/>
      <w:lvlText w:val="%1"/>
      <w:lvlJc w:val="left"/>
      <w:pPr>
        <w:ind w:left="490" w:hanging="4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9" w15:restartNumberingAfterBreak="0">
    <w:nsid w:val="2E7F7EED"/>
    <w:multiLevelType w:val="hybridMultilevel"/>
    <w:tmpl w:val="27F424C6"/>
    <w:styleLink w:val="CurrentList1"/>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760B1D"/>
    <w:multiLevelType w:val="multilevel"/>
    <w:tmpl w:val="F77CD224"/>
    <w:lvl w:ilvl="0">
      <w:start w:val="10"/>
      <w:numFmt w:val="decimal"/>
      <w:lvlText w:val="%1"/>
      <w:lvlJc w:val="left"/>
      <w:pPr>
        <w:ind w:left="490" w:hanging="4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361A3590"/>
    <w:multiLevelType w:val="hybridMultilevel"/>
    <w:tmpl w:val="651408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26293A"/>
    <w:multiLevelType w:val="multilevel"/>
    <w:tmpl w:val="51EA0AC2"/>
    <w:styleLink w:val="CurrentList2"/>
    <w:lvl w:ilvl="0">
      <w:start w:val="1"/>
      <w:numFmt w:val="bullet"/>
      <w:lvlText w:val=""/>
      <w:lvlJc w:val="left"/>
      <w:pPr>
        <w:tabs>
          <w:tab w:val="num" w:pos="720"/>
        </w:tabs>
        <w:ind w:left="720" w:hanging="360"/>
      </w:pPr>
      <w:rPr>
        <w:rFonts w:ascii="Wingdings" w:hAnsi="Wingdings"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270EC"/>
    <w:multiLevelType w:val="hybridMultilevel"/>
    <w:tmpl w:val="6846A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527F38"/>
    <w:multiLevelType w:val="singleLevel"/>
    <w:tmpl w:val="6CA8E39E"/>
    <w:lvl w:ilvl="0">
      <w:start w:val="1"/>
      <w:numFmt w:val="decimal"/>
      <w:pStyle w:val="num1"/>
      <w:lvlText w:val="%1."/>
      <w:lvlJc w:val="left"/>
      <w:pPr>
        <w:ind w:left="0" w:firstLine="0"/>
      </w:pPr>
      <w:rPr>
        <w:rFonts w:hint="default"/>
      </w:rPr>
    </w:lvl>
  </w:abstractNum>
  <w:abstractNum w:abstractNumId="16" w15:restartNumberingAfterBreak="0">
    <w:nsid w:val="51F14F1D"/>
    <w:multiLevelType w:val="multilevel"/>
    <w:tmpl w:val="C73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F84E49"/>
    <w:multiLevelType w:val="hybridMultilevel"/>
    <w:tmpl w:val="F118B582"/>
    <w:lvl w:ilvl="0" w:tplc="5C5E11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1D725F"/>
    <w:multiLevelType w:val="hybridMultilevel"/>
    <w:tmpl w:val="B62892E2"/>
    <w:lvl w:ilvl="0" w:tplc="9E56C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D042D7"/>
    <w:multiLevelType w:val="multilevel"/>
    <w:tmpl w:val="18F4A5AC"/>
    <w:numStyleLink w:val="FoFCoLOP"/>
  </w:abstractNum>
  <w:abstractNum w:abstractNumId="20" w15:restartNumberingAfterBreak="0">
    <w:nsid w:val="5DCB7027"/>
    <w:multiLevelType w:val="hybridMultilevel"/>
    <w:tmpl w:val="39DACD1A"/>
    <w:lvl w:ilvl="0" w:tplc="CB0AD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A25780"/>
    <w:multiLevelType w:val="multilevel"/>
    <w:tmpl w:val="3C526EDE"/>
    <w:numStyleLink w:val="Headings"/>
  </w:abstractNum>
  <w:abstractNum w:abstractNumId="22" w15:restartNumberingAfterBreak="0">
    <w:nsid w:val="64920F15"/>
    <w:multiLevelType w:val="multilevel"/>
    <w:tmpl w:val="76F2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9423AE"/>
    <w:multiLevelType w:val="multilevel"/>
    <w:tmpl w:val="0810A8AA"/>
    <w:lvl w:ilvl="0">
      <w:start w:val="9"/>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28F209D"/>
    <w:multiLevelType w:val="multilevel"/>
    <w:tmpl w:val="9C72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9E2A02"/>
    <w:multiLevelType w:val="hybridMultilevel"/>
    <w:tmpl w:val="7C765444"/>
    <w:lvl w:ilvl="0" w:tplc="1CBCC5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FB7C24"/>
    <w:multiLevelType w:val="hybridMultilevel"/>
    <w:tmpl w:val="12A6B888"/>
    <w:lvl w:ilvl="0" w:tplc="14380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9A0AFE"/>
    <w:multiLevelType w:val="multilevel"/>
    <w:tmpl w:val="18F4A5AC"/>
    <w:numStyleLink w:val="FoFCoLOP"/>
  </w:abstractNum>
  <w:abstractNum w:abstractNumId="28" w15:restartNumberingAfterBreak="0">
    <w:nsid w:val="7DE915F7"/>
    <w:multiLevelType w:val="hybridMultilevel"/>
    <w:tmpl w:val="877AF204"/>
    <w:lvl w:ilvl="0" w:tplc="850A5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774137">
    <w:abstractNumId w:val="2"/>
  </w:num>
  <w:num w:numId="2" w16cid:durableId="1898543446">
    <w:abstractNumId w:val="19"/>
  </w:num>
  <w:num w:numId="3" w16cid:durableId="701521005">
    <w:abstractNumId w:val="3"/>
  </w:num>
  <w:num w:numId="4" w16cid:durableId="2017029027">
    <w:abstractNumId w:val="27"/>
  </w:num>
  <w:num w:numId="5" w16cid:durableId="973756952">
    <w:abstractNumId w:val="11"/>
  </w:num>
  <w:num w:numId="6" w16cid:durableId="816924040">
    <w:abstractNumId w:val="0"/>
  </w:num>
  <w:num w:numId="7" w16cid:durableId="1714382259">
    <w:abstractNumId w:val="21"/>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8" w16cid:durableId="1814758383">
    <w:abstractNumId w:val="15"/>
  </w:num>
  <w:num w:numId="9" w16cid:durableId="297954141">
    <w:abstractNumId w:val="9"/>
  </w:num>
  <w:num w:numId="10" w16cid:durableId="610212618">
    <w:abstractNumId w:val="13"/>
  </w:num>
  <w:num w:numId="11" w16cid:durableId="2018771799">
    <w:abstractNumId w:val="7"/>
  </w:num>
  <w:num w:numId="12" w16cid:durableId="331688672">
    <w:abstractNumId w:val="25"/>
  </w:num>
  <w:num w:numId="13" w16cid:durableId="769469644">
    <w:abstractNumId w:val="10"/>
  </w:num>
  <w:num w:numId="14" w16cid:durableId="2022387112">
    <w:abstractNumId w:val="23"/>
  </w:num>
  <w:num w:numId="15" w16cid:durableId="424035884">
    <w:abstractNumId w:val="5"/>
  </w:num>
  <w:num w:numId="16" w16cid:durableId="446436311">
    <w:abstractNumId w:val="4"/>
  </w:num>
  <w:num w:numId="17" w16cid:durableId="783887508">
    <w:abstractNumId w:val="8"/>
  </w:num>
  <w:num w:numId="18" w16cid:durableId="754278291">
    <w:abstractNumId w:val="21"/>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9" w16cid:durableId="1027440082">
    <w:abstractNumId w:val="28"/>
  </w:num>
  <w:num w:numId="20" w16cid:durableId="2069958086">
    <w:abstractNumId w:val="26"/>
  </w:num>
  <w:num w:numId="21" w16cid:durableId="191649611">
    <w:abstractNumId w:val="17"/>
  </w:num>
  <w:num w:numId="22" w16cid:durableId="676004045">
    <w:abstractNumId w:val="20"/>
  </w:num>
  <w:num w:numId="23" w16cid:durableId="1955167228">
    <w:abstractNumId w:val="18"/>
  </w:num>
  <w:num w:numId="24" w16cid:durableId="845705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2382269">
    <w:abstractNumId w:val="22"/>
  </w:num>
  <w:num w:numId="26" w16cid:durableId="1535069938">
    <w:abstractNumId w:val="16"/>
  </w:num>
  <w:num w:numId="27" w16cid:durableId="263924719">
    <w:abstractNumId w:val="24"/>
  </w:num>
  <w:num w:numId="28" w16cid:durableId="662897051">
    <w:abstractNumId w:val="14"/>
  </w:num>
  <w:num w:numId="29" w16cid:durableId="759720776">
    <w:abstractNumId w:val="1"/>
  </w:num>
  <w:num w:numId="30" w16cid:durableId="995960553">
    <w:abstractNumId w:val="12"/>
  </w:num>
  <w:num w:numId="31" w16cid:durableId="1538085014">
    <w:abstractNumId w:val="6"/>
  </w:num>
  <w:num w:numId="32" w16cid:durableId="1396780894">
    <w:abstractNumId w:val="0"/>
  </w:num>
  <w:num w:numId="33" w16cid:durableId="7663476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99"/>
    <w:rsid w:val="0000011E"/>
    <w:rsid w:val="00000D8C"/>
    <w:rsid w:val="00000F6A"/>
    <w:rsid w:val="000016B8"/>
    <w:rsid w:val="00002BD6"/>
    <w:rsid w:val="0000310C"/>
    <w:rsid w:val="00005831"/>
    <w:rsid w:val="00006853"/>
    <w:rsid w:val="00007C62"/>
    <w:rsid w:val="00007EE4"/>
    <w:rsid w:val="00010424"/>
    <w:rsid w:val="00010FD9"/>
    <w:rsid w:val="000110A4"/>
    <w:rsid w:val="00011B8F"/>
    <w:rsid w:val="00011CF6"/>
    <w:rsid w:val="0001233E"/>
    <w:rsid w:val="00012525"/>
    <w:rsid w:val="00013F76"/>
    <w:rsid w:val="00016A7B"/>
    <w:rsid w:val="00022602"/>
    <w:rsid w:val="000236E2"/>
    <w:rsid w:val="0002387F"/>
    <w:rsid w:val="00023B21"/>
    <w:rsid w:val="000240A8"/>
    <w:rsid w:val="00027DB4"/>
    <w:rsid w:val="00030225"/>
    <w:rsid w:val="00030A8B"/>
    <w:rsid w:val="00031362"/>
    <w:rsid w:val="00031F3B"/>
    <w:rsid w:val="000338D9"/>
    <w:rsid w:val="00033B00"/>
    <w:rsid w:val="000341DE"/>
    <w:rsid w:val="00034D0A"/>
    <w:rsid w:val="00034FAC"/>
    <w:rsid w:val="00036AE8"/>
    <w:rsid w:val="00040B14"/>
    <w:rsid w:val="00040E37"/>
    <w:rsid w:val="00042074"/>
    <w:rsid w:val="00042568"/>
    <w:rsid w:val="000425E1"/>
    <w:rsid w:val="00043471"/>
    <w:rsid w:val="00044209"/>
    <w:rsid w:val="000468B9"/>
    <w:rsid w:val="00047331"/>
    <w:rsid w:val="00050C93"/>
    <w:rsid w:val="00052A7B"/>
    <w:rsid w:val="00052C76"/>
    <w:rsid w:val="00052F79"/>
    <w:rsid w:val="0005337D"/>
    <w:rsid w:val="00053BD7"/>
    <w:rsid w:val="00053E18"/>
    <w:rsid w:val="00056A0B"/>
    <w:rsid w:val="00060056"/>
    <w:rsid w:val="0006189E"/>
    <w:rsid w:val="00063009"/>
    <w:rsid w:val="00063882"/>
    <w:rsid w:val="00063D4C"/>
    <w:rsid w:val="0006406D"/>
    <w:rsid w:val="00064206"/>
    <w:rsid w:val="000663C3"/>
    <w:rsid w:val="00066D41"/>
    <w:rsid w:val="00067749"/>
    <w:rsid w:val="0007115A"/>
    <w:rsid w:val="00073481"/>
    <w:rsid w:val="000739E0"/>
    <w:rsid w:val="00075523"/>
    <w:rsid w:val="00075FAB"/>
    <w:rsid w:val="000772C9"/>
    <w:rsid w:val="000773E2"/>
    <w:rsid w:val="000779FB"/>
    <w:rsid w:val="000806B4"/>
    <w:rsid w:val="00081C57"/>
    <w:rsid w:val="0008202F"/>
    <w:rsid w:val="0008275B"/>
    <w:rsid w:val="00082802"/>
    <w:rsid w:val="00082A54"/>
    <w:rsid w:val="00083CA5"/>
    <w:rsid w:val="00084AEF"/>
    <w:rsid w:val="000859FF"/>
    <w:rsid w:val="00087B8A"/>
    <w:rsid w:val="000902E6"/>
    <w:rsid w:val="00090C94"/>
    <w:rsid w:val="000910AD"/>
    <w:rsid w:val="00092319"/>
    <w:rsid w:val="00094011"/>
    <w:rsid w:val="0009421F"/>
    <w:rsid w:val="000947A7"/>
    <w:rsid w:val="000952BE"/>
    <w:rsid w:val="000956B3"/>
    <w:rsid w:val="00096C13"/>
    <w:rsid w:val="000973C8"/>
    <w:rsid w:val="000A11A3"/>
    <w:rsid w:val="000A16BB"/>
    <w:rsid w:val="000A2AA9"/>
    <w:rsid w:val="000A2EA6"/>
    <w:rsid w:val="000A3157"/>
    <w:rsid w:val="000A3992"/>
    <w:rsid w:val="000A4495"/>
    <w:rsid w:val="000A5536"/>
    <w:rsid w:val="000A56F2"/>
    <w:rsid w:val="000A6550"/>
    <w:rsid w:val="000A6A33"/>
    <w:rsid w:val="000A6E05"/>
    <w:rsid w:val="000B0981"/>
    <w:rsid w:val="000B12FA"/>
    <w:rsid w:val="000B4088"/>
    <w:rsid w:val="000B5410"/>
    <w:rsid w:val="000B5DDE"/>
    <w:rsid w:val="000B65E6"/>
    <w:rsid w:val="000B6F41"/>
    <w:rsid w:val="000B7C84"/>
    <w:rsid w:val="000C08BF"/>
    <w:rsid w:val="000C0C92"/>
    <w:rsid w:val="000C0EC7"/>
    <w:rsid w:val="000C1075"/>
    <w:rsid w:val="000C11B1"/>
    <w:rsid w:val="000C1416"/>
    <w:rsid w:val="000C1459"/>
    <w:rsid w:val="000C27FB"/>
    <w:rsid w:val="000C384F"/>
    <w:rsid w:val="000C3B9A"/>
    <w:rsid w:val="000C4571"/>
    <w:rsid w:val="000C65BD"/>
    <w:rsid w:val="000C6627"/>
    <w:rsid w:val="000C66AE"/>
    <w:rsid w:val="000C6AB8"/>
    <w:rsid w:val="000C6DE5"/>
    <w:rsid w:val="000C7F56"/>
    <w:rsid w:val="000D071B"/>
    <w:rsid w:val="000D25A8"/>
    <w:rsid w:val="000D25E9"/>
    <w:rsid w:val="000D293A"/>
    <w:rsid w:val="000D4165"/>
    <w:rsid w:val="000D4CE9"/>
    <w:rsid w:val="000D64FE"/>
    <w:rsid w:val="000D76B1"/>
    <w:rsid w:val="000E15F6"/>
    <w:rsid w:val="000E187C"/>
    <w:rsid w:val="000E222B"/>
    <w:rsid w:val="000E270A"/>
    <w:rsid w:val="000E4C53"/>
    <w:rsid w:val="000E622B"/>
    <w:rsid w:val="000E6F43"/>
    <w:rsid w:val="000E6FD8"/>
    <w:rsid w:val="000E7C82"/>
    <w:rsid w:val="000F00FB"/>
    <w:rsid w:val="000F1305"/>
    <w:rsid w:val="000F1486"/>
    <w:rsid w:val="000F1A10"/>
    <w:rsid w:val="000F1C25"/>
    <w:rsid w:val="000F20A2"/>
    <w:rsid w:val="000F2B98"/>
    <w:rsid w:val="000F3D9D"/>
    <w:rsid w:val="000F48C6"/>
    <w:rsid w:val="000F5719"/>
    <w:rsid w:val="000F67B0"/>
    <w:rsid w:val="000F6BAD"/>
    <w:rsid w:val="000F7142"/>
    <w:rsid w:val="000F74DA"/>
    <w:rsid w:val="00102ED9"/>
    <w:rsid w:val="001034F0"/>
    <w:rsid w:val="001036CE"/>
    <w:rsid w:val="00103850"/>
    <w:rsid w:val="00104968"/>
    <w:rsid w:val="00104A2E"/>
    <w:rsid w:val="0010674E"/>
    <w:rsid w:val="001106EE"/>
    <w:rsid w:val="0011092E"/>
    <w:rsid w:val="00111371"/>
    <w:rsid w:val="00111C31"/>
    <w:rsid w:val="00111F0F"/>
    <w:rsid w:val="001135A5"/>
    <w:rsid w:val="00114227"/>
    <w:rsid w:val="001142DB"/>
    <w:rsid w:val="0011579A"/>
    <w:rsid w:val="0011787A"/>
    <w:rsid w:val="00117D94"/>
    <w:rsid w:val="00117F2F"/>
    <w:rsid w:val="00120A13"/>
    <w:rsid w:val="00121089"/>
    <w:rsid w:val="00122571"/>
    <w:rsid w:val="0012423F"/>
    <w:rsid w:val="00125650"/>
    <w:rsid w:val="00126064"/>
    <w:rsid w:val="00126B89"/>
    <w:rsid w:val="00126CB5"/>
    <w:rsid w:val="00127472"/>
    <w:rsid w:val="0013073A"/>
    <w:rsid w:val="00130CAA"/>
    <w:rsid w:val="00133A27"/>
    <w:rsid w:val="0013462C"/>
    <w:rsid w:val="00135B59"/>
    <w:rsid w:val="0014060F"/>
    <w:rsid w:val="00140DF3"/>
    <w:rsid w:val="00142911"/>
    <w:rsid w:val="00143016"/>
    <w:rsid w:val="001431B4"/>
    <w:rsid w:val="00143A0A"/>
    <w:rsid w:val="00145751"/>
    <w:rsid w:val="00145EEC"/>
    <w:rsid w:val="0015008E"/>
    <w:rsid w:val="001514EF"/>
    <w:rsid w:val="00151B3F"/>
    <w:rsid w:val="00151E39"/>
    <w:rsid w:val="00151F14"/>
    <w:rsid w:val="001524D1"/>
    <w:rsid w:val="00152C99"/>
    <w:rsid w:val="00155B56"/>
    <w:rsid w:val="00155C85"/>
    <w:rsid w:val="00156142"/>
    <w:rsid w:val="001563EB"/>
    <w:rsid w:val="001578DB"/>
    <w:rsid w:val="00161B87"/>
    <w:rsid w:val="00161E51"/>
    <w:rsid w:val="0016595E"/>
    <w:rsid w:val="00165AE6"/>
    <w:rsid w:val="00166964"/>
    <w:rsid w:val="00167148"/>
    <w:rsid w:val="001678C2"/>
    <w:rsid w:val="00167A03"/>
    <w:rsid w:val="001702A4"/>
    <w:rsid w:val="00172E12"/>
    <w:rsid w:val="001733BB"/>
    <w:rsid w:val="00173D58"/>
    <w:rsid w:val="0017476B"/>
    <w:rsid w:val="001765D1"/>
    <w:rsid w:val="00176D00"/>
    <w:rsid w:val="00176F1C"/>
    <w:rsid w:val="00180239"/>
    <w:rsid w:val="00181DC6"/>
    <w:rsid w:val="00183008"/>
    <w:rsid w:val="00184A8F"/>
    <w:rsid w:val="0018521B"/>
    <w:rsid w:val="001855C2"/>
    <w:rsid w:val="001860D0"/>
    <w:rsid w:val="001866E5"/>
    <w:rsid w:val="001906D2"/>
    <w:rsid w:val="00191D33"/>
    <w:rsid w:val="00192197"/>
    <w:rsid w:val="00192F8A"/>
    <w:rsid w:val="0019379E"/>
    <w:rsid w:val="00193B92"/>
    <w:rsid w:val="00194CB8"/>
    <w:rsid w:val="001967AC"/>
    <w:rsid w:val="00196EEB"/>
    <w:rsid w:val="001A1158"/>
    <w:rsid w:val="001A1C84"/>
    <w:rsid w:val="001A2FB4"/>
    <w:rsid w:val="001A4026"/>
    <w:rsid w:val="001A70D9"/>
    <w:rsid w:val="001A79EB"/>
    <w:rsid w:val="001A7ACF"/>
    <w:rsid w:val="001A7D36"/>
    <w:rsid w:val="001B05D3"/>
    <w:rsid w:val="001B0E48"/>
    <w:rsid w:val="001B1EB4"/>
    <w:rsid w:val="001B34DF"/>
    <w:rsid w:val="001B36AD"/>
    <w:rsid w:val="001B39F3"/>
    <w:rsid w:val="001B471C"/>
    <w:rsid w:val="001B4F31"/>
    <w:rsid w:val="001B5F28"/>
    <w:rsid w:val="001B63A5"/>
    <w:rsid w:val="001B7D1D"/>
    <w:rsid w:val="001C014C"/>
    <w:rsid w:val="001C017E"/>
    <w:rsid w:val="001C1637"/>
    <w:rsid w:val="001C2FA3"/>
    <w:rsid w:val="001C3537"/>
    <w:rsid w:val="001C363F"/>
    <w:rsid w:val="001C6429"/>
    <w:rsid w:val="001D173D"/>
    <w:rsid w:val="001D1DFA"/>
    <w:rsid w:val="001D33B5"/>
    <w:rsid w:val="001D3EE8"/>
    <w:rsid w:val="001D495C"/>
    <w:rsid w:val="001D4D18"/>
    <w:rsid w:val="001D5031"/>
    <w:rsid w:val="001D582F"/>
    <w:rsid w:val="001D5C78"/>
    <w:rsid w:val="001D7C67"/>
    <w:rsid w:val="001D7CDD"/>
    <w:rsid w:val="001E0ED2"/>
    <w:rsid w:val="001E1406"/>
    <w:rsid w:val="001E20D4"/>
    <w:rsid w:val="001E24A9"/>
    <w:rsid w:val="001E2A3F"/>
    <w:rsid w:val="001E2A62"/>
    <w:rsid w:val="001E327B"/>
    <w:rsid w:val="001E3B71"/>
    <w:rsid w:val="001E40A2"/>
    <w:rsid w:val="001E43FC"/>
    <w:rsid w:val="001E5168"/>
    <w:rsid w:val="001E56E2"/>
    <w:rsid w:val="001E5D79"/>
    <w:rsid w:val="001E6A81"/>
    <w:rsid w:val="001E7DD8"/>
    <w:rsid w:val="001F011A"/>
    <w:rsid w:val="001F0DF7"/>
    <w:rsid w:val="001F1146"/>
    <w:rsid w:val="001F2819"/>
    <w:rsid w:val="001F34FC"/>
    <w:rsid w:val="001F4EA1"/>
    <w:rsid w:val="001F564F"/>
    <w:rsid w:val="001F5DD8"/>
    <w:rsid w:val="001F5E61"/>
    <w:rsid w:val="001F6C09"/>
    <w:rsid w:val="001F7097"/>
    <w:rsid w:val="00200F31"/>
    <w:rsid w:val="00200FD0"/>
    <w:rsid w:val="00202602"/>
    <w:rsid w:val="00203E1E"/>
    <w:rsid w:val="002043EC"/>
    <w:rsid w:val="00204448"/>
    <w:rsid w:val="00204E2C"/>
    <w:rsid w:val="0020619D"/>
    <w:rsid w:val="002061DD"/>
    <w:rsid w:val="00206443"/>
    <w:rsid w:val="00206F61"/>
    <w:rsid w:val="00211B7A"/>
    <w:rsid w:val="0021321D"/>
    <w:rsid w:val="00213ED9"/>
    <w:rsid w:val="0021413F"/>
    <w:rsid w:val="00214427"/>
    <w:rsid w:val="00214696"/>
    <w:rsid w:val="00214EAD"/>
    <w:rsid w:val="0021596B"/>
    <w:rsid w:val="00217513"/>
    <w:rsid w:val="00220484"/>
    <w:rsid w:val="00220680"/>
    <w:rsid w:val="002208A9"/>
    <w:rsid w:val="00220915"/>
    <w:rsid w:val="0022242E"/>
    <w:rsid w:val="00222658"/>
    <w:rsid w:val="00223965"/>
    <w:rsid w:val="00223B54"/>
    <w:rsid w:val="002241F7"/>
    <w:rsid w:val="002247B2"/>
    <w:rsid w:val="00224C39"/>
    <w:rsid w:val="0022588E"/>
    <w:rsid w:val="00226233"/>
    <w:rsid w:val="00226740"/>
    <w:rsid w:val="002316D7"/>
    <w:rsid w:val="002340C9"/>
    <w:rsid w:val="002350FB"/>
    <w:rsid w:val="00236721"/>
    <w:rsid w:val="002374F2"/>
    <w:rsid w:val="00237644"/>
    <w:rsid w:val="00237920"/>
    <w:rsid w:val="00237B4A"/>
    <w:rsid w:val="002401A3"/>
    <w:rsid w:val="002416CD"/>
    <w:rsid w:val="00241A00"/>
    <w:rsid w:val="002423A3"/>
    <w:rsid w:val="00242AD1"/>
    <w:rsid w:val="00243286"/>
    <w:rsid w:val="00243DC0"/>
    <w:rsid w:val="0024419D"/>
    <w:rsid w:val="00247477"/>
    <w:rsid w:val="002474D1"/>
    <w:rsid w:val="002479FF"/>
    <w:rsid w:val="0025071E"/>
    <w:rsid w:val="00251670"/>
    <w:rsid w:val="00251A28"/>
    <w:rsid w:val="002528D5"/>
    <w:rsid w:val="00252BFC"/>
    <w:rsid w:val="00252DB8"/>
    <w:rsid w:val="0025750C"/>
    <w:rsid w:val="002622DA"/>
    <w:rsid w:val="00263A2F"/>
    <w:rsid w:val="00264094"/>
    <w:rsid w:val="00264984"/>
    <w:rsid w:val="00264E20"/>
    <w:rsid w:val="00267546"/>
    <w:rsid w:val="00270440"/>
    <w:rsid w:val="0027122D"/>
    <w:rsid w:val="002716F2"/>
    <w:rsid w:val="00271750"/>
    <w:rsid w:val="00272624"/>
    <w:rsid w:val="00272874"/>
    <w:rsid w:val="00272C22"/>
    <w:rsid w:val="0027473E"/>
    <w:rsid w:val="0027500C"/>
    <w:rsid w:val="002761BA"/>
    <w:rsid w:val="00276303"/>
    <w:rsid w:val="002771F5"/>
    <w:rsid w:val="002776B3"/>
    <w:rsid w:val="00277D09"/>
    <w:rsid w:val="002802E2"/>
    <w:rsid w:val="002804AD"/>
    <w:rsid w:val="00280C41"/>
    <w:rsid w:val="00281075"/>
    <w:rsid w:val="00281B4C"/>
    <w:rsid w:val="0028255A"/>
    <w:rsid w:val="002831DB"/>
    <w:rsid w:val="002833FB"/>
    <w:rsid w:val="00284B99"/>
    <w:rsid w:val="00284D8D"/>
    <w:rsid w:val="002858A3"/>
    <w:rsid w:val="00286694"/>
    <w:rsid w:val="002876E9"/>
    <w:rsid w:val="00287BC5"/>
    <w:rsid w:val="0029057A"/>
    <w:rsid w:val="00290DE3"/>
    <w:rsid w:val="0029222B"/>
    <w:rsid w:val="00293982"/>
    <w:rsid w:val="00293DEE"/>
    <w:rsid w:val="00296B7F"/>
    <w:rsid w:val="002A01F8"/>
    <w:rsid w:val="002A095D"/>
    <w:rsid w:val="002A0B5D"/>
    <w:rsid w:val="002A1B12"/>
    <w:rsid w:val="002A364B"/>
    <w:rsid w:val="002A38F0"/>
    <w:rsid w:val="002A46B1"/>
    <w:rsid w:val="002A4811"/>
    <w:rsid w:val="002A4A63"/>
    <w:rsid w:val="002A5F31"/>
    <w:rsid w:val="002A65CB"/>
    <w:rsid w:val="002A6BC9"/>
    <w:rsid w:val="002A766C"/>
    <w:rsid w:val="002B0194"/>
    <w:rsid w:val="002B101E"/>
    <w:rsid w:val="002B1F84"/>
    <w:rsid w:val="002B2795"/>
    <w:rsid w:val="002B2DD0"/>
    <w:rsid w:val="002B3093"/>
    <w:rsid w:val="002B3468"/>
    <w:rsid w:val="002B379C"/>
    <w:rsid w:val="002B46AC"/>
    <w:rsid w:val="002B51E0"/>
    <w:rsid w:val="002B53BA"/>
    <w:rsid w:val="002B55B8"/>
    <w:rsid w:val="002B5685"/>
    <w:rsid w:val="002B652B"/>
    <w:rsid w:val="002B6813"/>
    <w:rsid w:val="002B700D"/>
    <w:rsid w:val="002B708E"/>
    <w:rsid w:val="002C0017"/>
    <w:rsid w:val="002C03D7"/>
    <w:rsid w:val="002C12F6"/>
    <w:rsid w:val="002C1DCD"/>
    <w:rsid w:val="002C3AE2"/>
    <w:rsid w:val="002C4CA4"/>
    <w:rsid w:val="002C4DB6"/>
    <w:rsid w:val="002C5125"/>
    <w:rsid w:val="002C6BFD"/>
    <w:rsid w:val="002C6E32"/>
    <w:rsid w:val="002C7FE9"/>
    <w:rsid w:val="002D098C"/>
    <w:rsid w:val="002D0DC5"/>
    <w:rsid w:val="002D16BB"/>
    <w:rsid w:val="002D1BA8"/>
    <w:rsid w:val="002D2990"/>
    <w:rsid w:val="002D4BB2"/>
    <w:rsid w:val="002D4EFD"/>
    <w:rsid w:val="002D503F"/>
    <w:rsid w:val="002D6007"/>
    <w:rsid w:val="002D654C"/>
    <w:rsid w:val="002D6793"/>
    <w:rsid w:val="002E1941"/>
    <w:rsid w:val="002E1FAE"/>
    <w:rsid w:val="002E212A"/>
    <w:rsid w:val="002E214E"/>
    <w:rsid w:val="002E2AEA"/>
    <w:rsid w:val="002E575B"/>
    <w:rsid w:val="002E5FD8"/>
    <w:rsid w:val="002E686F"/>
    <w:rsid w:val="002F2434"/>
    <w:rsid w:val="002F3BEE"/>
    <w:rsid w:val="002F4048"/>
    <w:rsid w:val="002F44F1"/>
    <w:rsid w:val="002F457E"/>
    <w:rsid w:val="002F5345"/>
    <w:rsid w:val="002F592B"/>
    <w:rsid w:val="002F61D1"/>
    <w:rsid w:val="002F6FAB"/>
    <w:rsid w:val="002F7910"/>
    <w:rsid w:val="003006B4"/>
    <w:rsid w:val="0030132E"/>
    <w:rsid w:val="0030138D"/>
    <w:rsid w:val="003019AD"/>
    <w:rsid w:val="00301BD8"/>
    <w:rsid w:val="00302514"/>
    <w:rsid w:val="00302602"/>
    <w:rsid w:val="00303207"/>
    <w:rsid w:val="00303DEC"/>
    <w:rsid w:val="00303F9F"/>
    <w:rsid w:val="00305589"/>
    <w:rsid w:val="003055E3"/>
    <w:rsid w:val="003057AD"/>
    <w:rsid w:val="00312689"/>
    <w:rsid w:val="0031491F"/>
    <w:rsid w:val="003153B8"/>
    <w:rsid w:val="00315A97"/>
    <w:rsid w:val="00316071"/>
    <w:rsid w:val="003166AB"/>
    <w:rsid w:val="003168E4"/>
    <w:rsid w:val="00316B68"/>
    <w:rsid w:val="00317A8B"/>
    <w:rsid w:val="00323511"/>
    <w:rsid w:val="00323FB6"/>
    <w:rsid w:val="0032592D"/>
    <w:rsid w:val="00330AF0"/>
    <w:rsid w:val="00331615"/>
    <w:rsid w:val="0033167D"/>
    <w:rsid w:val="00331748"/>
    <w:rsid w:val="003317BC"/>
    <w:rsid w:val="003318D6"/>
    <w:rsid w:val="00331B0A"/>
    <w:rsid w:val="00332DD2"/>
    <w:rsid w:val="0033312A"/>
    <w:rsid w:val="00340218"/>
    <w:rsid w:val="0034022D"/>
    <w:rsid w:val="003411E5"/>
    <w:rsid w:val="00341D15"/>
    <w:rsid w:val="00343E5C"/>
    <w:rsid w:val="00344FB8"/>
    <w:rsid w:val="0034663B"/>
    <w:rsid w:val="00347C18"/>
    <w:rsid w:val="003506B4"/>
    <w:rsid w:val="00350CE3"/>
    <w:rsid w:val="00352A83"/>
    <w:rsid w:val="003538E3"/>
    <w:rsid w:val="00355283"/>
    <w:rsid w:val="0035536E"/>
    <w:rsid w:val="003579D7"/>
    <w:rsid w:val="0036017B"/>
    <w:rsid w:val="003620AC"/>
    <w:rsid w:val="0036272C"/>
    <w:rsid w:val="00362755"/>
    <w:rsid w:val="00362B64"/>
    <w:rsid w:val="00362EDA"/>
    <w:rsid w:val="0036361D"/>
    <w:rsid w:val="00365462"/>
    <w:rsid w:val="00365B28"/>
    <w:rsid w:val="003662FB"/>
    <w:rsid w:val="003663B0"/>
    <w:rsid w:val="00366A3D"/>
    <w:rsid w:val="00370CA8"/>
    <w:rsid w:val="0037110F"/>
    <w:rsid w:val="00371142"/>
    <w:rsid w:val="00371E61"/>
    <w:rsid w:val="003725CA"/>
    <w:rsid w:val="00373B93"/>
    <w:rsid w:val="00374E15"/>
    <w:rsid w:val="00375216"/>
    <w:rsid w:val="00375D41"/>
    <w:rsid w:val="00376345"/>
    <w:rsid w:val="003763C9"/>
    <w:rsid w:val="00376FBD"/>
    <w:rsid w:val="00376FF7"/>
    <w:rsid w:val="003779C6"/>
    <w:rsid w:val="0038001E"/>
    <w:rsid w:val="00380475"/>
    <w:rsid w:val="003806D5"/>
    <w:rsid w:val="00380CD1"/>
    <w:rsid w:val="00380F34"/>
    <w:rsid w:val="003816B9"/>
    <w:rsid w:val="00383FC8"/>
    <w:rsid w:val="003841DE"/>
    <w:rsid w:val="0038421B"/>
    <w:rsid w:val="003854E9"/>
    <w:rsid w:val="003866CF"/>
    <w:rsid w:val="00386A86"/>
    <w:rsid w:val="00387AF7"/>
    <w:rsid w:val="00387DD9"/>
    <w:rsid w:val="00387F2D"/>
    <w:rsid w:val="00387F61"/>
    <w:rsid w:val="003904F3"/>
    <w:rsid w:val="003907A1"/>
    <w:rsid w:val="003910E5"/>
    <w:rsid w:val="003922CC"/>
    <w:rsid w:val="00392442"/>
    <w:rsid w:val="00392A20"/>
    <w:rsid w:val="00392E5F"/>
    <w:rsid w:val="00392FBB"/>
    <w:rsid w:val="003930EC"/>
    <w:rsid w:val="00393BC4"/>
    <w:rsid w:val="00396248"/>
    <w:rsid w:val="00396249"/>
    <w:rsid w:val="00397549"/>
    <w:rsid w:val="003A02CA"/>
    <w:rsid w:val="003A0942"/>
    <w:rsid w:val="003A0E54"/>
    <w:rsid w:val="003A27E3"/>
    <w:rsid w:val="003A38A7"/>
    <w:rsid w:val="003A38F0"/>
    <w:rsid w:val="003A5320"/>
    <w:rsid w:val="003A5E4B"/>
    <w:rsid w:val="003A6948"/>
    <w:rsid w:val="003B0088"/>
    <w:rsid w:val="003B06A5"/>
    <w:rsid w:val="003B1D85"/>
    <w:rsid w:val="003B25F6"/>
    <w:rsid w:val="003B26C5"/>
    <w:rsid w:val="003B2B40"/>
    <w:rsid w:val="003B2B5A"/>
    <w:rsid w:val="003B4E26"/>
    <w:rsid w:val="003B677D"/>
    <w:rsid w:val="003C048A"/>
    <w:rsid w:val="003C0A14"/>
    <w:rsid w:val="003C0E6D"/>
    <w:rsid w:val="003C2A2B"/>
    <w:rsid w:val="003C427A"/>
    <w:rsid w:val="003C482A"/>
    <w:rsid w:val="003C4BD5"/>
    <w:rsid w:val="003C53E7"/>
    <w:rsid w:val="003C6768"/>
    <w:rsid w:val="003C747F"/>
    <w:rsid w:val="003C7703"/>
    <w:rsid w:val="003D16EA"/>
    <w:rsid w:val="003D1B41"/>
    <w:rsid w:val="003D3685"/>
    <w:rsid w:val="003D4935"/>
    <w:rsid w:val="003D560F"/>
    <w:rsid w:val="003D5822"/>
    <w:rsid w:val="003D5D66"/>
    <w:rsid w:val="003E02A9"/>
    <w:rsid w:val="003E2733"/>
    <w:rsid w:val="003E2C74"/>
    <w:rsid w:val="003E2F7C"/>
    <w:rsid w:val="003E3D17"/>
    <w:rsid w:val="003E434F"/>
    <w:rsid w:val="003E49EE"/>
    <w:rsid w:val="003E6BBF"/>
    <w:rsid w:val="003E6EAF"/>
    <w:rsid w:val="003F0337"/>
    <w:rsid w:val="003F069A"/>
    <w:rsid w:val="003F1459"/>
    <w:rsid w:val="003F2BF0"/>
    <w:rsid w:val="003F2E0D"/>
    <w:rsid w:val="003F3C8E"/>
    <w:rsid w:val="003F4329"/>
    <w:rsid w:val="003F551E"/>
    <w:rsid w:val="0040061C"/>
    <w:rsid w:val="004035B4"/>
    <w:rsid w:val="00403B5C"/>
    <w:rsid w:val="004043F9"/>
    <w:rsid w:val="004049B4"/>
    <w:rsid w:val="004060A2"/>
    <w:rsid w:val="00407478"/>
    <w:rsid w:val="00407672"/>
    <w:rsid w:val="00407C07"/>
    <w:rsid w:val="0041092B"/>
    <w:rsid w:val="00410EAD"/>
    <w:rsid w:val="004112B9"/>
    <w:rsid w:val="00411715"/>
    <w:rsid w:val="00411780"/>
    <w:rsid w:val="0041183C"/>
    <w:rsid w:val="00412534"/>
    <w:rsid w:val="00412C83"/>
    <w:rsid w:val="00413353"/>
    <w:rsid w:val="00416596"/>
    <w:rsid w:val="00416BB0"/>
    <w:rsid w:val="00417697"/>
    <w:rsid w:val="004205E1"/>
    <w:rsid w:val="00421239"/>
    <w:rsid w:val="00421EC8"/>
    <w:rsid w:val="00421EFD"/>
    <w:rsid w:val="00422DE7"/>
    <w:rsid w:val="0042511B"/>
    <w:rsid w:val="00426014"/>
    <w:rsid w:val="004263B2"/>
    <w:rsid w:val="00426609"/>
    <w:rsid w:val="004267C3"/>
    <w:rsid w:val="004271C8"/>
    <w:rsid w:val="00430E02"/>
    <w:rsid w:val="004337DB"/>
    <w:rsid w:val="00433FC8"/>
    <w:rsid w:val="004352E5"/>
    <w:rsid w:val="00435B1B"/>
    <w:rsid w:val="004373DC"/>
    <w:rsid w:val="00441E77"/>
    <w:rsid w:val="00443FDE"/>
    <w:rsid w:val="004442F9"/>
    <w:rsid w:val="004458CD"/>
    <w:rsid w:val="0044617E"/>
    <w:rsid w:val="00450E7D"/>
    <w:rsid w:val="004525AF"/>
    <w:rsid w:val="00454E47"/>
    <w:rsid w:val="004557A7"/>
    <w:rsid w:val="0046078B"/>
    <w:rsid w:val="00460B7D"/>
    <w:rsid w:val="00461DF3"/>
    <w:rsid w:val="00462A29"/>
    <w:rsid w:val="00462C6B"/>
    <w:rsid w:val="00464AA9"/>
    <w:rsid w:val="00464B2E"/>
    <w:rsid w:val="00466053"/>
    <w:rsid w:val="00471677"/>
    <w:rsid w:val="00471EA9"/>
    <w:rsid w:val="004729CC"/>
    <w:rsid w:val="0047304F"/>
    <w:rsid w:val="0047414D"/>
    <w:rsid w:val="004747B6"/>
    <w:rsid w:val="00474A61"/>
    <w:rsid w:val="0047715F"/>
    <w:rsid w:val="00480CB0"/>
    <w:rsid w:val="00480D04"/>
    <w:rsid w:val="00481506"/>
    <w:rsid w:val="00482766"/>
    <w:rsid w:val="00482E3B"/>
    <w:rsid w:val="004831C6"/>
    <w:rsid w:val="00483603"/>
    <w:rsid w:val="00484D20"/>
    <w:rsid w:val="00485DBD"/>
    <w:rsid w:val="00485EF1"/>
    <w:rsid w:val="0048637B"/>
    <w:rsid w:val="0048661E"/>
    <w:rsid w:val="00486882"/>
    <w:rsid w:val="0048709F"/>
    <w:rsid w:val="0048775F"/>
    <w:rsid w:val="00487BF8"/>
    <w:rsid w:val="00487DFE"/>
    <w:rsid w:val="00490DB9"/>
    <w:rsid w:val="004915D9"/>
    <w:rsid w:val="004918E0"/>
    <w:rsid w:val="00492AD0"/>
    <w:rsid w:val="00492E18"/>
    <w:rsid w:val="00493AE8"/>
    <w:rsid w:val="004946BB"/>
    <w:rsid w:val="004960DF"/>
    <w:rsid w:val="00496BBF"/>
    <w:rsid w:val="00496F72"/>
    <w:rsid w:val="00497044"/>
    <w:rsid w:val="004A03FE"/>
    <w:rsid w:val="004A06A7"/>
    <w:rsid w:val="004A121F"/>
    <w:rsid w:val="004A1256"/>
    <w:rsid w:val="004A1EAD"/>
    <w:rsid w:val="004A2E70"/>
    <w:rsid w:val="004A30C0"/>
    <w:rsid w:val="004A3A36"/>
    <w:rsid w:val="004A47BE"/>
    <w:rsid w:val="004A5CFF"/>
    <w:rsid w:val="004A7739"/>
    <w:rsid w:val="004A77FA"/>
    <w:rsid w:val="004A783A"/>
    <w:rsid w:val="004A7F74"/>
    <w:rsid w:val="004B1F98"/>
    <w:rsid w:val="004B34EA"/>
    <w:rsid w:val="004B434B"/>
    <w:rsid w:val="004B46AB"/>
    <w:rsid w:val="004B4863"/>
    <w:rsid w:val="004B4C50"/>
    <w:rsid w:val="004B4F87"/>
    <w:rsid w:val="004B5494"/>
    <w:rsid w:val="004B57BB"/>
    <w:rsid w:val="004B5AD3"/>
    <w:rsid w:val="004B69FD"/>
    <w:rsid w:val="004C027F"/>
    <w:rsid w:val="004C0B5B"/>
    <w:rsid w:val="004C0D4C"/>
    <w:rsid w:val="004C0D9B"/>
    <w:rsid w:val="004C12FD"/>
    <w:rsid w:val="004C1DDD"/>
    <w:rsid w:val="004C221D"/>
    <w:rsid w:val="004C252C"/>
    <w:rsid w:val="004C2825"/>
    <w:rsid w:val="004C4C2D"/>
    <w:rsid w:val="004C5B31"/>
    <w:rsid w:val="004C642F"/>
    <w:rsid w:val="004C7A2B"/>
    <w:rsid w:val="004C7B71"/>
    <w:rsid w:val="004C7D3A"/>
    <w:rsid w:val="004D19A9"/>
    <w:rsid w:val="004D4085"/>
    <w:rsid w:val="004D4A53"/>
    <w:rsid w:val="004D4EF2"/>
    <w:rsid w:val="004D5042"/>
    <w:rsid w:val="004D60C8"/>
    <w:rsid w:val="004D64CA"/>
    <w:rsid w:val="004E04BD"/>
    <w:rsid w:val="004E0CD3"/>
    <w:rsid w:val="004E1773"/>
    <w:rsid w:val="004E17C3"/>
    <w:rsid w:val="004E2BE3"/>
    <w:rsid w:val="004E4140"/>
    <w:rsid w:val="004E4C64"/>
    <w:rsid w:val="004E5615"/>
    <w:rsid w:val="004E5DF2"/>
    <w:rsid w:val="004E6A5E"/>
    <w:rsid w:val="004F1DC6"/>
    <w:rsid w:val="004F3F31"/>
    <w:rsid w:val="004F50E0"/>
    <w:rsid w:val="004F5883"/>
    <w:rsid w:val="004F7A14"/>
    <w:rsid w:val="004F7A18"/>
    <w:rsid w:val="00500C1F"/>
    <w:rsid w:val="00500D0E"/>
    <w:rsid w:val="00501839"/>
    <w:rsid w:val="005018A8"/>
    <w:rsid w:val="0050213D"/>
    <w:rsid w:val="0050317A"/>
    <w:rsid w:val="00505A39"/>
    <w:rsid w:val="00506122"/>
    <w:rsid w:val="00506361"/>
    <w:rsid w:val="00510624"/>
    <w:rsid w:val="005114E8"/>
    <w:rsid w:val="00511B27"/>
    <w:rsid w:val="00513054"/>
    <w:rsid w:val="005130B7"/>
    <w:rsid w:val="005148B2"/>
    <w:rsid w:val="00516734"/>
    <w:rsid w:val="00516DEA"/>
    <w:rsid w:val="005222AE"/>
    <w:rsid w:val="00522AF0"/>
    <w:rsid w:val="005240BF"/>
    <w:rsid w:val="005241CB"/>
    <w:rsid w:val="0052496B"/>
    <w:rsid w:val="00524D04"/>
    <w:rsid w:val="00525374"/>
    <w:rsid w:val="00526608"/>
    <w:rsid w:val="00530FFA"/>
    <w:rsid w:val="005312FC"/>
    <w:rsid w:val="00531659"/>
    <w:rsid w:val="0053170C"/>
    <w:rsid w:val="0053176F"/>
    <w:rsid w:val="005318CF"/>
    <w:rsid w:val="0053260B"/>
    <w:rsid w:val="0053269E"/>
    <w:rsid w:val="00532A23"/>
    <w:rsid w:val="00533384"/>
    <w:rsid w:val="00533863"/>
    <w:rsid w:val="00535358"/>
    <w:rsid w:val="00541B61"/>
    <w:rsid w:val="00541CB8"/>
    <w:rsid w:val="00543A6C"/>
    <w:rsid w:val="0054442F"/>
    <w:rsid w:val="00545630"/>
    <w:rsid w:val="00546603"/>
    <w:rsid w:val="00546F2B"/>
    <w:rsid w:val="0054712C"/>
    <w:rsid w:val="005518A3"/>
    <w:rsid w:val="00552202"/>
    <w:rsid w:val="0055240D"/>
    <w:rsid w:val="00554BDC"/>
    <w:rsid w:val="005559B6"/>
    <w:rsid w:val="00556DD2"/>
    <w:rsid w:val="005572F2"/>
    <w:rsid w:val="00560732"/>
    <w:rsid w:val="005618E4"/>
    <w:rsid w:val="00563060"/>
    <w:rsid w:val="00563864"/>
    <w:rsid w:val="00565C26"/>
    <w:rsid w:val="00565EA5"/>
    <w:rsid w:val="00566885"/>
    <w:rsid w:val="00567367"/>
    <w:rsid w:val="00571156"/>
    <w:rsid w:val="005711E4"/>
    <w:rsid w:val="00571318"/>
    <w:rsid w:val="00571AFF"/>
    <w:rsid w:val="00572226"/>
    <w:rsid w:val="00573682"/>
    <w:rsid w:val="00574232"/>
    <w:rsid w:val="00575769"/>
    <w:rsid w:val="00576A18"/>
    <w:rsid w:val="00577997"/>
    <w:rsid w:val="00577D8E"/>
    <w:rsid w:val="00580606"/>
    <w:rsid w:val="005808FA"/>
    <w:rsid w:val="00580F7C"/>
    <w:rsid w:val="005815C2"/>
    <w:rsid w:val="005821DA"/>
    <w:rsid w:val="00582312"/>
    <w:rsid w:val="0058395A"/>
    <w:rsid w:val="005840C4"/>
    <w:rsid w:val="005840F4"/>
    <w:rsid w:val="00585390"/>
    <w:rsid w:val="00586F79"/>
    <w:rsid w:val="0058721E"/>
    <w:rsid w:val="00591004"/>
    <w:rsid w:val="00591641"/>
    <w:rsid w:val="00591942"/>
    <w:rsid w:val="00591EAA"/>
    <w:rsid w:val="005928F2"/>
    <w:rsid w:val="005935CC"/>
    <w:rsid w:val="005939A5"/>
    <w:rsid w:val="00593EDF"/>
    <w:rsid w:val="005947E6"/>
    <w:rsid w:val="00595A55"/>
    <w:rsid w:val="00596D24"/>
    <w:rsid w:val="005A00B2"/>
    <w:rsid w:val="005A038D"/>
    <w:rsid w:val="005A06A3"/>
    <w:rsid w:val="005A148C"/>
    <w:rsid w:val="005A2962"/>
    <w:rsid w:val="005A2D00"/>
    <w:rsid w:val="005A3768"/>
    <w:rsid w:val="005A3D14"/>
    <w:rsid w:val="005A3E20"/>
    <w:rsid w:val="005A4601"/>
    <w:rsid w:val="005A5A01"/>
    <w:rsid w:val="005A6A08"/>
    <w:rsid w:val="005A6D22"/>
    <w:rsid w:val="005A6F2C"/>
    <w:rsid w:val="005B256B"/>
    <w:rsid w:val="005B31FA"/>
    <w:rsid w:val="005B3BA0"/>
    <w:rsid w:val="005B4C81"/>
    <w:rsid w:val="005B5A7F"/>
    <w:rsid w:val="005B5D89"/>
    <w:rsid w:val="005B6B63"/>
    <w:rsid w:val="005B7F5A"/>
    <w:rsid w:val="005C0006"/>
    <w:rsid w:val="005C035C"/>
    <w:rsid w:val="005C03CC"/>
    <w:rsid w:val="005C03D2"/>
    <w:rsid w:val="005C1E2B"/>
    <w:rsid w:val="005C2BDA"/>
    <w:rsid w:val="005C3E20"/>
    <w:rsid w:val="005C4D8F"/>
    <w:rsid w:val="005C58FA"/>
    <w:rsid w:val="005C59CA"/>
    <w:rsid w:val="005C63C0"/>
    <w:rsid w:val="005C77F5"/>
    <w:rsid w:val="005C7832"/>
    <w:rsid w:val="005D05C2"/>
    <w:rsid w:val="005D1BDC"/>
    <w:rsid w:val="005D23AE"/>
    <w:rsid w:val="005D3F0E"/>
    <w:rsid w:val="005D5CAB"/>
    <w:rsid w:val="005E0D90"/>
    <w:rsid w:val="005E0EDF"/>
    <w:rsid w:val="005E2AC5"/>
    <w:rsid w:val="005E2C96"/>
    <w:rsid w:val="005E2F21"/>
    <w:rsid w:val="005E356E"/>
    <w:rsid w:val="005E38FE"/>
    <w:rsid w:val="005E47D0"/>
    <w:rsid w:val="005E4879"/>
    <w:rsid w:val="005E48EF"/>
    <w:rsid w:val="005E48F4"/>
    <w:rsid w:val="005E494A"/>
    <w:rsid w:val="005E4ED1"/>
    <w:rsid w:val="005E503C"/>
    <w:rsid w:val="005E6E74"/>
    <w:rsid w:val="005E7AC7"/>
    <w:rsid w:val="005F0349"/>
    <w:rsid w:val="005F081E"/>
    <w:rsid w:val="005F1680"/>
    <w:rsid w:val="005F1CC4"/>
    <w:rsid w:val="005F47F7"/>
    <w:rsid w:val="005F5B97"/>
    <w:rsid w:val="005F60F5"/>
    <w:rsid w:val="005F62E1"/>
    <w:rsid w:val="005F6B8A"/>
    <w:rsid w:val="0060019F"/>
    <w:rsid w:val="00600847"/>
    <w:rsid w:val="00603238"/>
    <w:rsid w:val="00605D50"/>
    <w:rsid w:val="00605DEB"/>
    <w:rsid w:val="00606877"/>
    <w:rsid w:val="00612A11"/>
    <w:rsid w:val="0061311F"/>
    <w:rsid w:val="00613835"/>
    <w:rsid w:val="00614F87"/>
    <w:rsid w:val="00614FC1"/>
    <w:rsid w:val="00615EB1"/>
    <w:rsid w:val="00616215"/>
    <w:rsid w:val="00616FD3"/>
    <w:rsid w:val="00617BDE"/>
    <w:rsid w:val="00620356"/>
    <w:rsid w:val="0062042F"/>
    <w:rsid w:val="00620861"/>
    <w:rsid w:val="00621D30"/>
    <w:rsid w:val="00622234"/>
    <w:rsid w:val="00622B5A"/>
    <w:rsid w:val="00624546"/>
    <w:rsid w:val="00625843"/>
    <w:rsid w:val="006266F9"/>
    <w:rsid w:val="00626F28"/>
    <w:rsid w:val="00627F9F"/>
    <w:rsid w:val="00632207"/>
    <w:rsid w:val="00632A83"/>
    <w:rsid w:val="00633FD3"/>
    <w:rsid w:val="0063400B"/>
    <w:rsid w:val="0063491C"/>
    <w:rsid w:val="00640CC0"/>
    <w:rsid w:val="00641A5C"/>
    <w:rsid w:val="00642825"/>
    <w:rsid w:val="00643B0A"/>
    <w:rsid w:val="00643FC6"/>
    <w:rsid w:val="00644192"/>
    <w:rsid w:val="0064496A"/>
    <w:rsid w:val="00644C03"/>
    <w:rsid w:val="00645333"/>
    <w:rsid w:val="00645C0B"/>
    <w:rsid w:val="00645D8D"/>
    <w:rsid w:val="006464BA"/>
    <w:rsid w:val="00646804"/>
    <w:rsid w:val="00646DEE"/>
    <w:rsid w:val="00646EEA"/>
    <w:rsid w:val="006471C2"/>
    <w:rsid w:val="0065395F"/>
    <w:rsid w:val="00654592"/>
    <w:rsid w:val="00654C38"/>
    <w:rsid w:val="0065514B"/>
    <w:rsid w:val="006558D7"/>
    <w:rsid w:val="00656044"/>
    <w:rsid w:val="00660E33"/>
    <w:rsid w:val="00661054"/>
    <w:rsid w:val="00661AFE"/>
    <w:rsid w:val="00661BFA"/>
    <w:rsid w:val="00661C8A"/>
    <w:rsid w:val="00661EAB"/>
    <w:rsid w:val="00661F07"/>
    <w:rsid w:val="0066254A"/>
    <w:rsid w:val="00663E1A"/>
    <w:rsid w:val="00663FE3"/>
    <w:rsid w:val="00665BD4"/>
    <w:rsid w:val="006667DD"/>
    <w:rsid w:val="006671EE"/>
    <w:rsid w:val="00670202"/>
    <w:rsid w:val="00670212"/>
    <w:rsid w:val="0067195C"/>
    <w:rsid w:val="00673BE8"/>
    <w:rsid w:val="00676D4C"/>
    <w:rsid w:val="00676DDD"/>
    <w:rsid w:val="0067750B"/>
    <w:rsid w:val="006776B3"/>
    <w:rsid w:val="006778E7"/>
    <w:rsid w:val="00680F19"/>
    <w:rsid w:val="00681562"/>
    <w:rsid w:val="00682635"/>
    <w:rsid w:val="00682E25"/>
    <w:rsid w:val="00683162"/>
    <w:rsid w:val="006836A6"/>
    <w:rsid w:val="00683986"/>
    <w:rsid w:val="00683B2C"/>
    <w:rsid w:val="006841DA"/>
    <w:rsid w:val="00684328"/>
    <w:rsid w:val="00684642"/>
    <w:rsid w:val="00684F72"/>
    <w:rsid w:val="00685721"/>
    <w:rsid w:val="00685EE4"/>
    <w:rsid w:val="00685FA4"/>
    <w:rsid w:val="0068688B"/>
    <w:rsid w:val="00686FF3"/>
    <w:rsid w:val="006872BA"/>
    <w:rsid w:val="00687E6B"/>
    <w:rsid w:val="00690543"/>
    <w:rsid w:val="00690551"/>
    <w:rsid w:val="0069276B"/>
    <w:rsid w:val="00692B90"/>
    <w:rsid w:val="006933AF"/>
    <w:rsid w:val="006943AB"/>
    <w:rsid w:val="00694949"/>
    <w:rsid w:val="006950BB"/>
    <w:rsid w:val="0069557B"/>
    <w:rsid w:val="00696C1E"/>
    <w:rsid w:val="006A0985"/>
    <w:rsid w:val="006A141A"/>
    <w:rsid w:val="006A1D45"/>
    <w:rsid w:val="006A2BFF"/>
    <w:rsid w:val="006A38DE"/>
    <w:rsid w:val="006A3F95"/>
    <w:rsid w:val="006A6EBC"/>
    <w:rsid w:val="006B0C3D"/>
    <w:rsid w:val="006B0C4C"/>
    <w:rsid w:val="006B1040"/>
    <w:rsid w:val="006B13F1"/>
    <w:rsid w:val="006B26DB"/>
    <w:rsid w:val="006B3779"/>
    <w:rsid w:val="006B3A01"/>
    <w:rsid w:val="006B3A96"/>
    <w:rsid w:val="006B5335"/>
    <w:rsid w:val="006B5CC3"/>
    <w:rsid w:val="006B6099"/>
    <w:rsid w:val="006B6145"/>
    <w:rsid w:val="006B6838"/>
    <w:rsid w:val="006B7A63"/>
    <w:rsid w:val="006C0E66"/>
    <w:rsid w:val="006C1F10"/>
    <w:rsid w:val="006C4969"/>
    <w:rsid w:val="006C4DC3"/>
    <w:rsid w:val="006C5607"/>
    <w:rsid w:val="006C6A17"/>
    <w:rsid w:val="006C7960"/>
    <w:rsid w:val="006D144B"/>
    <w:rsid w:val="006D1464"/>
    <w:rsid w:val="006D1D38"/>
    <w:rsid w:val="006D22E2"/>
    <w:rsid w:val="006D268C"/>
    <w:rsid w:val="006D2955"/>
    <w:rsid w:val="006D397F"/>
    <w:rsid w:val="006D3BE7"/>
    <w:rsid w:val="006D4A18"/>
    <w:rsid w:val="006D52A3"/>
    <w:rsid w:val="006D5D92"/>
    <w:rsid w:val="006D72B8"/>
    <w:rsid w:val="006D7814"/>
    <w:rsid w:val="006D7A50"/>
    <w:rsid w:val="006D7E29"/>
    <w:rsid w:val="006E1453"/>
    <w:rsid w:val="006E258A"/>
    <w:rsid w:val="006E2633"/>
    <w:rsid w:val="006E30E7"/>
    <w:rsid w:val="006E320A"/>
    <w:rsid w:val="006E3963"/>
    <w:rsid w:val="006E4CA6"/>
    <w:rsid w:val="006E55AC"/>
    <w:rsid w:val="006E5E28"/>
    <w:rsid w:val="006E609A"/>
    <w:rsid w:val="006E64E4"/>
    <w:rsid w:val="006E6574"/>
    <w:rsid w:val="006E6708"/>
    <w:rsid w:val="006E7774"/>
    <w:rsid w:val="006F0A05"/>
    <w:rsid w:val="006F1943"/>
    <w:rsid w:val="006F1E96"/>
    <w:rsid w:val="006F38FF"/>
    <w:rsid w:val="006F5BC1"/>
    <w:rsid w:val="006F5C75"/>
    <w:rsid w:val="00701207"/>
    <w:rsid w:val="00701984"/>
    <w:rsid w:val="007051F3"/>
    <w:rsid w:val="007062C6"/>
    <w:rsid w:val="007077BA"/>
    <w:rsid w:val="00710804"/>
    <w:rsid w:val="00710ECC"/>
    <w:rsid w:val="007113E8"/>
    <w:rsid w:val="0071271E"/>
    <w:rsid w:val="00713538"/>
    <w:rsid w:val="007138A7"/>
    <w:rsid w:val="00713986"/>
    <w:rsid w:val="00714CF2"/>
    <w:rsid w:val="007156B9"/>
    <w:rsid w:val="00720817"/>
    <w:rsid w:val="007222B9"/>
    <w:rsid w:val="00722850"/>
    <w:rsid w:val="00722C66"/>
    <w:rsid w:val="00723ADC"/>
    <w:rsid w:val="007253C8"/>
    <w:rsid w:val="007261A1"/>
    <w:rsid w:val="00727572"/>
    <w:rsid w:val="00730023"/>
    <w:rsid w:val="007304FD"/>
    <w:rsid w:val="00730CA1"/>
    <w:rsid w:val="00730CB6"/>
    <w:rsid w:val="0073162B"/>
    <w:rsid w:val="00732204"/>
    <w:rsid w:val="007327B4"/>
    <w:rsid w:val="00732B20"/>
    <w:rsid w:val="00732FFB"/>
    <w:rsid w:val="0073353F"/>
    <w:rsid w:val="00733B7E"/>
    <w:rsid w:val="007342C0"/>
    <w:rsid w:val="00734301"/>
    <w:rsid w:val="007344B3"/>
    <w:rsid w:val="00735871"/>
    <w:rsid w:val="00735A91"/>
    <w:rsid w:val="00735F43"/>
    <w:rsid w:val="00736987"/>
    <w:rsid w:val="00736B4C"/>
    <w:rsid w:val="00737D00"/>
    <w:rsid w:val="00741878"/>
    <w:rsid w:val="00742E45"/>
    <w:rsid w:val="007447AF"/>
    <w:rsid w:val="00744FCD"/>
    <w:rsid w:val="00745198"/>
    <w:rsid w:val="00745945"/>
    <w:rsid w:val="007459D9"/>
    <w:rsid w:val="00745CE6"/>
    <w:rsid w:val="00746798"/>
    <w:rsid w:val="00750816"/>
    <w:rsid w:val="00752FBE"/>
    <w:rsid w:val="0075567F"/>
    <w:rsid w:val="00756700"/>
    <w:rsid w:val="0075686A"/>
    <w:rsid w:val="007576E5"/>
    <w:rsid w:val="00757C34"/>
    <w:rsid w:val="00760743"/>
    <w:rsid w:val="0076086B"/>
    <w:rsid w:val="0076089D"/>
    <w:rsid w:val="007608B7"/>
    <w:rsid w:val="0076112E"/>
    <w:rsid w:val="00763598"/>
    <w:rsid w:val="00763A18"/>
    <w:rsid w:val="00763A5A"/>
    <w:rsid w:val="00764752"/>
    <w:rsid w:val="00764B2E"/>
    <w:rsid w:val="00765735"/>
    <w:rsid w:val="007657C1"/>
    <w:rsid w:val="00766FFF"/>
    <w:rsid w:val="0076717A"/>
    <w:rsid w:val="00767ECA"/>
    <w:rsid w:val="007707E2"/>
    <w:rsid w:val="00770C0F"/>
    <w:rsid w:val="007727E7"/>
    <w:rsid w:val="0077309D"/>
    <w:rsid w:val="0077364E"/>
    <w:rsid w:val="007741F0"/>
    <w:rsid w:val="0077712C"/>
    <w:rsid w:val="0077755F"/>
    <w:rsid w:val="00780008"/>
    <w:rsid w:val="00780470"/>
    <w:rsid w:val="0078111C"/>
    <w:rsid w:val="00782A34"/>
    <w:rsid w:val="00782E38"/>
    <w:rsid w:val="00783374"/>
    <w:rsid w:val="00783615"/>
    <w:rsid w:val="0078386B"/>
    <w:rsid w:val="00783C6E"/>
    <w:rsid w:val="00784370"/>
    <w:rsid w:val="007845C8"/>
    <w:rsid w:val="0079088B"/>
    <w:rsid w:val="00791448"/>
    <w:rsid w:val="00791847"/>
    <w:rsid w:val="007922A2"/>
    <w:rsid w:val="007923CC"/>
    <w:rsid w:val="0079243E"/>
    <w:rsid w:val="00793B37"/>
    <w:rsid w:val="00793E94"/>
    <w:rsid w:val="0079543E"/>
    <w:rsid w:val="007954F0"/>
    <w:rsid w:val="007969BA"/>
    <w:rsid w:val="00796E0B"/>
    <w:rsid w:val="00797F07"/>
    <w:rsid w:val="007A105C"/>
    <w:rsid w:val="007A2085"/>
    <w:rsid w:val="007A276F"/>
    <w:rsid w:val="007A38E2"/>
    <w:rsid w:val="007A3FB3"/>
    <w:rsid w:val="007A406D"/>
    <w:rsid w:val="007A4EF7"/>
    <w:rsid w:val="007A60A0"/>
    <w:rsid w:val="007A62B0"/>
    <w:rsid w:val="007A69AC"/>
    <w:rsid w:val="007A7176"/>
    <w:rsid w:val="007A717C"/>
    <w:rsid w:val="007B03CC"/>
    <w:rsid w:val="007B03F1"/>
    <w:rsid w:val="007B14AB"/>
    <w:rsid w:val="007B1A22"/>
    <w:rsid w:val="007B3304"/>
    <w:rsid w:val="007B3C07"/>
    <w:rsid w:val="007B440C"/>
    <w:rsid w:val="007B4E85"/>
    <w:rsid w:val="007B4EAB"/>
    <w:rsid w:val="007B5A47"/>
    <w:rsid w:val="007B6283"/>
    <w:rsid w:val="007B64B0"/>
    <w:rsid w:val="007B6E51"/>
    <w:rsid w:val="007B76F0"/>
    <w:rsid w:val="007C06AC"/>
    <w:rsid w:val="007C1244"/>
    <w:rsid w:val="007C1672"/>
    <w:rsid w:val="007C1849"/>
    <w:rsid w:val="007C2E14"/>
    <w:rsid w:val="007C3A4F"/>
    <w:rsid w:val="007C4109"/>
    <w:rsid w:val="007C418F"/>
    <w:rsid w:val="007C4256"/>
    <w:rsid w:val="007C4770"/>
    <w:rsid w:val="007C49C8"/>
    <w:rsid w:val="007C4CB9"/>
    <w:rsid w:val="007C4D39"/>
    <w:rsid w:val="007C5A0C"/>
    <w:rsid w:val="007C7104"/>
    <w:rsid w:val="007D03BF"/>
    <w:rsid w:val="007D0518"/>
    <w:rsid w:val="007D0A76"/>
    <w:rsid w:val="007D0C17"/>
    <w:rsid w:val="007D2780"/>
    <w:rsid w:val="007D6AB9"/>
    <w:rsid w:val="007D75DE"/>
    <w:rsid w:val="007E052C"/>
    <w:rsid w:val="007E0CBC"/>
    <w:rsid w:val="007E0E24"/>
    <w:rsid w:val="007E0FEE"/>
    <w:rsid w:val="007E1B24"/>
    <w:rsid w:val="007E253D"/>
    <w:rsid w:val="007E2BB1"/>
    <w:rsid w:val="007E43F2"/>
    <w:rsid w:val="007E5A84"/>
    <w:rsid w:val="007E65BB"/>
    <w:rsid w:val="007E67EC"/>
    <w:rsid w:val="007E70CF"/>
    <w:rsid w:val="007E789E"/>
    <w:rsid w:val="007E7B11"/>
    <w:rsid w:val="007E7BAF"/>
    <w:rsid w:val="007F2017"/>
    <w:rsid w:val="007F3149"/>
    <w:rsid w:val="007F47E8"/>
    <w:rsid w:val="007F5A4A"/>
    <w:rsid w:val="007F65E2"/>
    <w:rsid w:val="008031A4"/>
    <w:rsid w:val="008035D8"/>
    <w:rsid w:val="0080390E"/>
    <w:rsid w:val="00806F4D"/>
    <w:rsid w:val="00807149"/>
    <w:rsid w:val="008071DE"/>
    <w:rsid w:val="008073C3"/>
    <w:rsid w:val="00807D1B"/>
    <w:rsid w:val="00807D89"/>
    <w:rsid w:val="00810043"/>
    <w:rsid w:val="00810E94"/>
    <w:rsid w:val="00811614"/>
    <w:rsid w:val="00811657"/>
    <w:rsid w:val="00811A08"/>
    <w:rsid w:val="00812C11"/>
    <w:rsid w:val="00813552"/>
    <w:rsid w:val="00813900"/>
    <w:rsid w:val="00813C23"/>
    <w:rsid w:val="008142A2"/>
    <w:rsid w:val="00814628"/>
    <w:rsid w:val="008159CF"/>
    <w:rsid w:val="00816770"/>
    <w:rsid w:val="00816A7C"/>
    <w:rsid w:val="00816B4B"/>
    <w:rsid w:val="00816E05"/>
    <w:rsid w:val="0081739C"/>
    <w:rsid w:val="0082170A"/>
    <w:rsid w:val="00821A4D"/>
    <w:rsid w:val="00822BC5"/>
    <w:rsid w:val="00823ECB"/>
    <w:rsid w:val="00824272"/>
    <w:rsid w:val="0082509C"/>
    <w:rsid w:val="0082584E"/>
    <w:rsid w:val="00825DFA"/>
    <w:rsid w:val="00827777"/>
    <w:rsid w:val="00827928"/>
    <w:rsid w:val="00827C22"/>
    <w:rsid w:val="00827E02"/>
    <w:rsid w:val="00831AFB"/>
    <w:rsid w:val="00832E70"/>
    <w:rsid w:val="0083325F"/>
    <w:rsid w:val="008338FC"/>
    <w:rsid w:val="008339BB"/>
    <w:rsid w:val="00833E74"/>
    <w:rsid w:val="00834294"/>
    <w:rsid w:val="008342DF"/>
    <w:rsid w:val="00835187"/>
    <w:rsid w:val="00835392"/>
    <w:rsid w:val="0083569C"/>
    <w:rsid w:val="008376BD"/>
    <w:rsid w:val="0084044A"/>
    <w:rsid w:val="00840B3C"/>
    <w:rsid w:val="0084165C"/>
    <w:rsid w:val="00841959"/>
    <w:rsid w:val="00841C48"/>
    <w:rsid w:val="008434C1"/>
    <w:rsid w:val="00843D93"/>
    <w:rsid w:val="00844FCF"/>
    <w:rsid w:val="0084537C"/>
    <w:rsid w:val="008466C0"/>
    <w:rsid w:val="00846861"/>
    <w:rsid w:val="008503AC"/>
    <w:rsid w:val="00854E4A"/>
    <w:rsid w:val="00854FCB"/>
    <w:rsid w:val="008550CC"/>
    <w:rsid w:val="0085578E"/>
    <w:rsid w:val="008567AA"/>
    <w:rsid w:val="008571C1"/>
    <w:rsid w:val="00860991"/>
    <w:rsid w:val="0086158F"/>
    <w:rsid w:val="0086419A"/>
    <w:rsid w:val="0086426A"/>
    <w:rsid w:val="008643F0"/>
    <w:rsid w:val="00864AD3"/>
    <w:rsid w:val="00864C03"/>
    <w:rsid w:val="00865F73"/>
    <w:rsid w:val="00866F59"/>
    <w:rsid w:val="008673C7"/>
    <w:rsid w:val="0087023B"/>
    <w:rsid w:val="0087030A"/>
    <w:rsid w:val="00870D08"/>
    <w:rsid w:val="00871513"/>
    <w:rsid w:val="0087245C"/>
    <w:rsid w:val="00873AC7"/>
    <w:rsid w:val="00874D5D"/>
    <w:rsid w:val="008751AF"/>
    <w:rsid w:val="0087535B"/>
    <w:rsid w:val="00875D0A"/>
    <w:rsid w:val="0087636B"/>
    <w:rsid w:val="0087649C"/>
    <w:rsid w:val="008811D3"/>
    <w:rsid w:val="00881C31"/>
    <w:rsid w:val="00881DCC"/>
    <w:rsid w:val="00884CCE"/>
    <w:rsid w:val="00885761"/>
    <w:rsid w:val="008858BF"/>
    <w:rsid w:val="0088673C"/>
    <w:rsid w:val="0088682E"/>
    <w:rsid w:val="00886B11"/>
    <w:rsid w:val="00887175"/>
    <w:rsid w:val="00887D0F"/>
    <w:rsid w:val="00890832"/>
    <w:rsid w:val="00890A22"/>
    <w:rsid w:val="008914B4"/>
    <w:rsid w:val="00891EF3"/>
    <w:rsid w:val="00892051"/>
    <w:rsid w:val="0089213C"/>
    <w:rsid w:val="00893D53"/>
    <w:rsid w:val="00896092"/>
    <w:rsid w:val="00896E09"/>
    <w:rsid w:val="0089799E"/>
    <w:rsid w:val="00897B99"/>
    <w:rsid w:val="00897BA3"/>
    <w:rsid w:val="008A08BF"/>
    <w:rsid w:val="008A179F"/>
    <w:rsid w:val="008A1F63"/>
    <w:rsid w:val="008A27AF"/>
    <w:rsid w:val="008A3472"/>
    <w:rsid w:val="008A35D1"/>
    <w:rsid w:val="008A3AE1"/>
    <w:rsid w:val="008A4882"/>
    <w:rsid w:val="008A6CE8"/>
    <w:rsid w:val="008A6DC9"/>
    <w:rsid w:val="008A704A"/>
    <w:rsid w:val="008A7289"/>
    <w:rsid w:val="008B0864"/>
    <w:rsid w:val="008B11F0"/>
    <w:rsid w:val="008B14A4"/>
    <w:rsid w:val="008B175A"/>
    <w:rsid w:val="008B1848"/>
    <w:rsid w:val="008B18D4"/>
    <w:rsid w:val="008B1A91"/>
    <w:rsid w:val="008B270E"/>
    <w:rsid w:val="008B27FC"/>
    <w:rsid w:val="008B2E7B"/>
    <w:rsid w:val="008B4564"/>
    <w:rsid w:val="008B57E3"/>
    <w:rsid w:val="008B6651"/>
    <w:rsid w:val="008B6DE3"/>
    <w:rsid w:val="008B7013"/>
    <w:rsid w:val="008B7D7C"/>
    <w:rsid w:val="008C0B04"/>
    <w:rsid w:val="008C0DAE"/>
    <w:rsid w:val="008C178C"/>
    <w:rsid w:val="008C3CB7"/>
    <w:rsid w:val="008C3FB8"/>
    <w:rsid w:val="008C4682"/>
    <w:rsid w:val="008C6796"/>
    <w:rsid w:val="008C6C19"/>
    <w:rsid w:val="008C70AF"/>
    <w:rsid w:val="008C7413"/>
    <w:rsid w:val="008C7B3E"/>
    <w:rsid w:val="008D1068"/>
    <w:rsid w:val="008D126E"/>
    <w:rsid w:val="008D16B7"/>
    <w:rsid w:val="008D172C"/>
    <w:rsid w:val="008D2151"/>
    <w:rsid w:val="008D2389"/>
    <w:rsid w:val="008D23EE"/>
    <w:rsid w:val="008D2609"/>
    <w:rsid w:val="008D3471"/>
    <w:rsid w:val="008D3724"/>
    <w:rsid w:val="008D4A4F"/>
    <w:rsid w:val="008D4B4D"/>
    <w:rsid w:val="008D4F76"/>
    <w:rsid w:val="008D5B08"/>
    <w:rsid w:val="008D5BE3"/>
    <w:rsid w:val="008D5E1C"/>
    <w:rsid w:val="008D6AC1"/>
    <w:rsid w:val="008D7A45"/>
    <w:rsid w:val="008D7A5F"/>
    <w:rsid w:val="008E0004"/>
    <w:rsid w:val="008E16A5"/>
    <w:rsid w:val="008E2E7A"/>
    <w:rsid w:val="008E47C4"/>
    <w:rsid w:val="008E4A60"/>
    <w:rsid w:val="008E63B2"/>
    <w:rsid w:val="008E6AE6"/>
    <w:rsid w:val="008E703C"/>
    <w:rsid w:val="008E719B"/>
    <w:rsid w:val="008E74EF"/>
    <w:rsid w:val="008F0116"/>
    <w:rsid w:val="008F1239"/>
    <w:rsid w:val="008F143D"/>
    <w:rsid w:val="008F24F9"/>
    <w:rsid w:val="008F2974"/>
    <w:rsid w:val="008F3464"/>
    <w:rsid w:val="008F39DA"/>
    <w:rsid w:val="008F3FC6"/>
    <w:rsid w:val="008F4E0D"/>
    <w:rsid w:val="008F7A81"/>
    <w:rsid w:val="009008DC"/>
    <w:rsid w:val="00901487"/>
    <w:rsid w:val="009015CD"/>
    <w:rsid w:val="00901E6F"/>
    <w:rsid w:val="00902734"/>
    <w:rsid w:val="009101F5"/>
    <w:rsid w:val="00912898"/>
    <w:rsid w:val="00913247"/>
    <w:rsid w:val="00913A55"/>
    <w:rsid w:val="00914D15"/>
    <w:rsid w:val="00915CBE"/>
    <w:rsid w:val="0091677D"/>
    <w:rsid w:val="00916A4D"/>
    <w:rsid w:val="00916DDA"/>
    <w:rsid w:val="00923ED8"/>
    <w:rsid w:val="0092506E"/>
    <w:rsid w:val="00925E0A"/>
    <w:rsid w:val="0092640B"/>
    <w:rsid w:val="0092665E"/>
    <w:rsid w:val="00927164"/>
    <w:rsid w:val="00927EF3"/>
    <w:rsid w:val="0093013F"/>
    <w:rsid w:val="009304FA"/>
    <w:rsid w:val="009305CA"/>
    <w:rsid w:val="0093151C"/>
    <w:rsid w:val="00932410"/>
    <w:rsid w:val="00932865"/>
    <w:rsid w:val="00932D1D"/>
    <w:rsid w:val="009332B0"/>
    <w:rsid w:val="00933EA0"/>
    <w:rsid w:val="009349F5"/>
    <w:rsid w:val="00934ED0"/>
    <w:rsid w:val="009361AE"/>
    <w:rsid w:val="00944C94"/>
    <w:rsid w:val="00945369"/>
    <w:rsid w:val="00945C79"/>
    <w:rsid w:val="009466F6"/>
    <w:rsid w:val="00950558"/>
    <w:rsid w:val="0095195B"/>
    <w:rsid w:val="009523CA"/>
    <w:rsid w:val="00952AE3"/>
    <w:rsid w:val="009538DD"/>
    <w:rsid w:val="009545B0"/>
    <w:rsid w:val="009546E5"/>
    <w:rsid w:val="00955C3E"/>
    <w:rsid w:val="00955C93"/>
    <w:rsid w:val="009560B4"/>
    <w:rsid w:val="00956366"/>
    <w:rsid w:val="00957E2E"/>
    <w:rsid w:val="00961589"/>
    <w:rsid w:val="009615DE"/>
    <w:rsid w:val="00961D57"/>
    <w:rsid w:val="009622BC"/>
    <w:rsid w:val="00964FB4"/>
    <w:rsid w:val="009659AC"/>
    <w:rsid w:val="009659EB"/>
    <w:rsid w:val="00965C25"/>
    <w:rsid w:val="00966395"/>
    <w:rsid w:val="009664F0"/>
    <w:rsid w:val="009666BC"/>
    <w:rsid w:val="009708BF"/>
    <w:rsid w:val="00970DBB"/>
    <w:rsid w:val="009725E2"/>
    <w:rsid w:val="009743E7"/>
    <w:rsid w:val="009751A7"/>
    <w:rsid w:val="00976296"/>
    <w:rsid w:val="00977FB2"/>
    <w:rsid w:val="0098138E"/>
    <w:rsid w:val="009825B1"/>
    <w:rsid w:val="00984AC6"/>
    <w:rsid w:val="00984FFA"/>
    <w:rsid w:val="00985B9A"/>
    <w:rsid w:val="0098655A"/>
    <w:rsid w:val="00990439"/>
    <w:rsid w:val="009909BD"/>
    <w:rsid w:val="00991B36"/>
    <w:rsid w:val="009944CB"/>
    <w:rsid w:val="00995E93"/>
    <w:rsid w:val="00996185"/>
    <w:rsid w:val="009963CA"/>
    <w:rsid w:val="00997376"/>
    <w:rsid w:val="009A05DF"/>
    <w:rsid w:val="009A1470"/>
    <w:rsid w:val="009A2133"/>
    <w:rsid w:val="009A35D6"/>
    <w:rsid w:val="009A36F7"/>
    <w:rsid w:val="009A3B28"/>
    <w:rsid w:val="009A4457"/>
    <w:rsid w:val="009A5C19"/>
    <w:rsid w:val="009A5FFC"/>
    <w:rsid w:val="009A62EB"/>
    <w:rsid w:val="009A6E36"/>
    <w:rsid w:val="009A6EA2"/>
    <w:rsid w:val="009A728B"/>
    <w:rsid w:val="009A7B10"/>
    <w:rsid w:val="009A7B35"/>
    <w:rsid w:val="009B07B3"/>
    <w:rsid w:val="009B0ECF"/>
    <w:rsid w:val="009B10CC"/>
    <w:rsid w:val="009B2673"/>
    <w:rsid w:val="009B2956"/>
    <w:rsid w:val="009B2ACE"/>
    <w:rsid w:val="009B457D"/>
    <w:rsid w:val="009B53E2"/>
    <w:rsid w:val="009B5E70"/>
    <w:rsid w:val="009B7318"/>
    <w:rsid w:val="009C1C6A"/>
    <w:rsid w:val="009C3AFF"/>
    <w:rsid w:val="009C4C51"/>
    <w:rsid w:val="009C5F51"/>
    <w:rsid w:val="009C7793"/>
    <w:rsid w:val="009C7EB0"/>
    <w:rsid w:val="009D06E0"/>
    <w:rsid w:val="009D20C6"/>
    <w:rsid w:val="009D3633"/>
    <w:rsid w:val="009D3DE2"/>
    <w:rsid w:val="009D497C"/>
    <w:rsid w:val="009D5CBC"/>
    <w:rsid w:val="009D6AD7"/>
    <w:rsid w:val="009D6F38"/>
    <w:rsid w:val="009E0BB3"/>
    <w:rsid w:val="009E10AB"/>
    <w:rsid w:val="009E10C4"/>
    <w:rsid w:val="009E10E2"/>
    <w:rsid w:val="009E2023"/>
    <w:rsid w:val="009E39A4"/>
    <w:rsid w:val="009E4B32"/>
    <w:rsid w:val="009E517B"/>
    <w:rsid w:val="009E6052"/>
    <w:rsid w:val="009E6F7E"/>
    <w:rsid w:val="009E7273"/>
    <w:rsid w:val="009E7AFA"/>
    <w:rsid w:val="009E7C7F"/>
    <w:rsid w:val="009E7D83"/>
    <w:rsid w:val="009F01FA"/>
    <w:rsid w:val="009F047E"/>
    <w:rsid w:val="009F0EA7"/>
    <w:rsid w:val="009F156B"/>
    <w:rsid w:val="009F2134"/>
    <w:rsid w:val="009F3072"/>
    <w:rsid w:val="009F3AAA"/>
    <w:rsid w:val="009F51A8"/>
    <w:rsid w:val="009F5FFA"/>
    <w:rsid w:val="009F661A"/>
    <w:rsid w:val="009F75D1"/>
    <w:rsid w:val="009F760D"/>
    <w:rsid w:val="009F7CB8"/>
    <w:rsid w:val="009F7D77"/>
    <w:rsid w:val="009F7D99"/>
    <w:rsid w:val="00A009C9"/>
    <w:rsid w:val="00A013BB"/>
    <w:rsid w:val="00A01516"/>
    <w:rsid w:val="00A01C47"/>
    <w:rsid w:val="00A025D4"/>
    <w:rsid w:val="00A02627"/>
    <w:rsid w:val="00A02688"/>
    <w:rsid w:val="00A04AE7"/>
    <w:rsid w:val="00A056C7"/>
    <w:rsid w:val="00A07494"/>
    <w:rsid w:val="00A0799F"/>
    <w:rsid w:val="00A07E1D"/>
    <w:rsid w:val="00A103A3"/>
    <w:rsid w:val="00A12342"/>
    <w:rsid w:val="00A12C24"/>
    <w:rsid w:val="00A1314D"/>
    <w:rsid w:val="00A13193"/>
    <w:rsid w:val="00A14B58"/>
    <w:rsid w:val="00A1540B"/>
    <w:rsid w:val="00A157FF"/>
    <w:rsid w:val="00A160B2"/>
    <w:rsid w:val="00A16714"/>
    <w:rsid w:val="00A17B76"/>
    <w:rsid w:val="00A17CE0"/>
    <w:rsid w:val="00A17E8B"/>
    <w:rsid w:val="00A17EDD"/>
    <w:rsid w:val="00A211C9"/>
    <w:rsid w:val="00A2153D"/>
    <w:rsid w:val="00A21A49"/>
    <w:rsid w:val="00A22BC4"/>
    <w:rsid w:val="00A231FD"/>
    <w:rsid w:val="00A23AF9"/>
    <w:rsid w:val="00A23D48"/>
    <w:rsid w:val="00A27DE3"/>
    <w:rsid w:val="00A322CA"/>
    <w:rsid w:val="00A34950"/>
    <w:rsid w:val="00A368A4"/>
    <w:rsid w:val="00A376FB"/>
    <w:rsid w:val="00A37E60"/>
    <w:rsid w:val="00A41E12"/>
    <w:rsid w:val="00A42306"/>
    <w:rsid w:val="00A4245D"/>
    <w:rsid w:val="00A42846"/>
    <w:rsid w:val="00A42A4C"/>
    <w:rsid w:val="00A447AD"/>
    <w:rsid w:val="00A44E8D"/>
    <w:rsid w:val="00A467CE"/>
    <w:rsid w:val="00A46E92"/>
    <w:rsid w:val="00A46EA8"/>
    <w:rsid w:val="00A47151"/>
    <w:rsid w:val="00A472D6"/>
    <w:rsid w:val="00A50612"/>
    <w:rsid w:val="00A5076B"/>
    <w:rsid w:val="00A51265"/>
    <w:rsid w:val="00A51814"/>
    <w:rsid w:val="00A531A1"/>
    <w:rsid w:val="00A55ACD"/>
    <w:rsid w:val="00A55B14"/>
    <w:rsid w:val="00A55C2F"/>
    <w:rsid w:val="00A6046F"/>
    <w:rsid w:val="00A60909"/>
    <w:rsid w:val="00A60DB7"/>
    <w:rsid w:val="00A620C6"/>
    <w:rsid w:val="00A647CD"/>
    <w:rsid w:val="00A6623F"/>
    <w:rsid w:val="00A70387"/>
    <w:rsid w:val="00A70399"/>
    <w:rsid w:val="00A717F1"/>
    <w:rsid w:val="00A72E1F"/>
    <w:rsid w:val="00A74149"/>
    <w:rsid w:val="00A77A6D"/>
    <w:rsid w:val="00A80F7C"/>
    <w:rsid w:val="00A81A02"/>
    <w:rsid w:val="00A83053"/>
    <w:rsid w:val="00A8309B"/>
    <w:rsid w:val="00A8321F"/>
    <w:rsid w:val="00A84836"/>
    <w:rsid w:val="00A84B62"/>
    <w:rsid w:val="00A85D27"/>
    <w:rsid w:val="00A867AC"/>
    <w:rsid w:val="00A873DB"/>
    <w:rsid w:val="00A87834"/>
    <w:rsid w:val="00A9082F"/>
    <w:rsid w:val="00A90DDC"/>
    <w:rsid w:val="00A9329A"/>
    <w:rsid w:val="00A95F0A"/>
    <w:rsid w:val="00AA0095"/>
    <w:rsid w:val="00AA0978"/>
    <w:rsid w:val="00AA1439"/>
    <w:rsid w:val="00AA2DC3"/>
    <w:rsid w:val="00AA4C86"/>
    <w:rsid w:val="00AA5669"/>
    <w:rsid w:val="00AA73F3"/>
    <w:rsid w:val="00AB0455"/>
    <w:rsid w:val="00AB08C5"/>
    <w:rsid w:val="00AB2006"/>
    <w:rsid w:val="00AB2C32"/>
    <w:rsid w:val="00AB426F"/>
    <w:rsid w:val="00AB42EF"/>
    <w:rsid w:val="00AB46D9"/>
    <w:rsid w:val="00AB6866"/>
    <w:rsid w:val="00AB7875"/>
    <w:rsid w:val="00AC2278"/>
    <w:rsid w:val="00AC2A1C"/>
    <w:rsid w:val="00AC3090"/>
    <w:rsid w:val="00AC38D0"/>
    <w:rsid w:val="00AC3AB3"/>
    <w:rsid w:val="00AC4151"/>
    <w:rsid w:val="00AC4AF8"/>
    <w:rsid w:val="00AC5780"/>
    <w:rsid w:val="00AC68EE"/>
    <w:rsid w:val="00AD0D3B"/>
    <w:rsid w:val="00AD14BE"/>
    <w:rsid w:val="00AD3515"/>
    <w:rsid w:val="00AD59B8"/>
    <w:rsid w:val="00AD735C"/>
    <w:rsid w:val="00AD7F03"/>
    <w:rsid w:val="00AE0960"/>
    <w:rsid w:val="00AE1F04"/>
    <w:rsid w:val="00AE5735"/>
    <w:rsid w:val="00AE5C5C"/>
    <w:rsid w:val="00AE5CB0"/>
    <w:rsid w:val="00AF225F"/>
    <w:rsid w:val="00AF2281"/>
    <w:rsid w:val="00AF264F"/>
    <w:rsid w:val="00AF2F0A"/>
    <w:rsid w:val="00AF3A0C"/>
    <w:rsid w:val="00AF3CD1"/>
    <w:rsid w:val="00AF42D6"/>
    <w:rsid w:val="00AF45D5"/>
    <w:rsid w:val="00AF4741"/>
    <w:rsid w:val="00AF568E"/>
    <w:rsid w:val="00AF7019"/>
    <w:rsid w:val="00AF7893"/>
    <w:rsid w:val="00B00FE9"/>
    <w:rsid w:val="00B01482"/>
    <w:rsid w:val="00B01C85"/>
    <w:rsid w:val="00B01F7E"/>
    <w:rsid w:val="00B0354D"/>
    <w:rsid w:val="00B063D9"/>
    <w:rsid w:val="00B06544"/>
    <w:rsid w:val="00B0750D"/>
    <w:rsid w:val="00B07854"/>
    <w:rsid w:val="00B07CA7"/>
    <w:rsid w:val="00B108D6"/>
    <w:rsid w:val="00B10E9C"/>
    <w:rsid w:val="00B117A5"/>
    <w:rsid w:val="00B11F9C"/>
    <w:rsid w:val="00B12201"/>
    <w:rsid w:val="00B12F06"/>
    <w:rsid w:val="00B14215"/>
    <w:rsid w:val="00B1441A"/>
    <w:rsid w:val="00B16C2A"/>
    <w:rsid w:val="00B172E9"/>
    <w:rsid w:val="00B206C0"/>
    <w:rsid w:val="00B214C1"/>
    <w:rsid w:val="00B21D37"/>
    <w:rsid w:val="00B22356"/>
    <w:rsid w:val="00B229F9"/>
    <w:rsid w:val="00B23B73"/>
    <w:rsid w:val="00B24651"/>
    <w:rsid w:val="00B266F4"/>
    <w:rsid w:val="00B274B6"/>
    <w:rsid w:val="00B30764"/>
    <w:rsid w:val="00B3087D"/>
    <w:rsid w:val="00B30A5F"/>
    <w:rsid w:val="00B30EBE"/>
    <w:rsid w:val="00B31D15"/>
    <w:rsid w:val="00B32872"/>
    <w:rsid w:val="00B329BB"/>
    <w:rsid w:val="00B3425B"/>
    <w:rsid w:val="00B34794"/>
    <w:rsid w:val="00B34977"/>
    <w:rsid w:val="00B35152"/>
    <w:rsid w:val="00B358E2"/>
    <w:rsid w:val="00B368A7"/>
    <w:rsid w:val="00B36940"/>
    <w:rsid w:val="00B3728E"/>
    <w:rsid w:val="00B43AE7"/>
    <w:rsid w:val="00B46665"/>
    <w:rsid w:val="00B472A2"/>
    <w:rsid w:val="00B47579"/>
    <w:rsid w:val="00B47A9E"/>
    <w:rsid w:val="00B47E2F"/>
    <w:rsid w:val="00B500B8"/>
    <w:rsid w:val="00B50988"/>
    <w:rsid w:val="00B509AE"/>
    <w:rsid w:val="00B52783"/>
    <w:rsid w:val="00B52FA3"/>
    <w:rsid w:val="00B538B9"/>
    <w:rsid w:val="00B5414B"/>
    <w:rsid w:val="00B541BC"/>
    <w:rsid w:val="00B55F04"/>
    <w:rsid w:val="00B5611B"/>
    <w:rsid w:val="00B60421"/>
    <w:rsid w:val="00B613D0"/>
    <w:rsid w:val="00B61A87"/>
    <w:rsid w:val="00B62095"/>
    <w:rsid w:val="00B62ADC"/>
    <w:rsid w:val="00B634E2"/>
    <w:rsid w:val="00B63A1F"/>
    <w:rsid w:val="00B63C2F"/>
    <w:rsid w:val="00B6449A"/>
    <w:rsid w:val="00B6584A"/>
    <w:rsid w:val="00B673FE"/>
    <w:rsid w:val="00B6791E"/>
    <w:rsid w:val="00B70A0C"/>
    <w:rsid w:val="00B70BFB"/>
    <w:rsid w:val="00B70F20"/>
    <w:rsid w:val="00B713CC"/>
    <w:rsid w:val="00B71C05"/>
    <w:rsid w:val="00B73764"/>
    <w:rsid w:val="00B75080"/>
    <w:rsid w:val="00B756D7"/>
    <w:rsid w:val="00B75BA7"/>
    <w:rsid w:val="00B75CDD"/>
    <w:rsid w:val="00B76184"/>
    <w:rsid w:val="00B76EC0"/>
    <w:rsid w:val="00B80498"/>
    <w:rsid w:val="00B81EB6"/>
    <w:rsid w:val="00B82BCB"/>
    <w:rsid w:val="00B839CC"/>
    <w:rsid w:val="00B86443"/>
    <w:rsid w:val="00B868A4"/>
    <w:rsid w:val="00B872C8"/>
    <w:rsid w:val="00B90461"/>
    <w:rsid w:val="00B916F5"/>
    <w:rsid w:val="00B9207E"/>
    <w:rsid w:val="00B93B41"/>
    <w:rsid w:val="00B953A4"/>
    <w:rsid w:val="00B95493"/>
    <w:rsid w:val="00B95854"/>
    <w:rsid w:val="00B9618B"/>
    <w:rsid w:val="00B9760E"/>
    <w:rsid w:val="00BA0835"/>
    <w:rsid w:val="00BA1444"/>
    <w:rsid w:val="00BA1C0C"/>
    <w:rsid w:val="00BA4BBF"/>
    <w:rsid w:val="00BA53F5"/>
    <w:rsid w:val="00BA5C86"/>
    <w:rsid w:val="00BA6304"/>
    <w:rsid w:val="00BA63C2"/>
    <w:rsid w:val="00BB0243"/>
    <w:rsid w:val="00BB06A1"/>
    <w:rsid w:val="00BB107E"/>
    <w:rsid w:val="00BB10AA"/>
    <w:rsid w:val="00BB30B4"/>
    <w:rsid w:val="00BB4491"/>
    <w:rsid w:val="00BB5737"/>
    <w:rsid w:val="00BC366C"/>
    <w:rsid w:val="00BC3F11"/>
    <w:rsid w:val="00BC4539"/>
    <w:rsid w:val="00BC4CFE"/>
    <w:rsid w:val="00BC5568"/>
    <w:rsid w:val="00BC592F"/>
    <w:rsid w:val="00BC616B"/>
    <w:rsid w:val="00BC6A3E"/>
    <w:rsid w:val="00BC71A3"/>
    <w:rsid w:val="00BD11A5"/>
    <w:rsid w:val="00BD17A2"/>
    <w:rsid w:val="00BD244A"/>
    <w:rsid w:val="00BD27A3"/>
    <w:rsid w:val="00BD36F8"/>
    <w:rsid w:val="00BD5929"/>
    <w:rsid w:val="00BD724E"/>
    <w:rsid w:val="00BD7675"/>
    <w:rsid w:val="00BD7ECE"/>
    <w:rsid w:val="00BE0167"/>
    <w:rsid w:val="00BE04C4"/>
    <w:rsid w:val="00BE0D5D"/>
    <w:rsid w:val="00BE220B"/>
    <w:rsid w:val="00BE2BFB"/>
    <w:rsid w:val="00BE2C63"/>
    <w:rsid w:val="00BE4A67"/>
    <w:rsid w:val="00BE4F51"/>
    <w:rsid w:val="00BE555C"/>
    <w:rsid w:val="00BE59F3"/>
    <w:rsid w:val="00BE5DDB"/>
    <w:rsid w:val="00BE5E16"/>
    <w:rsid w:val="00BE6D46"/>
    <w:rsid w:val="00BE725F"/>
    <w:rsid w:val="00BE7C62"/>
    <w:rsid w:val="00BF02FA"/>
    <w:rsid w:val="00BF0BC8"/>
    <w:rsid w:val="00BF1650"/>
    <w:rsid w:val="00BF25BA"/>
    <w:rsid w:val="00BF2BDE"/>
    <w:rsid w:val="00BF2CEB"/>
    <w:rsid w:val="00BF3D67"/>
    <w:rsid w:val="00BF5828"/>
    <w:rsid w:val="00BF623D"/>
    <w:rsid w:val="00BF7157"/>
    <w:rsid w:val="00BF7D9D"/>
    <w:rsid w:val="00C01587"/>
    <w:rsid w:val="00C02141"/>
    <w:rsid w:val="00C027AB"/>
    <w:rsid w:val="00C0335A"/>
    <w:rsid w:val="00C03F76"/>
    <w:rsid w:val="00C05725"/>
    <w:rsid w:val="00C0634D"/>
    <w:rsid w:val="00C06C94"/>
    <w:rsid w:val="00C10B5F"/>
    <w:rsid w:val="00C11D4D"/>
    <w:rsid w:val="00C12A72"/>
    <w:rsid w:val="00C13892"/>
    <w:rsid w:val="00C13923"/>
    <w:rsid w:val="00C1569E"/>
    <w:rsid w:val="00C15A59"/>
    <w:rsid w:val="00C165CD"/>
    <w:rsid w:val="00C20ABE"/>
    <w:rsid w:val="00C224A4"/>
    <w:rsid w:val="00C22A1F"/>
    <w:rsid w:val="00C22B63"/>
    <w:rsid w:val="00C22D86"/>
    <w:rsid w:val="00C23098"/>
    <w:rsid w:val="00C23DDD"/>
    <w:rsid w:val="00C24370"/>
    <w:rsid w:val="00C2577B"/>
    <w:rsid w:val="00C264AE"/>
    <w:rsid w:val="00C27D4B"/>
    <w:rsid w:val="00C30929"/>
    <w:rsid w:val="00C3139D"/>
    <w:rsid w:val="00C32E1C"/>
    <w:rsid w:val="00C32EA2"/>
    <w:rsid w:val="00C36441"/>
    <w:rsid w:val="00C364E4"/>
    <w:rsid w:val="00C36E49"/>
    <w:rsid w:val="00C36FA1"/>
    <w:rsid w:val="00C3702D"/>
    <w:rsid w:val="00C3715C"/>
    <w:rsid w:val="00C43B88"/>
    <w:rsid w:val="00C4526F"/>
    <w:rsid w:val="00C474E3"/>
    <w:rsid w:val="00C505DA"/>
    <w:rsid w:val="00C50FAD"/>
    <w:rsid w:val="00C51031"/>
    <w:rsid w:val="00C5194A"/>
    <w:rsid w:val="00C521CD"/>
    <w:rsid w:val="00C53A2A"/>
    <w:rsid w:val="00C544BF"/>
    <w:rsid w:val="00C54979"/>
    <w:rsid w:val="00C55D01"/>
    <w:rsid w:val="00C56EF0"/>
    <w:rsid w:val="00C605C5"/>
    <w:rsid w:val="00C620CC"/>
    <w:rsid w:val="00C63B8B"/>
    <w:rsid w:val="00C648DB"/>
    <w:rsid w:val="00C64D3A"/>
    <w:rsid w:val="00C650B8"/>
    <w:rsid w:val="00C65CE4"/>
    <w:rsid w:val="00C6741F"/>
    <w:rsid w:val="00C67A1D"/>
    <w:rsid w:val="00C7002B"/>
    <w:rsid w:val="00C706A4"/>
    <w:rsid w:val="00C70F38"/>
    <w:rsid w:val="00C714F3"/>
    <w:rsid w:val="00C72431"/>
    <w:rsid w:val="00C72C02"/>
    <w:rsid w:val="00C72C84"/>
    <w:rsid w:val="00C758CA"/>
    <w:rsid w:val="00C76E97"/>
    <w:rsid w:val="00C80C05"/>
    <w:rsid w:val="00C815CC"/>
    <w:rsid w:val="00C817E7"/>
    <w:rsid w:val="00C8291A"/>
    <w:rsid w:val="00C833E6"/>
    <w:rsid w:val="00C837DC"/>
    <w:rsid w:val="00C84F3C"/>
    <w:rsid w:val="00C854C4"/>
    <w:rsid w:val="00C85CD9"/>
    <w:rsid w:val="00C85E2A"/>
    <w:rsid w:val="00C86700"/>
    <w:rsid w:val="00C878D5"/>
    <w:rsid w:val="00C9033B"/>
    <w:rsid w:val="00C90547"/>
    <w:rsid w:val="00C913A1"/>
    <w:rsid w:val="00C934CE"/>
    <w:rsid w:val="00C9389D"/>
    <w:rsid w:val="00C93A0B"/>
    <w:rsid w:val="00C94010"/>
    <w:rsid w:val="00C9439A"/>
    <w:rsid w:val="00C97203"/>
    <w:rsid w:val="00C979FA"/>
    <w:rsid w:val="00C97B13"/>
    <w:rsid w:val="00CA0554"/>
    <w:rsid w:val="00CA10F7"/>
    <w:rsid w:val="00CA2131"/>
    <w:rsid w:val="00CA48C1"/>
    <w:rsid w:val="00CA6DD7"/>
    <w:rsid w:val="00CB0DB3"/>
    <w:rsid w:val="00CB0E43"/>
    <w:rsid w:val="00CB1317"/>
    <w:rsid w:val="00CB16EF"/>
    <w:rsid w:val="00CB3014"/>
    <w:rsid w:val="00CB4B25"/>
    <w:rsid w:val="00CB75DC"/>
    <w:rsid w:val="00CB79EB"/>
    <w:rsid w:val="00CC04C7"/>
    <w:rsid w:val="00CC0A2D"/>
    <w:rsid w:val="00CC0E0E"/>
    <w:rsid w:val="00CC1723"/>
    <w:rsid w:val="00CC19EA"/>
    <w:rsid w:val="00CC1C96"/>
    <w:rsid w:val="00CC2D85"/>
    <w:rsid w:val="00CC44E0"/>
    <w:rsid w:val="00CC461A"/>
    <w:rsid w:val="00CC5CE5"/>
    <w:rsid w:val="00CC6A89"/>
    <w:rsid w:val="00CC6A99"/>
    <w:rsid w:val="00CD041F"/>
    <w:rsid w:val="00CD1297"/>
    <w:rsid w:val="00CD19CB"/>
    <w:rsid w:val="00CD3F26"/>
    <w:rsid w:val="00CE0144"/>
    <w:rsid w:val="00CE08AF"/>
    <w:rsid w:val="00CE0E86"/>
    <w:rsid w:val="00CE16D4"/>
    <w:rsid w:val="00CE173F"/>
    <w:rsid w:val="00CE1DFC"/>
    <w:rsid w:val="00CE3A53"/>
    <w:rsid w:val="00CE3B69"/>
    <w:rsid w:val="00CE3CAF"/>
    <w:rsid w:val="00CE3F23"/>
    <w:rsid w:val="00CE4C09"/>
    <w:rsid w:val="00CE52F3"/>
    <w:rsid w:val="00CE5937"/>
    <w:rsid w:val="00CE63DE"/>
    <w:rsid w:val="00CE6A54"/>
    <w:rsid w:val="00CE6C4A"/>
    <w:rsid w:val="00CE714E"/>
    <w:rsid w:val="00CE71C4"/>
    <w:rsid w:val="00CE7D81"/>
    <w:rsid w:val="00CF0110"/>
    <w:rsid w:val="00CF0D38"/>
    <w:rsid w:val="00CF1CD3"/>
    <w:rsid w:val="00CF1F55"/>
    <w:rsid w:val="00CF34C2"/>
    <w:rsid w:val="00CF3750"/>
    <w:rsid w:val="00CF387A"/>
    <w:rsid w:val="00CF5867"/>
    <w:rsid w:val="00CF5F0A"/>
    <w:rsid w:val="00D00900"/>
    <w:rsid w:val="00D00AA3"/>
    <w:rsid w:val="00D01641"/>
    <w:rsid w:val="00D0328D"/>
    <w:rsid w:val="00D03676"/>
    <w:rsid w:val="00D03FB3"/>
    <w:rsid w:val="00D04916"/>
    <w:rsid w:val="00D049E6"/>
    <w:rsid w:val="00D0504E"/>
    <w:rsid w:val="00D07164"/>
    <w:rsid w:val="00D07EAD"/>
    <w:rsid w:val="00D07F73"/>
    <w:rsid w:val="00D117D7"/>
    <w:rsid w:val="00D125EF"/>
    <w:rsid w:val="00D1386B"/>
    <w:rsid w:val="00D13C7D"/>
    <w:rsid w:val="00D1409D"/>
    <w:rsid w:val="00D14844"/>
    <w:rsid w:val="00D15EB5"/>
    <w:rsid w:val="00D16224"/>
    <w:rsid w:val="00D166DC"/>
    <w:rsid w:val="00D2041C"/>
    <w:rsid w:val="00D20EC0"/>
    <w:rsid w:val="00D21651"/>
    <w:rsid w:val="00D21B46"/>
    <w:rsid w:val="00D22E9D"/>
    <w:rsid w:val="00D240D0"/>
    <w:rsid w:val="00D2413D"/>
    <w:rsid w:val="00D24497"/>
    <w:rsid w:val="00D24CE7"/>
    <w:rsid w:val="00D25A5B"/>
    <w:rsid w:val="00D25ADE"/>
    <w:rsid w:val="00D309AC"/>
    <w:rsid w:val="00D326B1"/>
    <w:rsid w:val="00D339C2"/>
    <w:rsid w:val="00D3408E"/>
    <w:rsid w:val="00D34C18"/>
    <w:rsid w:val="00D35BDC"/>
    <w:rsid w:val="00D3703F"/>
    <w:rsid w:val="00D40315"/>
    <w:rsid w:val="00D4036A"/>
    <w:rsid w:val="00D40A36"/>
    <w:rsid w:val="00D41315"/>
    <w:rsid w:val="00D43297"/>
    <w:rsid w:val="00D436B1"/>
    <w:rsid w:val="00D4480A"/>
    <w:rsid w:val="00D44DB6"/>
    <w:rsid w:val="00D461C4"/>
    <w:rsid w:val="00D476EA"/>
    <w:rsid w:val="00D47C51"/>
    <w:rsid w:val="00D50119"/>
    <w:rsid w:val="00D5147B"/>
    <w:rsid w:val="00D51951"/>
    <w:rsid w:val="00D51D99"/>
    <w:rsid w:val="00D52CAC"/>
    <w:rsid w:val="00D52E15"/>
    <w:rsid w:val="00D536C3"/>
    <w:rsid w:val="00D551CC"/>
    <w:rsid w:val="00D55AD6"/>
    <w:rsid w:val="00D55CA3"/>
    <w:rsid w:val="00D5685C"/>
    <w:rsid w:val="00D5729E"/>
    <w:rsid w:val="00D57F8E"/>
    <w:rsid w:val="00D602AF"/>
    <w:rsid w:val="00D60714"/>
    <w:rsid w:val="00D6090E"/>
    <w:rsid w:val="00D612DD"/>
    <w:rsid w:val="00D61C99"/>
    <w:rsid w:val="00D61E4E"/>
    <w:rsid w:val="00D6257F"/>
    <w:rsid w:val="00D628D4"/>
    <w:rsid w:val="00D63DF8"/>
    <w:rsid w:val="00D65AAA"/>
    <w:rsid w:val="00D66B08"/>
    <w:rsid w:val="00D67118"/>
    <w:rsid w:val="00D67551"/>
    <w:rsid w:val="00D7014D"/>
    <w:rsid w:val="00D70CA6"/>
    <w:rsid w:val="00D71523"/>
    <w:rsid w:val="00D71569"/>
    <w:rsid w:val="00D7242E"/>
    <w:rsid w:val="00D737ED"/>
    <w:rsid w:val="00D753D5"/>
    <w:rsid w:val="00D75CF1"/>
    <w:rsid w:val="00D75CF5"/>
    <w:rsid w:val="00D76F2B"/>
    <w:rsid w:val="00D77707"/>
    <w:rsid w:val="00D77F0D"/>
    <w:rsid w:val="00D80035"/>
    <w:rsid w:val="00D8195F"/>
    <w:rsid w:val="00D82A43"/>
    <w:rsid w:val="00D82D58"/>
    <w:rsid w:val="00D837ED"/>
    <w:rsid w:val="00D83855"/>
    <w:rsid w:val="00D83ABE"/>
    <w:rsid w:val="00D851FD"/>
    <w:rsid w:val="00D852F4"/>
    <w:rsid w:val="00D85693"/>
    <w:rsid w:val="00D86838"/>
    <w:rsid w:val="00D86D49"/>
    <w:rsid w:val="00D87A7B"/>
    <w:rsid w:val="00D87CB2"/>
    <w:rsid w:val="00D9021E"/>
    <w:rsid w:val="00D905CE"/>
    <w:rsid w:val="00D91661"/>
    <w:rsid w:val="00D9411E"/>
    <w:rsid w:val="00D941E1"/>
    <w:rsid w:val="00D943EA"/>
    <w:rsid w:val="00D957CE"/>
    <w:rsid w:val="00D95EAE"/>
    <w:rsid w:val="00D96523"/>
    <w:rsid w:val="00D974ED"/>
    <w:rsid w:val="00DA04BA"/>
    <w:rsid w:val="00DA0911"/>
    <w:rsid w:val="00DA1921"/>
    <w:rsid w:val="00DA19D1"/>
    <w:rsid w:val="00DA1C84"/>
    <w:rsid w:val="00DA1CF5"/>
    <w:rsid w:val="00DA2388"/>
    <w:rsid w:val="00DA2F32"/>
    <w:rsid w:val="00DA3618"/>
    <w:rsid w:val="00DA3CF2"/>
    <w:rsid w:val="00DA3D1A"/>
    <w:rsid w:val="00DA56B6"/>
    <w:rsid w:val="00DA6B2C"/>
    <w:rsid w:val="00DA722B"/>
    <w:rsid w:val="00DA74A3"/>
    <w:rsid w:val="00DA7B5D"/>
    <w:rsid w:val="00DB0768"/>
    <w:rsid w:val="00DB1867"/>
    <w:rsid w:val="00DB1BCE"/>
    <w:rsid w:val="00DB24F1"/>
    <w:rsid w:val="00DB2770"/>
    <w:rsid w:val="00DB491C"/>
    <w:rsid w:val="00DB5510"/>
    <w:rsid w:val="00DB692F"/>
    <w:rsid w:val="00DB74B9"/>
    <w:rsid w:val="00DB7CB3"/>
    <w:rsid w:val="00DC0411"/>
    <w:rsid w:val="00DC17B6"/>
    <w:rsid w:val="00DC24E2"/>
    <w:rsid w:val="00DC2C0C"/>
    <w:rsid w:val="00DC628C"/>
    <w:rsid w:val="00DC650A"/>
    <w:rsid w:val="00DC7539"/>
    <w:rsid w:val="00DD09DD"/>
    <w:rsid w:val="00DD0AE5"/>
    <w:rsid w:val="00DD17C1"/>
    <w:rsid w:val="00DD29B8"/>
    <w:rsid w:val="00DD3AE1"/>
    <w:rsid w:val="00DD4CE3"/>
    <w:rsid w:val="00DE18AA"/>
    <w:rsid w:val="00DE2967"/>
    <w:rsid w:val="00DE3432"/>
    <w:rsid w:val="00DE42BC"/>
    <w:rsid w:val="00DE4C6A"/>
    <w:rsid w:val="00DE68C7"/>
    <w:rsid w:val="00DE6BC3"/>
    <w:rsid w:val="00DE713E"/>
    <w:rsid w:val="00DE7932"/>
    <w:rsid w:val="00DF0B35"/>
    <w:rsid w:val="00DF0BF4"/>
    <w:rsid w:val="00DF246A"/>
    <w:rsid w:val="00DF28D2"/>
    <w:rsid w:val="00DF336E"/>
    <w:rsid w:val="00DF3522"/>
    <w:rsid w:val="00DF4879"/>
    <w:rsid w:val="00DF48FD"/>
    <w:rsid w:val="00DF4D8B"/>
    <w:rsid w:val="00DF4F96"/>
    <w:rsid w:val="00DF58E7"/>
    <w:rsid w:val="00DF5BB3"/>
    <w:rsid w:val="00E00656"/>
    <w:rsid w:val="00E00FDD"/>
    <w:rsid w:val="00E014A1"/>
    <w:rsid w:val="00E01891"/>
    <w:rsid w:val="00E02087"/>
    <w:rsid w:val="00E0212B"/>
    <w:rsid w:val="00E02511"/>
    <w:rsid w:val="00E02585"/>
    <w:rsid w:val="00E0402A"/>
    <w:rsid w:val="00E05C99"/>
    <w:rsid w:val="00E05F77"/>
    <w:rsid w:val="00E07340"/>
    <w:rsid w:val="00E102E6"/>
    <w:rsid w:val="00E10564"/>
    <w:rsid w:val="00E10C88"/>
    <w:rsid w:val="00E11876"/>
    <w:rsid w:val="00E1291B"/>
    <w:rsid w:val="00E161A8"/>
    <w:rsid w:val="00E17527"/>
    <w:rsid w:val="00E2084A"/>
    <w:rsid w:val="00E20A80"/>
    <w:rsid w:val="00E23CBB"/>
    <w:rsid w:val="00E243FF"/>
    <w:rsid w:val="00E24DC5"/>
    <w:rsid w:val="00E26967"/>
    <w:rsid w:val="00E2755B"/>
    <w:rsid w:val="00E278D8"/>
    <w:rsid w:val="00E30A53"/>
    <w:rsid w:val="00E311F0"/>
    <w:rsid w:val="00E3136E"/>
    <w:rsid w:val="00E315BC"/>
    <w:rsid w:val="00E315FC"/>
    <w:rsid w:val="00E32B49"/>
    <w:rsid w:val="00E32DE6"/>
    <w:rsid w:val="00E32F7C"/>
    <w:rsid w:val="00E33263"/>
    <w:rsid w:val="00E33631"/>
    <w:rsid w:val="00E36E8C"/>
    <w:rsid w:val="00E37189"/>
    <w:rsid w:val="00E37B59"/>
    <w:rsid w:val="00E401E6"/>
    <w:rsid w:val="00E406CB"/>
    <w:rsid w:val="00E41501"/>
    <w:rsid w:val="00E41C74"/>
    <w:rsid w:val="00E41F83"/>
    <w:rsid w:val="00E423F8"/>
    <w:rsid w:val="00E42EC9"/>
    <w:rsid w:val="00E43F85"/>
    <w:rsid w:val="00E43FBB"/>
    <w:rsid w:val="00E456C9"/>
    <w:rsid w:val="00E459D1"/>
    <w:rsid w:val="00E473DC"/>
    <w:rsid w:val="00E47FF5"/>
    <w:rsid w:val="00E508CE"/>
    <w:rsid w:val="00E5123B"/>
    <w:rsid w:val="00E51E5E"/>
    <w:rsid w:val="00E52728"/>
    <w:rsid w:val="00E529D2"/>
    <w:rsid w:val="00E53438"/>
    <w:rsid w:val="00E5356E"/>
    <w:rsid w:val="00E5419A"/>
    <w:rsid w:val="00E556E3"/>
    <w:rsid w:val="00E5684A"/>
    <w:rsid w:val="00E56902"/>
    <w:rsid w:val="00E56B64"/>
    <w:rsid w:val="00E56D7A"/>
    <w:rsid w:val="00E5797F"/>
    <w:rsid w:val="00E60617"/>
    <w:rsid w:val="00E6071E"/>
    <w:rsid w:val="00E60B5A"/>
    <w:rsid w:val="00E6162A"/>
    <w:rsid w:val="00E61EC6"/>
    <w:rsid w:val="00E61F37"/>
    <w:rsid w:val="00E622BD"/>
    <w:rsid w:val="00E62AD2"/>
    <w:rsid w:val="00E62CE1"/>
    <w:rsid w:val="00E63EE6"/>
    <w:rsid w:val="00E646D2"/>
    <w:rsid w:val="00E65165"/>
    <w:rsid w:val="00E65EBE"/>
    <w:rsid w:val="00E66291"/>
    <w:rsid w:val="00E70838"/>
    <w:rsid w:val="00E70A3F"/>
    <w:rsid w:val="00E71134"/>
    <w:rsid w:val="00E71D51"/>
    <w:rsid w:val="00E720A4"/>
    <w:rsid w:val="00E725FC"/>
    <w:rsid w:val="00E72E2D"/>
    <w:rsid w:val="00E742EA"/>
    <w:rsid w:val="00E744AF"/>
    <w:rsid w:val="00E74827"/>
    <w:rsid w:val="00E77066"/>
    <w:rsid w:val="00E77F07"/>
    <w:rsid w:val="00E80A86"/>
    <w:rsid w:val="00E8412C"/>
    <w:rsid w:val="00E8538C"/>
    <w:rsid w:val="00E85FB5"/>
    <w:rsid w:val="00E869FA"/>
    <w:rsid w:val="00E86FDE"/>
    <w:rsid w:val="00E87208"/>
    <w:rsid w:val="00E87524"/>
    <w:rsid w:val="00E87C24"/>
    <w:rsid w:val="00E87C3C"/>
    <w:rsid w:val="00E90FC8"/>
    <w:rsid w:val="00E948BE"/>
    <w:rsid w:val="00E9657C"/>
    <w:rsid w:val="00E97279"/>
    <w:rsid w:val="00EA0D1C"/>
    <w:rsid w:val="00EA0D9B"/>
    <w:rsid w:val="00EA2243"/>
    <w:rsid w:val="00EA36C6"/>
    <w:rsid w:val="00EA372A"/>
    <w:rsid w:val="00EA3876"/>
    <w:rsid w:val="00EA4932"/>
    <w:rsid w:val="00EA49D8"/>
    <w:rsid w:val="00EA621A"/>
    <w:rsid w:val="00EB007B"/>
    <w:rsid w:val="00EB02C6"/>
    <w:rsid w:val="00EB0776"/>
    <w:rsid w:val="00EB0DDA"/>
    <w:rsid w:val="00EB1746"/>
    <w:rsid w:val="00EB19C2"/>
    <w:rsid w:val="00EB33A9"/>
    <w:rsid w:val="00EB52B4"/>
    <w:rsid w:val="00EB6123"/>
    <w:rsid w:val="00EC055E"/>
    <w:rsid w:val="00EC05EF"/>
    <w:rsid w:val="00EC1CCD"/>
    <w:rsid w:val="00EC257A"/>
    <w:rsid w:val="00EC3010"/>
    <w:rsid w:val="00EC30F9"/>
    <w:rsid w:val="00EC42EF"/>
    <w:rsid w:val="00EC48AF"/>
    <w:rsid w:val="00EC6635"/>
    <w:rsid w:val="00EC6AA1"/>
    <w:rsid w:val="00EC7864"/>
    <w:rsid w:val="00EC7FFD"/>
    <w:rsid w:val="00ED0FA6"/>
    <w:rsid w:val="00ED1C31"/>
    <w:rsid w:val="00ED26CB"/>
    <w:rsid w:val="00ED2981"/>
    <w:rsid w:val="00ED3B1D"/>
    <w:rsid w:val="00ED43C7"/>
    <w:rsid w:val="00ED4B94"/>
    <w:rsid w:val="00ED55B8"/>
    <w:rsid w:val="00ED56A7"/>
    <w:rsid w:val="00ED5725"/>
    <w:rsid w:val="00ED7031"/>
    <w:rsid w:val="00ED7592"/>
    <w:rsid w:val="00EE2358"/>
    <w:rsid w:val="00EE3060"/>
    <w:rsid w:val="00EE33F2"/>
    <w:rsid w:val="00EE378D"/>
    <w:rsid w:val="00EE37A9"/>
    <w:rsid w:val="00EE4315"/>
    <w:rsid w:val="00EE44CD"/>
    <w:rsid w:val="00EE740D"/>
    <w:rsid w:val="00EE7657"/>
    <w:rsid w:val="00EF00FD"/>
    <w:rsid w:val="00EF0316"/>
    <w:rsid w:val="00EF0731"/>
    <w:rsid w:val="00EF1053"/>
    <w:rsid w:val="00EF229F"/>
    <w:rsid w:val="00EF5580"/>
    <w:rsid w:val="00EF5D2A"/>
    <w:rsid w:val="00EF6925"/>
    <w:rsid w:val="00F01F3E"/>
    <w:rsid w:val="00F02916"/>
    <w:rsid w:val="00F02F01"/>
    <w:rsid w:val="00F0328D"/>
    <w:rsid w:val="00F03A2A"/>
    <w:rsid w:val="00F042ED"/>
    <w:rsid w:val="00F04354"/>
    <w:rsid w:val="00F04AE3"/>
    <w:rsid w:val="00F052AB"/>
    <w:rsid w:val="00F053F0"/>
    <w:rsid w:val="00F05DFB"/>
    <w:rsid w:val="00F06812"/>
    <w:rsid w:val="00F0728F"/>
    <w:rsid w:val="00F07BF8"/>
    <w:rsid w:val="00F10374"/>
    <w:rsid w:val="00F11577"/>
    <w:rsid w:val="00F12118"/>
    <w:rsid w:val="00F12F17"/>
    <w:rsid w:val="00F15DA6"/>
    <w:rsid w:val="00F16832"/>
    <w:rsid w:val="00F208B5"/>
    <w:rsid w:val="00F2112A"/>
    <w:rsid w:val="00F21599"/>
    <w:rsid w:val="00F21CDC"/>
    <w:rsid w:val="00F2214B"/>
    <w:rsid w:val="00F233FC"/>
    <w:rsid w:val="00F23CB8"/>
    <w:rsid w:val="00F241BF"/>
    <w:rsid w:val="00F26ED3"/>
    <w:rsid w:val="00F276A8"/>
    <w:rsid w:val="00F27FB3"/>
    <w:rsid w:val="00F305C6"/>
    <w:rsid w:val="00F31FCA"/>
    <w:rsid w:val="00F32E77"/>
    <w:rsid w:val="00F34196"/>
    <w:rsid w:val="00F34A8F"/>
    <w:rsid w:val="00F34D31"/>
    <w:rsid w:val="00F35997"/>
    <w:rsid w:val="00F35D26"/>
    <w:rsid w:val="00F410DF"/>
    <w:rsid w:val="00F41BF5"/>
    <w:rsid w:val="00F420C2"/>
    <w:rsid w:val="00F4231A"/>
    <w:rsid w:val="00F4264E"/>
    <w:rsid w:val="00F4587D"/>
    <w:rsid w:val="00F47EB1"/>
    <w:rsid w:val="00F52B06"/>
    <w:rsid w:val="00F52D55"/>
    <w:rsid w:val="00F53F9F"/>
    <w:rsid w:val="00F555A4"/>
    <w:rsid w:val="00F57933"/>
    <w:rsid w:val="00F60402"/>
    <w:rsid w:val="00F608EC"/>
    <w:rsid w:val="00F60F20"/>
    <w:rsid w:val="00F619C1"/>
    <w:rsid w:val="00F62139"/>
    <w:rsid w:val="00F62394"/>
    <w:rsid w:val="00F62983"/>
    <w:rsid w:val="00F62B7A"/>
    <w:rsid w:val="00F6397D"/>
    <w:rsid w:val="00F6548A"/>
    <w:rsid w:val="00F678A4"/>
    <w:rsid w:val="00F70EDD"/>
    <w:rsid w:val="00F71205"/>
    <w:rsid w:val="00F71D6C"/>
    <w:rsid w:val="00F71FF2"/>
    <w:rsid w:val="00F7293E"/>
    <w:rsid w:val="00F74261"/>
    <w:rsid w:val="00F74318"/>
    <w:rsid w:val="00F74661"/>
    <w:rsid w:val="00F74B2F"/>
    <w:rsid w:val="00F74C25"/>
    <w:rsid w:val="00F753B3"/>
    <w:rsid w:val="00F753D6"/>
    <w:rsid w:val="00F76211"/>
    <w:rsid w:val="00F76370"/>
    <w:rsid w:val="00F76650"/>
    <w:rsid w:val="00F7697B"/>
    <w:rsid w:val="00F76AAE"/>
    <w:rsid w:val="00F77C53"/>
    <w:rsid w:val="00F80F84"/>
    <w:rsid w:val="00F82781"/>
    <w:rsid w:val="00F83B6E"/>
    <w:rsid w:val="00F873ED"/>
    <w:rsid w:val="00F87932"/>
    <w:rsid w:val="00F9096C"/>
    <w:rsid w:val="00F9187B"/>
    <w:rsid w:val="00F92385"/>
    <w:rsid w:val="00F93157"/>
    <w:rsid w:val="00F949C7"/>
    <w:rsid w:val="00F964BB"/>
    <w:rsid w:val="00F96C41"/>
    <w:rsid w:val="00F97F6A"/>
    <w:rsid w:val="00FA06F0"/>
    <w:rsid w:val="00FA0D74"/>
    <w:rsid w:val="00FA0F18"/>
    <w:rsid w:val="00FA1606"/>
    <w:rsid w:val="00FA1B4F"/>
    <w:rsid w:val="00FA1D7A"/>
    <w:rsid w:val="00FA2E32"/>
    <w:rsid w:val="00FA3B69"/>
    <w:rsid w:val="00FA3ECD"/>
    <w:rsid w:val="00FA7A06"/>
    <w:rsid w:val="00FB1763"/>
    <w:rsid w:val="00FB1DE1"/>
    <w:rsid w:val="00FB2283"/>
    <w:rsid w:val="00FB2366"/>
    <w:rsid w:val="00FB29C6"/>
    <w:rsid w:val="00FB2A5B"/>
    <w:rsid w:val="00FB2F38"/>
    <w:rsid w:val="00FB45BF"/>
    <w:rsid w:val="00FB4646"/>
    <w:rsid w:val="00FB4CE6"/>
    <w:rsid w:val="00FB61D9"/>
    <w:rsid w:val="00FB68A2"/>
    <w:rsid w:val="00FC0387"/>
    <w:rsid w:val="00FC0A57"/>
    <w:rsid w:val="00FC1AB9"/>
    <w:rsid w:val="00FC2514"/>
    <w:rsid w:val="00FC3711"/>
    <w:rsid w:val="00FC388E"/>
    <w:rsid w:val="00FC47F9"/>
    <w:rsid w:val="00FC4827"/>
    <w:rsid w:val="00FC5318"/>
    <w:rsid w:val="00FC6A12"/>
    <w:rsid w:val="00FC6CDC"/>
    <w:rsid w:val="00FC76F2"/>
    <w:rsid w:val="00FD0B48"/>
    <w:rsid w:val="00FD1167"/>
    <w:rsid w:val="00FD1DC7"/>
    <w:rsid w:val="00FD3430"/>
    <w:rsid w:val="00FD3DD0"/>
    <w:rsid w:val="00FD5106"/>
    <w:rsid w:val="00FD5D50"/>
    <w:rsid w:val="00FD6C76"/>
    <w:rsid w:val="00FD6D9B"/>
    <w:rsid w:val="00FD6F8A"/>
    <w:rsid w:val="00FD7AB7"/>
    <w:rsid w:val="00FE0D08"/>
    <w:rsid w:val="00FE1D96"/>
    <w:rsid w:val="00FE1E8F"/>
    <w:rsid w:val="00FE2148"/>
    <w:rsid w:val="00FE2298"/>
    <w:rsid w:val="00FE2351"/>
    <w:rsid w:val="00FE262B"/>
    <w:rsid w:val="00FE3062"/>
    <w:rsid w:val="00FE337D"/>
    <w:rsid w:val="00FE3A5E"/>
    <w:rsid w:val="00FE52F5"/>
    <w:rsid w:val="00FE5580"/>
    <w:rsid w:val="00FE5B33"/>
    <w:rsid w:val="00FE616A"/>
    <w:rsid w:val="00FE7148"/>
    <w:rsid w:val="00FE724F"/>
    <w:rsid w:val="00FF110C"/>
    <w:rsid w:val="00FF1DC0"/>
    <w:rsid w:val="00FF24FB"/>
    <w:rsid w:val="00FF31B2"/>
    <w:rsid w:val="00FF3899"/>
    <w:rsid w:val="00FF40C5"/>
    <w:rsid w:val="00FF49EC"/>
    <w:rsid w:val="00FF4E22"/>
    <w:rsid w:val="00FF4FFE"/>
    <w:rsid w:val="00FF5E2A"/>
    <w:rsid w:val="00FF69DC"/>
    <w:rsid w:val="018058F2"/>
    <w:rsid w:val="05B9EF88"/>
    <w:rsid w:val="075060DF"/>
    <w:rsid w:val="0CD7D126"/>
    <w:rsid w:val="0E9A028B"/>
    <w:rsid w:val="127A86CB"/>
    <w:rsid w:val="150755E4"/>
    <w:rsid w:val="18CC679C"/>
    <w:rsid w:val="19923CBC"/>
    <w:rsid w:val="1B26B9C3"/>
    <w:rsid w:val="1BABDE24"/>
    <w:rsid w:val="1BFE1C55"/>
    <w:rsid w:val="1E54DF03"/>
    <w:rsid w:val="1EEE7575"/>
    <w:rsid w:val="24C43B79"/>
    <w:rsid w:val="29B2433F"/>
    <w:rsid w:val="2AA4723E"/>
    <w:rsid w:val="31A7F3F2"/>
    <w:rsid w:val="32B2865A"/>
    <w:rsid w:val="35C47C20"/>
    <w:rsid w:val="394D81DF"/>
    <w:rsid w:val="39D5CCCB"/>
    <w:rsid w:val="3CB5B68F"/>
    <w:rsid w:val="3CCF3210"/>
    <w:rsid w:val="3E535A08"/>
    <w:rsid w:val="3FA20DC3"/>
    <w:rsid w:val="45EC7F4A"/>
    <w:rsid w:val="4BB4DFD1"/>
    <w:rsid w:val="4DBC3D02"/>
    <w:rsid w:val="50ABCFD0"/>
    <w:rsid w:val="50DC562B"/>
    <w:rsid w:val="53C74655"/>
    <w:rsid w:val="549823A8"/>
    <w:rsid w:val="551237BA"/>
    <w:rsid w:val="57B9167A"/>
    <w:rsid w:val="5954AC37"/>
    <w:rsid w:val="5A18A74A"/>
    <w:rsid w:val="5B6A59AE"/>
    <w:rsid w:val="5F3A57C8"/>
    <w:rsid w:val="5F7115FE"/>
    <w:rsid w:val="6388AB90"/>
    <w:rsid w:val="68C0645E"/>
    <w:rsid w:val="68CF5E62"/>
    <w:rsid w:val="695F4F15"/>
    <w:rsid w:val="69D2D8D3"/>
    <w:rsid w:val="6B1DDCF7"/>
    <w:rsid w:val="6B8CED4D"/>
    <w:rsid w:val="6E46830E"/>
    <w:rsid w:val="6E69DE02"/>
    <w:rsid w:val="70BB7B88"/>
    <w:rsid w:val="727AC197"/>
    <w:rsid w:val="74096435"/>
    <w:rsid w:val="76015BC0"/>
    <w:rsid w:val="7B2D2A88"/>
    <w:rsid w:val="7BECD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15018"/>
  <w15:chartTrackingRefBased/>
  <w15:docId w15:val="{41E43057-AD5B-41F0-8E0B-427A8143ADE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22"/>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1E5E"/>
    <w:pPr>
      <w:spacing w:after="0" w:line="360" w:lineRule="auto"/>
      <w:ind w:firstLine="720"/>
    </w:pPr>
    <w:rPr>
      <w:rFonts w:ascii="Book Antiqua" w:hAnsi="Book Antiqua"/>
      <w:sz w:val="26"/>
    </w:rPr>
  </w:style>
  <w:style w:type="paragraph" w:styleId="Heading1">
    <w:name w:val="heading 1"/>
    <w:basedOn w:val="Dummy"/>
    <w:next w:val="Standard"/>
    <w:link w:val="Heading1Char"/>
    <w:qFormat/>
    <w:rsid w:val="000E270A"/>
    <w:pPr>
      <w:numPr>
        <w:numId w:val="7"/>
      </w:numPr>
      <w:ind w:right="2160"/>
    </w:pPr>
    <w:rPr>
      <w:rFonts w:eastAsiaTheme="majorEastAsia" w:cstheme="majorBidi"/>
      <w:szCs w:val="32"/>
    </w:rPr>
  </w:style>
  <w:style w:type="paragraph" w:styleId="Heading2">
    <w:name w:val="heading 2"/>
    <w:basedOn w:val="Dummy"/>
    <w:next w:val="Standard"/>
    <w:link w:val="Heading2Char"/>
    <w:qFormat/>
    <w:rsid w:val="000E270A"/>
    <w:pPr>
      <w:numPr>
        <w:ilvl w:val="1"/>
        <w:numId w:val="7"/>
      </w:numPr>
      <w:ind w:right="2160"/>
      <w:outlineLvl w:val="1"/>
    </w:pPr>
  </w:style>
  <w:style w:type="paragraph" w:styleId="Heading3">
    <w:name w:val="heading 3"/>
    <w:basedOn w:val="Dummy"/>
    <w:next w:val="Standard"/>
    <w:link w:val="Heading3Char"/>
    <w:qFormat/>
    <w:rsid w:val="000E270A"/>
    <w:pPr>
      <w:numPr>
        <w:ilvl w:val="2"/>
        <w:numId w:val="7"/>
      </w:numPr>
      <w:ind w:right="2160"/>
      <w:outlineLvl w:val="2"/>
    </w:pPr>
    <w:rPr>
      <w:rFonts w:eastAsiaTheme="majorEastAsia" w:cstheme="majorBidi"/>
      <w:szCs w:val="24"/>
    </w:rPr>
  </w:style>
  <w:style w:type="paragraph" w:styleId="Heading4">
    <w:name w:val="heading 4"/>
    <w:basedOn w:val="Dummy"/>
    <w:next w:val="Standard"/>
    <w:link w:val="Heading4Char"/>
    <w:uiPriority w:val="9"/>
    <w:qFormat/>
    <w:rsid w:val="000E270A"/>
    <w:pPr>
      <w:numPr>
        <w:ilvl w:val="3"/>
        <w:numId w:val="7"/>
      </w:numPr>
      <w:ind w:right="2160"/>
      <w:outlineLvl w:val="3"/>
    </w:pPr>
    <w:rPr>
      <w:rFonts w:eastAsiaTheme="majorEastAsia" w:cstheme="majorBidi"/>
      <w:iCs/>
    </w:rPr>
  </w:style>
  <w:style w:type="paragraph" w:styleId="Heading5">
    <w:name w:val="heading 5"/>
    <w:basedOn w:val="Dummy"/>
    <w:next w:val="Standard"/>
    <w:link w:val="Heading5Char"/>
    <w:uiPriority w:val="9"/>
    <w:qFormat/>
    <w:rsid w:val="000E270A"/>
    <w:pPr>
      <w:numPr>
        <w:ilvl w:val="4"/>
        <w:numId w:val="7"/>
      </w:numPr>
      <w:ind w:right="2160"/>
      <w:outlineLvl w:val="4"/>
    </w:pPr>
    <w:rPr>
      <w:rFonts w:eastAsiaTheme="majorEastAsia" w:cstheme="majorBidi"/>
    </w:rPr>
  </w:style>
  <w:style w:type="paragraph" w:styleId="Heading6">
    <w:name w:val="heading 6"/>
    <w:basedOn w:val="Dummy"/>
    <w:next w:val="Standard"/>
    <w:link w:val="Heading6Char"/>
    <w:qFormat/>
    <w:rsid w:val="000E270A"/>
    <w:pPr>
      <w:numPr>
        <w:ilvl w:val="5"/>
        <w:numId w:val="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rsid w:val="00287BC5"/>
    <w:rPr>
      <w:rFonts w:ascii="Arial" w:hAnsi="Arial" w:cs="Arial"/>
      <w:b/>
      <w:sz w:val="26"/>
      <w:szCs w:val="26"/>
    </w:rPr>
  </w:style>
  <w:style w:type="character" w:customStyle="1" w:styleId="Heading3Char">
    <w:name w:val="Heading 3 Char"/>
    <w:basedOn w:val="DefaultParagraphFont"/>
    <w:link w:val="Heading3"/>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9"/>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9"/>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rsid w:val="00B01F7E"/>
    <w:pPr>
      <w:spacing w:after="120" w:line="240" w:lineRule="auto"/>
      <w:ind w:firstLine="0"/>
    </w:pPr>
    <w:rPr>
      <w:sz w:val="22"/>
      <w:szCs w:val="20"/>
    </w:rPr>
  </w:style>
  <w:style w:type="character" w:customStyle="1" w:styleId="FootnoteTextChar">
    <w:name w:val="Footnote Text Char"/>
    <w:basedOn w:val="DefaultParagraphFont"/>
    <w:link w:val="FootnoteText"/>
    <w:rsid w:val="007657C1"/>
    <w:rPr>
      <w:rFonts w:ascii="Book Antiqua" w:hAnsi="Book Antiqua"/>
      <w:szCs w:val="20"/>
    </w:rPr>
  </w:style>
  <w:style w:type="character" w:styleId="FootnoteReference">
    <w:name w:val="footnote reference"/>
    <w:basedOn w:val="DefaultParagraphFont"/>
    <w:unhideWhenUsed/>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qFormat/>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qFormat/>
    <w:rsid w:val="000E270A"/>
    <w:pPr>
      <w:numPr>
        <w:ilvl w:val="7"/>
        <w:numId w:val="7"/>
      </w:numPr>
      <w:spacing w:after="120" w:line="240" w:lineRule="auto"/>
    </w:pPr>
  </w:style>
  <w:style w:type="paragraph" w:styleId="ListBullet">
    <w:name w:val="List Bullet"/>
    <w:basedOn w:val="Standard"/>
    <w:qFormat/>
    <w:rsid w:val="001F2819"/>
    <w:pPr>
      <w:numPr>
        <w:numId w:val="6"/>
      </w:numPr>
      <w:spacing w:after="120" w:line="240" w:lineRule="auto"/>
    </w:pPr>
  </w:style>
  <w:style w:type="character" w:customStyle="1" w:styleId="Heading6Char">
    <w:name w:val="Heading 6 Char"/>
    <w:basedOn w:val="DefaultParagraphFont"/>
    <w:link w:val="Heading6"/>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rsid w:val="000E270A"/>
    <w:pPr>
      <w:numPr>
        <w:ilvl w:val="6"/>
        <w:numId w:val="7"/>
      </w:numPr>
      <w:spacing w:after="120" w:line="240" w:lineRule="auto"/>
    </w:pPr>
  </w:style>
  <w:style w:type="paragraph" w:customStyle="1" w:styleId="main0">
    <w:name w:val="main"/>
    <w:basedOn w:val="Normal"/>
    <w:rsid w:val="007253C8"/>
    <w:pPr>
      <w:jc w:val="center"/>
    </w:pPr>
    <w:rPr>
      <w:rFonts w:ascii="Arial" w:hAnsi="Arial"/>
      <w:b/>
    </w:rPr>
  </w:style>
  <w:style w:type="paragraph" w:customStyle="1" w:styleId="standard0">
    <w:name w:val="standard"/>
    <w:basedOn w:val="Normal"/>
    <w:link w:val="standardChar"/>
    <w:rsid w:val="007253C8"/>
  </w:style>
  <w:style w:type="paragraph" w:styleId="Subtitle">
    <w:name w:val="Subtitle"/>
    <w:basedOn w:val="Normal"/>
    <w:link w:val="SubtitleChar"/>
    <w:qFormat/>
    <w:rsid w:val="007253C8"/>
    <w:pPr>
      <w:spacing w:after="60"/>
      <w:jc w:val="center"/>
    </w:pPr>
    <w:rPr>
      <w:rFonts w:ascii="Arial" w:hAnsi="Arial"/>
    </w:rPr>
  </w:style>
  <w:style w:type="character" w:customStyle="1" w:styleId="SubtitleChar">
    <w:name w:val="Subtitle Char"/>
    <w:basedOn w:val="DefaultParagraphFont"/>
    <w:link w:val="Subtitle"/>
    <w:rsid w:val="007253C8"/>
    <w:rPr>
      <w:rFonts w:ascii="Arial" w:hAnsi="Arial"/>
      <w:sz w:val="26"/>
    </w:rPr>
  </w:style>
  <w:style w:type="paragraph" w:customStyle="1" w:styleId="Quote1">
    <w:name w:val="Quote1"/>
    <w:basedOn w:val="standard0"/>
    <w:next w:val="standard0"/>
    <w:link w:val="quoteChar"/>
    <w:rsid w:val="007253C8"/>
    <w:pPr>
      <w:spacing w:before="120" w:after="240" w:line="240" w:lineRule="auto"/>
      <w:ind w:left="720" w:right="720" w:firstLine="0"/>
    </w:pPr>
  </w:style>
  <w:style w:type="paragraph" w:customStyle="1" w:styleId="letter">
    <w:name w:val="letter"/>
    <w:basedOn w:val="num1"/>
    <w:rsid w:val="007253C8"/>
    <w:pPr>
      <w:numPr>
        <w:numId w:val="0"/>
      </w:numPr>
      <w:spacing w:after="120" w:line="240" w:lineRule="auto"/>
    </w:pPr>
  </w:style>
  <w:style w:type="paragraph" w:customStyle="1" w:styleId="mainex0">
    <w:name w:val="mainex"/>
    <w:basedOn w:val="main0"/>
    <w:rsid w:val="007253C8"/>
    <w:rPr>
      <w:spacing w:val="120"/>
    </w:rPr>
  </w:style>
  <w:style w:type="paragraph" w:customStyle="1" w:styleId="num1">
    <w:name w:val="num1"/>
    <w:basedOn w:val="Normal"/>
    <w:rsid w:val="007253C8"/>
    <w:pPr>
      <w:numPr>
        <w:numId w:val="8"/>
      </w:numPr>
      <w:tabs>
        <w:tab w:val="left" w:pos="-720"/>
      </w:tabs>
      <w:suppressAutoHyphens/>
    </w:pPr>
  </w:style>
  <w:style w:type="paragraph" w:customStyle="1" w:styleId="num2">
    <w:name w:val="num2"/>
    <w:basedOn w:val="num1"/>
    <w:rsid w:val="007253C8"/>
    <w:pPr>
      <w:ind w:firstLine="270"/>
    </w:pPr>
  </w:style>
  <w:style w:type="character" w:styleId="PageNumber">
    <w:name w:val="page number"/>
    <w:basedOn w:val="DefaultParagraphFont"/>
    <w:rsid w:val="007253C8"/>
  </w:style>
  <w:style w:type="paragraph" w:styleId="BlockText">
    <w:name w:val="Block Text"/>
    <w:basedOn w:val="Normal"/>
    <w:rsid w:val="007253C8"/>
    <w:pPr>
      <w:tabs>
        <w:tab w:val="left" w:pos="0"/>
      </w:tabs>
      <w:ind w:left="1440" w:right="1440"/>
    </w:pPr>
    <w:rPr>
      <w:sz w:val="24"/>
    </w:rPr>
  </w:style>
  <w:style w:type="paragraph" w:customStyle="1" w:styleId="sub1">
    <w:name w:val="sub1"/>
    <w:basedOn w:val="Normal"/>
    <w:rsid w:val="007253C8"/>
    <w:pPr>
      <w:spacing w:before="120" w:after="120"/>
      <w:ind w:left="1170" w:right="1440" w:hanging="450"/>
    </w:pPr>
  </w:style>
  <w:style w:type="paragraph" w:customStyle="1" w:styleId="sub2">
    <w:name w:val="sub2"/>
    <w:basedOn w:val="Normal"/>
    <w:rsid w:val="007253C8"/>
    <w:pPr>
      <w:ind w:firstLine="2160"/>
    </w:pPr>
  </w:style>
  <w:style w:type="paragraph" w:customStyle="1" w:styleId="sub3">
    <w:name w:val="sub3"/>
    <w:basedOn w:val="Normal"/>
    <w:rsid w:val="007253C8"/>
    <w:pPr>
      <w:ind w:firstLine="2880"/>
    </w:pPr>
  </w:style>
  <w:style w:type="paragraph" w:customStyle="1" w:styleId="sub4">
    <w:name w:val="sub4"/>
    <w:basedOn w:val="Normal"/>
    <w:rsid w:val="007253C8"/>
    <w:pPr>
      <w:ind w:firstLine="3600"/>
    </w:pPr>
  </w:style>
  <w:style w:type="character" w:customStyle="1" w:styleId="standardChar">
    <w:name w:val="standard Char"/>
    <w:link w:val="standard0"/>
    <w:rsid w:val="007253C8"/>
    <w:rPr>
      <w:rFonts w:ascii="Book Antiqua" w:hAnsi="Book Antiqua"/>
      <w:sz w:val="26"/>
    </w:rPr>
  </w:style>
  <w:style w:type="character" w:customStyle="1" w:styleId="quoteChar">
    <w:name w:val="quote Char"/>
    <w:basedOn w:val="standardChar"/>
    <w:link w:val="Quote1"/>
    <w:rsid w:val="007253C8"/>
    <w:rPr>
      <w:rFonts w:ascii="Book Antiqua" w:hAnsi="Book Antiqua"/>
      <w:sz w:val="26"/>
    </w:rPr>
  </w:style>
  <w:style w:type="paragraph" w:customStyle="1" w:styleId="no1">
    <w:name w:val="no.1"/>
    <w:basedOn w:val="standard0"/>
    <w:rsid w:val="007253C8"/>
    <w:pPr>
      <w:tabs>
        <w:tab w:val="left" w:pos="1080"/>
      </w:tabs>
      <w:spacing w:after="120" w:line="240" w:lineRule="auto"/>
      <w:ind w:left="1080" w:right="994" w:hanging="360"/>
    </w:pPr>
  </w:style>
  <w:style w:type="paragraph" w:customStyle="1" w:styleId="msolistparagraph0">
    <w:name w:val="msolistparagraph"/>
    <w:basedOn w:val="Normal"/>
    <w:rsid w:val="007253C8"/>
    <w:pPr>
      <w:spacing w:before="100" w:beforeAutospacing="1" w:after="100" w:afterAutospacing="1"/>
    </w:pPr>
    <w:rPr>
      <w:rFonts w:ascii="Times New Roman" w:hAnsi="Times New Roman"/>
      <w:sz w:val="24"/>
      <w:szCs w:val="24"/>
    </w:rPr>
  </w:style>
  <w:style w:type="paragraph" w:customStyle="1" w:styleId="msolistparagraphcxspmiddle">
    <w:name w:val="msolistparagraphcxspmiddle"/>
    <w:basedOn w:val="Normal"/>
    <w:rsid w:val="007253C8"/>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unhideWhenUsed/>
    <w:rsid w:val="007253C8"/>
    <w:rPr>
      <w:sz w:val="16"/>
      <w:szCs w:val="16"/>
    </w:rPr>
  </w:style>
  <w:style w:type="paragraph" w:styleId="CommentText">
    <w:name w:val="annotation text"/>
    <w:basedOn w:val="Normal"/>
    <w:link w:val="CommentTextChar"/>
    <w:unhideWhenUsed/>
    <w:rsid w:val="007253C8"/>
    <w:pPr>
      <w:spacing w:line="240" w:lineRule="auto"/>
    </w:pPr>
    <w:rPr>
      <w:sz w:val="20"/>
      <w:szCs w:val="20"/>
    </w:rPr>
  </w:style>
  <w:style w:type="character" w:customStyle="1" w:styleId="CommentTextChar">
    <w:name w:val="Comment Text Char"/>
    <w:basedOn w:val="DefaultParagraphFont"/>
    <w:link w:val="CommentText"/>
    <w:rsid w:val="007253C8"/>
    <w:rPr>
      <w:rFonts w:ascii="Book Antiqua" w:hAnsi="Book Antiqua"/>
      <w:sz w:val="20"/>
      <w:szCs w:val="20"/>
    </w:rPr>
  </w:style>
  <w:style w:type="paragraph" w:styleId="CommentSubject">
    <w:name w:val="annotation subject"/>
    <w:basedOn w:val="CommentText"/>
    <w:next w:val="CommentText"/>
    <w:link w:val="CommentSubjectChar"/>
    <w:semiHidden/>
    <w:unhideWhenUsed/>
    <w:rsid w:val="007253C8"/>
    <w:rPr>
      <w:b/>
      <w:bCs/>
    </w:rPr>
  </w:style>
  <w:style w:type="character" w:customStyle="1" w:styleId="CommentSubjectChar">
    <w:name w:val="Comment Subject Char"/>
    <w:basedOn w:val="CommentTextChar"/>
    <w:link w:val="CommentSubject"/>
    <w:semiHidden/>
    <w:rsid w:val="007253C8"/>
    <w:rPr>
      <w:rFonts w:ascii="Book Antiqua" w:hAnsi="Book Antiqua"/>
      <w:b/>
      <w:bCs/>
      <w:sz w:val="20"/>
      <w:szCs w:val="20"/>
    </w:rPr>
  </w:style>
  <w:style w:type="character" w:customStyle="1" w:styleId="UnresolvedMention1">
    <w:name w:val="Unresolved Mention1"/>
    <w:basedOn w:val="DefaultParagraphFont"/>
    <w:uiPriority w:val="99"/>
    <w:unhideWhenUsed/>
    <w:rsid w:val="007253C8"/>
    <w:rPr>
      <w:color w:val="605E5C"/>
      <w:shd w:val="clear" w:color="auto" w:fill="E1DFDD"/>
    </w:rPr>
  </w:style>
  <w:style w:type="character" w:styleId="FollowedHyperlink">
    <w:name w:val="FollowedHyperlink"/>
    <w:basedOn w:val="DefaultParagraphFont"/>
    <w:semiHidden/>
    <w:unhideWhenUsed/>
    <w:rsid w:val="007253C8"/>
    <w:rPr>
      <w:color w:val="954F72" w:themeColor="followedHyperlink"/>
      <w:u w:val="single"/>
    </w:rPr>
  </w:style>
  <w:style w:type="paragraph" w:styleId="Revision">
    <w:name w:val="Revision"/>
    <w:hidden/>
    <w:uiPriority w:val="99"/>
    <w:semiHidden/>
    <w:rsid w:val="007253C8"/>
    <w:pPr>
      <w:spacing w:after="0" w:line="240" w:lineRule="auto"/>
    </w:pPr>
    <w:rPr>
      <w:rFonts w:ascii="Palatino" w:eastAsiaTheme="minorEastAsia" w:hAnsi="Palatino" w:cs="Times New Roman"/>
      <w:sz w:val="26"/>
      <w:szCs w:val="20"/>
    </w:rPr>
  </w:style>
  <w:style w:type="character" w:styleId="UnresolvedMention">
    <w:name w:val="Unresolved Mention"/>
    <w:basedOn w:val="DefaultParagraphFont"/>
    <w:uiPriority w:val="99"/>
    <w:semiHidden/>
    <w:unhideWhenUsed/>
    <w:rsid w:val="007253C8"/>
    <w:rPr>
      <w:color w:val="605E5C"/>
      <w:shd w:val="clear" w:color="auto" w:fill="E1DFDD"/>
    </w:rPr>
  </w:style>
  <w:style w:type="character" w:styleId="Emphasis">
    <w:name w:val="Emphasis"/>
    <w:basedOn w:val="DefaultParagraphFont"/>
    <w:qFormat/>
    <w:rsid w:val="007253C8"/>
    <w:rPr>
      <w:i/>
      <w:iCs/>
    </w:rPr>
  </w:style>
  <w:style w:type="numbering" w:customStyle="1" w:styleId="CurrentList1">
    <w:name w:val="Current List1"/>
    <w:uiPriority w:val="99"/>
    <w:rsid w:val="007253C8"/>
    <w:pPr>
      <w:numPr>
        <w:numId w:val="9"/>
      </w:numPr>
    </w:pPr>
  </w:style>
  <w:style w:type="character" w:styleId="Mention">
    <w:name w:val="Mention"/>
    <w:basedOn w:val="DefaultParagraphFont"/>
    <w:uiPriority w:val="99"/>
    <w:unhideWhenUsed/>
    <w:rsid w:val="007253C8"/>
    <w:rPr>
      <w:color w:val="2B579A"/>
      <w:shd w:val="clear" w:color="auto" w:fill="E1DFDD"/>
    </w:rPr>
  </w:style>
  <w:style w:type="paragraph" w:styleId="ListParagraph">
    <w:name w:val="List Paragraph"/>
    <w:basedOn w:val="Normal"/>
    <w:uiPriority w:val="34"/>
    <w:qFormat/>
    <w:rsid w:val="007253C8"/>
    <w:pPr>
      <w:ind w:left="720"/>
      <w:contextualSpacing/>
    </w:pPr>
  </w:style>
  <w:style w:type="numbering" w:customStyle="1" w:styleId="CurrentList2">
    <w:name w:val="Current List2"/>
    <w:uiPriority w:val="99"/>
    <w:rsid w:val="007253C8"/>
    <w:pPr>
      <w:numPr>
        <w:numId w:val="10"/>
      </w:numPr>
    </w:pPr>
  </w:style>
  <w:style w:type="paragraph" w:styleId="BodyText">
    <w:name w:val="Body Text"/>
    <w:basedOn w:val="Normal"/>
    <w:link w:val="BodyTextChar"/>
    <w:uiPriority w:val="1"/>
    <w:qFormat/>
    <w:rsid w:val="007253C8"/>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253C8"/>
    <w:rPr>
      <w:rFonts w:ascii="Times New Roman" w:eastAsia="Times New Roman" w:hAnsi="Times New Roman"/>
      <w:sz w:val="24"/>
      <w:szCs w:val="24"/>
    </w:rPr>
  </w:style>
  <w:style w:type="numbering" w:customStyle="1" w:styleId="LFO9">
    <w:name w:val="LFO9"/>
    <w:basedOn w:val="NoList"/>
    <w:rsid w:val="007253C8"/>
    <w:pPr>
      <w:numPr>
        <w:numId w:val="11"/>
      </w:numPr>
    </w:pPr>
  </w:style>
  <w:style w:type="character" w:customStyle="1" w:styleId="normaltextrun">
    <w:name w:val="normaltextrun"/>
    <w:basedOn w:val="DefaultParagraphFont"/>
    <w:rsid w:val="007253C8"/>
  </w:style>
  <w:style w:type="paragraph" w:customStyle="1" w:styleId="pf0">
    <w:name w:val="pf0"/>
    <w:basedOn w:val="Normal"/>
    <w:rsid w:val="007253C8"/>
    <w:pPr>
      <w:spacing w:before="100" w:beforeAutospacing="1" w:after="100" w:afterAutospacing="1"/>
    </w:pPr>
    <w:rPr>
      <w:rFonts w:ascii="Times New Roman" w:eastAsia="Times New Roman" w:hAnsi="Times New Roman"/>
      <w:sz w:val="24"/>
      <w:szCs w:val="24"/>
    </w:rPr>
  </w:style>
  <w:style w:type="paragraph" w:customStyle="1" w:styleId="TableParagraph">
    <w:name w:val="Table Paragraph"/>
    <w:basedOn w:val="Normal"/>
    <w:uiPriority w:val="1"/>
    <w:qFormat/>
    <w:rsid w:val="007253C8"/>
    <w:pPr>
      <w:widowControl w:val="0"/>
      <w:autoSpaceDE w:val="0"/>
      <w:autoSpaceDN w:val="0"/>
      <w:spacing w:line="255" w:lineRule="exact"/>
    </w:pPr>
    <w:rPr>
      <w:rFonts w:ascii="Times New Roman" w:eastAsia="Times New Roman" w:hAnsi="Times New Roman"/>
      <w:sz w:val="22"/>
    </w:rPr>
  </w:style>
  <w:style w:type="paragraph" w:styleId="TOC7">
    <w:name w:val="toc 7"/>
    <w:basedOn w:val="Normal"/>
    <w:next w:val="Normal"/>
    <w:autoRedefine/>
    <w:uiPriority w:val="39"/>
    <w:unhideWhenUsed/>
    <w:rsid w:val="00D166DC"/>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D166DC"/>
    <w:pPr>
      <w:spacing w:after="100" w:line="278" w:lineRule="auto"/>
      <w:ind w:left="1680" w:firstLine="0"/>
    </w:pPr>
    <w:rPr>
      <w:rFonts w:asciiTheme="minorHAnsi" w:eastAsiaTheme="minorEastAsia"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7.xml" Id="rId23" /><Relationship Type="http://schemas.openxmlformats.org/officeDocument/2006/relationships/endnotes" Target="endnotes.xml" Id="rId10" /><Relationship Type="http://schemas.openxmlformats.org/officeDocument/2006/relationships/image" Target="media/image1.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hart" Target="charts/chart1.xml" Id="rId22" /><Relationship Type="http://schemas.openxmlformats.org/officeDocument/2006/relationships/hyperlink" Target="https://docs.cpuc.ca.gov/PublishedDocs/Published/G000/M595/K094/595094639.pdf" TargetMode="External" Id="R1f6477bf91614ec7" /><Relationship Type="http://schemas.openxmlformats.org/officeDocument/2006/relationships/hyperlink" Target="https://docs.cpuc.ca.gov/PublishedDocs/Published/G000/M595/K094/595094640.pdf" TargetMode="External" Id="R6a26302a58934802" /><Relationship Type="http://schemas.openxmlformats.org/officeDocument/2006/relationships/hyperlink" Target="https://docs.cpuc.ca.gov/PublishedDocs/Published/G000/M595/K180/595180560.pdf" TargetMode="External" Id="R84b02a9c01f0425f" /></Relationships>
</file>

<file path=word/_rels/footnotes.xml.rels><?xml version="1.0" encoding="UTF-8" standalone="yes"?>
<Relationships xmlns="http://schemas.openxmlformats.org/package/2006/relationships"><Relationship Id="rId3" Type="http://schemas.openxmlformats.org/officeDocument/2006/relationships/hyperlink" Target="blob:https://tariffsprd.sdge.com/8f157a37-e59d-4dec-b7e5-875c4e46f91a" TargetMode="External"/><Relationship Id="rId2" Type="http://schemas.openxmlformats.org/officeDocument/2006/relationships/hyperlink" Target="https://www.cpuc.ca.gov/about-cpuc/divisions/safety-policy-division/wildfire-and-safety-performance-implementation-of-wildfire-mitigation-plans" TargetMode="External"/><Relationship Id="rId1" Type="http://schemas.openxmlformats.org/officeDocument/2006/relationships/hyperlink" Target="https://34c031f8-c9fd-4018-8c5a-4159cdff6b0d-cdn-endpoint.azureedge.net/-/media/calfire-website/our-impact/fire-statistics/top20_destruction_072525" TargetMode="External"/><Relationship Id="rId4" Type="http://schemas.openxmlformats.org/officeDocument/2006/relationships/hyperlink" Target="file:///C:\Users\jhlar\AppData\Local\Microsoft\Windows\INetCache\Content.Outlook\VZBAHD51\fr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apleising\Documents\05%20WORK\01%20CPUC\00%20Proceedings\03%20SDG&amp;E%20Proceedings\A2205016%20SDGE%20TY24%20GRC\A2205016%20TRACK%202\A2205016%20T2%20My%20Work\A2205016%20T2%20Request%20Summary%20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AM&amp;I Initiative Unit Costs by Year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'AM&amp;I(2)'!$N$4</c:f>
              <c:strCache>
                <c:ptCount val="1"/>
                <c:pt idx="0">
                  <c:v>Drone Assessments of Dist. Infra.</c:v>
                </c:pt>
              </c:strCache>
            </c:strRef>
          </c:tx>
          <c:spPr>
            <a:ln w="28575" cap="rnd">
              <a:solidFill>
                <a:srgbClr val="FF0000"/>
              </a:solidFill>
              <a:round/>
            </a:ln>
            <a:effectLst/>
          </c:spPr>
          <c:marker>
            <c:symbol val="circle"/>
            <c:size val="5"/>
            <c:spPr>
              <a:solidFill>
                <a:srgbClr val="FF0000"/>
              </a:solidFill>
              <a:ln w="9525">
                <a:noFill/>
              </a:ln>
              <a:effectLst/>
            </c:spPr>
          </c:marker>
          <c:cat>
            <c:numRef>
              <c:f>'AM&amp;I(2)'!$P$2:$S$2</c:f>
              <c:numCache>
                <c:formatCode>General</c:formatCode>
                <c:ptCount val="4"/>
                <c:pt idx="0">
                  <c:v>2019</c:v>
                </c:pt>
                <c:pt idx="1">
                  <c:v>2020</c:v>
                </c:pt>
                <c:pt idx="2">
                  <c:v>2021</c:v>
                </c:pt>
                <c:pt idx="3">
                  <c:v>2022</c:v>
                </c:pt>
              </c:numCache>
            </c:numRef>
          </c:cat>
          <c:val>
            <c:numRef>
              <c:f>'AM&amp;I(2)'!$P$4:$S$4</c:f>
              <c:numCache>
                <c:formatCode>"$"#,##0_);[Red]\("$"#,##0\)</c:formatCode>
                <c:ptCount val="4"/>
                <c:pt idx="0">
                  <c:v>370.70490485124634</c:v>
                </c:pt>
                <c:pt idx="1">
                  <c:v>2899.5798319327732</c:v>
                </c:pt>
                <c:pt idx="2">
                  <c:v>2094.2272727272725</c:v>
                </c:pt>
                <c:pt idx="3">
                  <c:v>3203.4016775396085</c:v>
                </c:pt>
              </c:numCache>
            </c:numRef>
          </c:val>
          <c:smooth val="0"/>
          <c:extLst>
            <c:ext xmlns:c16="http://schemas.microsoft.com/office/drawing/2014/chart" uri="{C3380CC4-5D6E-409C-BE32-E72D297353CC}">
              <c16:uniqueId val="{00000000-99F4-4AA1-AE1A-08C9E7DBAE53}"/>
            </c:ext>
          </c:extLst>
        </c:ser>
        <c:ser>
          <c:idx val="1"/>
          <c:order val="1"/>
          <c:tx>
            <c:strRef>
              <c:f>'AM&amp;I(2)'!$N$5</c:f>
              <c:strCache>
                <c:ptCount val="1"/>
                <c:pt idx="0">
                  <c:v>Detailed Inspections of Dist. Equip.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'AM&amp;I(2)'!$P$2:$S$2</c:f>
              <c:numCache>
                <c:formatCode>General</c:formatCode>
                <c:ptCount val="4"/>
                <c:pt idx="0">
                  <c:v>2019</c:v>
                </c:pt>
                <c:pt idx="1">
                  <c:v>2020</c:v>
                </c:pt>
                <c:pt idx="2">
                  <c:v>2021</c:v>
                </c:pt>
                <c:pt idx="3">
                  <c:v>2022</c:v>
                </c:pt>
              </c:numCache>
            </c:numRef>
          </c:cat>
          <c:val>
            <c:numRef>
              <c:f>'AM&amp;I(2)'!$P$5:$S$5</c:f>
              <c:numCache>
                <c:formatCode>"$"#,##0_);[Red]\("$"#,##0\)</c:formatCode>
                <c:ptCount val="4"/>
                <c:pt idx="0">
                  <c:v>608.36548472043603</c:v>
                </c:pt>
                <c:pt idx="1">
                  <c:v>539.7452300161317</c:v>
                </c:pt>
                <c:pt idx="2">
                  <c:v>520.08589066833679</c:v>
                </c:pt>
                <c:pt idx="3">
                  <c:v>585.78199052132697</c:v>
                </c:pt>
              </c:numCache>
            </c:numRef>
          </c:val>
          <c:smooth val="0"/>
          <c:extLst>
            <c:ext xmlns:c16="http://schemas.microsoft.com/office/drawing/2014/chart" uri="{C3380CC4-5D6E-409C-BE32-E72D297353CC}">
              <c16:uniqueId val="{00000001-99F4-4AA1-AE1A-08C9E7DBAE53}"/>
            </c:ext>
          </c:extLst>
        </c:ser>
        <c:ser>
          <c:idx val="2"/>
          <c:order val="2"/>
          <c:tx>
            <c:strRef>
              <c:f>'AM&amp;I(2)'!$N$6</c:f>
              <c:strCache>
                <c:ptCount val="1"/>
                <c:pt idx="0">
                  <c:v>Detailed Inspections of Dist. Underbuild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'AM&amp;I(2)'!$P$2:$S$2</c:f>
              <c:numCache>
                <c:formatCode>General</c:formatCode>
                <c:ptCount val="4"/>
                <c:pt idx="0">
                  <c:v>2019</c:v>
                </c:pt>
                <c:pt idx="1">
                  <c:v>2020</c:v>
                </c:pt>
                <c:pt idx="2">
                  <c:v>2021</c:v>
                </c:pt>
                <c:pt idx="3">
                  <c:v>2022</c:v>
                </c:pt>
              </c:numCache>
            </c:numRef>
          </c:cat>
          <c:val>
            <c:numRef>
              <c:f>'AM&amp;I(2)'!$P$6:$S$6</c:f>
              <c:numCache>
                <c:formatCode>"$"#,##0_);[Red]\("$"#,##0\)</c:formatCode>
                <c:ptCount val="4"/>
                <c:pt idx="0" formatCode="General">
                  <c:v>0</c:v>
                </c:pt>
                <c:pt idx="1">
                  <c:v>358.71593878312802</c:v>
                </c:pt>
                <c:pt idx="2">
                  <c:v>234.03168114460911</c:v>
                </c:pt>
                <c:pt idx="3">
                  <c:v>313.81833835557467</c:v>
                </c:pt>
              </c:numCache>
            </c:numRef>
          </c:val>
          <c:smooth val="0"/>
          <c:extLst>
            <c:ext xmlns:c16="http://schemas.microsoft.com/office/drawing/2014/chart" uri="{C3380CC4-5D6E-409C-BE32-E72D297353CC}">
              <c16:uniqueId val="{00000002-99F4-4AA1-AE1A-08C9E7DBAE53}"/>
            </c:ext>
          </c:extLst>
        </c:ser>
        <c:ser>
          <c:idx val="3"/>
          <c:order val="3"/>
          <c:tx>
            <c:strRef>
              <c:f>'AM&amp;I(2)'!$N$7</c:f>
              <c:strCache>
                <c:ptCount val="1"/>
                <c:pt idx="0">
                  <c:v>HFTD Tier 3 Inspections</c:v>
                </c:pt>
              </c:strCache>
            </c:strRef>
          </c:tx>
          <c:spPr>
            <a:ln w="28575" cap="rnd">
              <a:solidFill>
                <a:srgbClr val="00B0F0"/>
              </a:solidFill>
              <a:round/>
            </a:ln>
            <a:effectLst/>
          </c:spPr>
          <c:marker>
            <c:symbol val="circle"/>
            <c:size val="5"/>
            <c:spPr>
              <a:solidFill>
                <a:srgbClr val="00B0F0"/>
              </a:solidFill>
              <a:ln w="9525">
                <a:noFill/>
              </a:ln>
              <a:effectLst/>
            </c:spPr>
          </c:marker>
          <c:cat>
            <c:numRef>
              <c:f>'AM&amp;I(2)'!$P$2:$S$2</c:f>
              <c:numCache>
                <c:formatCode>General</c:formatCode>
                <c:ptCount val="4"/>
                <c:pt idx="0">
                  <c:v>2019</c:v>
                </c:pt>
                <c:pt idx="1">
                  <c:v>2020</c:v>
                </c:pt>
                <c:pt idx="2">
                  <c:v>2021</c:v>
                </c:pt>
                <c:pt idx="3">
                  <c:v>2022</c:v>
                </c:pt>
              </c:numCache>
            </c:numRef>
          </c:cat>
          <c:val>
            <c:numRef>
              <c:f>'AM&amp;I(2)'!$P$7:$S$7</c:f>
              <c:numCache>
                <c:formatCode>"$"#,##0_);[Red]\("$"#,##0\)</c:formatCode>
                <c:ptCount val="4"/>
                <c:pt idx="0">
                  <c:v>118.42548887390424</c:v>
                </c:pt>
                <c:pt idx="1">
                  <c:v>114.52102297355873</c:v>
                </c:pt>
                <c:pt idx="2">
                  <c:v>264.67231822627974</c:v>
                </c:pt>
                <c:pt idx="3">
                  <c:v>243.49669738236972</c:v>
                </c:pt>
              </c:numCache>
            </c:numRef>
          </c:val>
          <c:smooth val="0"/>
          <c:extLst>
            <c:ext xmlns:c16="http://schemas.microsoft.com/office/drawing/2014/chart" uri="{C3380CC4-5D6E-409C-BE32-E72D297353CC}">
              <c16:uniqueId val="{00000003-99F4-4AA1-AE1A-08C9E7DBAE53}"/>
            </c:ext>
          </c:extLst>
        </c:ser>
        <c:ser>
          <c:idx val="4"/>
          <c:order val="4"/>
          <c:tx>
            <c:strRef>
              <c:f>'AM&amp;I(2)'!$N$8</c:f>
              <c:strCache>
                <c:ptCount val="1"/>
                <c:pt idx="0">
                  <c:v>Intrusive Pole Inspections</c:v>
                </c:pt>
              </c:strCache>
            </c:strRef>
          </c:tx>
          <c:spPr>
            <a:ln w="28575" cap="rnd">
              <a:solidFill>
                <a:srgbClr val="FFC000"/>
              </a:solidFill>
              <a:round/>
            </a:ln>
            <a:effectLst/>
          </c:spPr>
          <c:marker>
            <c:symbol val="circle"/>
            <c:size val="5"/>
            <c:spPr>
              <a:solidFill>
                <a:srgbClr val="FFC000"/>
              </a:solidFill>
              <a:ln w="9525">
                <a:noFill/>
              </a:ln>
              <a:effectLst/>
            </c:spPr>
          </c:marker>
          <c:cat>
            <c:numRef>
              <c:f>'AM&amp;I(2)'!$P$2:$S$2</c:f>
              <c:numCache>
                <c:formatCode>General</c:formatCode>
                <c:ptCount val="4"/>
                <c:pt idx="0">
                  <c:v>2019</c:v>
                </c:pt>
                <c:pt idx="1">
                  <c:v>2020</c:v>
                </c:pt>
                <c:pt idx="2">
                  <c:v>2021</c:v>
                </c:pt>
                <c:pt idx="3">
                  <c:v>2022</c:v>
                </c:pt>
              </c:numCache>
            </c:numRef>
          </c:cat>
          <c:val>
            <c:numRef>
              <c:f>'AM&amp;I(2)'!$P$8:$S$8</c:f>
              <c:numCache>
                <c:formatCode>"$"#,##0_);[Red]\("$"#,##0\)</c:formatCode>
                <c:ptCount val="4"/>
                <c:pt idx="0">
                  <c:v>96.000810988899588</c:v>
                </c:pt>
                <c:pt idx="1">
                  <c:v>102.83737024221453</c:v>
                </c:pt>
                <c:pt idx="2">
                  <c:v>322.66941864465082</c:v>
                </c:pt>
                <c:pt idx="3">
                  <c:v>1949.3278179937952</c:v>
                </c:pt>
              </c:numCache>
            </c:numRef>
          </c:val>
          <c:smooth val="0"/>
          <c:extLst>
            <c:ext xmlns:c16="http://schemas.microsoft.com/office/drawing/2014/chart" uri="{C3380CC4-5D6E-409C-BE32-E72D297353CC}">
              <c16:uniqueId val="{00000004-99F4-4AA1-AE1A-08C9E7DBAE53}"/>
            </c:ext>
          </c:extLst>
        </c:ser>
        <c:ser>
          <c:idx val="5"/>
          <c:order val="5"/>
          <c:tx>
            <c:strRef>
              <c:f>'AM&amp;I(2)'!$N$9</c:f>
              <c:strCache>
                <c:ptCount val="1"/>
                <c:pt idx="0">
                  <c:v>IR Inspections of Dist. Infrastructure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'AM&amp;I(2)'!$P$2:$S$2</c:f>
              <c:numCache>
                <c:formatCode>General</c:formatCode>
                <c:ptCount val="4"/>
                <c:pt idx="0">
                  <c:v>2019</c:v>
                </c:pt>
                <c:pt idx="1">
                  <c:v>2020</c:v>
                </c:pt>
                <c:pt idx="2">
                  <c:v>2021</c:v>
                </c:pt>
                <c:pt idx="3">
                  <c:v>2022</c:v>
                </c:pt>
              </c:numCache>
            </c:numRef>
          </c:cat>
          <c:val>
            <c:numRef>
              <c:f>'AM&amp;I(2)'!$P$9:$S$9</c:f>
              <c:numCache>
                <c:formatCode>"$"#,##0_);[Red]\("$"#,##0\)</c:formatCode>
                <c:ptCount val="4"/>
                <c:pt idx="0">
                  <c:v>0</c:v>
                </c:pt>
                <c:pt idx="1">
                  <c:v>13.382274221916342</c:v>
                </c:pt>
                <c:pt idx="2">
                  <c:v>8.5540192172486531</c:v>
                </c:pt>
                <c:pt idx="3">
                  <c:v>12.96477495107632</c:v>
                </c:pt>
              </c:numCache>
            </c:numRef>
          </c:val>
          <c:smooth val="0"/>
          <c:extLst>
            <c:ext xmlns:c16="http://schemas.microsoft.com/office/drawing/2014/chart" uri="{C3380CC4-5D6E-409C-BE32-E72D297353CC}">
              <c16:uniqueId val="{00000005-99F4-4AA1-AE1A-08C9E7DBAE53}"/>
            </c:ext>
          </c:extLst>
        </c:ser>
        <c:ser>
          <c:idx val="6"/>
          <c:order val="6"/>
          <c:tx>
            <c:strRef>
              <c:f>'AM&amp;I(2)'!$N$10</c:f>
              <c:strCache>
                <c:ptCount val="1"/>
                <c:pt idx="0">
                  <c:v>Patrol Inspections of Dist. Equip.</c:v>
                </c:pt>
              </c:strCache>
            </c:strRef>
          </c:tx>
          <c:spPr>
            <a:ln w="28575" cap="rnd">
              <a:solidFill>
                <a:schemeClr val="accent1">
                  <a:lumMod val="60000"/>
                </a:schemeClr>
              </a:solidFill>
              <a:prstDash val="dash"/>
              <a:round/>
            </a:ln>
            <a:effectLst/>
          </c:spPr>
          <c:marker>
            <c:symbol val="circle"/>
            <c:size val="5"/>
            <c:spPr>
              <a:solidFill>
                <a:schemeClr val="accent1">
                  <a:lumMod val="60000"/>
                </a:schemeClr>
              </a:solidFill>
              <a:ln w="9525">
                <a:solidFill>
                  <a:schemeClr val="accent1">
                    <a:lumMod val="60000"/>
                  </a:schemeClr>
                </a:solidFill>
              </a:ln>
              <a:effectLst/>
            </c:spPr>
          </c:marker>
          <c:cat>
            <c:numRef>
              <c:f>'AM&amp;I(2)'!$P$2:$S$2</c:f>
              <c:numCache>
                <c:formatCode>General</c:formatCode>
                <c:ptCount val="4"/>
                <c:pt idx="0">
                  <c:v>2019</c:v>
                </c:pt>
                <c:pt idx="1">
                  <c:v>2020</c:v>
                </c:pt>
                <c:pt idx="2">
                  <c:v>2021</c:v>
                </c:pt>
                <c:pt idx="3">
                  <c:v>2022</c:v>
                </c:pt>
              </c:numCache>
            </c:numRef>
          </c:cat>
          <c:val>
            <c:numRef>
              <c:f>'AM&amp;I(2)'!$P$10:$S$10</c:f>
              <c:numCache>
                <c:formatCode>"$"#,##0_);[Red]\("$"#,##0\)</c:formatCode>
                <c:ptCount val="4"/>
                <c:pt idx="0">
                  <c:v>10.328202149288412</c:v>
                </c:pt>
                <c:pt idx="1">
                  <c:v>9.6658573245461898</c:v>
                </c:pt>
                <c:pt idx="2">
                  <c:v>13.897560411608278</c:v>
                </c:pt>
                <c:pt idx="3">
                  <c:v>12.715817601732299</c:v>
                </c:pt>
              </c:numCache>
            </c:numRef>
          </c:val>
          <c:smooth val="0"/>
          <c:extLst>
            <c:ext xmlns:c16="http://schemas.microsoft.com/office/drawing/2014/chart" uri="{C3380CC4-5D6E-409C-BE32-E72D297353CC}">
              <c16:uniqueId val="{00000006-99F4-4AA1-AE1A-08C9E7DBAE53}"/>
            </c:ext>
          </c:extLst>
        </c:ser>
        <c:dLbls>
          <c:showLegendKey val="0"/>
          <c:showVal val="0"/>
          <c:showCatName val="0"/>
          <c:showSerName val="0"/>
          <c:showPercent val="0"/>
          <c:showBubbleSize val="0"/>
        </c:dLbls>
        <c:marker val="1"/>
        <c:smooth val="0"/>
        <c:axId val="237502495"/>
        <c:axId val="502717088"/>
      </c:lineChart>
      <c:catAx>
        <c:axId val="237502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717088"/>
        <c:crosses val="autoZero"/>
        <c:auto val="1"/>
        <c:lblAlgn val="ctr"/>
        <c:lblOffset val="100"/>
        <c:noMultiLvlLbl val="0"/>
      </c:catAx>
      <c:valAx>
        <c:axId val="50271708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502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c4a6f31-d38c-4f21-8422-a05a0211543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800e16e8-2109-40d9-9dc6-5aa32e4de434">
      <Terms xmlns="http://schemas.microsoft.com/office/infopath/2007/PartnerControls"/>
    </lcf76f155ced4ddcb4097134ff3c332f>
    <TaxCatchAll xmlns="0c4a6f31-d38c-4f21-8422-a05a021154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3" ma:contentTypeDescription="Create a new document." ma:contentTypeScope="" ma:versionID="65ae54a16df156d73e3a5f7cabdd7714">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118b5e477d6e5cac833a2312c9511032"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03537c-a2d3-4190-9cbc-8242d354f5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0c4a6f31-d38c-4f21-8422-a05a02115431"/>
    <ds:schemaRef ds:uri="800e16e8-2109-40d9-9dc6-5aa32e4de434"/>
  </ds:schemaRefs>
</ds:datastoreItem>
</file>

<file path=customXml/itemProps3.xml><?xml version="1.0" encoding="utf-8"?>
<ds:datastoreItem xmlns:ds="http://schemas.openxmlformats.org/officeDocument/2006/customXml" ds:itemID="{935A8736-3F97-44F9-BA8C-A3D0192BC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176</ap:Pages>
  <ap:Words>38930</ap:Words>
  <ap:Characters>221905</ap:Characters>
  <ap:Application>Microsoft Office Word</ap:Application>
  <ap:DocSecurity>0</ap:DocSecurity>
  <ap:Lines>1849</ap:Lines>
  <ap:Paragraphs>520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260315</ap:CharactersWithSpaces>
  <ap:SharedDoc>false</ap:SharedDoc>
  <ap:HLinks>
    <vt:vector baseType="variant" size="558">
      <vt:variant>
        <vt:i4>1376307</vt:i4>
      </vt:variant>
      <vt:variant>
        <vt:i4>500</vt:i4>
      </vt:variant>
      <vt:variant>
        <vt:i4>0</vt:i4>
      </vt:variant>
      <vt:variant>
        <vt:i4>5</vt:i4>
      </vt:variant>
      <vt:variant>
        <vt:lpwstr/>
      </vt:variant>
      <vt:variant>
        <vt:lpwstr>_Toc213312322</vt:lpwstr>
      </vt:variant>
      <vt:variant>
        <vt:i4>1376307</vt:i4>
      </vt:variant>
      <vt:variant>
        <vt:i4>494</vt:i4>
      </vt:variant>
      <vt:variant>
        <vt:i4>0</vt:i4>
      </vt:variant>
      <vt:variant>
        <vt:i4>5</vt:i4>
      </vt:variant>
      <vt:variant>
        <vt:lpwstr/>
      </vt:variant>
      <vt:variant>
        <vt:lpwstr>_Toc213312321</vt:lpwstr>
      </vt:variant>
      <vt:variant>
        <vt:i4>1376307</vt:i4>
      </vt:variant>
      <vt:variant>
        <vt:i4>488</vt:i4>
      </vt:variant>
      <vt:variant>
        <vt:i4>0</vt:i4>
      </vt:variant>
      <vt:variant>
        <vt:i4>5</vt:i4>
      </vt:variant>
      <vt:variant>
        <vt:lpwstr/>
      </vt:variant>
      <vt:variant>
        <vt:lpwstr>_Toc213312320</vt:lpwstr>
      </vt:variant>
      <vt:variant>
        <vt:i4>1441843</vt:i4>
      </vt:variant>
      <vt:variant>
        <vt:i4>482</vt:i4>
      </vt:variant>
      <vt:variant>
        <vt:i4>0</vt:i4>
      </vt:variant>
      <vt:variant>
        <vt:i4>5</vt:i4>
      </vt:variant>
      <vt:variant>
        <vt:lpwstr/>
      </vt:variant>
      <vt:variant>
        <vt:lpwstr>_Toc213312319</vt:lpwstr>
      </vt:variant>
      <vt:variant>
        <vt:i4>1441843</vt:i4>
      </vt:variant>
      <vt:variant>
        <vt:i4>476</vt:i4>
      </vt:variant>
      <vt:variant>
        <vt:i4>0</vt:i4>
      </vt:variant>
      <vt:variant>
        <vt:i4>5</vt:i4>
      </vt:variant>
      <vt:variant>
        <vt:lpwstr/>
      </vt:variant>
      <vt:variant>
        <vt:lpwstr>_Toc213312318</vt:lpwstr>
      </vt:variant>
      <vt:variant>
        <vt:i4>1441843</vt:i4>
      </vt:variant>
      <vt:variant>
        <vt:i4>470</vt:i4>
      </vt:variant>
      <vt:variant>
        <vt:i4>0</vt:i4>
      </vt:variant>
      <vt:variant>
        <vt:i4>5</vt:i4>
      </vt:variant>
      <vt:variant>
        <vt:lpwstr/>
      </vt:variant>
      <vt:variant>
        <vt:lpwstr>_Toc213312317</vt:lpwstr>
      </vt:variant>
      <vt:variant>
        <vt:i4>1441843</vt:i4>
      </vt:variant>
      <vt:variant>
        <vt:i4>464</vt:i4>
      </vt:variant>
      <vt:variant>
        <vt:i4>0</vt:i4>
      </vt:variant>
      <vt:variant>
        <vt:i4>5</vt:i4>
      </vt:variant>
      <vt:variant>
        <vt:lpwstr/>
      </vt:variant>
      <vt:variant>
        <vt:lpwstr>_Toc213312316</vt:lpwstr>
      </vt:variant>
      <vt:variant>
        <vt:i4>1441843</vt:i4>
      </vt:variant>
      <vt:variant>
        <vt:i4>458</vt:i4>
      </vt:variant>
      <vt:variant>
        <vt:i4>0</vt:i4>
      </vt:variant>
      <vt:variant>
        <vt:i4>5</vt:i4>
      </vt:variant>
      <vt:variant>
        <vt:lpwstr/>
      </vt:variant>
      <vt:variant>
        <vt:lpwstr>_Toc213312315</vt:lpwstr>
      </vt:variant>
      <vt:variant>
        <vt:i4>1441843</vt:i4>
      </vt:variant>
      <vt:variant>
        <vt:i4>452</vt:i4>
      </vt:variant>
      <vt:variant>
        <vt:i4>0</vt:i4>
      </vt:variant>
      <vt:variant>
        <vt:i4>5</vt:i4>
      </vt:variant>
      <vt:variant>
        <vt:lpwstr/>
      </vt:variant>
      <vt:variant>
        <vt:lpwstr>_Toc213312314</vt:lpwstr>
      </vt:variant>
      <vt:variant>
        <vt:i4>1441843</vt:i4>
      </vt:variant>
      <vt:variant>
        <vt:i4>446</vt:i4>
      </vt:variant>
      <vt:variant>
        <vt:i4>0</vt:i4>
      </vt:variant>
      <vt:variant>
        <vt:i4>5</vt:i4>
      </vt:variant>
      <vt:variant>
        <vt:lpwstr/>
      </vt:variant>
      <vt:variant>
        <vt:lpwstr>_Toc213312313</vt:lpwstr>
      </vt:variant>
      <vt:variant>
        <vt:i4>1441843</vt:i4>
      </vt:variant>
      <vt:variant>
        <vt:i4>440</vt:i4>
      </vt:variant>
      <vt:variant>
        <vt:i4>0</vt:i4>
      </vt:variant>
      <vt:variant>
        <vt:i4>5</vt:i4>
      </vt:variant>
      <vt:variant>
        <vt:lpwstr/>
      </vt:variant>
      <vt:variant>
        <vt:lpwstr>_Toc213312312</vt:lpwstr>
      </vt:variant>
      <vt:variant>
        <vt:i4>1441843</vt:i4>
      </vt:variant>
      <vt:variant>
        <vt:i4>434</vt:i4>
      </vt:variant>
      <vt:variant>
        <vt:i4>0</vt:i4>
      </vt:variant>
      <vt:variant>
        <vt:i4>5</vt:i4>
      </vt:variant>
      <vt:variant>
        <vt:lpwstr/>
      </vt:variant>
      <vt:variant>
        <vt:lpwstr>_Toc213312311</vt:lpwstr>
      </vt:variant>
      <vt:variant>
        <vt:i4>1441843</vt:i4>
      </vt:variant>
      <vt:variant>
        <vt:i4>428</vt:i4>
      </vt:variant>
      <vt:variant>
        <vt:i4>0</vt:i4>
      </vt:variant>
      <vt:variant>
        <vt:i4>5</vt:i4>
      </vt:variant>
      <vt:variant>
        <vt:lpwstr/>
      </vt:variant>
      <vt:variant>
        <vt:lpwstr>_Toc213312310</vt:lpwstr>
      </vt:variant>
      <vt:variant>
        <vt:i4>1507379</vt:i4>
      </vt:variant>
      <vt:variant>
        <vt:i4>422</vt:i4>
      </vt:variant>
      <vt:variant>
        <vt:i4>0</vt:i4>
      </vt:variant>
      <vt:variant>
        <vt:i4>5</vt:i4>
      </vt:variant>
      <vt:variant>
        <vt:lpwstr/>
      </vt:variant>
      <vt:variant>
        <vt:lpwstr>_Toc213312309</vt:lpwstr>
      </vt:variant>
      <vt:variant>
        <vt:i4>1507379</vt:i4>
      </vt:variant>
      <vt:variant>
        <vt:i4>416</vt:i4>
      </vt:variant>
      <vt:variant>
        <vt:i4>0</vt:i4>
      </vt:variant>
      <vt:variant>
        <vt:i4>5</vt:i4>
      </vt:variant>
      <vt:variant>
        <vt:lpwstr/>
      </vt:variant>
      <vt:variant>
        <vt:lpwstr>_Toc213312308</vt:lpwstr>
      </vt:variant>
      <vt:variant>
        <vt:i4>1507379</vt:i4>
      </vt:variant>
      <vt:variant>
        <vt:i4>410</vt:i4>
      </vt:variant>
      <vt:variant>
        <vt:i4>0</vt:i4>
      </vt:variant>
      <vt:variant>
        <vt:i4>5</vt:i4>
      </vt:variant>
      <vt:variant>
        <vt:lpwstr/>
      </vt:variant>
      <vt:variant>
        <vt:lpwstr>_Toc213312307</vt:lpwstr>
      </vt:variant>
      <vt:variant>
        <vt:i4>1507379</vt:i4>
      </vt:variant>
      <vt:variant>
        <vt:i4>404</vt:i4>
      </vt:variant>
      <vt:variant>
        <vt:i4>0</vt:i4>
      </vt:variant>
      <vt:variant>
        <vt:i4>5</vt:i4>
      </vt:variant>
      <vt:variant>
        <vt:lpwstr/>
      </vt:variant>
      <vt:variant>
        <vt:lpwstr>_Toc213312306</vt:lpwstr>
      </vt:variant>
      <vt:variant>
        <vt:i4>1507379</vt:i4>
      </vt:variant>
      <vt:variant>
        <vt:i4>398</vt:i4>
      </vt:variant>
      <vt:variant>
        <vt:i4>0</vt:i4>
      </vt:variant>
      <vt:variant>
        <vt:i4>5</vt:i4>
      </vt:variant>
      <vt:variant>
        <vt:lpwstr/>
      </vt:variant>
      <vt:variant>
        <vt:lpwstr>_Toc213312305</vt:lpwstr>
      </vt:variant>
      <vt:variant>
        <vt:i4>1507379</vt:i4>
      </vt:variant>
      <vt:variant>
        <vt:i4>392</vt:i4>
      </vt:variant>
      <vt:variant>
        <vt:i4>0</vt:i4>
      </vt:variant>
      <vt:variant>
        <vt:i4>5</vt:i4>
      </vt:variant>
      <vt:variant>
        <vt:lpwstr/>
      </vt:variant>
      <vt:variant>
        <vt:lpwstr>_Toc213312304</vt:lpwstr>
      </vt:variant>
      <vt:variant>
        <vt:i4>1507379</vt:i4>
      </vt:variant>
      <vt:variant>
        <vt:i4>386</vt:i4>
      </vt:variant>
      <vt:variant>
        <vt:i4>0</vt:i4>
      </vt:variant>
      <vt:variant>
        <vt:i4>5</vt:i4>
      </vt:variant>
      <vt:variant>
        <vt:lpwstr/>
      </vt:variant>
      <vt:variant>
        <vt:lpwstr>_Toc213312303</vt:lpwstr>
      </vt:variant>
      <vt:variant>
        <vt:i4>1507379</vt:i4>
      </vt:variant>
      <vt:variant>
        <vt:i4>380</vt:i4>
      </vt:variant>
      <vt:variant>
        <vt:i4>0</vt:i4>
      </vt:variant>
      <vt:variant>
        <vt:i4>5</vt:i4>
      </vt:variant>
      <vt:variant>
        <vt:lpwstr/>
      </vt:variant>
      <vt:variant>
        <vt:lpwstr>_Toc213312302</vt:lpwstr>
      </vt:variant>
      <vt:variant>
        <vt:i4>1507379</vt:i4>
      </vt:variant>
      <vt:variant>
        <vt:i4>374</vt:i4>
      </vt:variant>
      <vt:variant>
        <vt:i4>0</vt:i4>
      </vt:variant>
      <vt:variant>
        <vt:i4>5</vt:i4>
      </vt:variant>
      <vt:variant>
        <vt:lpwstr/>
      </vt:variant>
      <vt:variant>
        <vt:lpwstr>_Toc213312301</vt:lpwstr>
      </vt:variant>
      <vt:variant>
        <vt:i4>1507379</vt:i4>
      </vt:variant>
      <vt:variant>
        <vt:i4>368</vt:i4>
      </vt:variant>
      <vt:variant>
        <vt:i4>0</vt:i4>
      </vt:variant>
      <vt:variant>
        <vt:i4>5</vt:i4>
      </vt:variant>
      <vt:variant>
        <vt:lpwstr/>
      </vt:variant>
      <vt:variant>
        <vt:lpwstr>_Toc213312300</vt:lpwstr>
      </vt:variant>
      <vt:variant>
        <vt:i4>1966130</vt:i4>
      </vt:variant>
      <vt:variant>
        <vt:i4>362</vt:i4>
      </vt:variant>
      <vt:variant>
        <vt:i4>0</vt:i4>
      </vt:variant>
      <vt:variant>
        <vt:i4>5</vt:i4>
      </vt:variant>
      <vt:variant>
        <vt:lpwstr/>
      </vt:variant>
      <vt:variant>
        <vt:lpwstr>_Toc213312299</vt:lpwstr>
      </vt:variant>
      <vt:variant>
        <vt:i4>1966130</vt:i4>
      </vt:variant>
      <vt:variant>
        <vt:i4>356</vt:i4>
      </vt:variant>
      <vt:variant>
        <vt:i4>0</vt:i4>
      </vt:variant>
      <vt:variant>
        <vt:i4>5</vt:i4>
      </vt:variant>
      <vt:variant>
        <vt:lpwstr/>
      </vt:variant>
      <vt:variant>
        <vt:lpwstr>_Toc213312298</vt:lpwstr>
      </vt:variant>
      <vt:variant>
        <vt:i4>1966130</vt:i4>
      </vt:variant>
      <vt:variant>
        <vt:i4>350</vt:i4>
      </vt:variant>
      <vt:variant>
        <vt:i4>0</vt:i4>
      </vt:variant>
      <vt:variant>
        <vt:i4>5</vt:i4>
      </vt:variant>
      <vt:variant>
        <vt:lpwstr/>
      </vt:variant>
      <vt:variant>
        <vt:lpwstr>_Toc213312297</vt:lpwstr>
      </vt:variant>
      <vt:variant>
        <vt:i4>1966130</vt:i4>
      </vt:variant>
      <vt:variant>
        <vt:i4>344</vt:i4>
      </vt:variant>
      <vt:variant>
        <vt:i4>0</vt:i4>
      </vt:variant>
      <vt:variant>
        <vt:i4>5</vt:i4>
      </vt:variant>
      <vt:variant>
        <vt:lpwstr/>
      </vt:variant>
      <vt:variant>
        <vt:lpwstr>_Toc213312296</vt:lpwstr>
      </vt:variant>
      <vt:variant>
        <vt:i4>1966130</vt:i4>
      </vt:variant>
      <vt:variant>
        <vt:i4>338</vt:i4>
      </vt:variant>
      <vt:variant>
        <vt:i4>0</vt:i4>
      </vt:variant>
      <vt:variant>
        <vt:i4>5</vt:i4>
      </vt:variant>
      <vt:variant>
        <vt:lpwstr/>
      </vt:variant>
      <vt:variant>
        <vt:lpwstr>_Toc213312295</vt:lpwstr>
      </vt:variant>
      <vt:variant>
        <vt:i4>1966130</vt:i4>
      </vt:variant>
      <vt:variant>
        <vt:i4>332</vt:i4>
      </vt:variant>
      <vt:variant>
        <vt:i4>0</vt:i4>
      </vt:variant>
      <vt:variant>
        <vt:i4>5</vt:i4>
      </vt:variant>
      <vt:variant>
        <vt:lpwstr/>
      </vt:variant>
      <vt:variant>
        <vt:lpwstr>_Toc213312294</vt:lpwstr>
      </vt:variant>
      <vt:variant>
        <vt:i4>1966130</vt:i4>
      </vt:variant>
      <vt:variant>
        <vt:i4>326</vt:i4>
      </vt:variant>
      <vt:variant>
        <vt:i4>0</vt:i4>
      </vt:variant>
      <vt:variant>
        <vt:i4>5</vt:i4>
      </vt:variant>
      <vt:variant>
        <vt:lpwstr/>
      </vt:variant>
      <vt:variant>
        <vt:lpwstr>_Toc213312293</vt:lpwstr>
      </vt:variant>
      <vt:variant>
        <vt:i4>1966130</vt:i4>
      </vt:variant>
      <vt:variant>
        <vt:i4>320</vt:i4>
      </vt:variant>
      <vt:variant>
        <vt:i4>0</vt:i4>
      </vt:variant>
      <vt:variant>
        <vt:i4>5</vt:i4>
      </vt:variant>
      <vt:variant>
        <vt:lpwstr/>
      </vt:variant>
      <vt:variant>
        <vt:lpwstr>_Toc213312292</vt:lpwstr>
      </vt:variant>
      <vt:variant>
        <vt:i4>1966130</vt:i4>
      </vt:variant>
      <vt:variant>
        <vt:i4>314</vt:i4>
      </vt:variant>
      <vt:variant>
        <vt:i4>0</vt:i4>
      </vt:variant>
      <vt:variant>
        <vt:i4>5</vt:i4>
      </vt:variant>
      <vt:variant>
        <vt:lpwstr/>
      </vt:variant>
      <vt:variant>
        <vt:lpwstr>_Toc213312291</vt:lpwstr>
      </vt:variant>
      <vt:variant>
        <vt:i4>1966130</vt:i4>
      </vt:variant>
      <vt:variant>
        <vt:i4>308</vt:i4>
      </vt:variant>
      <vt:variant>
        <vt:i4>0</vt:i4>
      </vt:variant>
      <vt:variant>
        <vt:i4>5</vt:i4>
      </vt:variant>
      <vt:variant>
        <vt:lpwstr/>
      </vt:variant>
      <vt:variant>
        <vt:lpwstr>_Toc213312290</vt:lpwstr>
      </vt:variant>
      <vt:variant>
        <vt:i4>2031666</vt:i4>
      </vt:variant>
      <vt:variant>
        <vt:i4>302</vt:i4>
      </vt:variant>
      <vt:variant>
        <vt:i4>0</vt:i4>
      </vt:variant>
      <vt:variant>
        <vt:i4>5</vt:i4>
      </vt:variant>
      <vt:variant>
        <vt:lpwstr/>
      </vt:variant>
      <vt:variant>
        <vt:lpwstr>_Toc213312289</vt:lpwstr>
      </vt:variant>
      <vt:variant>
        <vt:i4>2031666</vt:i4>
      </vt:variant>
      <vt:variant>
        <vt:i4>296</vt:i4>
      </vt:variant>
      <vt:variant>
        <vt:i4>0</vt:i4>
      </vt:variant>
      <vt:variant>
        <vt:i4>5</vt:i4>
      </vt:variant>
      <vt:variant>
        <vt:lpwstr/>
      </vt:variant>
      <vt:variant>
        <vt:lpwstr>_Toc213312288</vt:lpwstr>
      </vt:variant>
      <vt:variant>
        <vt:i4>2031666</vt:i4>
      </vt:variant>
      <vt:variant>
        <vt:i4>290</vt:i4>
      </vt:variant>
      <vt:variant>
        <vt:i4>0</vt:i4>
      </vt:variant>
      <vt:variant>
        <vt:i4>5</vt:i4>
      </vt:variant>
      <vt:variant>
        <vt:lpwstr/>
      </vt:variant>
      <vt:variant>
        <vt:lpwstr>_Toc213312287</vt:lpwstr>
      </vt:variant>
      <vt:variant>
        <vt:i4>2031666</vt:i4>
      </vt:variant>
      <vt:variant>
        <vt:i4>284</vt:i4>
      </vt:variant>
      <vt:variant>
        <vt:i4>0</vt:i4>
      </vt:variant>
      <vt:variant>
        <vt:i4>5</vt:i4>
      </vt:variant>
      <vt:variant>
        <vt:lpwstr/>
      </vt:variant>
      <vt:variant>
        <vt:lpwstr>_Toc213312286</vt:lpwstr>
      </vt:variant>
      <vt:variant>
        <vt:i4>2031666</vt:i4>
      </vt:variant>
      <vt:variant>
        <vt:i4>278</vt:i4>
      </vt:variant>
      <vt:variant>
        <vt:i4>0</vt:i4>
      </vt:variant>
      <vt:variant>
        <vt:i4>5</vt:i4>
      </vt:variant>
      <vt:variant>
        <vt:lpwstr/>
      </vt:variant>
      <vt:variant>
        <vt:lpwstr>_Toc213312285</vt:lpwstr>
      </vt:variant>
      <vt:variant>
        <vt:i4>2031666</vt:i4>
      </vt:variant>
      <vt:variant>
        <vt:i4>272</vt:i4>
      </vt:variant>
      <vt:variant>
        <vt:i4>0</vt:i4>
      </vt:variant>
      <vt:variant>
        <vt:i4>5</vt:i4>
      </vt:variant>
      <vt:variant>
        <vt:lpwstr/>
      </vt:variant>
      <vt:variant>
        <vt:lpwstr>_Toc213312284</vt:lpwstr>
      </vt:variant>
      <vt:variant>
        <vt:i4>2031666</vt:i4>
      </vt:variant>
      <vt:variant>
        <vt:i4>266</vt:i4>
      </vt:variant>
      <vt:variant>
        <vt:i4>0</vt:i4>
      </vt:variant>
      <vt:variant>
        <vt:i4>5</vt:i4>
      </vt:variant>
      <vt:variant>
        <vt:lpwstr/>
      </vt:variant>
      <vt:variant>
        <vt:lpwstr>_Toc213312283</vt:lpwstr>
      </vt:variant>
      <vt:variant>
        <vt:i4>2031666</vt:i4>
      </vt:variant>
      <vt:variant>
        <vt:i4>260</vt:i4>
      </vt:variant>
      <vt:variant>
        <vt:i4>0</vt:i4>
      </vt:variant>
      <vt:variant>
        <vt:i4>5</vt:i4>
      </vt:variant>
      <vt:variant>
        <vt:lpwstr/>
      </vt:variant>
      <vt:variant>
        <vt:lpwstr>_Toc213312282</vt:lpwstr>
      </vt:variant>
      <vt:variant>
        <vt:i4>2031666</vt:i4>
      </vt:variant>
      <vt:variant>
        <vt:i4>254</vt:i4>
      </vt:variant>
      <vt:variant>
        <vt:i4>0</vt:i4>
      </vt:variant>
      <vt:variant>
        <vt:i4>5</vt:i4>
      </vt:variant>
      <vt:variant>
        <vt:lpwstr/>
      </vt:variant>
      <vt:variant>
        <vt:lpwstr>_Toc213312281</vt:lpwstr>
      </vt:variant>
      <vt:variant>
        <vt:i4>1048626</vt:i4>
      </vt:variant>
      <vt:variant>
        <vt:i4>248</vt:i4>
      </vt:variant>
      <vt:variant>
        <vt:i4>0</vt:i4>
      </vt:variant>
      <vt:variant>
        <vt:i4>5</vt:i4>
      </vt:variant>
      <vt:variant>
        <vt:lpwstr/>
      </vt:variant>
      <vt:variant>
        <vt:lpwstr>_Toc213312279</vt:lpwstr>
      </vt:variant>
      <vt:variant>
        <vt:i4>1048626</vt:i4>
      </vt:variant>
      <vt:variant>
        <vt:i4>242</vt:i4>
      </vt:variant>
      <vt:variant>
        <vt:i4>0</vt:i4>
      </vt:variant>
      <vt:variant>
        <vt:i4>5</vt:i4>
      </vt:variant>
      <vt:variant>
        <vt:lpwstr/>
      </vt:variant>
      <vt:variant>
        <vt:lpwstr>_Toc213312278</vt:lpwstr>
      </vt:variant>
      <vt:variant>
        <vt:i4>1048626</vt:i4>
      </vt:variant>
      <vt:variant>
        <vt:i4>236</vt:i4>
      </vt:variant>
      <vt:variant>
        <vt:i4>0</vt:i4>
      </vt:variant>
      <vt:variant>
        <vt:i4>5</vt:i4>
      </vt:variant>
      <vt:variant>
        <vt:lpwstr/>
      </vt:variant>
      <vt:variant>
        <vt:lpwstr>_Toc213312277</vt:lpwstr>
      </vt:variant>
      <vt:variant>
        <vt:i4>1048626</vt:i4>
      </vt:variant>
      <vt:variant>
        <vt:i4>230</vt:i4>
      </vt:variant>
      <vt:variant>
        <vt:i4>0</vt:i4>
      </vt:variant>
      <vt:variant>
        <vt:i4>5</vt:i4>
      </vt:variant>
      <vt:variant>
        <vt:lpwstr/>
      </vt:variant>
      <vt:variant>
        <vt:lpwstr>_Toc213312276</vt:lpwstr>
      </vt:variant>
      <vt:variant>
        <vt:i4>1048626</vt:i4>
      </vt:variant>
      <vt:variant>
        <vt:i4>224</vt:i4>
      </vt:variant>
      <vt:variant>
        <vt:i4>0</vt:i4>
      </vt:variant>
      <vt:variant>
        <vt:i4>5</vt:i4>
      </vt:variant>
      <vt:variant>
        <vt:lpwstr/>
      </vt:variant>
      <vt:variant>
        <vt:lpwstr>_Toc213312275</vt:lpwstr>
      </vt:variant>
      <vt:variant>
        <vt:i4>1048626</vt:i4>
      </vt:variant>
      <vt:variant>
        <vt:i4>218</vt:i4>
      </vt:variant>
      <vt:variant>
        <vt:i4>0</vt:i4>
      </vt:variant>
      <vt:variant>
        <vt:i4>5</vt:i4>
      </vt:variant>
      <vt:variant>
        <vt:lpwstr/>
      </vt:variant>
      <vt:variant>
        <vt:lpwstr>_Toc213312274</vt:lpwstr>
      </vt:variant>
      <vt:variant>
        <vt:i4>1048626</vt:i4>
      </vt:variant>
      <vt:variant>
        <vt:i4>212</vt:i4>
      </vt:variant>
      <vt:variant>
        <vt:i4>0</vt:i4>
      </vt:variant>
      <vt:variant>
        <vt:i4>5</vt:i4>
      </vt:variant>
      <vt:variant>
        <vt:lpwstr/>
      </vt:variant>
      <vt:variant>
        <vt:lpwstr>_Toc213312273</vt:lpwstr>
      </vt:variant>
      <vt:variant>
        <vt:i4>1048626</vt:i4>
      </vt:variant>
      <vt:variant>
        <vt:i4>206</vt:i4>
      </vt:variant>
      <vt:variant>
        <vt:i4>0</vt:i4>
      </vt:variant>
      <vt:variant>
        <vt:i4>5</vt:i4>
      </vt:variant>
      <vt:variant>
        <vt:lpwstr/>
      </vt:variant>
      <vt:variant>
        <vt:lpwstr>_Toc213312272</vt:lpwstr>
      </vt:variant>
      <vt:variant>
        <vt:i4>1048626</vt:i4>
      </vt:variant>
      <vt:variant>
        <vt:i4>200</vt:i4>
      </vt:variant>
      <vt:variant>
        <vt:i4>0</vt:i4>
      </vt:variant>
      <vt:variant>
        <vt:i4>5</vt:i4>
      </vt:variant>
      <vt:variant>
        <vt:lpwstr/>
      </vt:variant>
      <vt:variant>
        <vt:lpwstr>_Toc213312271</vt:lpwstr>
      </vt:variant>
      <vt:variant>
        <vt:i4>1048626</vt:i4>
      </vt:variant>
      <vt:variant>
        <vt:i4>194</vt:i4>
      </vt:variant>
      <vt:variant>
        <vt:i4>0</vt:i4>
      </vt:variant>
      <vt:variant>
        <vt:i4>5</vt:i4>
      </vt:variant>
      <vt:variant>
        <vt:lpwstr/>
      </vt:variant>
      <vt:variant>
        <vt:lpwstr>_Toc213312270</vt:lpwstr>
      </vt:variant>
      <vt:variant>
        <vt:i4>1114162</vt:i4>
      </vt:variant>
      <vt:variant>
        <vt:i4>188</vt:i4>
      </vt:variant>
      <vt:variant>
        <vt:i4>0</vt:i4>
      </vt:variant>
      <vt:variant>
        <vt:i4>5</vt:i4>
      </vt:variant>
      <vt:variant>
        <vt:lpwstr/>
      </vt:variant>
      <vt:variant>
        <vt:lpwstr>_Toc213312269</vt:lpwstr>
      </vt:variant>
      <vt:variant>
        <vt:i4>1114162</vt:i4>
      </vt:variant>
      <vt:variant>
        <vt:i4>182</vt:i4>
      </vt:variant>
      <vt:variant>
        <vt:i4>0</vt:i4>
      </vt:variant>
      <vt:variant>
        <vt:i4>5</vt:i4>
      </vt:variant>
      <vt:variant>
        <vt:lpwstr/>
      </vt:variant>
      <vt:variant>
        <vt:lpwstr>_Toc213312268</vt:lpwstr>
      </vt:variant>
      <vt:variant>
        <vt:i4>1114162</vt:i4>
      </vt:variant>
      <vt:variant>
        <vt:i4>176</vt:i4>
      </vt:variant>
      <vt:variant>
        <vt:i4>0</vt:i4>
      </vt:variant>
      <vt:variant>
        <vt:i4>5</vt:i4>
      </vt:variant>
      <vt:variant>
        <vt:lpwstr/>
      </vt:variant>
      <vt:variant>
        <vt:lpwstr>_Toc213312267</vt:lpwstr>
      </vt:variant>
      <vt:variant>
        <vt:i4>1114162</vt:i4>
      </vt:variant>
      <vt:variant>
        <vt:i4>170</vt:i4>
      </vt:variant>
      <vt:variant>
        <vt:i4>0</vt:i4>
      </vt:variant>
      <vt:variant>
        <vt:i4>5</vt:i4>
      </vt:variant>
      <vt:variant>
        <vt:lpwstr/>
      </vt:variant>
      <vt:variant>
        <vt:lpwstr>_Toc213312266</vt:lpwstr>
      </vt:variant>
      <vt:variant>
        <vt:i4>1114162</vt:i4>
      </vt:variant>
      <vt:variant>
        <vt:i4>164</vt:i4>
      </vt:variant>
      <vt:variant>
        <vt:i4>0</vt:i4>
      </vt:variant>
      <vt:variant>
        <vt:i4>5</vt:i4>
      </vt:variant>
      <vt:variant>
        <vt:lpwstr/>
      </vt:variant>
      <vt:variant>
        <vt:lpwstr>_Toc213312265</vt:lpwstr>
      </vt:variant>
      <vt:variant>
        <vt:i4>1114162</vt:i4>
      </vt:variant>
      <vt:variant>
        <vt:i4>158</vt:i4>
      </vt:variant>
      <vt:variant>
        <vt:i4>0</vt:i4>
      </vt:variant>
      <vt:variant>
        <vt:i4>5</vt:i4>
      </vt:variant>
      <vt:variant>
        <vt:lpwstr/>
      </vt:variant>
      <vt:variant>
        <vt:lpwstr>_Toc213312264</vt:lpwstr>
      </vt:variant>
      <vt:variant>
        <vt:i4>1114162</vt:i4>
      </vt:variant>
      <vt:variant>
        <vt:i4>152</vt:i4>
      </vt:variant>
      <vt:variant>
        <vt:i4>0</vt:i4>
      </vt:variant>
      <vt:variant>
        <vt:i4>5</vt:i4>
      </vt:variant>
      <vt:variant>
        <vt:lpwstr/>
      </vt:variant>
      <vt:variant>
        <vt:lpwstr>_Toc213312263</vt:lpwstr>
      </vt:variant>
      <vt:variant>
        <vt:i4>1114162</vt:i4>
      </vt:variant>
      <vt:variant>
        <vt:i4>146</vt:i4>
      </vt:variant>
      <vt:variant>
        <vt:i4>0</vt:i4>
      </vt:variant>
      <vt:variant>
        <vt:i4>5</vt:i4>
      </vt:variant>
      <vt:variant>
        <vt:lpwstr/>
      </vt:variant>
      <vt:variant>
        <vt:lpwstr>_Toc213312262</vt:lpwstr>
      </vt:variant>
      <vt:variant>
        <vt:i4>1114162</vt:i4>
      </vt:variant>
      <vt:variant>
        <vt:i4>140</vt:i4>
      </vt:variant>
      <vt:variant>
        <vt:i4>0</vt:i4>
      </vt:variant>
      <vt:variant>
        <vt:i4>5</vt:i4>
      </vt:variant>
      <vt:variant>
        <vt:lpwstr/>
      </vt:variant>
      <vt:variant>
        <vt:lpwstr>_Toc213312261</vt:lpwstr>
      </vt:variant>
      <vt:variant>
        <vt:i4>1114162</vt:i4>
      </vt:variant>
      <vt:variant>
        <vt:i4>134</vt:i4>
      </vt:variant>
      <vt:variant>
        <vt:i4>0</vt:i4>
      </vt:variant>
      <vt:variant>
        <vt:i4>5</vt:i4>
      </vt:variant>
      <vt:variant>
        <vt:lpwstr/>
      </vt:variant>
      <vt:variant>
        <vt:lpwstr>_Toc213312260</vt:lpwstr>
      </vt:variant>
      <vt:variant>
        <vt:i4>1179698</vt:i4>
      </vt:variant>
      <vt:variant>
        <vt:i4>128</vt:i4>
      </vt:variant>
      <vt:variant>
        <vt:i4>0</vt:i4>
      </vt:variant>
      <vt:variant>
        <vt:i4>5</vt:i4>
      </vt:variant>
      <vt:variant>
        <vt:lpwstr/>
      </vt:variant>
      <vt:variant>
        <vt:lpwstr>_Toc213312259</vt:lpwstr>
      </vt:variant>
      <vt:variant>
        <vt:i4>1179698</vt:i4>
      </vt:variant>
      <vt:variant>
        <vt:i4>122</vt:i4>
      </vt:variant>
      <vt:variant>
        <vt:i4>0</vt:i4>
      </vt:variant>
      <vt:variant>
        <vt:i4>5</vt:i4>
      </vt:variant>
      <vt:variant>
        <vt:lpwstr/>
      </vt:variant>
      <vt:variant>
        <vt:lpwstr>_Toc213312258</vt:lpwstr>
      </vt:variant>
      <vt:variant>
        <vt:i4>1179698</vt:i4>
      </vt:variant>
      <vt:variant>
        <vt:i4>116</vt:i4>
      </vt:variant>
      <vt:variant>
        <vt:i4>0</vt:i4>
      </vt:variant>
      <vt:variant>
        <vt:i4>5</vt:i4>
      </vt:variant>
      <vt:variant>
        <vt:lpwstr/>
      </vt:variant>
      <vt:variant>
        <vt:lpwstr>_Toc213312257</vt:lpwstr>
      </vt:variant>
      <vt:variant>
        <vt:i4>1179698</vt:i4>
      </vt:variant>
      <vt:variant>
        <vt:i4>110</vt:i4>
      </vt:variant>
      <vt:variant>
        <vt:i4>0</vt:i4>
      </vt:variant>
      <vt:variant>
        <vt:i4>5</vt:i4>
      </vt:variant>
      <vt:variant>
        <vt:lpwstr/>
      </vt:variant>
      <vt:variant>
        <vt:lpwstr>_Toc213312256</vt:lpwstr>
      </vt:variant>
      <vt:variant>
        <vt:i4>1179698</vt:i4>
      </vt:variant>
      <vt:variant>
        <vt:i4>104</vt:i4>
      </vt:variant>
      <vt:variant>
        <vt:i4>0</vt:i4>
      </vt:variant>
      <vt:variant>
        <vt:i4>5</vt:i4>
      </vt:variant>
      <vt:variant>
        <vt:lpwstr/>
      </vt:variant>
      <vt:variant>
        <vt:lpwstr>_Toc213312255</vt:lpwstr>
      </vt:variant>
      <vt:variant>
        <vt:i4>1179698</vt:i4>
      </vt:variant>
      <vt:variant>
        <vt:i4>98</vt:i4>
      </vt:variant>
      <vt:variant>
        <vt:i4>0</vt:i4>
      </vt:variant>
      <vt:variant>
        <vt:i4>5</vt:i4>
      </vt:variant>
      <vt:variant>
        <vt:lpwstr/>
      </vt:variant>
      <vt:variant>
        <vt:lpwstr>_Toc213312254</vt:lpwstr>
      </vt:variant>
      <vt:variant>
        <vt:i4>1179698</vt:i4>
      </vt:variant>
      <vt:variant>
        <vt:i4>92</vt:i4>
      </vt:variant>
      <vt:variant>
        <vt:i4>0</vt:i4>
      </vt:variant>
      <vt:variant>
        <vt:i4>5</vt:i4>
      </vt:variant>
      <vt:variant>
        <vt:lpwstr/>
      </vt:variant>
      <vt:variant>
        <vt:lpwstr>_Toc213312253</vt:lpwstr>
      </vt:variant>
      <vt:variant>
        <vt:i4>1179698</vt:i4>
      </vt:variant>
      <vt:variant>
        <vt:i4>86</vt:i4>
      </vt:variant>
      <vt:variant>
        <vt:i4>0</vt:i4>
      </vt:variant>
      <vt:variant>
        <vt:i4>5</vt:i4>
      </vt:variant>
      <vt:variant>
        <vt:lpwstr/>
      </vt:variant>
      <vt:variant>
        <vt:lpwstr>_Toc213312252</vt:lpwstr>
      </vt:variant>
      <vt:variant>
        <vt:i4>1179698</vt:i4>
      </vt:variant>
      <vt:variant>
        <vt:i4>80</vt:i4>
      </vt:variant>
      <vt:variant>
        <vt:i4>0</vt:i4>
      </vt:variant>
      <vt:variant>
        <vt:i4>5</vt:i4>
      </vt:variant>
      <vt:variant>
        <vt:lpwstr/>
      </vt:variant>
      <vt:variant>
        <vt:lpwstr>_Toc213312251</vt:lpwstr>
      </vt:variant>
      <vt:variant>
        <vt:i4>1179698</vt:i4>
      </vt:variant>
      <vt:variant>
        <vt:i4>74</vt:i4>
      </vt:variant>
      <vt:variant>
        <vt:i4>0</vt:i4>
      </vt:variant>
      <vt:variant>
        <vt:i4>5</vt:i4>
      </vt:variant>
      <vt:variant>
        <vt:lpwstr/>
      </vt:variant>
      <vt:variant>
        <vt:lpwstr>_Toc213312250</vt:lpwstr>
      </vt:variant>
      <vt:variant>
        <vt:i4>1245234</vt:i4>
      </vt:variant>
      <vt:variant>
        <vt:i4>68</vt:i4>
      </vt:variant>
      <vt:variant>
        <vt:i4>0</vt:i4>
      </vt:variant>
      <vt:variant>
        <vt:i4>5</vt:i4>
      </vt:variant>
      <vt:variant>
        <vt:lpwstr/>
      </vt:variant>
      <vt:variant>
        <vt:lpwstr>_Toc213312249</vt:lpwstr>
      </vt:variant>
      <vt:variant>
        <vt:i4>1245234</vt:i4>
      </vt:variant>
      <vt:variant>
        <vt:i4>62</vt:i4>
      </vt:variant>
      <vt:variant>
        <vt:i4>0</vt:i4>
      </vt:variant>
      <vt:variant>
        <vt:i4>5</vt:i4>
      </vt:variant>
      <vt:variant>
        <vt:lpwstr/>
      </vt:variant>
      <vt:variant>
        <vt:lpwstr>_Toc213312248</vt:lpwstr>
      </vt:variant>
      <vt:variant>
        <vt:i4>1245234</vt:i4>
      </vt:variant>
      <vt:variant>
        <vt:i4>56</vt:i4>
      </vt:variant>
      <vt:variant>
        <vt:i4>0</vt:i4>
      </vt:variant>
      <vt:variant>
        <vt:i4>5</vt:i4>
      </vt:variant>
      <vt:variant>
        <vt:lpwstr/>
      </vt:variant>
      <vt:variant>
        <vt:lpwstr>_Toc213312247</vt:lpwstr>
      </vt:variant>
      <vt:variant>
        <vt:i4>1245234</vt:i4>
      </vt:variant>
      <vt:variant>
        <vt:i4>50</vt:i4>
      </vt:variant>
      <vt:variant>
        <vt:i4>0</vt:i4>
      </vt:variant>
      <vt:variant>
        <vt:i4>5</vt:i4>
      </vt:variant>
      <vt:variant>
        <vt:lpwstr/>
      </vt:variant>
      <vt:variant>
        <vt:lpwstr>_Toc213312246</vt:lpwstr>
      </vt:variant>
      <vt:variant>
        <vt:i4>1245234</vt:i4>
      </vt:variant>
      <vt:variant>
        <vt:i4>44</vt:i4>
      </vt:variant>
      <vt:variant>
        <vt:i4>0</vt:i4>
      </vt:variant>
      <vt:variant>
        <vt:i4>5</vt:i4>
      </vt:variant>
      <vt:variant>
        <vt:lpwstr/>
      </vt:variant>
      <vt:variant>
        <vt:lpwstr>_Toc213312245</vt:lpwstr>
      </vt:variant>
      <vt:variant>
        <vt:i4>1245234</vt:i4>
      </vt:variant>
      <vt:variant>
        <vt:i4>38</vt:i4>
      </vt:variant>
      <vt:variant>
        <vt:i4>0</vt:i4>
      </vt:variant>
      <vt:variant>
        <vt:i4>5</vt:i4>
      </vt:variant>
      <vt:variant>
        <vt:lpwstr/>
      </vt:variant>
      <vt:variant>
        <vt:lpwstr>_Toc213312244</vt:lpwstr>
      </vt:variant>
      <vt:variant>
        <vt:i4>1245234</vt:i4>
      </vt:variant>
      <vt:variant>
        <vt:i4>32</vt:i4>
      </vt:variant>
      <vt:variant>
        <vt:i4>0</vt:i4>
      </vt:variant>
      <vt:variant>
        <vt:i4>5</vt:i4>
      </vt:variant>
      <vt:variant>
        <vt:lpwstr/>
      </vt:variant>
      <vt:variant>
        <vt:lpwstr>_Toc213312243</vt:lpwstr>
      </vt:variant>
      <vt:variant>
        <vt:i4>1245234</vt:i4>
      </vt:variant>
      <vt:variant>
        <vt:i4>26</vt:i4>
      </vt:variant>
      <vt:variant>
        <vt:i4>0</vt:i4>
      </vt:variant>
      <vt:variant>
        <vt:i4>5</vt:i4>
      </vt:variant>
      <vt:variant>
        <vt:lpwstr/>
      </vt:variant>
      <vt:variant>
        <vt:lpwstr>_Toc213312242</vt:lpwstr>
      </vt:variant>
      <vt:variant>
        <vt:i4>1245234</vt:i4>
      </vt:variant>
      <vt:variant>
        <vt:i4>20</vt:i4>
      </vt:variant>
      <vt:variant>
        <vt:i4>0</vt:i4>
      </vt:variant>
      <vt:variant>
        <vt:i4>5</vt:i4>
      </vt:variant>
      <vt:variant>
        <vt:lpwstr/>
      </vt:variant>
      <vt:variant>
        <vt:lpwstr>_Toc213312241</vt:lpwstr>
      </vt:variant>
      <vt:variant>
        <vt:i4>1245234</vt:i4>
      </vt:variant>
      <vt:variant>
        <vt:i4>14</vt:i4>
      </vt:variant>
      <vt:variant>
        <vt:i4>0</vt:i4>
      </vt:variant>
      <vt:variant>
        <vt:i4>5</vt:i4>
      </vt:variant>
      <vt:variant>
        <vt:lpwstr/>
      </vt:variant>
      <vt:variant>
        <vt:lpwstr>_Toc213312240</vt:lpwstr>
      </vt:variant>
      <vt:variant>
        <vt:i4>1310770</vt:i4>
      </vt:variant>
      <vt:variant>
        <vt:i4>8</vt:i4>
      </vt:variant>
      <vt:variant>
        <vt:i4>0</vt:i4>
      </vt:variant>
      <vt:variant>
        <vt:i4>5</vt:i4>
      </vt:variant>
      <vt:variant>
        <vt:lpwstr/>
      </vt:variant>
      <vt:variant>
        <vt:lpwstr>_Toc213312239</vt:lpwstr>
      </vt:variant>
      <vt:variant>
        <vt:i4>1310770</vt:i4>
      </vt:variant>
      <vt:variant>
        <vt:i4>2</vt:i4>
      </vt:variant>
      <vt:variant>
        <vt:i4>0</vt:i4>
      </vt:variant>
      <vt:variant>
        <vt:i4>5</vt:i4>
      </vt:variant>
      <vt:variant>
        <vt:lpwstr/>
      </vt:variant>
      <vt:variant>
        <vt:lpwstr>_Toc213312238</vt:lpwstr>
      </vt:variant>
      <vt:variant>
        <vt:i4>4128824</vt:i4>
      </vt:variant>
      <vt:variant>
        <vt:i4>9</vt:i4>
      </vt:variant>
      <vt:variant>
        <vt:i4>0</vt:i4>
      </vt:variant>
      <vt:variant>
        <vt:i4>5</vt:i4>
      </vt:variant>
      <vt:variant>
        <vt:lpwstr>file:///C:/Users/jhlar/AppData/Local/Microsoft/Windows/INetCache/Content.Outlook/VZBAHD51/from</vt:lpwstr>
      </vt:variant>
      <vt:variant>
        <vt:lpwstr/>
      </vt:variant>
      <vt:variant>
        <vt:i4>5963841</vt:i4>
      </vt:variant>
      <vt:variant>
        <vt:i4>6</vt:i4>
      </vt:variant>
      <vt:variant>
        <vt:i4>0</vt:i4>
      </vt:variant>
      <vt:variant>
        <vt:i4>5</vt:i4>
      </vt:variant>
      <vt:variant>
        <vt:lpwstr>blob:https://tariffsprd.sdge.com/8f157a37-e59d-4dec-b7e5-875c4e46f91a</vt:lpwstr>
      </vt:variant>
      <vt:variant>
        <vt:lpwstr/>
      </vt:variant>
      <vt:variant>
        <vt:i4>7012404</vt:i4>
      </vt:variant>
      <vt:variant>
        <vt:i4>3</vt:i4>
      </vt:variant>
      <vt:variant>
        <vt:i4>0</vt:i4>
      </vt:variant>
      <vt:variant>
        <vt:i4>5</vt:i4>
      </vt:variant>
      <vt:variant>
        <vt:lpwstr>https://www.cpuc.ca.gov/about-cpuc/divisions/safety-policy-division/wildfire-and-safety-performance-implementation-of-wildfire-mitigation-plans</vt:lpwstr>
      </vt:variant>
      <vt:variant>
        <vt:lpwstr/>
      </vt:variant>
      <vt:variant>
        <vt:i4>3211368</vt:i4>
      </vt:variant>
      <vt:variant>
        <vt:i4>0</vt:i4>
      </vt:variant>
      <vt:variant>
        <vt:i4>0</vt:i4>
      </vt:variant>
      <vt:variant>
        <vt:i4>5</vt:i4>
      </vt:variant>
      <vt:variant>
        <vt:lpwstr>https://34c031f8-c9fd-4018-8c5a-4159cdff6b0d-cdn-endpoint.azureedge.net/-/media/calfire-website/our-impact/fire-statistics/top20_destruction_072525</vt:lpwstr>
      </vt:variant>
      <vt:variant>
        <vt:lpwstr/>
      </vt:variant>
      <vt:variant>
        <vt:i4>1048624</vt:i4>
      </vt:variant>
      <vt:variant>
        <vt:i4>12</vt:i4>
      </vt:variant>
      <vt:variant>
        <vt:i4>0</vt:i4>
      </vt:variant>
      <vt:variant>
        <vt:i4>5</vt:i4>
      </vt:variant>
      <vt:variant>
        <vt:lpwstr>mailto:Carmina.Tong@cpuc.ca.gov</vt:lpwstr>
      </vt:variant>
      <vt:variant>
        <vt:lpwstr/>
      </vt:variant>
      <vt:variant>
        <vt:i4>1048624</vt:i4>
      </vt:variant>
      <vt:variant>
        <vt:i4>9</vt:i4>
      </vt:variant>
      <vt:variant>
        <vt:i4>0</vt:i4>
      </vt:variant>
      <vt:variant>
        <vt:i4>5</vt:i4>
      </vt:variant>
      <vt:variant>
        <vt:lpwstr>mailto:Carmina.Tong@cpuc.ca.gov</vt:lpwstr>
      </vt:variant>
      <vt:variant>
        <vt:lpwstr/>
      </vt:variant>
      <vt:variant>
        <vt:i4>1048624</vt:i4>
      </vt:variant>
      <vt:variant>
        <vt:i4>6</vt:i4>
      </vt:variant>
      <vt:variant>
        <vt:i4>0</vt:i4>
      </vt:variant>
      <vt:variant>
        <vt:i4>5</vt:i4>
      </vt:variant>
      <vt:variant>
        <vt:lpwstr>mailto:Carmina.Tong@cpuc.ca.gov</vt:lpwstr>
      </vt:variant>
      <vt:variant>
        <vt:lpwstr/>
      </vt:variant>
      <vt:variant>
        <vt:i4>1048624</vt:i4>
      </vt:variant>
      <vt:variant>
        <vt:i4>3</vt:i4>
      </vt:variant>
      <vt:variant>
        <vt:i4>0</vt:i4>
      </vt:variant>
      <vt:variant>
        <vt:i4>5</vt:i4>
      </vt:variant>
      <vt:variant>
        <vt:lpwstr>mailto:Carmina.Tong@cpuc.ca.gov</vt:lpwstr>
      </vt:variant>
      <vt:variant>
        <vt:lpwstr/>
      </vt:variant>
      <vt:variant>
        <vt:i4>1048624</vt:i4>
      </vt:variant>
      <vt:variant>
        <vt:i4>0</vt:i4>
      </vt:variant>
      <vt:variant>
        <vt:i4>0</vt:i4>
      </vt:variant>
      <vt:variant>
        <vt:i4>5</vt:i4>
      </vt:variant>
      <vt:variant>
        <vt:lpwstr>mailto:Carmina.Tong@cpuc.ca.gov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2026-01-14T12:09:45Z</dcterms:created>
  <dcterms:modified xsi:type="dcterms:W3CDTF">2026-01-14T12:09:45Z</dcterms:modified>
</cp:coreProperties>
</file>