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8F0" w:rsidR="005B113F" w:rsidP="00FD3B90" w:rsidRDefault="00F04B30" w14:paraId="6F6E57ED" w14:textId="19B579ED">
      <w:pPr>
        <w:pStyle w:val="Header"/>
        <w:tabs>
          <w:tab w:val="clear" w:pos="8640"/>
          <w:tab w:val="left" w:pos="7110"/>
          <w:tab w:val="right" w:pos="9180"/>
        </w:tabs>
        <w:rPr>
          <w:rFonts w:ascii="Book Antiqua" w:hAnsi="Book Antiqua"/>
          <w:b/>
          <w:bCs/>
        </w:rPr>
      </w:pPr>
      <w:r w:rsidRPr="001648F0">
        <w:rPr>
          <w:rFonts w:ascii="Book Antiqua" w:hAnsi="Book Antiqua"/>
        </w:rPr>
        <w:t>ALJ/</w:t>
      </w:r>
      <w:r w:rsidRPr="001648F0" w:rsidR="00A14B76">
        <w:rPr>
          <w:rFonts w:ascii="Book Antiqua" w:hAnsi="Book Antiqua"/>
        </w:rPr>
        <w:t>jnf</w:t>
      </w:r>
      <w:r w:rsidR="0096063E">
        <w:rPr>
          <w:rFonts w:ascii="Book Antiqua" w:hAnsi="Book Antiqua"/>
        </w:rPr>
        <w:t>/avs</w:t>
      </w:r>
      <w:r w:rsidRPr="001648F0">
        <w:rPr>
          <w:rFonts w:ascii="Book Antiqua" w:hAnsi="Book Antiqua"/>
        </w:rPr>
        <w:tab/>
      </w:r>
      <w:r w:rsidRPr="001648F0" w:rsidR="005D2F39">
        <w:rPr>
          <w:rFonts w:ascii="Book Antiqua" w:hAnsi="Book Antiqua"/>
          <w:b/>
        </w:rPr>
        <w:tab/>
      </w:r>
      <w:r w:rsidRPr="001648F0" w:rsidR="00043B8E">
        <w:rPr>
          <w:rFonts w:ascii="Book Antiqua" w:hAnsi="Book Antiqua"/>
          <w:b/>
        </w:rPr>
        <w:t xml:space="preserve"> </w:t>
      </w:r>
      <w:r w:rsidRPr="001648F0" w:rsidR="009B1A5B">
        <w:rPr>
          <w:rFonts w:ascii="Book Antiqua" w:hAnsi="Book Antiqua"/>
          <w:b/>
        </w:rPr>
        <w:tab/>
        <w:t>DRAFT</w:t>
      </w:r>
    </w:p>
    <w:p w:rsidRPr="001648F0" w:rsidR="00043B8E" w:rsidP="00043B8E" w:rsidRDefault="00043B8E" w14:paraId="5230D684" w14:textId="28BAE3E4">
      <w:pPr>
        <w:pStyle w:val="Header"/>
        <w:tabs>
          <w:tab w:val="clear" w:pos="8640"/>
          <w:tab w:val="left" w:pos="7110"/>
          <w:tab w:val="right" w:pos="9360"/>
        </w:tabs>
        <w:jc w:val="center"/>
        <w:rPr>
          <w:rFonts w:ascii="Book Antiqua" w:hAnsi="Book Antiqua"/>
          <w:bCs/>
          <w:u w:val="single"/>
        </w:rPr>
      </w:pPr>
      <w:r w:rsidRPr="001648F0">
        <w:rPr>
          <w:rFonts w:ascii="Book Antiqua" w:hAnsi="Book Antiqua"/>
          <w:bCs/>
        </w:rPr>
        <w:tab/>
      </w:r>
    </w:p>
    <w:p w:rsidRPr="001648F0" w:rsidR="005B113F" w:rsidRDefault="005B113F" w14:paraId="7730182E" w14:textId="77777777">
      <w:pPr>
        <w:pStyle w:val="Title"/>
        <w:rPr>
          <w:rFonts w:ascii="Book Antiqua" w:hAnsi="Book Antiqua"/>
          <w:b w:val="0"/>
        </w:rPr>
      </w:pPr>
    </w:p>
    <w:p w:rsidR="005B113F" w:rsidRDefault="00F04B30" w14:paraId="0B1C8AEF" w14:textId="77777777">
      <w:pPr>
        <w:pStyle w:val="Title"/>
      </w:pPr>
      <w:r>
        <w:t xml:space="preserve">PUBLIC UTILITIES COMMISSION OF THE STATE OF </w:t>
      </w:r>
      <w:smartTag w:uri="urn:schemas-microsoft-com:office:smarttags" w:element="State">
        <w:smartTag w:uri="urn:schemas-microsoft-com:office:smarttags" w:element="place">
          <w:r>
            <w:t>CALIFORNIA</w:t>
          </w:r>
        </w:smartTag>
      </w:smartTag>
    </w:p>
    <w:p w:rsidR="005B113F" w:rsidRDefault="005B113F" w14:paraId="610AADCB" w14:textId="77777777"/>
    <w:p w:rsidRPr="009755A5" w:rsidR="005B113F" w:rsidP="009755A5" w:rsidRDefault="00F04B30" w14:paraId="71BA1CB6" w14:textId="620F8D17">
      <w:pPr>
        <w:tabs>
          <w:tab w:val="left" w:pos="3600"/>
        </w:tabs>
        <w:rPr>
          <w:rFonts w:ascii="Book Antiqua" w:hAnsi="Book Antiqua"/>
          <w:szCs w:val="24"/>
        </w:rPr>
      </w:pPr>
      <w:r>
        <w:tab/>
      </w:r>
      <w:r w:rsidRPr="009755A5">
        <w:rPr>
          <w:rFonts w:ascii="Book Antiqua" w:hAnsi="Book Antiqua"/>
          <w:szCs w:val="24"/>
        </w:rPr>
        <w:t>Resolution ALJ 176-</w:t>
      </w:r>
      <w:r w:rsidR="0096063E">
        <w:rPr>
          <w:rFonts w:ascii="Book Antiqua" w:hAnsi="Book Antiqua"/>
          <w:szCs w:val="24"/>
        </w:rPr>
        <w:t>3575</w:t>
      </w:r>
    </w:p>
    <w:p w:rsidRPr="009755A5" w:rsidR="005B113F" w:rsidP="009755A5" w:rsidRDefault="00F04B30" w14:paraId="0BEC5567" w14:textId="40EF86A7">
      <w:pPr>
        <w:tabs>
          <w:tab w:val="left" w:pos="3600"/>
        </w:tabs>
        <w:rPr>
          <w:rFonts w:ascii="Book Antiqua" w:hAnsi="Book Antiqua"/>
          <w:szCs w:val="24"/>
        </w:rPr>
      </w:pPr>
      <w:r w:rsidRPr="009755A5">
        <w:rPr>
          <w:rFonts w:ascii="Book Antiqua" w:hAnsi="Book Antiqua"/>
          <w:szCs w:val="24"/>
        </w:rPr>
        <w:tab/>
        <w:t>Administrative Law Judge Division</w:t>
      </w:r>
    </w:p>
    <w:p w:rsidRPr="009755A5" w:rsidR="00BE1D69" w:rsidP="009755A5" w:rsidRDefault="00F04B30" w14:paraId="62AD9F6D" w14:textId="04EB95B2">
      <w:pPr>
        <w:tabs>
          <w:tab w:val="left" w:pos="3600"/>
        </w:tabs>
        <w:rPr>
          <w:rFonts w:ascii="Book Antiqua" w:hAnsi="Book Antiqua"/>
          <w:szCs w:val="24"/>
        </w:rPr>
      </w:pPr>
      <w:r w:rsidRPr="009755A5">
        <w:rPr>
          <w:rFonts w:ascii="Book Antiqua" w:hAnsi="Book Antiqua"/>
          <w:szCs w:val="24"/>
        </w:rPr>
        <w:tab/>
      </w:r>
      <w:r w:rsidR="0096063E">
        <w:rPr>
          <w:rFonts w:ascii="Book Antiqua" w:hAnsi="Book Antiqua"/>
          <w:szCs w:val="24"/>
        </w:rPr>
        <w:t>January 15, 2026</w:t>
      </w:r>
    </w:p>
    <w:p w:rsidR="00B878E8" w:rsidRDefault="00B878E8" w14:paraId="0BB60DE9" w14:textId="77777777"/>
    <w:p w:rsidR="005B113F" w:rsidRDefault="00F04B30" w14:paraId="2664356A" w14:textId="77777777">
      <w:pPr>
        <w:jc w:val="center"/>
        <w:rPr>
          <w:rFonts w:ascii="Helvetica" w:hAnsi="Helvetic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rsidR="005B113F" w:rsidRDefault="005B113F" w14:paraId="6D61F866" w14:textId="77777777">
      <w:pPr>
        <w:jc w:val="center"/>
      </w:pPr>
    </w:p>
    <w:p w:rsidR="005B113F" w:rsidRDefault="005B113F" w14:paraId="6283598A" w14:textId="77777777"/>
    <w:p w:rsidRPr="00A14B76" w:rsidR="005B113F" w:rsidRDefault="00F04B30" w14:paraId="640EDFF8" w14:textId="59F850C6">
      <w:pPr>
        <w:pStyle w:val="BlockText"/>
        <w:rPr>
          <w:rFonts w:ascii="Book Antiqua" w:hAnsi="Book Antiqua"/>
        </w:rPr>
      </w:pPr>
      <w:r w:rsidRPr="00A14B76">
        <w:rPr>
          <w:rFonts w:ascii="Book Antiqua" w:hAnsi="Book Antiqua"/>
        </w:rPr>
        <w:t>RESOLUTION ALJ 176-</w:t>
      </w:r>
      <w:r w:rsidR="0096063E">
        <w:rPr>
          <w:rFonts w:ascii="Book Antiqua" w:hAnsi="Book Antiqua"/>
        </w:rPr>
        <w:t>3575</w:t>
      </w:r>
      <w:r w:rsidRPr="00A14B76">
        <w:rPr>
          <w:rFonts w:ascii="Book Antiqua" w:hAnsi="Book Antiqua"/>
        </w:rPr>
        <w:t>.  Preliminary determinations of category for proceedings initiated by application pursuant to Rule 7.1 of the Commission’s Rules of Practice and Procedure.</w:t>
      </w:r>
    </w:p>
    <w:p w:rsidR="005B113F" w:rsidRDefault="00F04B30" w14:paraId="546B6D01" w14:textId="77777777">
      <w:pPr>
        <w:tabs>
          <w:tab w:val="right" w:pos="8550"/>
        </w:tabs>
        <w:ind w:left="720" w:right="720"/>
      </w:pPr>
      <w:r>
        <w:rPr>
          <w:u w:val="single"/>
        </w:rPr>
        <w:tab/>
      </w:r>
    </w:p>
    <w:p w:rsidR="005B113F" w:rsidRDefault="005B113F" w14:paraId="38419C93" w14:textId="77777777"/>
    <w:p w:rsidR="005B113F" w:rsidRDefault="005B113F" w14:paraId="48208BBE" w14:textId="77777777"/>
    <w:p w:rsidRPr="00A14B76" w:rsidR="005B113F" w:rsidRDefault="00F04B30" w14:paraId="239DD7C9" w14:textId="27DB68FA">
      <w:pPr>
        <w:rPr>
          <w:rFonts w:ascii="Book Antiqua" w:hAnsi="Book Antiqua"/>
        </w:rPr>
      </w:pPr>
      <w:r w:rsidRPr="00A14B76">
        <w:rPr>
          <w:rFonts w:ascii="Book Antiqua" w:hAnsi="Book Antiqua"/>
        </w:rPr>
        <w:t>Senate Bill (SB) 960 (Leonard, ch. 96-0856) requires, among other things, that the Commission categorize proceedings for purposes of determining the applicable restrictions on ex parte communications and other applicable rules.  The rules implementing these requirements are found, for the most part, in Articles 7 and 8 of the Commission’s Rules of Practice and Procedure.</w:t>
      </w:r>
    </w:p>
    <w:p w:rsidRPr="00A14B76" w:rsidR="005B113F" w:rsidRDefault="005B113F" w14:paraId="796BF2BD" w14:textId="77777777">
      <w:pPr>
        <w:rPr>
          <w:rFonts w:ascii="Book Antiqua" w:hAnsi="Book Antiqua"/>
        </w:rPr>
      </w:pPr>
    </w:p>
    <w:p w:rsidRPr="00A14B76" w:rsidR="005B113F" w:rsidRDefault="00F04B30" w14:paraId="3D4C29C2" w14:textId="33CE0260">
      <w:pPr>
        <w:rPr>
          <w:rFonts w:ascii="Book Antiqua" w:hAnsi="Book Antiqua"/>
        </w:rPr>
      </w:pPr>
      <w:r w:rsidRPr="00A14B76">
        <w:rPr>
          <w:rFonts w:ascii="Book Antiqua" w:hAnsi="Book Antiqua"/>
        </w:rPr>
        <w:t>Rule 7.1 requires the Commission to preliminarily determine, for a proceeding initiated by application, the proceeding’s category</w:t>
      </w:r>
      <w:r w:rsidRPr="00A14B76" w:rsidR="001B116D">
        <w:rPr>
          <w:rFonts w:ascii="Book Antiqua" w:hAnsi="Book Antiqua"/>
        </w:rPr>
        <w:t>.</w:t>
      </w:r>
      <w:r w:rsidRPr="00A14B76">
        <w:rPr>
          <w:rFonts w:ascii="Book Antiqua" w:hAnsi="Book Antiqua"/>
        </w:rPr>
        <w:t xml:space="preserve">  The Commission has reviewed the initial pleading of the utility applicants and makes the preliminary determinations of category as shown in the attached Preliminary Determination Schedule, consistent with the requirements of Rule 7.1.</w:t>
      </w:r>
    </w:p>
    <w:p w:rsidRPr="00A14B76" w:rsidR="005B113F" w:rsidRDefault="005B113F" w14:paraId="2DEABCF0" w14:textId="77777777">
      <w:pPr>
        <w:rPr>
          <w:rFonts w:ascii="Book Antiqua" w:hAnsi="Book Antiqua"/>
        </w:rPr>
      </w:pPr>
    </w:p>
    <w:p w:rsidRPr="00A14B76" w:rsidR="005B113F" w:rsidRDefault="00F04B30" w14:paraId="215F0547" w14:textId="77777777">
      <w:pPr>
        <w:rPr>
          <w:rFonts w:ascii="Book Antiqua" w:hAnsi="Book Antiqua"/>
        </w:rPr>
      </w:pPr>
      <w:r w:rsidRPr="00A14B76">
        <w:rPr>
          <w:rFonts w:ascii="Book Antiqua" w:hAnsi="Book Antiqua"/>
        </w:rPr>
        <w:t>No public review or comment is required for this resolution pursuant to Rule 14.7.</w:t>
      </w:r>
    </w:p>
    <w:p w:rsidRPr="00A14B76" w:rsidR="005B113F" w:rsidRDefault="005B113F" w14:paraId="555A3036" w14:textId="77777777">
      <w:pPr>
        <w:rPr>
          <w:rFonts w:ascii="Book Antiqua" w:hAnsi="Book Antiqua"/>
        </w:rPr>
      </w:pPr>
    </w:p>
    <w:p w:rsidRPr="00A14B76" w:rsidR="005B113F" w:rsidRDefault="00F04B30" w14:paraId="7FF86307" w14:textId="77777777">
      <w:pPr>
        <w:rPr>
          <w:rFonts w:ascii="Book Antiqua" w:hAnsi="Book Antiqua"/>
        </w:rPr>
      </w:pPr>
      <w:r w:rsidRPr="00A14B76">
        <w:rPr>
          <w:rFonts w:ascii="Book Antiqua" w:hAnsi="Book Antiqua"/>
          <w:b/>
        </w:rPr>
        <w:t>IT IS ORDERED</w:t>
      </w:r>
      <w:r w:rsidRPr="00A14B76">
        <w:rPr>
          <w:rFonts w:ascii="Book Antiqua" w:hAnsi="Book Antiqua"/>
        </w:rPr>
        <w:t xml:space="preserve"> that:</w:t>
      </w:r>
    </w:p>
    <w:p w:rsidRPr="00A14B76" w:rsidR="005B113F" w:rsidRDefault="005B113F" w14:paraId="76FBF475" w14:textId="77777777">
      <w:pPr>
        <w:rPr>
          <w:rFonts w:ascii="Book Antiqua" w:hAnsi="Book Antiqua"/>
        </w:rPr>
      </w:pPr>
    </w:p>
    <w:p w:rsidRPr="00A14B76" w:rsidR="005B113F" w:rsidRDefault="00F04B30" w14:paraId="3ADE2284" w14:textId="013DE902">
      <w:pPr>
        <w:pStyle w:val="num1"/>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t>The category for each proceeding initiated by application listed in the attached Schedule of Preliminary Determinations are preliminarily determined, as noted.</w:t>
      </w:r>
    </w:p>
    <w:p w:rsidRPr="00A14B76" w:rsidR="005B113F" w:rsidRDefault="00F04B30" w14:paraId="76DEFF16" w14:textId="77777777">
      <w:pPr>
        <w:pStyle w:val="num1"/>
        <w:keepNext/>
        <w:numPr>
          <w:ilvl w:val="0"/>
          <w:numId w:val="2"/>
        </w:numPr>
        <w:tabs>
          <w:tab w:val="left" w:pos="360"/>
        </w:tabs>
        <w:spacing w:after="120" w:line="240" w:lineRule="auto"/>
        <w:ind w:left="0" w:firstLine="0"/>
        <w:rPr>
          <w:rFonts w:ascii="Book Antiqua" w:hAnsi="Book Antiqua"/>
          <w:sz w:val="24"/>
          <w:szCs w:val="24"/>
        </w:rPr>
      </w:pPr>
      <w:r w:rsidRPr="00A14B76">
        <w:rPr>
          <w:rFonts w:ascii="Book Antiqua" w:hAnsi="Book Antiqua"/>
          <w:sz w:val="24"/>
          <w:szCs w:val="24"/>
        </w:rPr>
        <w:lastRenderedPageBreak/>
        <w:t>This resolution is effective today.</w:t>
      </w:r>
    </w:p>
    <w:p w:rsidRPr="00A14B76" w:rsidR="005B113F" w:rsidRDefault="005B113F" w14:paraId="63ECE6BA" w14:textId="77777777">
      <w:pPr>
        <w:keepNext/>
        <w:rPr>
          <w:rFonts w:ascii="Book Antiqua" w:hAnsi="Book Antiqua"/>
        </w:rPr>
      </w:pPr>
    </w:p>
    <w:p w:rsidRPr="008C1693" w:rsidR="005B113F" w:rsidRDefault="00F04B30" w14:paraId="125C5174" w14:textId="594AA584">
      <w:pPr>
        <w:keepNext/>
        <w:rPr>
          <w:rFonts w:ascii="Book Antiqua" w:hAnsi="Book Antiqua"/>
        </w:rPr>
      </w:pPr>
      <w:r w:rsidRPr="00A14B76">
        <w:rPr>
          <w:rFonts w:ascii="Book Antiqua" w:hAnsi="Book Antiqua"/>
        </w:rPr>
        <w:t xml:space="preserve">I </w:t>
      </w:r>
      <w:r w:rsidRPr="008C1693">
        <w:rPr>
          <w:rFonts w:ascii="Book Antiqua" w:hAnsi="Book Antiqua"/>
        </w:rPr>
        <w:t xml:space="preserve">certify that the foregoing resolution was duly introduced, passed, and adopted at a conference of the Public Utilities Commission of the State of California held on </w:t>
      </w:r>
      <w:r w:rsidR="00D5347F">
        <w:rPr>
          <w:rFonts w:ascii="Book Antiqua" w:hAnsi="Book Antiqua"/>
        </w:rPr>
        <w:t>January 15, 2026</w:t>
      </w:r>
      <w:r w:rsidRPr="008C1693">
        <w:rPr>
          <w:rFonts w:ascii="Book Antiqua" w:hAnsi="Book Antiqua"/>
        </w:rPr>
        <w:t>, the following Commissioners voting favorably thereon:</w:t>
      </w:r>
    </w:p>
    <w:p w:rsidRPr="008C1693" w:rsidR="005B113F" w:rsidP="008C1693" w:rsidRDefault="005B113F" w14:paraId="7AAD877C" w14:textId="77777777">
      <w:pPr>
        <w:keepNext/>
        <w:spacing w:line="360" w:lineRule="auto"/>
        <w:rPr>
          <w:rFonts w:ascii="Book Antiqua" w:hAnsi="Book Antiqua"/>
        </w:rPr>
      </w:pPr>
    </w:p>
    <w:p w:rsidRPr="008C1693" w:rsidR="005B113F" w:rsidP="008C1693" w:rsidRDefault="005B113F" w14:paraId="303975D0" w14:textId="77777777">
      <w:pPr>
        <w:keepNext/>
        <w:spacing w:line="360" w:lineRule="auto"/>
        <w:rPr>
          <w:rFonts w:ascii="Book Antiqua" w:hAnsi="Book Antiqua"/>
        </w:rPr>
      </w:pPr>
    </w:p>
    <w:tbl>
      <w:tblPr>
        <w:tblW w:w="0" w:type="auto"/>
        <w:tblInd w:w="4428" w:type="dxa"/>
        <w:tblLayout w:type="fixed"/>
        <w:tblLook w:val="0000" w:firstRow="0" w:lastRow="0" w:firstColumn="0" w:lastColumn="0" w:noHBand="0" w:noVBand="0"/>
      </w:tblPr>
      <w:tblGrid>
        <w:gridCol w:w="3780"/>
      </w:tblGrid>
      <w:tr w:rsidRPr="008C1693" w:rsidR="005B113F" w14:paraId="14D7A04B" w14:textId="77777777">
        <w:tc>
          <w:tcPr>
            <w:tcW w:w="3780" w:type="dxa"/>
            <w:tcBorders>
              <w:bottom w:val="single" w:color="auto" w:sz="6" w:space="0"/>
            </w:tcBorders>
          </w:tcPr>
          <w:p w:rsidRPr="008C1693" w:rsidR="005B113F" w:rsidP="008C1693" w:rsidRDefault="005B113F" w14:paraId="27697C70" w14:textId="32FEF72F">
            <w:pPr>
              <w:keepNext/>
              <w:jc w:val="center"/>
              <w:rPr>
                <w:rFonts w:ascii="Book Antiqua" w:hAnsi="Book Antiqua"/>
                <w:szCs w:val="24"/>
              </w:rPr>
            </w:pPr>
          </w:p>
        </w:tc>
      </w:tr>
      <w:tr w:rsidRPr="008C1693" w:rsidR="005B113F" w14:paraId="795E95B5" w14:textId="77777777">
        <w:tc>
          <w:tcPr>
            <w:tcW w:w="3780" w:type="dxa"/>
          </w:tcPr>
          <w:p w:rsidRPr="008C1693" w:rsidR="005B113F" w:rsidP="008C1693" w:rsidRDefault="008C1693" w14:paraId="2F2D1B4A" w14:textId="656557E8">
            <w:pPr>
              <w:keepNext/>
              <w:jc w:val="center"/>
              <w:rPr>
                <w:rFonts w:ascii="Book Antiqua" w:hAnsi="Book Antiqua"/>
                <w:szCs w:val="24"/>
              </w:rPr>
            </w:pPr>
            <w:r w:rsidRPr="008C1693">
              <w:rPr>
                <w:rFonts w:ascii="Book Antiqua" w:hAnsi="Book Antiqua"/>
                <w:szCs w:val="24"/>
              </w:rPr>
              <w:t>Rachel Peterson</w:t>
            </w:r>
          </w:p>
          <w:p w:rsidRPr="008C1693" w:rsidR="005B113F" w:rsidP="008C1693" w:rsidRDefault="00F04B30" w14:paraId="707CA8A4" w14:textId="61BB99D9">
            <w:pPr>
              <w:keepNext/>
              <w:jc w:val="center"/>
              <w:rPr>
                <w:rFonts w:ascii="Book Antiqua" w:hAnsi="Book Antiqua"/>
                <w:szCs w:val="24"/>
              </w:rPr>
            </w:pPr>
            <w:r w:rsidRPr="008C1693">
              <w:rPr>
                <w:rFonts w:ascii="Book Antiqua" w:hAnsi="Book Antiqua"/>
                <w:szCs w:val="24"/>
              </w:rPr>
              <w:t>Executive Director</w:t>
            </w:r>
          </w:p>
        </w:tc>
      </w:tr>
    </w:tbl>
    <w:p w:rsidRPr="008C1693" w:rsidR="00D041B0" w:rsidP="008C1693" w:rsidRDefault="00D041B0" w14:paraId="4234CF77" w14:textId="72FF8B7F">
      <w:pPr>
        <w:pStyle w:val="standard"/>
        <w:ind w:firstLine="0"/>
        <w:rPr>
          <w:rFonts w:ascii="Book Antiqua" w:hAnsi="Book Antiqua"/>
        </w:rPr>
      </w:pPr>
    </w:p>
    <w:p w:rsidRPr="008C1693" w:rsidR="00FD3B90" w:rsidP="008C1693" w:rsidRDefault="00FD3B90" w14:paraId="610A3B38" w14:textId="77777777">
      <w:pPr>
        <w:spacing w:line="360" w:lineRule="auto"/>
        <w:rPr>
          <w:rFonts w:ascii="Book Antiqua" w:hAnsi="Book Antiqua"/>
        </w:rPr>
      </w:pPr>
    </w:p>
    <w:p w:rsidRPr="008C1693" w:rsidR="00FD3B90" w:rsidP="00FD3B90" w:rsidRDefault="00FD3B90" w14:paraId="608EC83B" w14:textId="77777777">
      <w:pPr>
        <w:autoSpaceDE w:val="0"/>
        <w:autoSpaceDN w:val="0"/>
        <w:adjustRightInd w:val="0"/>
        <w:ind w:left="4410"/>
        <w:jc w:val="both"/>
        <w:rPr>
          <w:rFonts w:ascii="Book Antiqua" w:hAnsi="Book Antiqua" w:cs="Courier New"/>
          <w:sz w:val="26"/>
          <w:szCs w:val="26"/>
        </w:rPr>
      </w:pPr>
      <w:bookmarkStart w:name="_Hlk17215919" w:id="0"/>
      <w:r w:rsidRPr="008C1693">
        <w:rPr>
          <w:rFonts w:ascii="Book Antiqua" w:hAnsi="Book Antiqua" w:cs="Courier New"/>
          <w:sz w:val="26"/>
          <w:szCs w:val="26"/>
        </w:rPr>
        <w:t>ALICE REYNOLDS</w:t>
      </w:r>
    </w:p>
    <w:p w:rsidRPr="008C1693" w:rsidR="00FD3B90" w:rsidP="007E52E6" w:rsidRDefault="00FD3B90" w14:paraId="60A4670F" w14:textId="77777777">
      <w:pPr>
        <w:autoSpaceDE w:val="0"/>
        <w:autoSpaceDN w:val="0"/>
        <w:adjustRightInd w:val="0"/>
        <w:ind w:left="4410" w:firstLine="1350"/>
        <w:jc w:val="both"/>
        <w:rPr>
          <w:rFonts w:ascii="Book Antiqua" w:hAnsi="Book Antiqua" w:cs="Courier New"/>
          <w:sz w:val="26"/>
          <w:szCs w:val="26"/>
        </w:rPr>
      </w:pPr>
      <w:r w:rsidRPr="008C1693">
        <w:rPr>
          <w:rFonts w:ascii="Book Antiqua" w:hAnsi="Book Antiqua" w:cs="Courier New"/>
          <w:sz w:val="26"/>
          <w:szCs w:val="26"/>
        </w:rPr>
        <w:t>President</w:t>
      </w:r>
    </w:p>
    <w:p w:rsidRPr="008C1693" w:rsidR="00FD3B90" w:rsidP="00FD3B90" w:rsidRDefault="00FD3B90" w14:paraId="489D6EB7"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DARCIE L. HOUCK</w:t>
      </w:r>
    </w:p>
    <w:p w:rsidRPr="008C1693" w:rsidR="00FD3B90" w:rsidP="00FD3B90" w:rsidRDefault="00FD3B90" w14:paraId="5AAD4F46"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JOHN REYNOLDS</w:t>
      </w:r>
    </w:p>
    <w:p w:rsidR="00FD3B90" w:rsidP="00FD3B90" w:rsidRDefault="00FD3B90" w14:paraId="45C726BE" w14:textId="77777777">
      <w:pPr>
        <w:autoSpaceDE w:val="0"/>
        <w:autoSpaceDN w:val="0"/>
        <w:adjustRightInd w:val="0"/>
        <w:ind w:left="4410"/>
        <w:jc w:val="both"/>
        <w:rPr>
          <w:rFonts w:ascii="Book Antiqua" w:hAnsi="Book Antiqua" w:cs="Courier New"/>
          <w:sz w:val="26"/>
          <w:szCs w:val="26"/>
        </w:rPr>
      </w:pPr>
      <w:r w:rsidRPr="008C1693">
        <w:rPr>
          <w:rFonts w:ascii="Book Antiqua" w:hAnsi="Book Antiqua" w:cs="Courier New"/>
          <w:sz w:val="26"/>
          <w:szCs w:val="26"/>
        </w:rPr>
        <w:t>KAREN DOUGLAS</w:t>
      </w:r>
    </w:p>
    <w:p w:rsidRPr="008C1693" w:rsidR="007E52E6" w:rsidP="00FD3B90" w:rsidRDefault="007E52E6" w14:paraId="4EEB1EB8" w14:textId="74F9B58E">
      <w:pPr>
        <w:autoSpaceDE w:val="0"/>
        <w:autoSpaceDN w:val="0"/>
        <w:adjustRightInd w:val="0"/>
        <w:ind w:left="4410"/>
        <w:jc w:val="both"/>
        <w:rPr>
          <w:rFonts w:ascii="Book Antiqua" w:hAnsi="Book Antiqua" w:cs="Courier New"/>
          <w:sz w:val="26"/>
          <w:szCs w:val="26"/>
        </w:rPr>
      </w:pPr>
      <w:r>
        <w:rPr>
          <w:rFonts w:ascii="Book Antiqua" w:hAnsi="Book Antiqua" w:cs="Courier New"/>
          <w:sz w:val="26"/>
          <w:szCs w:val="26"/>
        </w:rPr>
        <w:t>MATTHEW BAKER</w:t>
      </w:r>
    </w:p>
    <w:p w:rsidRPr="008C1693" w:rsidR="00FD3B90" w:rsidP="007E52E6" w:rsidRDefault="00FD3B90" w14:paraId="04261999" w14:textId="77777777">
      <w:pPr>
        <w:autoSpaceDE w:val="0"/>
        <w:autoSpaceDN w:val="0"/>
        <w:adjustRightInd w:val="0"/>
        <w:ind w:left="4410" w:firstLine="720"/>
        <w:jc w:val="both"/>
        <w:rPr>
          <w:rFonts w:ascii="Book Antiqua" w:hAnsi="Book Antiqua" w:cs="Courier New"/>
          <w:sz w:val="26"/>
          <w:szCs w:val="26"/>
        </w:rPr>
      </w:pPr>
      <w:r w:rsidRPr="008C1693">
        <w:rPr>
          <w:rFonts w:ascii="Book Antiqua" w:hAnsi="Book Antiqua" w:cs="Courier New"/>
          <w:sz w:val="26"/>
          <w:szCs w:val="26"/>
        </w:rPr>
        <w:t>Commissioners</w:t>
      </w:r>
    </w:p>
    <w:bookmarkEnd w:id="0"/>
    <w:p w:rsidRPr="008C1693" w:rsidR="003417D7" w:rsidP="00FD3B90" w:rsidRDefault="003417D7" w14:paraId="560044A7" w14:textId="77777777">
      <w:pPr>
        <w:pStyle w:val="standard"/>
        <w:tabs>
          <w:tab w:val="left" w:pos="3510"/>
        </w:tabs>
        <w:spacing w:line="240" w:lineRule="auto"/>
        <w:ind w:left="4410" w:firstLine="0"/>
        <w:rPr>
          <w:rFonts w:ascii="Book Antiqua" w:hAnsi="Book Antiqua"/>
          <w:sz w:val="26"/>
          <w:szCs w:val="26"/>
        </w:rPr>
      </w:pPr>
    </w:p>
    <w:p w:rsidRPr="008C1693" w:rsidR="003E6E4C" w:rsidP="008C1693" w:rsidRDefault="003E6E4C" w14:paraId="338E8781" w14:textId="77777777">
      <w:pPr>
        <w:spacing w:line="360" w:lineRule="auto"/>
        <w:rPr>
          <w:rFonts w:ascii="Book Antiqua" w:hAnsi="Book Antiqua"/>
        </w:rPr>
      </w:pPr>
    </w:p>
    <w:p w:rsidRPr="00D041B0" w:rsidR="00EB4757" w:rsidP="00D041B0" w:rsidRDefault="00EB4757" w14:paraId="2CF54E3B" w14:textId="77777777">
      <w:pPr>
        <w:sectPr w:rsidRPr="00D041B0" w:rsidR="00EB4757" w:rsidSect="009755A5">
          <w:headerReference w:type="default" r:id="rId10"/>
          <w:footerReference w:type="default" r:id="rId11"/>
          <w:footerReference w:type="first" r:id="rId12"/>
          <w:type w:val="continuous"/>
          <w:pgSz w:w="12240" w:h="15840" w:code="1"/>
          <w:pgMar w:top="1440" w:right="1440" w:bottom="1440" w:left="1440" w:header="720" w:footer="720" w:gutter="0"/>
          <w:cols w:space="720"/>
          <w:titlePg/>
          <w:docGrid w:linePitch="326"/>
        </w:sectPr>
      </w:pPr>
    </w:p>
    <w:tbl>
      <w:tblPr>
        <w:tblW w:w="0" w:type="auto"/>
        <w:tblInd w:w="-245" w:type="dxa"/>
        <w:tblLayout w:type="fixed"/>
        <w:tblCellMar>
          <w:left w:w="115" w:type="dxa"/>
          <w:right w:w="115" w:type="dxa"/>
        </w:tblCellMar>
        <w:tblLook w:val="0000" w:firstRow="0" w:lastRow="0" w:firstColumn="0" w:lastColumn="0" w:noHBand="0" w:noVBand="0"/>
      </w:tblPr>
      <w:tblGrid>
        <w:gridCol w:w="144"/>
        <w:gridCol w:w="4511"/>
        <w:gridCol w:w="1710"/>
        <w:gridCol w:w="1710"/>
        <w:gridCol w:w="1530"/>
      </w:tblGrid>
      <w:tr w:rsidR="00D91715" w:rsidTr="00B91F59" w14:paraId="584F2A80" w14:textId="77777777">
        <w:trPr>
          <w:gridBefore w:val="1"/>
          <w:wBefore w:w="144" w:type="dxa"/>
        </w:trPr>
        <w:tc>
          <w:tcPr>
            <w:tcW w:w="9461" w:type="dxa"/>
            <w:gridSpan w:val="4"/>
            <w:tcBorders>
              <w:top w:val="nil"/>
              <w:left w:val="nil"/>
              <w:bottom w:val="nil"/>
              <w:right w:val="nil"/>
            </w:tcBorders>
          </w:tcPr>
        </w:tc>
      </w:tr>
      <w:tr w:rsidR="00B218D6" w:rsidTr="00B91F59" w14:paraId="3C591482"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2E190DE1" w14:textId="77777777">
            <w:r w:rsidRPr="00065886">
              <w:rPr>
                <w:b/>
                <w:bCs/>
              </w:rPr>
              <w:t>A25-10-022</w:t>
            </w:r>
            <w:r>
              <w:rPr>
                <w:b/>
                <w:bCs/>
              </w:rPr>
              <w:t xml:space="preserve"> </w:t>
            </w:r>
            <w:r>
              <w:br/>
              <w:t>Easton Telecom Services, L.L.C., Registration of Easton Telecom Services, L.L.C. for a certificate of public convenience and necessity to provide non-facilities based Digital Voice Fixed Interconnected VoIP services pursuant to Public Utilities Code Section 1013.</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1236403E" w14:textId="77777777">
            <w:pPr>
              <w:jc w:val="center"/>
            </w:pPr>
            <w:r>
              <w:t xml:space="preserve">Adjudicatory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464B3349"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4DFB4A2A" w14:textId="77777777">
            <w:pPr>
              <w:jc w:val="center"/>
            </w:pPr>
          </w:p>
        </w:tc>
      </w:tr>
      <w:tr w:rsidR="00B218D6" w:rsidTr="00B91F59" w14:paraId="55DB9EEE"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4074A49B" w14:textId="16194EE9">
            <w:pPr>
              <w:rPr>
                <w:sz w:val="2"/>
                <w:szCs w:val="2"/>
              </w:rPr>
            </w:pPr>
          </w:p>
        </w:tc>
      </w:tr>
      <w:tr w:rsidR="00B218D6" w:rsidTr="00B91F59" w14:paraId="4FE462B1"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656CFB62" w14:textId="77777777">
            <w:r w:rsidRPr="008F3B00">
              <w:rPr>
                <w:b/>
                <w:bCs/>
              </w:rPr>
              <w:t>A25-11-012</w:t>
            </w:r>
            <w:r>
              <w:rPr>
                <w:b/>
                <w:bCs/>
              </w:rPr>
              <w:t xml:space="preserve"> </w:t>
            </w:r>
            <w:r>
              <w:br/>
              <w:t>Margie C Vitalie, Trevor V. Buchholz, In the matter of the Application of: Margie C. Vitalie, doing business as Door-to-Door Airporter and Trevor V. Buchholz to do business as Door-to-Door Airporter, for approval of the transfer by sale of the operating authority held by Margie C. Vitalie in Passenger Stage Corporation Certificate No. PSC-10974 from Transferor to Transferee, pursuant to the provisions of Public Utilities Code 851 et seq.</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0F4C029" w14:textId="77777777">
            <w:pPr>
              <w:jc w:val="center"/>
            </w:pPr>
            <w:r>
              <w:t xml:space="preserve">Adjudicatory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687CAB66"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11C86557" w14:textId="77777777">
            <w:pPr>
              <w:jc w:val="center"/>
            </w:pPr>
          </w:p>
        </w:tc>
      </w:tr>
      <w:tr w:rsidR="00B218D6" w:rsidTr="00B91F59" w14:paraId="46509CFB"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07AB00F6" w14:textId="246A1E4E">
            <w:pPr>
              <w:rPr>
                <w:sz w:val="2"/>
                <w:szCs w:val="2"/>
              </w:rPr>
            </w:pPr>
          </w:p>
        </w:tc>
      </w:tr>
      <w:tr w:rsidR="00B218D6" w:rsidTr="00B91F59" w14:paraId="3BD703D1"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1DA32B31" w14:textId="77777777">
            <w:r w:rsidRPr="008F3B00">
              <w:rPr>
                <w:b/>
                <w:bCs/>
              </w:rPr>
              <w:t>A25-11-013</w:t>
            </w:r>
            <w:r>
              <w:rPr>
                <w:b/>
                <w:bCs/>
              </w:rPr>
              <w:t xml:space="preserve"> </w:t>
            </w:r>
            <w:r>
              <w:br/>
              <w:t xml:space="preserve">Pro Cloud SaaS, </w:t>
            </w:r>
            <w:proofErr w:type="gramStart"/>
            <w:r>
              <w:t xml:space="preserve">LLC,   </w:t>
            </w:r>
            <w:proofErr w:type="gramEnd"/>
            <w:r>
              <w:t xml:space="preserve">                                     dba TNN, Application of Pro Cloud Saas, LLC for Registration as a Telephone Corporation Pursuant to Public Utilities Code Section 1013.</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17BCC0C2"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3F3B90AB"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6B29C0D1" w14:textId="77777777">
            <w:pPr>
              <w:jc w:val="center"/>
            </w:pPr>
          </w:p>
        </w:tc>
      </w:tr>
      <w:tr w:rsidR="00B218D6" w:rsidTr="00B91F59" w14:paraId="7F2A24AA"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42BA465D" w14:textId="63F4F970">
            <w:pPr>
              <w:rPr>
                <w:sz w:val="2"/>
                <w:szCs w:val="2"/>
              </w:rPr>
            </w:pPr>
          </w:p>
        </w:tc>
      </w:tr>
      <w:tr w:rsidR="00B218D6" w:rsidTr="00B91F59" w14:paraId="7D472500"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0ECD8785" w14:textId="77777777">
            <w:r w:rsidRPr="00EF219F">
              <w:rPr>
                <w:b/>
                <w:bCs/>
                <w:color w:val="000000" w:themeColor="text1"/>
              </w:rPr>
              <w:t xml:space="preserve">A25-12-001 </w:t>
            </w:r>
            <w:r>
              <w:br/>
              <w:t xml:space="preserve">Avalon Freight Services LLC, Application of Avalon Freight Services LLC (VCC-91) For Authorization to Modify Rates for Its Scheduled Vessel Common Carrier Freight Service Between the Port of Los Angeles, </w:t>
            </w:r>
            <w:r>
              <w:lastRenderedPageBreak/>
              <w:t>California on the one hand, and Avalon on Santa Catalina Island on the other hand.</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DD4B33C" w14:textId="77777777">
            <w:pPr>
              <w:jc w:val="center"/>
            </w:pPr>
            <w:proofErr w:type="spellStart"/>
            <w:r>
              <w:lastRenderedPageBreak/>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63ECEE4B"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137EA9DC" w14:textId="77777777">
            <w:pPr>
              <w:jc w:val="center"/>
            </w:pPr>
          </w:p>
        </w:tc>
      </w:tr>
      <w:tr w:rsidR="00B218D6" w:rsidTr="00B91F59" w14:paraId="59797AF7"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2D63672A" w14:textId="481231C0">
            <w:pPr>
              <w:rPr>
                <w:sz w:val="2"/>
                <w:szCs w:val="2"/>
              </w:rPr>
            </w:pPr>
          </w:p>
        </w:tc>
      </w:tr>
      <w:tr w:rsidR="00B218D6" w:rsidTr="00B91F59" w14:paraId="02110489"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246F453A" w14:textId="77777777">
            <w:r w:rsidRPr="00EF219F">
              <w:rPr>
                <w:b/>
                <w:bCs/>
                <w:color w:val="000000" w:themeColor="text1"/>
              </w:rPr>
              <w:t xml:space="preserve">A25-12-002 </w:t>
            </w:r>
            <w:r w:rsidRPr="00EF219F">
              <w:rPr>
                <w:color w:val="000000" w:themeColor="text1"/>
              </w:rPr>
              <w:br/>
            </w:r>
            <w:r>
              <w:t>Southern California Edison Company, Application of Southern California Edison Company (U338E) for Authorization to Recover Incremental Costs Related to Wildfire Mitigation and Catastrophic Events.</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5BBF8056"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5CAB3AE8"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2FFFC40D" w14:textId="77777777">
            <w:pPr>
              <w:jc w:val="center"/>
            </w:pPr>
          </w:p>
        </w:tc>
      </w:tr>
      <w:tr w:rsidR="00B218D6" w:rsidTr="00B91F59" w14:paraId="0E6F702A" w14:textId="77777777">
        <w:trPr>
          <w:gridBefore w:val="1"/>
          <w:wBefore w:w="144" w:type="dxa"/>
        </w:trPr>
        <w:tc>
          <w:tcPr>
            <w:tcW w:w="9461" w:type="dxa"/>
            <w:gridSpan w:val="4"/>
            <w:tcBorders>
              <w:top w:val="nil"/>
              <w:left w:val="nil"/>
              <w:bottom w:val="nil"/>
              <w:right w:val="nil"/>
            </w:tcBorders>
          </w:tcPr>
          <w:p w:rsidRPr="00B91F59" w:rsidR="00B218D6" w:rsidP="002147C9" w:rsidRDefault="00B218D6" w14:paraId="129C3A26" w14:textId="7D0B7A73">
            <w:pPr>
              <w:rPr>
                <w:sz w:val="2"/>
                <w:szCs w:val="2"/>
              </w:rPr>
            </w:pPr>
          </w:p>
        </w:tc>
      </w:tr>
      <w:tr w:rsidR="00B218D6" w:rsidTr="00B91F59" w14:paraId="13264E6C"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642EC31D" w14:textId="77777777">
            <w:r w:rsidRPr="005960D6">
              <w:rPr>
                <w:b/>
                <w:bCs/>
              </w:rPr>
              <w:t>A25-12-004</w:t>
            </w:r>
            <w:r>
              <w:rPr>
                <w:b/>
                <w:bCs/>
              </w:rPr>
              <w:t xml:space="preserve"> </w:t>
            </w:r>
            <w:r>
              <w:br/>
              <w:t>Lodi Gas Storage, L.L.C., Wild Goose Storage, LLC, Joint Application of Wild Goose Storage, LLC (U911G) and Lodi Gas Storage, L.L.C. (U912G) for an Order under Public Utilities Code Sections 829 and 853 to Exempt from Commission Authorization the Encumbrance of the Assets of Wild Goose Storage, LLC and Lodi Gas Storage, L.L.C. and the Issuance of a Corporate Guarantee, or in the Alternative for Authorization for the Same Relief under Sections 830 and 851.</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10010CA"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A910CBF"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19A2BC81" w14:textId="77777777">
            <w:pPr>
              <w:jc w:val="center"/>
            </w:pPr>
          </w:p>
        </w:tc>
      </w:tr>
      <w:tr w:rsidR="00B218D6" w:rsidTr="00B91F59" w14:paraId="435F52D2"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3F9B497F" w14:textId="3C65769A">
            <w:pPr>
              <w:rPr>
                <w:sz w:val="2"/>
                <w:szCs w:val="2"/>
              </w:rPr>
            </w:pPr>
          </w:p>
        </w:tc>
      </w:tr>
      <w:tr w:rsidR="00B218D6" w:rsidTr="00B91F59" w14:paraId="30C5A015"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3AF91948" w14:textId="77777777">
            <w:r w:rsidRPr="005960D6">
              <w:rPr>
                <w:b/>
                <w:bCs/>
              </w:rPr>
              <w:t>A25-12-005</w:t>
            </w:r>
            <w:r>
              <w:rPr>
                <w:b/>
                <w:bCs/>
              </w:rPr>
              <w:t xml:space="preserve"> </w:t>
            </w:r>
            <w:r>
              <w:br/>
              <w:t>NXT Global Inc, Application of NXT Global Inc. for Registration as a Telephone Corporation pursuant to Public Utilities Code Section 1013.</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014BB494"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505B47F0"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58E3A88A" w14:textId="77777777">
            <w:pPr>
              <w:jc w:val="center"/>
            </w:pPr>
          </w:p>
        </w:tc>
      </w:tr>
      <w:tr w:rsidR="00B218D6" w:rsidTr="00B91F59" w14:paraId="61275ADE"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289B1953" w14:textId="6315DD2B">
            <w:pPr>
              <w:rPr>
                <w:sz w:val="2"/>
                <w:szCs w:val="2"/>
              </w:rPr>
            </w:pPr>
          </w:p>
        </w:tc>
      </w:tr>
      <w:tr w:rsidR="00B218D6" w:rsidTr="00B91F59" w14:paraId="393D0E4D"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3DD5EF0F" w14:textId="77777777">
            <w:r w:rsidRPr="005960D6">
              <w:rPr>
                <w:b/>
                <w:bCs/>
              </w:rPr>
              <w:t>A25-12-006</w:t>
            </w:r>
            <w:r>
              <w:rPr>
                <w:b/>
                <w:bCs/>
              </w:rPr>
              <w:t xml:space="preserve"> </w:t>
            </w:r>
            <w:r>
              <w:br/>
              <w:t xml:space="preserve">TF Networks, </w:t>
            </w:r>
            <w:proofErr w:type="gramStart"/>
            <w:r>
              <w:t>MT,-</w:t>
            </w:r>
            <w:proofErr w:type="gramEnd"/>
            <w:r>
              <w:t xml:space="preserve"> Inc., Application of TF Networks, MT, Inc. for Registration as a Telephone Corporation Pursuant to Public Utilities Code Section 1013.</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5340E851"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C1D4B68"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0AE2C8C6" w14:textId="77777777">
            <w:pPr>
              <w:jc w:val="center"/>
            </w:pPr>
          </w:p>
        </w:tc>
      </w:tr>
      <w:tr w:rsidR="00B218D6" w:rsidTr="00B91F59" w14:paraId="051D337A" w14:textId="77777777">
        <w:trPr>
          <w:gridBefore w:val="1"/>
          <w:wBefore w:w="144" w:type="dxa"/>
        </w:trPr>
        <w:tc>
          <w:tcPr>
            <w:tcW w:w="9461" w:type="dxa"/>
            <w:gridSpan w:val="4"/>
            <w:tcBorders>
              <w:top w:val="nil"/>
              <w:left w:val="nil"/>
              <w:bottom w:val="nil"/>
              <w:right w:val="nil"/>
            </w:tcBorders>
          </w:tcPr>
          <w:p w:rsidR="00B218D6" w:rsidP="002147C9" w:rsidRDefault="00B218D6" w14:paraId="765A668D" w14:textId="77777777">
            <w:pPr>
              <w:rPr>
                <w:sz w:val="6"/>
                <w:szCs w:val="6"/>
              </w:rPr>
            </w:pPr>
            <w:r>
              <w:rPr>
                <w:sz w:val="6"/>
                <w:szCs w:val="6"/>
              </w:rPr>
              <w:br/>
            </w:r>
          </w:p>
        </w:tc>
      </w:tr>
      <w:tr w:rsidR="00B218D6" w:rsidTr="00B91F59" w14:paraId="3D7DDD3B"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4C4C735C" w14:textId="77777777">
            <w:r w:rsidRPr="005960D6">
              <w:rPr>
                <w:b/>
                <w:bCs/>
              </w:rPr>
              <w:lastRenderedPageBreak/>
              <w:t>A25-12-009</w:t>
            </w:r>
            <w:r>
              <w:rPr>
                <w:b/>
                <w:bCs/>
              </w:rPr>
              <w:t xml:space="preserve"> </w:t>
            </w:r>
            <w:r>
              <w:br/>
              <w:t>San Diego Gas &amp; Electric Company, Application of San Diego Gas &amp; Electric Company (U902E) for Approval of Palomar Decarbonization Demonstration Project.</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BF2786D"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1002A593"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50969FD0" w14:textId="77777777">
            <w:pPr>
              <w:jc w:val="center"/>
            </w:pPr>
          </w:p>
        </w:tc>
      </w:tr>
      <w:tr w:rsidR="00B218D6" w:rsidTr="00B91F59" w14:paraId="42DAEE59"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209D0524" w14:textId="58D2B1E8">
            <w:pPr>
              <w:rPr>
                <w:sz w:val="2"/>
                <w:szCs w:val="2"/>
              </w:rPr>
            </w:pPr>
          </w:p>
        </w:tc>
      </w:tr>
      <w:tr w:rsidR="00B218D6" w:rsidTr="00B91F59" w14:paraId="6B9F2F7A"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63F6B5FB" w14:textId="77777777">
            <w:r w:rsidRPr="005960D6">
              <w:rPr>
                <w:b/>
                <w:bCs/>
              </w:rPr>
              <w:t>A25-12-012</w:t>
            </w:r>
            <w:r>
              <w:rPr>
                <w:b/>
                <w:bCs/>
              </w:rPr>
              <w:t xml:space="preserve"> </w:t>
            </w:r>
            <w:r>
              <w:br/>
              <w:t>SAN DIEGO GAS &amp; ELECTRIC COMPANY, Application of San Diego Gas &amp; Electric Company (U902M) for Approval of Smart Meter 2.0 Proposal.</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0AB03C5F"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608C85A"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39FAF53E" w14:textId="77777777">
            <w:pPr>
              <w:jc w:val="center"/>
            </w:pPr>
          </w:p>
        </w:tc>
      </w:tr>
      <w:tr w:rsidR="00B218D6" w:rsidTr="00B91F59" w14:paraId="2A61C9AA" w14:textId="77777777">
        <w:trPr>
          <w:gridBefore w:val="1"/>
          <w:wBefore w:w="144" w:type="dxa"/>
        </w:trPr>
        <w:tc>
          <w:tcPr>
            <w:tcW w:w="9461" w:type="dxa"/>
            <w:gridSpan w:val="4"/>
            <w:tcBorders>
              <w:top w:val="nil"/>
              <w:left w:val="nil"/>
              <w:bottom w:val="nil"/>
              <w:right w:val="nil"/>
            </w:tcBorders>
          </w:tcPr>
          <w:p w:rsidRPr="00456DAC" w:rsidR="00B218D6" w:rsidP="002147C9" w:rsidRDefault="00456DAC" w14:paraId="2CE36336" w14:textId="25FFF1B7">
            <w:pPr>
              <w:rPr>
                <w:sz w:val="2"/>
                <w:szCs w:val="2"/>
              </w:rPr>
            </w:pPr>
            <w:r>
              <w:rPr>
                <w:sz w:val="6"/>
                <w:szCs w:val="6"/>
              </w:rPr>
              <w:t>1</w:t>
            </w:r>
            <w:r w:rsidR="00B218D6">
              <w:rPr>
                <w:sz w:val="6"/>
                <w:szCs w:val="6"/>
              </w:rPr>
              <w:br/>
            </w:r>
          </w:p>
        </w:tc>
      </w:tr>
      <w:tr w:rsidR="00B218D6" w:rsidTr="00B91F59" w14:paraId="790EAAC5"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04823755" w14:textId="77777777">
            <w:r w:rsidRPr="005960D6">
              <w:rPr>
                <w:b/>
                <w:bCs/>
              </w:rPr>
              <w:t>A25-12-014</w:t>
            </w:r>
            <w:r>
              <w:rPr>
                <w:b/>
                <w:bCs/>
              </w:rPr>
              <w:t xml:space="preserve"> </w:t>
            </w:r>
            <w:r>
              <w:br/>
              <w:t>Pacific Gas and Electric Company, Standard Pacific Gas Line Incorporated, 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129170AD"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09C6A8C"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3BB06490" w14:textId="77777777">
            <w:pPr>
              <w:jc w:val="center"/>
            </w:pPr>
          </w:p>
        </w:tc>
      </w:tr>
      <w:tr w:rsidR="00B218D6" w:rsidTr="00B91F59" w14:paraId="0009BAC3"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42BA4C31" w14:textId="2115C922">
            <w:pPr>
              <w:rPr>
                <w:sz w:val="2"/>
                <w:szCs w:val="2"/>
              </w:rPr>
            </w:pPr>
          </w:p>
        </w:tc>
      </w:tr>
      <w:tr w:rsidR="00B218D6" w:rsidTr="00C111E8" w14:paraId="3FE21404"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104E7ED8" w14:textId="77777777">
            <w:r w:rsidRPr="005960D6">
              <w:rPr>
                <w:b/>
                <w:bCs/>
              </w:rPr>
              <w:t>A25-12-015</w:t>
            </w:r>
            <w:r>
              <w:rPr>
                <w:b/>
                <w:bCs/>
              </w:rPr>
              <w:t xml:space="preserve"> </w:t>
            </w:r>
            <w:r>
              <w:br/>
              <w:t>Southern California Edison Company, Application of Southern California Edison Company (U-338E) for Approval under Public Utilities Code Section 851 for the Sale of Its North Coast Property.</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E64DA32"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6E137A5C"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7C4A0D03" w14:textId="77777777">
            <w:pPr>
              <w:jc w:val="center"/>
            </w:pPr>
          </w:p>
        </w:tc>
      </w:tr>
      <w:tr w:rsidR="00B218D6" w:rsidTr="00B91F59" w14:paraId="6AF68E0E" w14:textId="77777777">
        <w:trPr>
          <w:gridBefore w:val="1"/>
          <w:wBefore w:w="144" w:type="dxa"/>
        </w:trPr>
        <w:tc>
          <w:tcPr>
            <w:tcW w:w="9461" w:type="dxa"/>
            <w:gridSpan w:val="4"/>
            <w:tcBorders>
              <w:top w:val="nil"/>
              <w:left w:val="nil"/>
              <w:bottom w:val="nil"/>
              <w:right w:val="nil"/>
            </w:tcBorders>
          </w:tcPr>
          <w:p w:rsidR="00B218D6" w:rsidP="002147C9" w:rsidRDefault="00B218D6" w14:paraId="5F26B4E5" w14:textId="77777777">
            <w:pPr>
              <w:rPr>
                <w:sz w:val="6"/>
                <w:szCs w:val="6"/>
              </w:rPr>
            </w:pPr>
            <w:r>
              <w:rPr>
                <w:sz w:val="6"/>
                <w:szCs w:val="6"/>
              </w:rPr>
              <w:br/>
            </w:r>
          </w:p>
        </w:tc>
      </w:tr>
      <w:tr w:rsidR="00B218D6" w:rsidTr="00C111E8" w14:paraId="0A3329D5"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0FB49943" w14:textId="77777777">
            <w:r w:rsidRPr="005960D6">
              <w:rPr>
                <w:b/>
                <w:bCs/>
              </w:rPr>
              <w:lastRenderedPageBreak/>
              <w:t>A25-12-016</w:t>
            </w:r>
            <w:r>
              <w:rPr>
                <w:b/>
                <w:bCs/>
              </w:rPr>
              <w:t xml:space="preserve"> </w:t>
            </w:r>
            <w:r>
              <w:br/>
              <w:t>B2 Solutions, Inc., Application of B2 Solutions, Inc. For Registration as a Telephone Corporation Pursuant to Public Utilities Code Section 1013.</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1E6861A7"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57713FE"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6446C652" w14:textId="77777777">
            <w:pPr>
              <w:jc w:val="center"/>
            </w:pPr>
          </w:p>
        </w:tc>
      </w:tr>
      <w:tr w:rsidR="00B218D6" w:rsidTr="00B91F59" w14:paraId="7AE7DBF7"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67D89563" w14:textId="5BD1D4A6">
            <w:pPr>
              <w:rPr>
                <w:sz w:val="2"/>
                <w:szCs w:val="2"/>
              </w:rPr>
            </w:pPr>
          </w:p>
        </w:tc>
      </w:tr>
      <w:tr w:rsidR="00B218D6" w:rsidTr="00C111E8" w14:paraId="442A8CB8"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2BEE8D3D" w14:textId="77777777">
            <w:r w:rsidRPr="005960D6">
              <w:rPr>
                <w:b/>
                <w:bCs/>
              </w:rPr>
              <w:t>A25-12-017</w:t>
            </w:r>
            <w:r>
              <w:rPr>
                <w:b/>
                <w:bCs/>
              </w:rPr>
              <w:t xml:space="preserve"> </w:t>
            </w:r>
            <w:r>
              <w:br/>
            </w:r>
            <w:proofErr w:type="spellStart"/>
            <w:r>
              <w:t>altafiber</w:t>
            </w:r>
            <w:proofErr w:type="spellEnd"/>
            <w:r>
              <w:t xml:space="preserve"> Extended Territories California LLC, Application of </w:t>
            </w:r>
            <w:proofErr w:type="spellStart"/>
            <w:r>
              <w:t>altafiber</w:t>
            </w:r>
            <w:proofErr w:type="spellEnd"/>
            <w:r>
              <w:t xml:space="preserve"> Extended Territories California LLC for a Certificate of Public Convenience and Necessity to Provide Facilities-Based and Resold Local Exchange and Interexchange Service in California</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9AD3666"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050CCDB6"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573C6CE6" w14:textId="77777777">
            <w:pPr>
              <w:jc w:val="center"/>
            </w:pPr>
          </w:p>
        </w:tc>
      </w:tr>
      <w:tr w:rsidR="00B218D6" w:rsidTr="00B91F59" w14:paraId="5C826928"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2F654E87" w14:textId="5567C171">
            <w:pPr>
              <w:rPr>
                <w:sz w:val="2"/>
                <w:szCs w:val="2"/>
              </w:rPr>
            </w:pPr>
          </w:p>
        </w:tc>
      </w:tr>
      <w:tr w:rsidR="00B218D6" w:rsidTr="00C111E8" w14:paraId="4F02E8EC"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120914C0" w14:textId="77777777">
            <w:r w:rsidRPr="005960D6">
              <w:rPr>
                <w:b/>
                <w:bCs/>
              </w:rPr>
              <w:t>A25-12-019</w:t>
            </w:r>
            <w:r>
              <w:rPr>
                <w:b/>
                <w:bCs/>
              </w:rPr>
              <w:t xml:space="preserve"> </w:t>
            </w:r>
            <w:r>
              <w:br/>
              <w:t>Southern California Gas Company, Application of Southern California Gas Company (U904G) for Authorization to Implement Revenue Requirement for Advanced Meter Infrastructure Replacement Project.</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016DCED7"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6CA4AD59"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049B25B9" w14:textId="77777777">
            <w:pPr>
              <w:jc w:val="center"/>
            </w:pPr>
          </w:p>
        </w:tc>
      </w:tr>
      <w:tr w:rsidR="00B218D6" w:rsidTr="00C111E8" w14:paraId="7860466E"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6A91D9E0" w14:textId="0874E897">
            <w:pPr>
              <w:rPr>
                <w:sz w:val="2"/>
                <w:szCs w:val="2"/>
              </w:rPr>
            </w:pPr>
          </w:p>
        </w:tc>
      </w:tr>
      <w:tr w:rsidR="00B218D6" w:rsidTr="00C111E8" w14:paraId="1675CD70"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207AE4EC" w14:textId="77777777">
            <w:r w:rsidRPr="005960D6">
              <w:rPr>
                <w:b/>
                <w:bCs/>
              </w:rPr>
              <w:t>A25-12-020</w:t>
            </w:r>
            <w:r>
              <w:rPr>
                <w:b/>
                <w:bCs/>
              </w:rPr>
              <w:t xml:space="preserve"> </w:t>
            </w:r>
            <w:r>
              <w:br/>
              <w:t xml:space="preserve">Ex Spa Holdings, LLC, </w:t>
            </w:r>
            <w:proofErr w:type="spellStart"/>
            <w:r>
              <w:t>Exiant</w:t>
            </w:r>
            <w:proofErr w:type="spellEnd"/>
            <w:r>
              <w:t xml:space="preserve"> Communications LLC, Joint Application of Ex Spa Holdings, LLC and </w:t>
            </w:r>
            <w:proofErr w:type="spellStart"/>
            <w:r>
              <w:t>Exiant</w:t>
            </w:r>
            <w:proofErr w:type="spellEnd"/>
            <w:r>
              <w:t xml:space="preserve"> Communications LLC for Approval Pursuant to Public Utilities Code Section 854 of the Transfer of Control of </w:t>
            </w:r>
            <w:proofErr w:type="spellStart"/>
            <w:r>
              <w:t>Exiant</w:t>
            </w:r>
            <w:proofErr w:type="spellEnd"/>
            <w:r>
              <w:t xml:space="preserve"> Communications LLC (Utility ID1565).</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5ACE80F" w14:textId="77777777">
            <w:pPr>
              <w:jc w:val="center"/>
            </w:pPr>
            <w:r>
              <w:t xml:space="preserve">Adjudicatory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54F555F"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7F8B1A1D" w14:textId="77777777">
            <w:pPr>
              <w:jc w:val="center"/>
            </w:pPr>
          </w:p>
        </w:tc>
      </w:tr>
      <w:tr w:rsidR="00B218D6" w:rsidTr="00C111E8" w14:paraId="64EB0833"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405701C0" w14:textId="080BA8D9">
            <w:pPr>
              <w:rPr>
                <w:sz w:val="2"/>
                <w:szCs w:val="2"/>
              </w:rPr>
            </w:pPr>
          </w:p>
        </w:tc>
      </w:tr>
      <w:tr w:rsidR="00B218D6" w:rsidTr="00C111E8" w14:paraId="37F3334C"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27A68A7C" w14:textId="77777777">
            <w:r w:rsidRPr="005960D6">
              <w:rPr>
                <w:b/>
                <w:bCs/>
              </w:rPr>
              <w:t>A25-12-021</w:t>
            </w:r>
            <w:r>
              <w:rPr>
                <w:b/>
                <w:bCs/>
              </w:rPr>
              <w:t xml:space="preserve"> </w:t>
            </w:r>
            <w:r>
              <w:br/>
              <w:t xml:space="preserve">Seaview West Coast Logistics LLC, Zenith Energy Terminals Holdings LLC, Zenith Energy West Coast Terminals LLC, [PUBLIC VERSION] Joint Application by Zenith Energy Terminals </w:t>
            </w:r>
            <w:r>
              <w:lastRenderedPageBreak/>
              <w:t xml:space="preserve">Holdings, LLC, Zenith Energy West Coast Terminals LLC (PLC-28), and Seaview West Coast Logistics LLC, for Approval of Transfer of Control of Zenith Energy West Coast Terminals LLC Pursuant to California Public Utilities Code Section 854(a), for Approval to Assume the Obligations of a Parent Pursuant to California Public Utilities Code Section 830, and for an Order Pursuant to California Public Utilities Code Section 851(a) to Encumber </w:t>
            </w:r>
            <w:r w:rsidRPr="005960D6">
              <w:t>Public Utility Assets.</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3B1B777C" w14:textId="77777777">
            <w:pPr>
              <w:jc w:val="center"/>
            </w:pPr>
            <w:proofErr w:type="spellStart"/>
            <w:r>
              <w:lastRenderedPageBreak/>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7C3B1FB"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198FAD2C" w14:textId="77777777">
            <w:pPr>
              <w:jc w:val="center"/>
            </w:pPr>
          </w:p>
        </w:tc>
      </w:tr>
      <w:tr w:rsidR="00B218D6" w:rsidTr="00C111E8" w14:paraId="122731E0"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0803BAF0" w14:textId="425944F4">
            <w:pPr>
              <w:rPr>
                <w:sz w:val="2"/>
                <w:szCs w:val="2"/>
              </w:rPr>
            </w:pPr>
          </w:p>
        </w:tc>
      </w:tr>
      <w:tr w:rsidR="00B218D6" w:rsidTr="00C111E8" w14:paraId="284253F0"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04B12A0E" w14:textId="77777777">
            <w:r w:rsidRPr="0079568A">
              <w:rPr>
                <w:b/>
                <w:bCs/>
              </w:rPr>
              <w:t>A25-12-023</w:t>
            </w:r>
            <w:r>
              <w:rPr>
                <w:b/>
                <w:bCs/>
              </w:rPr>
              <w:t xml:space="preserve"> </w:t>
            </w:r>
            <w:r>
              <w:br/>
              <w:t xml:space="preserve">805 LINKS </w:t>
            </w:r>
            <w:proofErr w:type="gramStart"/>
            <w:r>
              <w:t xml:space="preserve">LLC,   </w:t>
            </w:r>
            <w:proofErr w:type="gramEnd"/>
            <w:r>
              <w:t xml:space="preserve">                                     dba 805, Application of 805 Links LLC for authority to obtain a Certificate of Public Convenience and Necessity and the authority to operate as a scheduled passenger stage corporation between points in the cities of Ventura, Oxnard, Camarillo and Los Angeles and to establish a Zone of Rate Freedom (ZORF) fare structure.</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1BA72019"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5871DB8" w14:textId="77777777">
            <w:pPr>
              <w:jc w:val="center"/>
            </w:pPr>
            <w:r>
              <w:t>Not Applicable</w:t>
            </w:r>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5B8C165A" w14:textId="77777777">
            <w:pPr>
              <w:jc w:val="center"/>
            </w:pPr>
          </w:p>
        </w:tc>
      </w:tr>
      <w:tr w:rsidR="00B218D6" w:rsidTr="00C111E8" w14:paraId="3755C251"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139ADE7B" w14:textId="75B7205A">
            <w:pPr>
              <w:rPr>
                <w:sz w:val="2"/>
                <w:szCs w:val="2"/>
              </w:rPr>
            </w:pPr>
          </w:p>
        </w:tc>
      </w:tr>
      <w:tr w:rsidR="00B218D6" w:rsidTr="00C111E8" w14:paraId="6AC06626"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700C68A7" w14:textId="77777777">
            <w:r w:rsidRPr="0079568A">
              <w:rPr>
                <w:b/>
                <w:bCs/>
              </w:rPr>
              <w:t>A26-01-001</w:t>
            </w:r>
            <w:r>
              <w:rPr>
                <w:b/>
                <w:bCs/>
              </w:rPr>
              <w:t xml:space="preserve"> </w:t>
            </w:r>
            <w:r>
              <w:br/>
              <w:t>Suburban Water Systems, Application of Suburban Water Systems (U339W) for Authority to Increase Rates Charged for Water Service by $19,971,673 or 19.41% in 2027, by $10,876,890 or 8.91% in 2028, and by $10,831,656 or 8.15% in 2029.</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2717B698"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53C4BCA9"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3D867843" w14:textId="77777777">
            <w:pPr>
              <w:jc w:val="center"/>
            </w:pPr>
          </w:p>
        </w:tc>
      </w:tr>
      <w:tr w:rsidR="00B218D6" w:rsidTr="00C111E8" w14:paraId="05397CF7"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2A186723" w14:textId="0D610320">
            <w:pPr>
              <w:rPr>
                <w:sz w:val="2"/>
                <w:szCs w:val="2"/>
              </w:rPr>
            </w:pPr>
            <w:r>
              <w:br w:type="page"/>
            </w:r>
          </w:p>
        </w:tc>
      </w:tr>
      <w:tr w:rsidR="00B218D6" w:rsidTr="00C111E8" w14:paraId="059407B4"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097BBBA4" w14:textId="77777777">
            <w:r w:rsidRPr="0079568A">
              <w:rPr>
                <w:b/>
                <w:bCs/>
              </w:rPr>
              <w:t>A26-01-002</w:t>
            </w:r>
            <w:r>
              <w:rPr>
                <w:b/>
                <w:bCs/>
              </w:rPr>
              <w:t xml:space="preserve"> </w:t>
            </w:r>
            <w:r>
              <w:br/>
              <w:t xml:space="preserve">Southern California Edison Company, Application of Southern California </w:t>
            </w:r>
            <w:r>
              <w:lastRenderedPageBreak/>
              <w:t xml:space="preserve">Edison Company (U338E) for Approval under Public Utilities Code Section 851 for the Grant </w:t>
            </w:r>
            <w:proofErr w:type="gramStart"/>
            <w:r>
              <w:t>of  Public</w:t>
            </w:r>
            <w:proofErr w:type="gramEnd"/>
            <w:r>
              <w:t xml:space="preserve"> Road and Limited Utilities Easements to City of Ontario.</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6ADA46FC" w14:textId="77777777">
            <w:pPr>
              <w:jc w:val="center"/>
            </w:pPr>
            <w:proofErr w:type="spellStart"/>
            <w:r>
              <w:lastRenderedPageBreak/>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52E22B88"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49ACCF28" w14:textId="77777777">
            <w:pPr>
              <w:jc w:val="center"/>
            </w:pPr>
          </w:p>
        </w:tc>
      </w:tr>
      <w:tr w:rsidR="00B218D6" w:rsidTr="00C111E8" w14:paraId="3EDD58D2" w14:textId="77777777">
        <w:trPr>
          <w:gridBefore w:val="1"/>
          <w:wBefore w:w="144" w:type="dxa"/>
        </w:trPr>
        <w:tc>
          <w:tcPr>
            <w:tcW w:w="9461" w:type="dxa"/>
            <w:gridSpan w:val="4"/>
            <w:tcBorders>
              <w:top w:val="nil"/>
              <w:left w:val="nil"/>
              <w:bottom w:val="nil"/>
              <w:right w:val="nil"/>
            </w:tcBorders>
          </w:tcPr>
          <w:p w:rsidRPr="00456DAC" w:rsidR="00B218D6" w:rsidP="002147C9" w:rsidRDefault="00B218D6" w14:paraId="1AF83386" w14:textId="5DC1A1CA">
            <w:pPr>
              <w:rPr>
                <w:sz w:val="2"/>
                <w:szCs w:val="2"/>
              </w:rPr>
            </w:pPr>
          </w:p>
        </w:tc>
      </w:tr>
      <w:tr w:rsidR="00B218D6" w:rsidTr="00C111E8" w14:paraId="071A33D7" w14:textId="77777777">
        <w:tc>
          <w:tcPr>
            <w:tcW w:w="4655" w:type="dxa"/>
            <w:gridSpan w:val="2"/>
            <w:tcBorders>
              <w:top w:val="single" w:color="auto" w:sz="6" w:space="0"/>
              <w:left w:val="single" w:color="auto" w:sz="6" w:space="0"/>
              <w:bottom w:val="single" w:color="auto" w:sz="6" w:space="0"/>
              <w:right w:val="single" w:color="auto" w:sz="6" w:space="0"/>
            </w:tcBorders>
          </w:tcPr>
          <w:p w:rsidR="00B218D6" w:rsidP="002147C9" w:rsidRDefault="00B218D6" w14:paraId="4CA55285" w14:textId="77777777">
            <w:r w:rsidRPr="0079568A">
              <w:rPr>
                <w:b/>
                <w:bCs/>
              </w:rPr>
              <w:t>A26-01-003</w:t>
            </w:r>
            <w:r>
              <w:rPr>
                <w:b/>
                <w:bCs/>
              </w:rPr>
              <w:t xml:space="preserve"> </w:t>
            </w:r>
            <w:r>
              <w:br/>
              <w:t>Pacific Gas and Electric Company, Pacific Gas and Electric Company's (U 39 M) Application for Approval of its 2028-2033 Income-Qualified Programs.</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7D5B972C" w14:textId="77777777">
            <w:pPr>
              <w:jc w:val="center"/>
            </w:pPr>
            <w:proofErr w:type="spellStart"/>
            <w:r>
              <w:t>Ratesetting</w:t>
            </w:r>
            <w:proofErr w:type="spellEnd"/>
            <w:r>
              <w:t xml:space="preserve"> </w:t>
            </w:r>
          </w:p>
        </w:tc>
        <w:tc>
          <w:tcPr>
            <w:tcW w:w="1710" w:type="dxa"/>
            <w:tcBorders>
              <w:top w:val="single" w:color="auto" w:sz="6" w:space="0"/>
              <w:left w:val="single" w:color="auto" w:sz="6" w:space="0"/>
              <w:bottom w:val="single" w:color="auto" w:sz="6" w:space="0"/>
              <w:right w:val="single" w:color="auto" w:sz="6" w:space="0"/>
            </w:tcBorders>
          </w:tcPr>
          <w:p w:rsidR="00B218D6" w:rsidP="002147C9" w:rsidRDefault="00B218D6" w14:paraId="3DC3718A" w14:textId="77777777">
            <w:pPr>
              <w:jc w:val="center"/>
            </w:pPr>
            <w:proofErr w:type="spellStart"/>
            <w:r>
              <w:t>Ratesetting</w:t>
            </w:r>
            <w:proofErr w:type="spellEnd"/>
          </w:p>
        </w:tc>
        <w:tc>
          <w:tcPr>
            <w:tcW w:w="1530" w:type="dxa"/>
            <w:tcBorders>
              <w:top w:val="single" w:color="auto" w:sz="6" w:space="0"/>
              <w:left w:val="single" w:color="auto" w:sz="6" w:space="0"/>
              <w:bottom w:val="single" w:color="auto" w:sz="6" w:space="0"/>
              <w:right w:val="single" w:color="auto" w:sz="6" w:space="0"/>
            </w:tcBorders>
          </w:tcPr>
          <w:p w:rsidR="00B218D6" w:rsidP="002147C9" w:rsidRDefault="00B218D6" w14:paraId="0DE78D08" w14:textId="77777777">
            <w:pPr>
              <w:jc w:val="center"/>
            </w:pPr>
          </w:p>
        </w:tc>
      </w:tr>
    </w:tbl>
    <w:p w:rsidR="00B218D6" w:rsidP="00B218D6" w:rsidRDefault="00B218D6" w14:paraId="134380F8" w14:textId="77777777"/>
    <w:p w:rsidRPr="001648F0" w:rsidR="001648F0" w:rsidP="00B218D6" w:rsidRDefault="001648F0" w14:paraId="58AFAE92" w14:textId="01A0FC31">
      <w:pPr>
        <w:tabs>
          <w:tab w:val="left" w:pos="3585"/>
        </w:tabs>
      </w:pPr>
    </w:p>
    <w:sectPr w:rsidRPr="001648F0" w:rsidR="001648F0" w:rsidSect="007E3378">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F944" w14:textId="77777777" w:rsidR="00555036" w:rsidRDefault="00555036">
      <w:r>
        <w:separator/>
      </w:r>
    </w:p>
  </w:endnote>
  <w:endnote w:type="continuationSeparator" w:id="0">
    <w:p w14:paraId="55FA0212" w14:textId="77777777" w:rsidR="00555036" w:rsidRDefault="0055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7ADC" w14:textId="170659D5" w:rsidR="00591E1E" w:rsidRPr="00591E1E" w:rsidRDefault="00591E1E" w:rsidP="00591E1E">
    <w:pPr>
      <w:pStyle w:val="Footer"/>
      <w:tabs>
        <w:tab w:val="clear" w:pos="4320"/>
        <w:tab w:val="center" w:pos="4680"/>
      </w:tabs>
      <w:jc w:val="center"/>
      <w:rPr>
        <w:rFonts w:ascii="Book Antiqua" w:hAnsi="Book Antiqua"/>
      </w:rPr>
    </w:pPr>
    <w:r w:rsidRPr="001648F0">
      <w:rPr>
        <w:rFonts w:ascii="Book Antiqua" w:hAnsi="Book Antiqua"/>
      </w:rPr>
      <w:t xml:space="preserve">- </w:t>
    </w:r>
    <w:r w:rsidRPr="001648F0">
      <w:rPr>
        <w:rStyle w:val="PageNumber"/>
        <w:rFonts w:ascii="Book Antiqua" w:hAnsi="Book Antiqua"/>
      </w:rPr>
      <w:fldChar w:fldCharType="begin"/>
    </w:r>
    <w:r w:rsidRPr="001648F0">
      <w:rPr>
        <w:rStyle w:val="PageNumber"/>
        <w:rFonts w:ascii="Book Antiqua" w:hAnsi="Book Antiqua"/>
      </w:rPr>
      <w:instrText xml:space="preserve"> PAGE </w:instrText>
    </w:r>
    <w:r w:rsidRPr="001648F0">
      <w:rPr>
        <w:rStyle w:val="PageNumber"/>
        <w:rFonts w:ascii="Book Antiqua" w:hAnsi="Book Antiqua"/>
      </w:rPr>
      <w:fldChar w:fldCharType="separate"/>
    </w:r>
    <w:r>
      <w:rPr>
        <w:rStyle w:val="PageNumber"/>
        <w:rFonts w:ascii="Book Antiqua" w:hAnsi="Book Antiqua"/>
      </w:rPr>
      <w:t>1</w:t>
    </w:r>
    <w:r w:rsidRPr="001648F0">
      <w:rPr>
        <w:rStyle w:val="PageNumber"/>
        <w:rFonts w:ascii="Book Antiqua" w:hAnsi="Book Antiqua"/>
      </w:rPr>
      <w:fldChar w:fldCharType="end"/>
    </w:r>
    <w:r w:rsidRPr="001648F0">
      <w:rPr>
        <w:rStyle w:val="PageNumbe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C6C" w14:textId="45855644" w:rsidR="00591E1E" w:rsidRPr="00591E1E" w:rsidRDefault="00591E1E" w:rsidP="00591E1E">
    <w:pPr>
      <w:pStyle w:val="Footer"/>
      <w:tabs>
        <w:tab w:val="clear" w:pos="4320"/>
        <w:tab w:val="center" w:pos="4680"/>
      </w:tabs>
      <w:jc w:val="center"/>
      <w:rPr>
        <w:rFonts w:ascii="Book Antiqua" w:hAnsi="Book Antiqua"/>
      </w:rPr>
    </w:pPr>
    <w:r w:rsidRPr="001648F0">
      <w:rPr>
        <w:rFonts w:ascii="Book Antiqua" w:hAnsi="Book Antiqua"/>
      </w:rPr>
      <w:t xml:space="preserve">- </w:t>
    </w:r>
    <w:r w:rsidRPr="001648F0">
      <w:rPr>
        <w:rStyle w:val="PageNumber"/>
        <w:rFonts w:ascii="Book Antiqua" w:hAnsi="Book Antiqua"/>
      </w:rPr>
      <w:fldChar w:fldCharType="begin"/>
    </w:r>
    <w:r w:rsidRPr="001648F0">
      <w:rPr>
        <w:rStyle w:val="PageNumber"/>
        <w:rFonts w:ascii="Book Antiqua" w:hAnsi="Book Antiqua"/>
      </w:rPr>
      <w:instrText xml:space="preserve"> PAGE </w:instrText>
    </w:r>
    <w:r w:rsidRPr="001648F0">
      <w:rPr>
        <w:rStyle w:val="PageNumber"/>
        <w:rFonts w:ascii="Book Antiqua" w:hAnsi="Book Antiqua"/>
      </w:rPr>
      <w:fldChar w:fldCharType="separate"/>
    </w:r>
    <w:r>
      <w:rPr>
        <w:rStyle w:val="PageNumber"/>
        <w:rFonts w:ascii="Book Antiqua" w:hAnsi="Book Antiqua"/>
      </w:rPr>
      <w:t>1</w:t>
    </w:r>
    <w:r w:rsidRPr="001648F0">
      <w:rPr>
        <w:rStyle w:val="PageNumber"/>
        <w:rFonts w:ascii="Book Antiqua" w:hAnsi="Book Antiqua"/>
      </w:rPr>
      <w:fldChar w:fldCharType="end"/>
    </w:r>
    <w:r w:rsidRPr="001648F0">
      <w:rPr>
        <w:rStyle w:val="PageNumber"/>
        <w:rFonts w:ascii="Book Antiqua" w:hAnsi="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66FD" w14:textId="3825F0C4" w:rsidR="00445D10" w:rsidRPr="008C1693" w:rsidRDefault="007E3378" w:rsidP="00F86487">
    <w:pPr>
      <w:pStyle w:val="Footer"/>
      <w:jc w:val="center"/>
      <w:rPr>
        <w:rFonts w:ascii="Book Antiqua" w:hAnsi="Book Antiqua"/>
      </w:rPr>
    </w:pPr>
    <w:r w:rsidRPr="008C1693">
      <w:rPr>
        <w:rFonts w:ascii="Book Antiqua" w:hAnsi="Book Antiqua"/>
      </w:rPr>
      <w:t xml:space="preserve">- </w:t>
    </w:r>
    <w:r w:rsidRPr="008C1693">
      <w:rPr>
        <w:rFonts w:ascii="Book Antiqua" w:hAnsi="Book Antiqua"/>
      </w:rPr>
      <w:fldChar w:fldCharType="begin"/>
    </w:r>
    <w:r w:rsidRPr="008C1693">
      <w:rPr>
        <w:rFonts w:ascii="Book Antiqua" w:hAnsi="Book Antiqua"/>
      </w:rPr>
      <w:instrText xml:space="preserve"> PAGE   \* MERGEFORMAT </w:instrText>
    </w:r>
    <w:r w:rsidRPr="008C1693">
      <w:rPr>
        <w:rFonts w:ascii="Book Antiqua" w:hAnsi="Book Antiqua"/>
      </w:rPr>
      <w:fldChar w:fldCharType="separate"/>
    </w:r>
    <w:r w:rsidRPr="008C1693">
      <w:rPr>
        <w:rFonts w:ascii="Book Antiqua" w:hAnsi="Book Antiqua"/>
        <w:noProof/>
      </w:rPr>
      <w:t>1</w:t>
    </w:r>
    <w:r w:rsidRPr="008C1693">
      <w:rPr>
        <w:rFonts w:ascii="Book Antiqua" w:hAnsi="Book Antiqua"/>
        <w:noProof/>
      </w:rPr>
      <w:fldChar w:fldCharType="end"/>
    </w:r>
    <w:r w:rsidRPr="008C1693">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ED38" w14:textId="77777777" w:rsidR="00555036" w:rsidRDefault="00555036">
      <w:r>
        <w:separator/>
      </w:r>
    </w:p>
  </w:footnote>
  <w:footnote w:type="continuationSeparator" w:id="0">
    <w:p w14:paraId="1551612D" w14:textId="77777777" w:rsidR="00555036" w:rsidRDefault="0055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1902" w14:textId="5A59215D" w:rsidR="00C95FDE" w:rsidRPr="00FD3B90" w:rsidRDefault="00C95FDE" w:rsidP="00FD3B90">
    <w:pPr>
      <w:pStyle w:val="Header"/>
      <w:tabs>
        <w:tab w:val="clear" w:pos="4320"/>
        <w:tab w:val="clear" w:pos="8640"/>
        <w:tab w:val="right" w:pos="9180"/>
      </w:tabs>
      <w:rPr>
        <w:rFonts w:ascii="Book Antiqua" w:hAnsi="Book Antiqua"/>
        <w:b/>
      </w:rPr>
    </w:pPr>
    <w:r w:rsidRPr="00FD3B90">
      <w:rPr>
        <w:rFonts w:ascii="Book Antiqua" w:hAnsi="Book Antiqua"/>
      </w:rPr>
      <w:t>ALJ/</w:t>
    </w:r>
    <w:r w:rsidR="00FD3B90" w:rsidRPr="00FD3B90">
      <w:rPr>
        <w:rFonts w:ascii="Book Antiqua" w:hAnsi="Book Antiqua"/>
      </w:rPr>
      <w:t>jnf</w:t>
    </w:r>
    <w:r w:rsidR="00FD3B90" w:rsidRPr="00FD3B90">
      <w:rPr>
        <w:rFonts w:ascii="Book Antiqua" w:hAnsi="Book Antiqua"/>
      </w:rPr>
      <w:tab/>
    </w:r>
    <w:r w:rsidRPr="00FD3B90">
      <w:rPr>
        <w:rFonts w:ascii="Book Antiqua" w:hAnsi="Book Antiqua"/>
        <w:b/>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5999" w14:textId="7CFE412C" w:rsidR="008005AF" w:rsidRDefault="008005AF" w:rsidP="00BF529C">
    <w:pPr>
      <w:pStyle w:val="Header"/>
      <w:tabs>
        <w:tab w:val="clear" w:pos="8640"/>
        <w:tab w:val="right" w:pos="9090"/>
      </w:tabs>
      <w:rPr>
        <w:rFonts w:ascii="Book Antiqua" w:hAnsi="Book Antiqua"/>
        <w:b/>
        <w:szCs w:val="24"/>
      </w:rPr>
    </w:pPr>
    <w:r w:rsidRPr="008B3D79">
      <w:rPr>
        <w:rFonts w:ascii="Book Antiqua" w:hAnsi="Book Antiqua"/>
        <w:szCs w:val="24"/>
      </w:rPr>
      <w:t>ALJ/</w:t>
    </w:r>
    <w:r w:rsidR="00BF529C" w:rsidRPr="008B3D79">
      <w:rPr>
        <w:rFonts w:ascii="Book Antiqua" w:hAnsi="Book Antiqua"/>
        <w:szCs w:val="24"/>
      </w:rPr>
      <w:t>jnf</w:t>
    </w:r>
    <w:r w:rsidR="00D5347F">
      <w:rPr>
        <w:rFonts w:ascii="Book Antiqua" w:hAnsi="Book Antiqua"/>
        <w:szCs w:val="24"/>
      </w:rPr>
      <w:t>/avs</w:t>
    </w:r>
    <w:r w:rsidRPr="008B3D79">
      <w:rPr>
        <w:rFonts w:ascii="Book Antiqua" w:hAnsi="Book Antiqua"/>
        <w:szCs w:val="24"/>
      </w:rPr>
      <w:tab/>
    </w:r>
    <w:r w:rsidRPr="008B3D79">
      <w:rPr>
        <w:rFonts w:ascii="Book Antiqua" w:hAnsi="Book Antiqua"/>
        <w:szCs w:val="24"/>
      </w:rPr>
      <w:tab/>
    </w:r>
    <w:r w:rsidR="009B1A5B" w:rsidRPr="008B3D79">
      <w:rPr>
        <w:rFonts w:ascii="Book Antiqua" w:hAnsi="Book Antiqua"/>
        <w:b/>
        <w:szCs w:val="24"/>
      </w:rPr>
      <w:t>DRAFT</w:t>
    </w:r>
  </w:p>
  <w:p w14:paraId="238F67D9" w14:textId="77777777" w:rsidR="00B91F59" w:rsidRDefault="00B91F59" w:rsidP="00BF529C">
    <w:pPr>
      <w:pStyle w:val="Header"/>
      <w:tabs>
        <w:tab w:val="clear" w:pos="8640"/>
        <w:tab w:val="right" w:pos="9090"/>
      </w:tabs>
      <w:rPr>
        <w:rFonts w:ascii="Book Antiqua" w:hAnsi="Book Antiqua"/>
        <w:b/>
        <w:szCs w:val="24"/>
      </w:rPr>
    </w:pPr>
  </w:p>
  <w:p w14:paraId="5467A025" w14:textId="77777777" w:rsidR="00B91F59" w:rsidRPr="008B3D79" w:rsidRDefault="00B91F59" w:rsidP="00BF529C">
    <w:pPr>
      <w:pStyle w:val="Header"/>
      <w:tabs>
        <w:tab w:val="clear" w:pos="8640"/>
        <w:tab w:val="right" w:pos="9090"/>
      </w:tabs>
      <w:rPr>
        <w:rFonts w:ascii="Book Antiqua" w:hAnsi="Book Antiqua"/>
        <w:b/>
        <w:szCs w:val="24"/>
      </w:rPr>
    </w:pPr>
  </w:p>
  <w:p w14:paraId="1438F397" w14:textId="54DC7423" w:rsidR="008005AF" w:rsidRDefault="00B91F59" w:rsidP="00B91F59">
    <w:pPr>
      <w:pStyle w:val="Header"/>
      <w:jc w:val="center"/>
      <w:rPr>
        <w:sz w:val="26"/>
        <w:szCs w:val="26"/>
      </w:rPr>
    </w:pPr>
    <w:r>
      <w:rPr>
        <w:b/>
        <w:bCs/>
        <w:sz w:val="30"/>
        <w:szCs w:val="30"/>
      </w:rPr>
      <w:t>PRELIMINARY DETERMINATION</w:t>
    </w:r>
    <w:r>
      <w:rPr>
        <w:b/>
        <w:bCs/>
        <w:sz w:val="30"/>
        <w:szCs w:val="30"/>
      </w:rPr>
      <w:br/>
      <w:t xml:space="preserve">SCHEDULE </w:t>
    </w:r>
    <w:r>
      <w:rPr>
        <w:sz w:val="26"/>
        <w:szCs w:val="26"/>
      </w:rPr>
      <w:br/>
    </w:r>
    <w:r>
      <w:rPr>
        <w:sz w:val="26"/>
        <w:szCs w:val="26"/>
      </w:rPr>
      <w:br/>
      <w:t>Resolution ALJ 176-3575 (01/15/2026)</w:t>
    </w:r>
  </w:p>
  <w:p w14:paraId="654AEBB7" w14:textId="77777777" w:rsidR="00B91F59" w:rsidRPr="009755A5" w:rsidRDefault="00B91F59" w:rsidP="00B91F59">
    <w:pPr>
      <w:pStyle w:val="Header"/>
      <w:jc w:val="center"/>
      <w:rPr>
        <w:sz w:val="28"/>
        <w:szCs w:val="28"/>
      </w:rPr>
    </w:pPr>
  </w:p>
  <w:tbl>
    <w:tblPr>
      <w:tblW w:w="9597" w:type="dxa"/>
      <w:tblInd w:w="-245" w:type="dxa"/>
      <w:tblLayout w:type="fixed"/>
      <w:tblCellMar>
        <w:left w:w="115" w:type="dxa"/>
        <w:right w:w="115" w:type="dxa"/>
      </w:tblCellMar>
      <w:tblLook w:val="0000" w:firstRow="0" w:lastRow="0" w:firstColumn="0" w:lastColumn="0" w:noHBand="0" w:noVBand="0"/>
    </w:tblPr>
    <w:tblGrid>
      <w:gridCol w:w="4647"/>
      <w:gridCol w:w="1710"/>
      <w:gridCol w:w="1710"/>
      <w:gridCol w:w="1530"/>
    </w:tblGrid>
    <w:tr w:rsidR="00B218D6" w14:paraId="2555AF76" w14:textId="77777777" w:rsidTr="00B91F59">
      <w:tc>
        <w:tcPr>
          <w:tcW w:w="4647" w:type="dxa"/>
          <w:tcBorders>
            <w:top w:val="single" w:sz="6" w:space="0" w:color="auto"/>
            <w:left w:val="single" w:sz="6" w:space="0" w:color="auto"/>
            <w:bottom w:val="single" w:sz="6" w:space="0" w:color="auto"/>
            <w:right w:val="single" w:sz="6" w:space="0" w:color="auto"/>
          </w:tcBorders>
          <w:shd w:val="pct10" w:color="auto" w:fill="auto"/>
        </w:tcPr>
        <w:p w14:paraId="14AB3D17" w14:textId="77777777" w:rsidR="00B218D6" w:rsidRDefault="00B218D6" w:rsidP="00B218D6">
          <w:r>
            <w:rPr>
              <w:b/>
              <w:bCs/>
            </w:rPr>
            <w:t xml:space="preserve">NUMBER </w:t>
          </w:r>
          <w:r>
            <w:br/>
          </w:r>
          <w:r>
            <w:rPr>
              <w:b/>
              <w:bCs/>
            </w:rPr>
            <w:t xml:space="preserve">TITLE </w:t>
          </w:r>
        </w:p>
      </w:tc>
      <w:tc>
        <w:tcPr>
          <w:tcW w:w="1710" w:type="dxa"/>
          <w:tcBorders>
            <w:top w:val="single" w:sz="6" w:space="0" w:color="auto"/>
            <w:left w:val="single" w:sz="6" w:space="0" w:color="auto"/>
            <w:bottom w:val="single" w:sz="6" w:space="0" w:color="auto"/>
            <w:right w:val="single" w:sz="6" w:space="0" w:color="auto"/>
          </w:tcBorders>
          <w:shd w:val="pct10" w:color="auto" w:fill="auto"/>
        </w:tcPr>
        <w:p w14:paraId="08534F6F" w14:textId="77777777" w:rsidR="00B218D6" w:rsidRDefault="00B218D6" w:rsidP="00B218D6">
          <w:pPr>
            <w:jc w:val="center"/>
          </w:pPr>
          <w:r>
            <w:rPr>
              <w:b/>
              <w:bCs/>
            </w:rPr>
            <w:t xml:space="preserve">PROPOSED CATEGORY </w:t>
          </w:r>
        </w:p>
      </w:tc>
      <w:tc>
        <w:tcPr>
          <w:tcW w:w="1710" w:type="dxa"/>
          <w:tcBorders>
            <w:top w:val="single" w:sz="6" w:space="0" w:color="auto"/>
            <w:left w:val="single" w:sz="6" w:space="0" w:color="auto"/>
            <w:bottom w:val="single" w:sz="6" w:space="0" w:color="auto"/>
            <w:right w:val="single" w:sz="6" w:space="0" w:color="auto"/>
          </w:tcBorders>
          <w:shd w:val="pct10" w:color="auto" w:fill="auto"/>
        </w:tcPr>
        <w:p w14:paraId="7F1B1203" w14:textId="77777777" w:rsidR="00B218D6" w:rsidRDefault="00B218D6" w:rsidP="00B218D6">
          <w:pPr>
            <w:jc w:val="center"/>
          </w:pPr>
          <w:r>
            <w:rPr>
              <w:b/>
              <w:bCs/>
            </w:rPr>
            <w:t xml:space="preserve">PRELIM. CATEGORY </w:t>
          </w:r>
        </w:p>
      </w:tc>
      <w:tc>
        <w:tcPr>
          <w:tcW w:w="1530" w:type="dxa"/>
          <w:tcBorders>
            <w:top w:val="single" w:sz="6" w:space="0" w:color="auto"/>
            <w:left w:val="single" w:sz="6" w:space="0" w:color="auto"/>
            <w:bottom w:val="single" w:sz="6" w:space="0" w:color="auto"/>
            <w:right w:val="single" w:sz="6" w:space="0" w:color="auto"/>
          </w:tcBorders>
          <w:shd w:val="pct10" w:color="auto" w:fill="auto"/>
        </w:tcPr>
        <w:p w14:paraId="4C8F023D" w14:textId="77777777" w:rsidR="00B218D6" w:rsidRDefault="00B218D6" w:rsidP="00B218D6">
          <w:pPr>
            <w:jc w:val="center"/>
          </w:pPr>
          <w:r>
            <w:br/>
          </w:r>
          <w:r>
            <w:rPr>
              <w:b/>
              <w:bCs/>
            </w:rPr>
            <w:t xml:space="preserve">HEARING </w:t>
          </w:r>
        </w:p>
      </w:tc>
    </w:tr>
  </w:tbl>
  <w:p w14:paraId="6D5436C2" w14:textId="77777777" w:rsidR="008005AF" w:rsidRPr="00792C9B" w:rsidRDefault="008005AF" w:rsidP="00792C9B">
    <w:pPr>
      <w:pStyle w:val="Header"/>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4DDE"/>
    <w:multiLevelType w:val="hybridMultilevel"/>
    <w:tmpl w:val="1EC8387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39E3"/>
    <w:multiLevelType w:val="hybridMultilevel"/>
    <w:tmpl w:val="7C1A6AAA"/>
    <w:lvl w:ilvl="0" w:tplc="12F251D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13AFA"/>
    <w:multiLevelType w:val="hybridMultilevel"/>
    <w:tmpl w:val="348E8EFC"/>
    <w:lvl w:ilvl="0" w:tplc="73A4D0A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6230E"/>
    <w:multiLevelType w:val="hybridMultilevel"/>
    <w:tmpl w:val="76D2D728"/>
    <w:lvl w:ilvl="0" w:tplc="2760FF3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487489">
    <w:abstractNumId w:val="1"/>
  </w:num>
  <w:num w:numId="2" w16cid:durableId="281810531">
    <w:abstractNumId w:val="0"/>
  </w:num>
  <w:num w:numId="3" w16cid:durableId="382603836">
    <w:abstractNumId w:val="3"/>
  </w:num>
  <w:num w:numId="4" w16cid:durableId="816385477">
    <w:abstractNumId w:val="4"/>
  </w:num>
  <w:num w:numId="5" w16cid:durableId="5265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B"/>
    <w:rsid w:val="00011B96"/>
    <w:rsid w:val="000150E2"/>
    <w:rsid w:val="000231AF"/>
    <w:rsid w:val="00043B8E"/>
    <w:rsid w:val="00050DF2"/>
    <w:rsid w:val="00062F36"/>
    <w:rsid w:val="000667EB"/>
    <w:rsid w:val="00085B4C"/>
    <w:rsid w:val="000A1E1E"/>
    <w:rsid w:val="000A46C7"/>
    <w:rsid w:val="000B55B2"/>
    <w:rsid w:val="000E3F65"/>
    <w:rsid w:val="00126B14"/>
    <w:rsid w:val="00157025"/>
    <w:rsid w:val="001648F0"/>
    <w:rsid w:val="00165C26"/>
    <w:rsid w:val="00191D02"/>
    <w:rsid w:val="001A2BF6"/>
    <w:rsid w:val="001B116D"/>
    <w:rsid w:val="001C5253"/>
    <w:rsid w:val="00201200"/>
    <w:rsid w:val="002074C4"/>
    <w:rsid w:val="002164F0"/>
    <w:rsid w:val="00243042"/>
    <w:rsid w:val="00253DEE"/>
    <w:rsid w:val="002558F3"/>
    <w:rsid w:val="00264FBC"/>
    <w:rsid w:val="002731E5"/>
    <w:rsid w:val="00277EFA"/>
    <w:rsid w:val="0029303E"/>
    <w:rsid w:val="002C2658"/>
    <w:rsid w:val="002C7E5A"/>
    <w:rsid w:val="003417D7"/>
    <w:rsid w:val="00342E16"/>
    <w:rsid w:val="0034501A"/>
    <w:rsid w:val="00364C10"/>
    <w:rsid w:val="00384A75"/>
    <w:rsid w:val="00395187"/>
    <w:rsid w:val="0039743F"/>
    <w:rsid w:val="003B6828"/>
    <w:rsid w:val="003C2335"/>
    <w:rsid w:val="003E6E4C"/>
    <w:rsid w:val="003F6A7F"/>
    <w:rsid w:val="0040118E"/>
    <w:rsid w:val="00413177"/>
    <w:rsid w:val="00420910"/>
    <w:rsid w:val="0042710E"/>
    <w:rsid w:val="00436CF7"/>
    <w:rsid w:val="00445431"/>
    <w:rsid w:val="00445D10"/>
    <w:rsid w:val="00456DAC"/>
    <w:rsid w:val="004A6B6C"/>
    <w:rsid w:val="004C5C3F"/>
    <w:rsid w:val="004D54D0"/>
    <w:rsid w:val="004E18B3"/>
    <w:rsid w:val="004E5ED1"/>
    <w:rsid w:val="004E7F26"/>
    <w:rsid w:val="004F6AFD"/>
    <w:rsid w:val="005478A5"/>
    <w:rsid w:val="00555036"/>
    <w:rsid w:val="00591E1E"/>
    <w:rsid w:val="0059231A"/>
    <w:rsid w:val="00594907"/>
    <w:rsid w:val="005A49AF"/>
    <w:rsid w:val="005B113F"/>
    <w:rsid w:val="005D2F39"/>
    <w:rsid w:val="00604E24"/>
    <w:rsid w:val="0061466C"/>
    <w:rsid w:val="006439D8"/>
    <w:rsid w:val="006468E1"/>
    <w:rsid w:val="006B0BF8"/>
    <w:rsid w:val="006D0E48"/>
    <w:rsid w:val="006E4526"/>
    <w:rsid w:val="00703E5C"/>
    <w:rsid w:val="00715CD0"/>
    <w:rsid w:val="0074719A"/>
    <w:rsid w:val="00774234"/>
    <w:rsid w:val="00792C9B"/>
    <w:rsid w:val="007A1CE2"/>
    <w:rsid w:val="007A588D"/>
    <w:rsid w:val="007B0604"/>
    <w:rsid w:val="007C3DC4"/>
    <w:rsid w:val="007D35A2"/>
    <w:rsid w:val="007E3378"/>
    <w:rsid w:val="007E52E6"/>
    <w:rsid w:val="008005AF"/>
    <w:rsid w:val="00806579"/>
    <w:rsid w:val="00813EB5"/>
    <w:rsid w:val="008402B8"/>
    <w:rsid w:val="00852A3E"/>
    <w:rsid w:val="00861EFB"/>
    <w:rsid w:val="008A44BA"/>
    <w:rsid w:val="008A4E0E"/>
    <w:rsid w:val="008B3D79"/>
    <w:rsid w:val="008B7F1B"/>
    <w:rsid w:val="008C0812"/>
    <w:rsid w:val="008C1693"/>
    <w:rsid w:val="008D5221"/>
    <w:rsid w:val="0096063E"/>
    <w:rsid w:val="0097038C"/>
    <w:rsid w:val="009755A5"/>
    <w:rsid w:val="009A6078"/>
    <w:rsid w:val="009B1A5B"/>
    <w:rsid w:val="009C01FD"/>
    <w:rsid w:val="009E07EB"/>
    <w:rsid w:val="009E08A9"/>
    <w:rsid w:val="00A14B76"/>
    <w:rsid w:val="00A45F8C"/>
    <w:rsid w:val="00A60751"/>
    <w:rsid w:val="00B218D6"/>
    <w:rsid w:val="00B27713"/>
    <w:rsid w:val="00B473A6"/>
    <w:rsid w:val="00B5250D"/>
    <w:rsid w:val="00B75139"/>
    <w:rsid w:val="00B878E8"/>
    <w:rsid w:val="00B91F59"/>
    <w:rsid w:val="00BD6E3A"/>
    <w:rsid w:val="00BE1D69"/>
    <w:rsid w:val="00BF529C"/>
    <w:rsid w:val="00C0135F"/>
    <w:rsid w:val="00C10CCA"/>
    <w:rsid w:val="00C111E8"/>
    <w:rsid w:val="00C257D9"/>
    <w:rsid w:val="00C26D8F"/>
    <w:rsid w:val="00C62EEB"/>
    <w:rsid w:val="00C863DC"/>
    <w:rsid w:val="00C92A44"/>
    <w:rsid w:val="00C95FDE"/>
    <w:rsid w:val="00CA21DB"/>
    <w:rsid w:val="00CD36D9"/>
    <w:rsid w:val="00CD529F"/>
    <w:rsid w:val="00CF4AB3"/>
    <w:rsid w:val="00D041B0"/>
    <w:rsid w:val="00D12A5B"/>
    <w:rsid w:val="00D5347F"/>
    <w:rsid w:val="00D5495C"/>
    <w:rsid w:val="00D71AC7"/>
    <w:rsid w:val="00D91715"/>
    <w:rsid w:val="00DA4090"/>
    <w:rsid w:val="00DA5721"/>
    <w:rsid w:val="00DA7B95"/>
    <w:rsid w:val="00DD4B11"/>
    <w:rsid w:val="00DE57DB"/>
    <w:rsid w:val="00DF5183"/>
    <w:rsid w:val="00E04BF9"/>
    <w:rsid w:val="00E94361"/>
    <w:rsid w:val="00EB4757"/>
    <w:rsid w:val="00EC7DE8"/>
    <w:rsid w:val="00ED6639"/>
    <w:rsid w:val="00F036E4"/>
    <w:rsid w:val="00F04B30"/>
    <w:rsid w:val="00F62B1C"/>
    <w:rsid w:val="00F86487"/>
    <w:rsid w:val="00FD3B90"/>
    <w:rsid w:val="00F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3621C76"/>
  <w15:docId w15:val="{0FAC2A48-7434-4488-BB94-56A1DDB291F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 w:type="character" w:customStyle="1" w:styleId="FooterChar">
    <w:name w:val="Footer Char"/>
    <w:link w:val="Footer"/>
    <w:uiPriority w:val="99"/>
    <w:rsid w:val="003E6E4C"/>
    <w:rPr>
      <w:rFonts w:ascii="Palatino" w:hAnsi="Palatino"/>
      <w:sz w:val="24"/>
    </w:rPr>
  </w:style>
  <w:style w:type="character" w:customStyle="1" w:styleId="standardChar">
    <w:name w:val="standard Char"/>
    <w:link w:val="standard"/>
    <w:locked/>
    <w:rsid w:val="00C95FDE"/>
    <w:rPr>
      <w:rFonts w:ascii="Palatino" w:hAnsi="Palatino"/>
      <w:sz w:val="24"/>
    </w:rPr>
  </w:style>
  <w:style w:type="paragraph" w:styleId="BalloonText">
    <w:name w:val="Balloon Text"/>
    <w:basedOn w:val="Normal"/>
    <w:link w:val="BalloonTextChar"/>
    <w:rsid w:val="00C95FDE"/>
    <w:rPr>
      <w:rFonts w:ascii="Tahoma" w:hAnsi="Tahoma" w:cs="Tahoma"/>
      <w:sz w:val="16"/>
      <w:szCs w:val="16"/>
    </w:rPr>
  </w:style>
  <w:style w:type="character" w:customStyle="1" w:styleId="BalloonTextChar">
    <w:name w:val="Balloon Text Char"/>
    <w:link w:val="BalloonText"/>
    <w:rsid w:val="00C95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8292">
      <w:bodyDiv w:val="1"/>
      <w:marLeft w:val="0"/>
      <w:marRight w:val="0"/>
      <w:marTop w:val="0"/>
      <w:marBottom w:val="0"/>
      <w:divBdr>
        <w:top w:val="none" w:sz="0" w:space="0" w:color="auto"/>
        <w:left w:val="none" w:sz="0" w:space="0" w:color="auto"/>
        <w:bottom w:val="none" w:sz="0" w:space="0" w:color="auto"/>
        <w:right w:val="none" w:sz="0" w:space="0" w:color="auto"/>
      </w:divBdr>
    </w:div>
    <w:div w:id="527639632">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072921991">
      <w:bodyDiv w:val="1"/>
      <w:marLeft w:val="0"/>
      <w:marRight w:val="0"/>
      <w:marTop w:val="0"/>
      <w:marBottom w:val="0"/>
      <w:divBdr>
        <w:top w:val="none" w:sz="0" w:space="0" w:color="auto"/>
        <w:left w:val="none" w:sz="0" w:space="0" w:color="auto"/>
        <w:bottom w:val="none" w:sz="0" w:space="0" w:color="auto"/>
        <w:right w:val="none" w:sz="0" w:space="0" w:color="auto"/>
      </w:divBdr>
    </w:div>
    <w:div w:id="15142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agLIst xmlns="ef7e321c-44a6-4cb5-81f0-0bfd95ece253" xsi:nil="true"/>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2e18d1b84c9b28b434b49f302dd12808">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66a1d182d6677462f154974d7942b57"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B309-B587-4DD5-95D0-CA62D6E62CBD}">
  <ds:schemaRefs>
    <ds:schemaRef ds:uri="http://schemas.microsoft.com/sharepoint/v3/contenttype/forms"/>
  </ds:schemaRefs>
</ds:datastoreItem>
</file>

<file path=customXml/itemProps2.xml><?xml version="1.0" encoding="utf-8"?>
<ds:datastoreItem xmlns:ds="http://schemas.openxmlformats.org/officeDocument/2006/customXml" ds:itemID="{F5D5AAF0-A33D-40B1-8327-AE09D7C728B3}">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3.xml><?xml version="1.0" encoding="utf-8"?>
<ds:datastoreItem xmlns:ds="http://schemas.openxmlformats.org/officeDocument/2006/customXml" ds:itemID="{4E68266F-32E3-4C48-9607-AA2E0B42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1235</ap:Words>
  <ap:Characters>7045</ap:Characters>
  <ap:Application>Microsoft Office Word</ap:Application>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_</vt:lpstr>
    </vt:vector>
  </ap:TitlesOfParts>
  <ap:Company/>
  <ap:LinksUpToDate>false</ap:LinksUpToDate>
  <ap:CharactersWithSpaces>8264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2007-03-27T17:20:00Z</cp:lastPrinted>
  <dcterms:created xsi:type="dcterms:W3CDTF">2026-01-14T12:02:58Z</dcterms:created>
  <dcterms:modified xsi:type="dcterms:W3CDTF">2026-01-14T12:02:58Z</dcterms:modified>
</cp:coreProperties>
</file>