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6322" w:rsidR="00B60938" w:rsidP="009D6322" w:rsidRDefault="00741350" w14:paraId="23CC8FAB" w14:textId="4C6D5ECE">
      <w:pPr>
        <w:pStyle w:val="OP"/>
        <w:keepNext/>
        <w:keepLines/>
        <w:numPr>
          <w:ilvl w:val="0"/>
          <w:numId w:val="0"/>
        </w:numPr>
        <w:spacing w:line="240" w:lineRule="auto"/>
        <w:contextualSpacing/>
        <w:rPr>
          <w:b/>
          <w:szCs w:val="26"/>
        </w:rPr>
      </w:pPr>
      <w:r>
        <w:t>COM/MBK</w:t>
      </w:r>
      <w:r w:rsidR="00DA7B5D">
        <w:t>/</w:t>
      </w:r>
      <w:r>
        <w:t>cg7</w:t>
      </w:r>
      <w:r w:rsidR="007E0FEE">
        <w:tab/>
      </w:r>
      <w:r w:rsidR="009D6322">
        <w:rPr>
          <w:rFonts w:ascii="Arial" w:hAnsi="Arial" w:cs="Arial"/>
          <w:b/>
          <w:sz w:val="32"/>
          <w:szCs w:val="32"/>
        </w:rPr>
        <w:tab/>
      </w:r>
      <w:r w:rsidR="009D6322">
        <w:rPr>
          <w:rFonts w:ascii="Arial" w:hAnsi="Arial" w:cs="Arial"/>
          <w:b/>
          <w:sz w:val="32"/>
          <w:szCs w:val="32"/>
        </w:rPr>
        <w:tab/>
      </w:r>
      <w:r w:rsidR="009D6322">
        <w:rPr>
          <w:rFonts w:ascii="Arial" w:hAnsi="Arial" w:cs="Arial"/>
          <w:b/>
          <w:sz w:val="32"/>
          <w:szCs w:val="32"/>
        </w:rPr>
        <w:tab/>
      </w:r>
      <w:r w:rsidR="009D6322">
        <w:rPr>
          <w:rFonts w:ascii="Arial" w:hAnsi="Arial" w:cs="Arial"/>
          <w:b/>
          <w:sz w:val="32"/>
          <w:szCs w:val="32"/>
        </w:rPr>
        <w:tab/>
      </w:r>
      <w:r w:rsidR="009D6322">
        <w:rPr>
          <w:rFonts w:ascii="Arial" w:hAnsi="Arial" w:cs="Arial"/>
          <w:b/>
          <w:sz w:val="32"/>
          <w:szCs w:val="32"/>
        </w:rPr>
        <w:tab/>
      </w:r>
      <w:r w:rsidRPr="009D6322" w:rsidR="009D6322">
        <w:rPr>
          <w:rFonts w:cs="Arial"/>
          <w:b/>
          <w:szCs w:val="26"/>
        </w:rPr>
        <w:t>Date of Issuance 01/16/2026</w:t>
      </w:r>
    </w:p>
    <w:p w:rsidR="00DA7B5D" w:rsidP="008F0116" w:rsidRDefault="00DA7B5D" w14:paraId="4268884F" w14:textId="77777777">
      <w:pPr>
        <w:ind w:firstLine="0"/>
      </w:pPr>
    </w:p>
    <w:p w:rsidR="009619FB" w:rsidP="009619FB" w:rsidRDefault="009619FB" w14:paraId="56D06FF9" w14:textId="77777777">
      <w:pPr>
        <w:spacing w:line="240" w:lineRule="auto"/>
        <w:ind w:firstLine="0"/>
      </w:pPr>
    </w:p>
    <w:p w:rsidR="001C5AFE" w:rsidP="00336986" w:rsidRDefault="00DA7B5D" w14:paraId="7F5D7222" w14:textId="32E6FF03">
      <w:pPr>
        <w:spacing w:line="240" w:lineRule="auto"/>
        <w:ind w:left="1080" w:hanging="1080"/>
        <w:contextualSpacing/>
        <w:rPr>
          <w:b/>
          <w:bCs/>
        </w:rPr>
      </w:pPr>
      <w:r>
        <w:t xml:space="preserve">Decision </w:t>
      </w:r>
      <w:r w:rsidRPr="009D6322" w:rsidR="009D6322">
        <w:t>26-01-</w:t>
      </w:r>
      <w:proofErr w:type="gramStart"/>
      <w:r w:rsidRPr="009D6322" w:rsidR="009D6322">
        <w:t>005  January</w:t>
      </w:r>
      <w:proofErr w:type="gramEnd"/>
      <w:r w:rsidRPr="009D6322" w:rsidR="009D6322">
        <w:t xml:space="preserve"> 15, 2026</w:t>
      </w:r>
    </w:p>
    <w:p w:rsidRPr="001C5AFE" w:rsidR="00336986" w:rsidP="00336986" w:rsidRDefault="00336986" w14:paraId="40B26E11" w14:textId="77777777">
      <w:pPr>
        <w:spacing w:line="240" w:lineRule="auto"/>
        <w:ind w:left="1080" w:hanging="1080"/>
        <w:contextualSpacing/>
        <w:rPr>
          <w:b/>
          <w:bCs/>
        </w:rPr>
      </w:pPr>
    </w:p>
    <w:p w:rsidR="00DA7B5D" w:rsidP="00BB0243" w:rsidRDefault="00DA7B5D" w14:paraId="27F72E84" w14:textId="77777777">
      <w:pPr>
        <w:spacing w:line="240" w:lineRule="auto"/>
        <w:ind w:firstLine="0"/>
        <w:jc w:val="center"/>
        <w:rPr>
          <w:rFonts w:ascii="Arial" w:hAnsi="Arial" w:cs="Arial"/>
          <w:sz w:val="24"/>
          <w:szCs w:val="24"/>
        </w:rPr>
      </w:pPr>
      <w:r w:rsidRPr="00060417">
        <w:rPr>
          <w:rFonts w:ascii="Arial" w:hAnsi="Arial" w:cs="Arial"/>
          <w:b/>
          <w:sz w:val="24"/>
          <w:szCs w:val="24"/>
        </w:rPr>
        <w:t>BEFORE THE PUBLIC UTILITIES COMMISSION OF THE STATE OF CALIFORNIA</w:t>
      </w:r>
    </w:p>
    <w:p w:rsidR="00DA7B5D" w:rsidP="008F0116" w:rsidRDefault="00DA7B5D" w14:paraId="3B4D81AC"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741350" w:rsidTr="00FC38B9" w14:paraId="3B75EECD" w14:textId="77777777">
        <w:trPr>
          <w:jc w:val="center"/>
        </w:trPr>
        <w:tc>
          <w:tcPr>
            <w:tcW w:w="5040" w:type="dxa"/>
            <w:tcBorders>
              <w:top w:val="nil"/>
              <w:left w:val="nil"/>
              <w:bottom w:val="single" w:color="auto" w:sz="4" w:space="0"/>
              <w:right w:val="single" w:color="auto" w:sz="4" w:space="0"/>
            </w:tcBorders>
          </w:tcPr>
          <w:p w:rsidR="00741350" w:rsidP="00FC38B9" w:rsidRDefault="00741350" w14:paraId="19C7589F" w14:textId="77777777">
            <w:pPr>
              <w:spacing w:line="240" w:lineRule="auto"/>
              <w:ind w:firstLine="0"/>
            </w:pPr>
            <w:bookmarkStart w:name="_Toc12866682" w:id="0"/>
            <w:r w:rsidRPr="003D14FC">
              <w:t>Order Instituting Rulemaking to Implement Senate Bill 1376 Requiring Transportation Network Companies to Provide Access for Persons with Disabilities, Including Wheelchair Users who need a Wheelchair Accessible Vehicle.</w:t>
            </w:r>
          </w:p>
          <w:p w:rsidRPr="00507302" w:rsidR="00741350" w:rsidP="00FC38B9" w:rsidRDefault="00741350" w14:paraId="0F9F8097" w14:textId="77777777">
            <w:pPr>
              <w:spacing w:line="240" w:lineRule="auto"/>
              <w:ind w:firstLine="0"/>
            </w:pPr>
          </w:p>
        </w:tc>
        <w:tc>
          <w:tcPr>
            <w:tcW w:w="5040" w:type="dxa"/>
            <w:tcBorders>
              <w:top w:val="nil"/>
              <w:left w:val="single" w:color="auto" w:sz="4" w:space="0"/>
              <w:bottom w:val="nil"/>
              <w:right w:val="nil"/>
            </w:tcBorders>
            <w:vAlign w:val="center"/>
          </w:tcPr>
          <w:p w:rsidRPr="00DA7B5D" w:rsidR="00741350" w:rsidP="00FC38B9" w:rsidRDefault="00741350" w14:paraId="7514D680" w14:textId="77777777">
            <w:pPr>
              <w:spacing w:line="240" w:lineRule="auto"/>
              <w:ind w:firstLine="0"/>
              <w:jc w:val="center"/>
              <w:rPr>
                <w:rFonts w:cs="Arial"/>
                <w:szCs w:val="26"/>
              </w:rPr>
            </w:pPr>
            <w:r>
              <w:rPr>
                <w:rFonts w:cs="Arial"/>
                <w:szCs w:val="26"/>
              </w:rPr>
              <w:t>Rulemaking 19-02-012</w:t>
            </w:r>
          </w:p>
        </w:tc>
      </w:tr>
    </w:tbl>
    <w:p w:rsidR="00741350" w:rsidP="00741350" w:rsidRDefault="00741350" w14:paraId="36570384" w14:textId="77777777">
      <w:pPr>
        <w:spacing w:line="240" w:lineRule="auto"/>
        <w:ind w:firstLine="0"/>
        <w:rPr>
          <w:rFonts w:ascii="Arial" w:hAnsi="Arial" w:cs="Arial"/>
          <w:sz w:val="24"/>
          <w:szCs w:val="24"/>
        </w:rPr>
      </w:pPr>
    </w:p>
    <w:p w:rsidR="006F6525" w:rsidP="009B6C3E" w:rsidRDefault="006F6525" w14:paraId="58DA0BE9" w14:textId="77777777">
      <w:pPr>
        <w:pStyle w:val="Dummy"/>
        <w:jc w:val="center"/>
      </w:pPr>
    </w:p>
    <w:p w:rsidRPr="00741350" w:rsidR="00741350" w:rsidP="00741350" w:rsidRDefault="00741350" w14:paraId="2774833F" w14:textId="77777777">
      <w:pPr>
        <w:sectPr w:rsidRPr="00741350" w:rsidR="00741350" w:rsidSect="006F6525">
          <w:footerReference w:type="default" r:id="rId11"/>
          <w:pgSz w:w="12240" w:h="15840"/>
          <w:pgMar w:top="1440" w:right="1440" w:bottom="1440" w:left="1440" w:header="720" w:footer="720" w:gutter="0"/>
          <w:pgNumType w:start="1"/>
          <w:cols w:space="720"/>
          <w:docGrid w:linePitch="360"/>
        </w:sectPr>
      </w:pPr>
    </w:p>
    <w:p w:rsidRPr="00741350" w:rsidR="00741350" w:rsidP="00741350" w:rsidRDefault="00741350" w14:paraId="039184AA" w14:textId="77777777">
      <w:pPr>
        <w:keepNext/>
        <w:keepLines/>
        <w:spacing w:after="120" w:line="240" w:lineRule="auto"/>
        <w:ind w:firstLine="0"/>
        <w:jc w:val="center"/>
        <w:outlineLvl w:val="0"/>
        <w:rPr>
          <w:rFonts w:ascii="Arial" w:hAnsi="Arial" w:cs="Arial"/>
          <w:b/>
          <w:szCs w:val="26"/>
        </w:rPr>
      </w:pPr>
      <w:bookmarkStart w:name="_Toc204334366" w:id="1"/>
      <w:bookmarkStart w:name="_Toc207097934" w:id="2"/>
      <w:bookmarkStart w:name="_Toc207098792" w:id="3"/>
      <w:bookmarkEnd w:id="0"/>
      <w:r w:rsidRPr="00741350">
        <w:rPr>
          <w:rFonts w:ascii="Arial" w:hAnsi="Arial" w:cs="Arial"/>
          <w:b/>
          <w:szCs w:val="26"/>
        </w:rPr>
        <w:t>DECISION CLOSING PROCEEDING</w:t>
      </w:r>
      <w:bookmarkEnd w:id="1"/>
      <w:bookmarkEnd w:id="2"/>
      <w:bookmarkEnd w:id="3"/>
    </w:p>
    <w:p w:rsidRPr="00741350" w:rsidR="00741350" w:rsidP="00741350" w:rsidRDefault="00741350" w14:paraId="009B14BA" w14:textId="77777777">
      <w:pPr>
        <w:keepNext/>
        <w:keepLines/>
        <w:spacing w:after="120" w:line="240" w:lineRule="auto"/>
        <w:ind w:firstLine="0"/>
        <w:outlineLvl w:val="0"/>
        <w:rPr>
          <w:rFonts w:ascii="Arial" w:hAnsi="Arial" w:cs="Arial"/>
          <w:b/>
          <w:szCs w:val="26"/>
        </w:rPr>
      </w:pPr>
      <w:bookmarkStart w:name="_Toc133843842" w:id="4"/>
      <w:bookmarkStart w:name="_Toc207098793" w:id="5"/>
      <w:r w:rsidRPr="00741350">
        <w:rPr>
          <w:rFonts w:ascii="Arial" w:hAnsi="Arial" w:cs="Arial"/>
          <w:b/>
          <w:szCs w:val="26"/>
        </w:rPr>
        <w:t>Sum</w:t>
      </w:r>
      <w:bookmarkEnd w:id="4"/>
      <w:r w:rsidRPr="00741350">
        <w:rPr>
          <w:rFonts w:ascii="Arial" w:hAnsi="Arial" w:cs="Arial"/>
          <w:b/>
          <w:szCs w:val="26"/>
        </w:rPr>
        <w:t>mary</w:t>
      </w:r>
      <w:bookmarkEnd w:id="5"/>
    </w:p>
    <w:p w:rsidRPr="00741350" w:rsidR="00741350" w:rsidP="00741350" w:rsidRDefault="00741350" w14:paraId="5876C211" w14:textId="4536B993">
      <w:r w:rsidRPr="00741350">
        <w:t xml:space="preserve">By this decision, the Commission closes the Rulemaking 19-02-012 proceeding.  The Commission has addressed </w:t>
      </w:r>
      <w:proofErr w:type="gramStart"/>
      <w:r w:rsidR="0002244D">
        <w:t>all of</w:t>
      </w:r>
      <w:proofErr w:type="gramEnd"/>
      <w:r w:rsidR="0002244D">
        <w:t xml:space="preserve"> the issues within the scope of</w:t>
      </w:r>
      <w:r w:rsidRPr="00741350">
        <w:t xml:space="preserve"> this proceeding.  The Commission may open a new rulemaking in the future should additional issues related to the TNC Access for All program arise.</w:t>
      </w:r>
    </w:p>
    <w:p w:rsidRPr="00741350" w:rsidR="00741350" w:rsidP="00741350" w:rsidRDefault="00741350" w14:paraId="5EFFDD3E" w14:textId="77777777">
      <w:r w:rsidRPr="00741350">
        <w:t>This proceeding is closed.</w:t>
      </w:r>
    </w:p>
    <w:p w:rsidRPr="00741350" w:rsidR="00741350" w:rsidP="00741350" w:rsidRDefault="00741350" w14:paraId="18D77B60" w14:textId="77777777">
      <w:pPr>
        <w:keepNext/>
        <w:keepLines/>
        <w:numPr>
          <w:ilvl w:val="0"/>
          <w:numId w:val="13"/>
        </w:numPr>
        <w:spacing w:after="120" w:line="240" w:lineRule="auto"/>
        <w:ind w:left="720" w:right="2160" w:hanging="720"/>
        <w:outlineLvl w:val="0"/>
        <w:rPr>
          <w:rFonts w:ascii="Arial" w:hAnsi="Arial" w:eastAsiaTheme="majorEastAsia" w:cstheme="majorBidi"/>
          <w:b/>
          <w:szCs w:val="32"/>
        </w:rPr>
      </w:pPr>
      <w:bookmarkStart w:name="_Toc133843843" w:id="6"/>
      <w:bookmarkStart w:name="_Toc207098794" w:id="7"/>
      <w:r w:rsidRPr="00741350">
        <w:rPr>
          <w:rFonts w:ascii="Arial" w:hAnsi="Arial" w:eastAsiaTheme="majorEastAsia" w:cstheme="majorBidi"/>
          <w:b/>
          <w:szCs w:val="32"/>
        </w:rPr>
        <w:t>Background</w:t>
      </w:r>
      <w:bookmarkEnd w:id="6"/>
      <w:bookmarkEnd w:id="7"/>
    </w:p>
    <w:p w:rsidRPr="00741350" w:rsidR="00741350" w:rsidP="00741350" w:rsidRDefault="00741350" w14:paraId="1DA4E247" w14:textId="77777777">
      <w:r w:rsidRPr="00741350">
        <w:t>Senate Bill (SB) 1376,</w:t>
      </w:r>
      <w:r w:rsidRPr="00741350">
        <w:rPr>
          <w:szCs w:val="26"/>
          <w:vertAlign w:val="superscript"/>
        </w:rPr>
        <w:footnoteReference w:id="2"/>
      </w:r>
      <w:r w:rsidRPr="00741350">
        <w:rPr>
          <w:sz w:val="17"/>
          <w:szCs w:val="17"/>
        </w:rPr>
        <w:t xml:space="preserve"> </w:t>
      </w:r>
      <w:r w:rsidRPr="00741350">
        <w:t>the “TNC Access for All Act,” requires Transportation Network Companies (TNC) to provide services accessible to persons with disabilities through online</w:t>
      </w:r>
      <w:r w:rsidRPr="00741350">
        <w:noBreakHyphen/>
        <w:t>enabled applications or platforms, with a focus on wheelchair users who require a wheelchair accessible vehicle.  Public Utilities (Pub. Util.) Code § 5431.5(b)</w:t>
      </w:r>
      <w:r w:rsidRPr="00741350">
        <w:rPr>
          <w:sz w:val="17"/>
          <w:szCs w:val="17"/>
        </w:rPr>
        <w:t xml:space="preserve"> </w:t>
      </w:r>
      <w:r w:rsidRPr="00741350">
        <w:t xml:space="preserve">defines a wheelchair accessible </w:t>
      </w:r>
      <w:r w:rsidRPr="00741350">
        <w:lastRenderedPageBreak/>
        <w:t xml:space="preserve">vehicle (WAV) as “a vehicle equipped with a ramp or lift capable of transporting </w:t>
      </w:r>
      <w:proofErr w:type="spellStart"/>
      <w:r w:rsidRPr="00741350">
        <w:t>nonfolding</w:t>
      </w:r>
      <w:proofErr w:type="spellEnd"/>
      <w:r w:rsidRPr="00741350">
        <w:t xml:space="preserve"> motorized wheelchairs, mobility scooters, or other mobility devices.”  </w:t>
      </w:r>
    </w:p>
    <w:p w:rsidRPr="00741350" w:rsidR="00741350" w:rsidP="00741350" w:rsidRDefault="00741350" w14:paraId="59896D72" w14:textId="77777777">
      <w:r w:rsidRPr="00741350">
        <w:t>On March 4, 2019, the Commission opened this Order Instituting Rulemaking (OIR) to implement SB 1376.  On May 7, 2019, a Scoping Memo and Ruling (Scoping Memo) was issued by the assigned Commissioner that identified the issues to be addressed in this proceeding and established three tracks for this proceeding (Tracks 1, 2, and 3).  On March 19, 2021, the assigned Commissioner issued the Track 4 Amended Scoping Memo and Ruling that set forth the Track 4 schedule and scope.  On January 14, 2022, the assigned Commissioner issued an amended Track 5 Scoping Memo that set forth the Track 5 schedule and scope and sub</w:t>
      </w:r>
      <w:r w:rsidRPr="00741350">
        <w:noBreakHyphen/>
        <w:t xml:space="preserve">divided Track 5 into Track 5A and Track 5B.  </w:t>
      </w:r>
    </w:p>
    <w:p w:rsidRPr="00741350" w:rsidR="00741350" w:rsidP="00741350" w:rsidRDefault="00741350" w14:paraId="08389C56" w14:textId="1ED16382">
      <w:r w:rsidRPr="00741350">
        <w:t xml:space="preserve">Pursuant to SB 1376, the TNC Access for All program was set to sunset on January 1, 2026.  On </w:t>
      </w:r>
      <w:r w:rsidR="009C1170">
        <w:t>October 1</w:t>
      </w:r>
      <w:r w:rsidRPr="00741350">
        <w:t xml:space="preserve">, 2025, </w:t>
      </w:r>
      <w:r w:rsidR="009C1170">
        <w:t xml:space="preserve">Governor Newsom signed </w:t>
      </w:r>
      <w:r w:rsidRPr="00741350">
        <w:t>California Legislature Assembly Bill 1532, extending the TNC Access for All program until January 1, 203</w:t>
      </w:r>
      <w:r w:rsidR="009C1170">
        <w:t>2</w:t>
      </w:r>
      <w:r w:rsidRPr="00741350">
        <w:t>.</w:t>
      </w:r>
    </w:p>
    <w:p w:rsidRPr="00741350" w:rsidR="00741350" w:rsidP="00741350" w:rsidRDefault="00741350" w14:paraId="7ED2549F" w14:textId="0DD946C5">
      <w:pPr>
        <w:keepNext/>
        <w:keepLines/>
        <w:numPr>
          <w:ilvl w:val="0"/>
          <w:numId w:val="13"/>
        </w:numPr>
        <w:spacing w:after="120" w:line="240" w:lineRule="auto"/>
        <w:ind w:left="720" w:right="2160" w:hanging="720"/>
        <w:outlineLvl w:val="0"/>
        <w:rPr>
          <w:rFonts w:ascii="Arial" w:hAnsi="Arial" w:eastAsiaTheme="majorEastAsia" w:cstheme="majorBidi"/>
          <w:b/>
          <w:szCs w:val="32"/>
        </w:rPr>
      </w:pPr>
      <w:bookmarkStart w:name="_Toc207098820" w:id="8"/>
      <w:r w:rsidRPr="00741350">
        <w:rPr>
          <w:rFonts w:ascii="Arial" w:hAnsi="Arial" w:eastAsiaTheme="majorEastAsia" w:cstheme="majorBidi"/>
          <w:b/>
          <w:szCs w:val="32"/>
        </w:rPr>
        <w:t xml:space="preserve">Closing this Proceeding </w:t>
      </w:r>
      <w:r w:rsidR="00336986">
        <w:rPr>
          <w:rFonts w:ascii="Arial" w:hAnsi="Arial" w:eastAsiaTheme="majorEastAsia" w:cstheme="majorBidi"/>
          <w:b/>
          <w:szCs w:val="32"/>
        </w:rPr>
        <w:br/>
      </w:r>
      <w:r w:rsidRPr="00741350">
        <w:rPr>
          <w:rFonts w:ascii="Arial" w:hAnsi="Arial" w:eastAsiaTheme="majorEastAsia" w:cstheme="majorBidi"/>
          <w:b/>
          <w:szCs w:val="32"/>
        </w:rPr>
        <w:t>and Future Work</w:t>
      </w:r>
      <w:bookmarkEnd w:id="8"/>
    </w:p>
    <w:p w:rsidRPr="00741350" w:rsidR="00741350" w:rsidP="00741350" w:rsidRDefault="00741350" w14:paraId="66055F9B" w14:textId="61E3367C">
      <w:r w:rsidRPr="00741350">
        <w:t>Since opening this proceeding in 2019, the Commission has issued multiple decisions that have addressed the issues identified in various Scoping Memos issued by the assigned Commissioners.  As demonstrated below, the Commission has resolved the issues that have been scoped in this proceeding.</w:t>
      </w:r>
    </w:p>
    <w:tbl>
      <w:tblPr>
        <w:tblStyle w:val="TableGrid"/>
        <w:tblW w:w="0" w:type="auto"/>
        <w:tblLook w:val="04A0" w:firstRow="1" w:lastRow="0" w:firstColumn="1" w:lastColumn="0" w:noHBand="0" w:noVBand="1"/>
      </w:tblPr>
      <w:tblGrid>
        <w:gridCol w:w="476"/>
        <w:gridCol w:w="2399"/>
        <w:gridCol w:w="2004"/>
        <w:gridCol w:w="4471"/>
      </w:tblGrid>
      <w:tr w:rsidRPr="00741350" w:rsidR="00741350" w:rsidTr="00FC38B9" w14:paraId="1D294880" w14:textId="77777777">
        <w:tc>
          <w:tcPr>
            <w:tcW w:w="476" w:type="dxa"/>
          </w:tcPr>
          <w:p w:rsidRPr="00741350" w:rsidR="00741350" w:rsidP="00741350" w:rsidRDefault="00741350" w14:paraId="7731A348" w14:textId="77777777">
            <w:pPr>
              <w:ind w:firstLine="0"/>
              <w:rPr>
                <w:szCs w:val="26"/>
              </w:rPr>
            </w:pPr>
            <w:r w:rsidRPr="00741350">
              <w:rPr>
                <w:szCs w:val="26"/>
              </w:rPr>
              <w:t>#</w:t>
            </w:r>
          </w:p>
        </w:tc>
        <w:tc>
          <w:tcPr>
            <w:tcW w:w="2399" w:type="dxa"/>
          </w:tcPr>
          <w:p w:rsidRPr="00741350" w:rsidR="00741350" w:rsidP="00741350" w:rsidRDefault="00741350" w14:paraId="46520987" w14:textId="77777777">
            <w:pPr>
              <w:spacing w:line="240" w:lineRule="auto"/>
              <w:ind w:firstLine="0"/>
              <w:rPr>
                <w:b/>
                <w:bCs/>
                <w:szCs w:val="26"/>
              </w:rPr>
            </w:pPr>
            <w:r w:rsidRPr="00741350">
              <w:rPr>
                <w:b/>
                <w:bCs/>
                <w:szCs w:val="26"/>
              </w:rPr>
              <w:t>Decision Number</w:t>
            </w:r>
          </w:p>
        </w:tc>
        <w:tc>
          <w:tcPr>
            <w:tcW w:w="2004" w:type="dxa"/>
          </w:tcPr>
          <w:p w:rsidRPr="00741350" w:rsidR="00741350" w:rsidP="00741350" w:rsidRDefault="00741350" w14:paraId="544449FF" w14:textId="77777777">
            <w:pPr>
              <w:ind w:firstLine="0"/>
              <w:rPr>
                <w:b/>
                <w:bCs/>
                <w:szCs w:val="26"/>
              </w:rPr>
            </w:pPr>
            <w:r w:rsidRPr="00741350">
              <w:rPr>
                <w:b/>
                <w:bCs/>
                <w:szCs w:val="26"/>
              </w:rPr>
              <w:t>Subject Matter</w:t>
            </w:r>
          </w:p>
        </w:tc>
        <w:tc>
          <w:tcPr>
            <w:tcW w:w="4471" w:type="dxa"/>
          </w:tcPr>
          <w:p w:rsidRPr="00741350" w:rsidR="00741350" w:rsidP="00741350" w:rsidRDefault="00741350" w14:paraId="5AD7A030" w14:textId="77777777">
            <w:pPr>
              <w:ind w:firstLine="0"/>
              <w:rPr>
                <w:b/>
                <w:bCs/>
                <w:szCs w:val="26"/>
              </w:rPr>
            </w:pPr>
            <w:r w:rsidRPr="00741350">
              <w:rPr>
                <w:b/>
                <w:bCs/>
                <w:szCs w:val="26"/>
              </w:rPr>
              <w:t>What the Decision Ordered</w:t>
            </w:r>
          </w:p>
        </w:tc>
      </w:tr>
      <w:tr w:rsidRPr="00741350" w:rsidR="00741350" w:rsidTr="00FC38B9" w14:paraId="0981AE6C" w14:textId="77777777">
        <w:tc>
          <w:tcPr>
            <w:tcW w:w="476" w:type="dxa"/>
          </w:tcPr>
          <w:p w:rsidRPr="00741350" w:rsidR="00741350" w:rsidP="00741350" w:rsidRDefault="00741350" w14:paraId="53CF2207" w14:textId="77777777">
            <w:pPr>
              <w:spacing w:line="240" w:lineRule="auto"/>
              <w:ind w:firstLine="0"/>
              <w:rPr>
                <w:szCs w:val="26"/>
              </w:rPr>
            </w:pPr>
            <w:r w:rsidRPr="00741350">
              <w:rPr>
                <w:szCs w:val="26"/>
              </w:rPr>
              <w:t>1</w:t>
            </w:r>
          </w:p>
        </w:tc>
        <w:tc>
          <w:tcPr>
            <w:tcW w:w="2399" w:type="dxa"/>
          </w:tcPr>
          <w:p w:rsidRPr="00741350" w:rsidR="00741350" w:rsidP="00741350" w:rsidRDefault="00336986" w14:paraId="4C5943FA" w14:textId="65DDED1D">
            <w:pPr>
              <w:spacing w:line="240" w:lineRule="auto"/>
              <w:ind w:firstLine="0"/>
              <w:rPr>
                <w:szCs w:val="26"/>
              </w:rPr>
            </w:pPr>
            <w:r>
              <w:rPr>
                <w:szCs w:val="26"/>
              </w:rPr>
              <w:t xml:space="preserve">Decision </w:t>
            </w:r>
            <w:r>
              <w:rPr>
                <w:szCs w:val="26"/>
              </w:rPr>
              <w:br/>
              <w:t xml:space="preserve">(D.) </w:t>
            </w:r>
            <w:r w:rsidRPr="00741350" w:rsidR="00741350">
              <w:rPr>
                <w:szCs w:val="26"/>
              </w:rPr>
              <w:t>19-06-033</w:t>
            </w:r>
          </w:p>
          <w:p w:rsidRPr="00741350" w:rsidR="00741350" w:rsidP="00741350" w:rsidRDefault="00741350" w14:paraId="1791BB12" w14:textId="77777777">
            <w:pPr>
              <w:spacing w:line="240" w:lineRule="auto"/>
              <w:ind w:firstLine="0"/>
              <w:rPr>
                <w:szCs w:val="26"/>
              </w:rPr>
            </w:pPr>
            <w:r w:rsidRPr="00741350">
              <w:rPr>
                <w:szCs w:val="26"/>
              </w:rPr>
              <w:t>June 27, 2019</w:t>
            </w:r>
          </w:p>
        </w:tc>
        <w:tc>
          <w:tcPr>
            <w:tcW w:w="2004" w:type="dxa"/>
          </w:tcPr>
          <w:p w:rsidRPr="00741350" w:rsidR="00741350" w:rsidP="00741350" w:rsidRDefault="00741350" w14:paraId="4CC24E92" w14:textId="77777777">
            <w:pPr>
              <w:spacing w:line="240" w:lineRule="auto"/>
              <w:ind w:firstLine="0"/>
              <w:rPr>
                <w:szCs w:val="26"/>
              </w:rPr>
            </w:pPr>
            <w:r w:rsidRPr="00741350">
              <w:rPr>
                <w:szCs w:val="26"/>
              </w:rPr>
              <w:t>Track 1 Issues</w:t>
            </w:r>
          </w:p>
        </w:tc>
        <w:tc>
          <w:tcPr>
            <w:tcW w:w="4471" w:type="dxa"/>
          </w:tcPr>
          <w:p w:rsidRPr="00741350" w:rsidR="00741350" w:rsidP="00741350" w:rsidRDefault="00741350" w14:paraId="554D173F" w14:textId="77777777">
            <w:pPr>
              <w:spacing w:line="240" w:lineRule="auto"/>
              <w:ind w:firstLine="0"/>
            </w:pPr>
            <w:r w:rsidRPr="00741350">
              <w:rPr>
                <w:szCs w:val="26"/>
              </w:rPr>
              <w:t xml:space="preserve">The Commission addressed Track 1 issues, including adopting the $0.10 per-trip fee for each TNC trip completed and designating the geographic areas for purposes of the </w:t>
            </w:r>
            <w:r w:rsidRPr="00741350">
              <w:rPr>
                <w:szCs w:val="26"/>
              </w:rPr>
              <w:lastRenderedPageBreak/>
              <w:t>TNC Access for All Fund as each county in California.</w:t>
            </w:r>
          </w:p>
        </w:tc>
      </w:tr>
      <w:tr w:rsidRPr="00741350" w:rsidR="00741350" w:rsidTr="00FC38B9" w14:paraId="072C6955" w14:textId="77777777">
        <w:tc>
          <w:tcPr>
            <w:tcW w:w="476" w:type="dxa"/>
          </w:tcPr>
          <w:p w:rsidRPr="00741350" w:rsidR="00741350" w:rsidP="00741350" w:rsidRDefault="00741350" w14:paraId="4F0D133D" w14:textId="77777777">
            <w:pPr>
              <w:spacing w:line="240" w:lineRule="auto"/>
              <w:ind w:firstLine="0"/>
              <w:rPr>
                <w:szCs w:val="26"/>
              </w:rPr>
            </w:pPr>
            <w:r w:rsidRPr="00741350">
              <w:rPr>
                <w:szCs w:val="26"/>
              </w:rPr>
              <w:lastRenderedPageBreak/>
              <w:t>2</w:t>
            </w:r>
          </w:p>
        </w:tc>
        <w:tc>
          <w:tcPr>
            <w:tcW w:w="2399" w:type="dxa"/>
          </w:tcPr>
          <w:p w:rsidRPr="00741350" w:rsidR="00741350" w:rsidP="00741350" w:rsidRDefault="00741350" w14:paraId="43A7F93B" w14:textId="77777777">
            <w:pPr>
              <w:spacing w:line="240" w:lineRule="auto"/>
              <w:ind w:firstLine="0"/>
              <w:rPr>
                <w:szCs w:val="26"/>
              </w:rPr>
            </w:pPr>
            <w:r w:rsidRPr="00741350">
              <w:rPr>
                <w:szCs w:val="26"/>
              </w:rPr>
              <w:t>D.20-03-007</w:t>
            </w:r>
          </w:p>
          <w:p w:rsidRPr="00741350" w:rsidR="00741350" w:rsidP="00741350" w:rsidRDefault="00741350" w14:paraId="1E111FC2" w14:textId="77777777">
            <w:pPr>
              <w:spacing w:line="240" w:lineRule="auto"/>
              <w:ind w:firstLine="0"/>
              <w:rPr>
                <w:szCs w:val="26"/>
              </w:rPr>
            </w:pPr>
            <w:r w:rsidRPr="00741350">
              <w:rPr>
                <w:szCs w:val="26"/>
              </w:rPr>
              <w:t>March 12, 2020</w:t>
            </w:r>
          </w:p>
        </w:tc>
        <w:tc>
          <w:tcPr>
            <w:tcW w:w="2004" w:type="dxa"/>
          </w:tcPr>
          <w:p w:rsidRPr="00741350" w:rsidR="00741350" w:rsidP="00741350" w:rsidRDefault="00741350" w14:paraId="11FC085B" w14:textId="77777777">
            <w:pPr>
              <w:spacing w:line="240" w:lineRule="auto"/>
              <w:ind w:firstLine="0"/>
              <w:rPr>
                <w:szCs w:val="26"/>
              </w:rPr>
            </w:pPr>
            <w:r w:rsidRPr="00741350">
              <w:rPr>
                <w:szCs w:val="26"/>
              </w:rPr>
              <w:t>Track 2 Issues</w:t>
            </w:r>
          </w:p>
        </w:tc>
        <w:tc>
          <w:tcPr>
            <w:tcW w:w="4471" w:type="dxa"/>
          </w:tcPr>
          <w:p w:rsidRPr="00741350" w:rsidR="00741350" w:rsidP="00741350" w:rsidRDefault="00741350" w14:paraId="0CD94B5A" w14:textId="77777777">
            <w:pPr>
              <w:spacing w:line="240" w:lineRule="auto"/>
              <w:ind w:firstLine="0"/>
              <w:rPr>
                <w:szCs w:val="26"/>
              </w:rPr>
            </w:pPr>
            <w:r w:rsidRPr="00741350">
              <w:rPr>
                <w:szCs w:val="26"/>
              </w:rPr>
              <w:t>The Commission addressed Track 2 issues, including adopting requirements for the offset eligibility and exemption eligibility process, and for the distribution of funds for the TNC Access for All Fund.</w:t>
            </w:r>
          </w:p>
        </w:tc>
      </w:tr>
      <w:tr w:rsidRPr="00741350" w:rsidR="00741350" w:rsidTr="00FC38B9" w14:paraId="2793EB6E" w14:textId="77777777">
        <w:tc>
          <w:tcPr>
            <w:tcW w:w="476" w:type="dxa"/>
          </w:tcPr>
          <w:p w:rsidRPr="00741350" w:rsidR="00741350" w:rsidP="00741350" w:rsidRDefault="00741350" w14:paraId="4DD186BE" w14:textId="77777777">
            <w:pPr>
              <w:spacing w:line="240" w:lineRule="auto"/>
              <w:ind w:firstLine="0"/>
              <w:rPr>
                <w:szCs w:val="26"/>
              </w:rPr>
            </w:pPr>
            <w:r w:rsidRPr="00741350">
              <w:rPr>
                <w:szCs w:val="26"/>
              </w:rPr>
              <w:t>3</w:t>
            </w:r>
          </w:p>
        </w:tc>
        <w:tc>
          <w:tcPr>
            <w:tcW w:w="2399" w:type="dxa"/>
          </w:tcPr>
          <w:p w:rsidRPr="00741350" w:rsidR="00741350" w:rsidP="00741350" w:rsidRDefault="00741350" w14:paraId="7A2B0EF2" w14:textId="77777777">
            <w:pPr>
              <w:spacing w:line="240" w:lineRule="auto"/>
              <w:ind w:firstLine="0"/>
              <w:rPr>
                <w:szCs w:val="26"/>
              </w:rPr>
            </w:pPr>
            <w:r w:rsidRPr="00741350">
              <w:rPr>
                <w:szCs w:val="26"/>
              </w:rPr>
              <w:t>D.21-03-005</w:t>
            </w:r>
          </w:p>
          <w:p w:rsidRPr="00741350" w:rsidR="00741350" w:rsidP="00741350" w:rsidRDefault="00741350" w14:paraId="60E957A4" w14:textId="77777777">
            <w:pPr>
              <w:spacing w:line="240" w:lineRule="auto"/>
              <w:ind w:firstLine="0"/>
              <w:rPr>
                <w:szCs w:val="26"/>
              </w:rPr>
            </w:pPr>
            <w:r w:rsidRPr="00741350">
              <w:rPr>
                <w:szCs w:val="26"/>
              </w:rPr>
              <w:t>March 4, 2021</w:t>
            </w:r>
          </w:p>
        </w:tc>
        <w:tc>
          <w:tcPr>
            <w:tcW w:w="2004" w:type="dxa"/>
          </w:tcPr>
          <w:p w:rsidRPr="00741350" w:rsidR="00741350" w:rsidP="00741350" w:rsidRDefault="00741350" w14:paraId="72D426FC" w14:textId="77777777">
            <w:pPr>
              <w:spacing w:line="240" w:lineRule="auto"/>
              <w:ind w:firstLine="0"/>
              <w:rPr>
                <w:szCs w:val="26"/>
              </w:rPr>
            </w:pPr>
            <w:r w:rsidRPr="00741350">
              <w:rPr>
                <w:szCs w:val="26"/>
              </w:rPr>
              <w:t>Track 3 Issues</w:t>
            </w:r>
          </w:p>
        </w:tc>
        <w:tc>
          <w:tcPr>
            <w:tcW w:w="4471" w:type="dxa"/>
          </w:tcPr>
          <w:p w:rsidRPr="00741350" w:rsidR="00741350" w:rsidP="00741350" w:rsidRDefault="00741350" w14:paraId="4FE88DC7" w14:textId="77777777">
            <w:pPr>
              <w:spacing w:line="240" w:lineRule="auto"/>
              <w:ind w:firstLine="0"/>
              <w:rPr>
                <w:szCs w:val="26"/>
              </w:rPr>
            </w:pPr>
            <w:r w:rsidRPr="00741350">
              <w:rPr>
                <w:szCs w:val="26"/>
              </w:rPr>
              <w:t xml:space="preserve">The Commission addressed Track 3 issues, including additional offset eligibility requirements for TNCs and additional requirements for Access Providers seeking funding. </w:t>
            </w:r>
          </w:p>
        </w:tc>
      </w:tr>
      <w:tr w:rsidRPr="00741350" w:rsidR="00741350" w:rsidTr="00FC38B9" w14:paraId="3C3565BF" w14:textId="77777777">
        <w:tc>
          <w:tcPr>
            <w:tcW w:w="476" w:type="dxa"/>
          </w:tcPr>
          <w:p w:rsidRPr="00741350" w:rsidR="00741350" w:rsidP="00741350" w:rsidRDefault="00741350" w14:paraId="70BB9028" w14:textId="77777777">
            <w:pPr>
              <w:spacing w:line="240" w:lineRule="auto"/>
              <w:ind w:firstLine="0"/>
              <w:rPr>
                <w:szCs w:val="26"/>
              </w:rPr>
            </w:pPr>
            <w:r w:rsidRPr="00741350">
              <w:rPr>
                <w:szCs w:val="26"/>
              </w:rPr>
              <w:t>4</w:t>
            </w:r>
          </w:p>
        </w:tc>
        <w:tc>
          <w:tcPr>
            <w:tcW w:w="2399" w:type="dxa"/>
          </w:tcPr>
          <w:p w:rsidRPr="00741350" w:rsidR="00741350" w:rsidP="00741350" w:rsidRDefault="00741350" w14:paraId="66964D62" w14:textId="77777777">
            <w:pPr>
              <w:spacing w:line="240" w:lineRule="auto"/>
              <w:ind w:firstLine="0"/>
              <w:rPr>
                <w:szCs w:val="26"/>
              </w:rPr>
            </w:pPr>
            <w:r w:rsidRPr="00741350">
              <w:rPr>
                <w:szCs w:val="26"/>
              </w:rPr>
              <w:t>D.21-11-004</w:t>
            </w:r>
          </w:p>
          <w:p w:rsidRPr="00741350" w:rsidR="00741350" w:rsidP="00741350" w:rsidRDefault="00741350" w14:paraId="2F23965F" w14:textId="77777777">
            <w:pPr>
              <w:spacing w:line="240" w:lineRule="auto"/>
              <w:ind w:firstLine="0"/>
              <w:rPr>
                <w:szCs w:val="26"/>
              </w:rPr>
            </w:pPr>
            <w:r w:rsidRPr="00741350">
              <w:rPr>
                <w:szCs w:val="26"/>
              </w:rPr>
              <w:t>November 4, 2021</w:t>
            </w:r>
          </w:p>
        </w:tc>
        <w:tc>
          <w:tcPr>
            <w:tcW w:w="2004" w:type="dxa"/>
          </w:tcPr>
          <w:p w:rsidRPr="00741350" w:rsidR="00741350" w:rsidP="00741350" w:rsidRDefault="00741350" w14:paraId="034C9853" w14:textId="77777777">
            <w:pPr>
              <w:spacing w:line="240" w:lineRule="auto"/>
              <w:ind w:firstLine="0"/>
              <w:rPr>
                <w:szCs w:val="26"/>
              </w:rPr>
            </w:pPr>
            <w:r w:rsidRPr="00741350">
              <w:rPr>
                <w:szCs w:val="26"/>
              </w:rPr>
              <w:t>Track 4 Issues</w:t>
            </w:r>
          </w:p>
        </w:tc>
        <w:tc>
          <w:tcPr>
            <w:tcW w:w="4471" w:type="dxa"/>
          </w:tcPr>
          <w:p w:rsidRPr="00741350" w:rsidR="00741350" w:rsidP="00741350" w:rsidRDefault="00741350" w14:paraId="2C7C6B84" w14:textId="77777777">
            <w:pPr>
              <w:spacing w:line="240" w:lineRule="auto"/>
              <w:ind w:firstLine="0"/>
              <w:rPr>
                <w:szCs w:val="26"/>
              </w:rPr>
            </w:pPr>
            <w:r w:rsidRPr="00741350">
              <w:rPr>
                <w:szCs w:val="26"/>
              </w:rPr>
              <w:t xml:space="preserve">The Commission addressed Track 4 issues, including modifications to the Offset Time Standard, Exemption Time Standard, and Trip Completion Standard. </w:t>
            </w:r>
          </w:p>
        </w:tc>
      </w:tr>
      <w:tr w:rsidRPr="00741350" w:rsidR="00741350" w:rsidTr="00FC38B9" w14:paraId="7587D096" w14:textId="77777777">
        <w:tc>
          <w:tcPr>
            <w:tcW w:w="476" w:type="dxa"/>
          </w:tcPr>
          <w:p w:rsidRPr="00741350" w:rsidR="00741350" w:rsidP="00741350" w:rsidRDefault="00741350" w14:paraId="678D231B" w14:textId="77777777">
            <w:pPr>
              <w:spacing w:line="240" w:lineRule="auto"/>
              <w:ind w:firstLine="0"/>
              <w:rPr>
                <w:szCs w:val="26"/>
              </w:rPr>
            </w:pPr>
            <w:r w:rsidRPr="00741350">
              <w:rPr>
                <w:szCs w:val="26"/>
              </w:rPr>
              <w:t>5</w:t>
            </w:r>
          </w:p>
        </w:tc>
        <w:tc>
          <w:tcPr>
            <w:tcW w:w="2399" w:type="dxa"/>
          </w:tcPr>
          <w:p w:rsidRPr="00741350" w:rsidR="00741350" w:rsidP="00741350" w:rsidRDefault="00741350" w14:paraId="2C88B108" w14:textId="77777777">
            <w:pPr>
              <w:spacing w:line="240" w:lineRule="auto"/>
              <w:ind w:firstLine="0"/>
              <w:rPr>
                <w:szCs w:val="26"/>
              </w:rPr>
            </w:pPr>
            <w:r w:rsidRPr="00741350">
              <w:rPr>
                <w:szCs w:val="26"/>
              </w:rPr>
              <w:t>D.23-02-024</w:t>
            </w:r>
          </w:p>
          <w:p w:rsidRPr="00741350" w:rsidR="00741350" w:rsidP="00741350" w:rsidRDefault="00741350" w14:paraId="12FC3ACE" w14:textId="77777777">
            <w:pPr>
              <w:spacing w:line="240" w:lineRule="auto"/>
              <w:ind w:firstLine="0"/>
              <w:rPr>
                <w:szCs w:val="26"/>
              </w:rPr>
            </w:pPr>
            <w:r w:rsidRPr="00741350">
              <w:rPr>
                <w:szCs w:val="26"/>
              </w:rPr>
              <w:t>February 23, 2023</w:t>
            </w:r>
          </w:p>
        </w:tc>
        <w:tc>
          <w:tcPr>
            <w:tcW w:w="2004" w:type="dxa"/>
          </w:tcPr>
          <w:p w:rsidRPr="00741350" w:rsidR="00741350" w:rsidP="00741350" w:rsidRDefault="00741350" w14:paraId="71689B78" w14:textId="77777777">
            <w:pPr>
              <w:spacing w:line="240" w:lineRule="auto"/>
              <w:ind w:firstLine="0"/>
              <w:rPr>
                <w:szCs w:val="26"/>
              </w:rPr>
            </w:pPr>
            <w:r w:rsidRPr="00741350">
              <w:rPr>
                <w:szCs w:val="26"/>
              </w:rPr>
              <w:t>Track 5 Issues</w:t>
            </w:r>
          </w:p>
        </w:tc>
        <w:tc>
          <w:tcPr>
            <w:tcW w:w="4471" w:type="dxa"/>
          </w:tcPr>
          <w:p w:rsidRPr="00741350" w:rsidR="00741350" w:rsidP="00741350" w:rsidRDefault="00741350" w14:paraId="552131FE" w14:textId="77777777">
            <w:pPr>
              <w:spacing w:line="240" w:lineRule="auto"/>
              <w:ind w:firstLine="0"/>
              <w:rPr>
                <w:szCs w:val="26"/>
              </w:rPr>
            </w:pPr>
            <w:r w:rsidRPr="00741350">
              <w:rPr>
                <w:szCs w:val="26"/>
              </w:rPr>
              <w:t>The Commission addressed Track 5 issues, including requirements for pre-scheduled WAV trips and requirements for Wait &amp; Save WAV trips.</w:t>
            </w:r>
          </w:p>
        </w:tc>
      </w:tr>
    </w:tbl>
    <w:p w:rsidRPr="00741350" w:rsidR="00741350" w:rsidP="00336986" w:rsidRDefault="00741350" w14:paraId="74BB5E9E" w14:textId="06EBB2B7">
      <w:pPr>
        <w:spacing w:before="120"/>
      </w:pPr>
      <w:r w:rsidRPr="00741350">
        <w:t>As the Commission has addressed the issues scoped in this proceeding, we determine that it is appropriate and efficient to close this rulemaking at this time.  However, as the TNC Access for All program continues to evolve, the Commission anticipates that there may be additional questions related to the main issues that have been resolved that may require further consideration.  The Commission may open a new rulemaking in the future should additional issues related to the TNC Access for All program arise.</w:t>
      </w:r>
    </w:p>
    <w:p w:rsidRPr="00741350" w:rsidR="00741350" w:rsidP="00741350" w:rsidRDefault="00741350" w14:paraId="5329BBEC" w14:textId="77777777">
      <w:pPr>
        <w:keepNext/>
        <w:keepLines/>
        <w:numPr>
          <w:ilvl w:val="0"/>
          <w:numId w:val="13"/>
        </w:numPr>
        <w:spacing w:after="120" w:line="240" w:lineRule="auto"/>
        <w:ind w:left="720" w:right="2160" w:hanging="720"/>
        <w:outlineLvl w:val="0"/>
        <w:rPr>
          <w:rFonts w:ascii="Arial" w:hAnsi="Arial" w:eastAsiaTheme="majorEastAsia" w:cstheme="majorBidi"/>
          <w:b/>
          <w:szCs w:val="32"/>
        </w:rPr>
      </w:pPr>
      <w:bookmarkStart w:name="_Toc207098823" w:id="9"/>
      <w:r w:rsidRPr="00741350">
        <w:rPr>
          <w:rFonts w:ascii="Arial" w:hAnsi="Arial" w:eastAsiaTheme="majorEastAsia" w:cstheme="majorBidi"/>
          <w:b/>
          <w:szCs w:val="32"/>
        </w:rPr>
        <w:lastRenderedPageBreak/>
        <w:t>Procedural Matters</w:t>
      </w:r>
      <w:bookmarkEnd w:id="9"/>
    </w:p>
    <w:p w:rsidRPr="00741350" w:rsidR="00741350" w:rsidP="00741350" w:rsidRDefault="00741350" w14:paraId="031B3590" w14:textId="2948044A">
      <w:bookmarkStart w:name="_Toc133843854" w:id="10"/>
      <w:r w:rsidRPr="00741350">
        <w:t xml:space="preserve">This decision affirms all rulings made by the assigned Administrative Law Judge </w:t>
      </w:r>
      <w:r w:rsidR="00336986">
        <w:t xml:space="preserve">(ALJ) </w:t>
      </w:r>
      <w:r w:rsidRPr="00741350">
        <w:t>and assigned Commissioner in this proceeding.  All motions not ruled on are deemed denied.</w:t>
      </w:r>
    </w:p>
    <w:p w:rsidRPr="00741350" w:rsidR="00741350" w:rsidP="00741350" w:rsidRDefault="00741350" w14:paraId="45E28D35" w14:textId="77777777">
      <w:pPr>
        <w:keepNext/>
        <w:keepLines/>
        <w:numPr>
          <w:ilvl w:val="0"/>
          <w:numId w:val="13"/>
        </w:numPr>
        <w:spacing w:after="120" w:line="240" w:lineRule="auto"/>
        <w:ind w:left="720" w:right="2160" w:hanging="720"/>
        <w:outlineLvl w:val="0"/>
        <w:rPr>
          <w:rFonts w:ascii="Arial" w:hAnsi="Arial" w:eastAsiaTheme="majorEastAsia" w:cstheme="majorBidi"/>
          <w:b/>
          <w:szCs w:val="32"/>
        </w:rPr>
      </w:pPr>
      <w:bookmarkStart w:name="_Toc207098824" w:id="11"/>
      <w:r w:rsidRPr="00741350">
        <w:rPr>
          <w:rFonts w:ascii="Arial" w:hAnsi="Arial" w:eastAsiaTheme="majorEastAsia" w:cstheme="majorBidi"/>
          <w:b/>
          <w:szCs w:val="32"/>
        </w:rPr>
        <w:t>Comments on Proposed Decision</w:t>
      </w:r>
      <w:bookmarkEnd w:id="10"/>
      <w:bookmarkEnd w:id="11"/>
    </w:p>
    <w:p w:rsidRPr="00741350" w:rsidR="00741350" w:rsidP="00741350" w:rsidRDefault="00741350" w14:paraId="1F50176E" w14:textId="57DEFF77">
      <w:r w:rsidRPr="00741350">
        <w:t xml:space="preserve">The proposed decision of Commissioner Matthew Baker in this matter was mailed to the parties in accordance with Section 311 of the </w:t>
      </w:r>
      <w:r w:rsidR="00336986">
        <w:t>Pub. Util.</w:t>
      </w:r>
      <w:r w:rsidRPr="00741350">
        <w:t xml:space="preserve"> Code and comments were allowed under Rule 14.3 of the Commission’s Rules of Practice and Procedure.  </w:t>
      </w:r>
      <w:r w:rsidR="008C7C5E">
        <w:t>No comments were filed.</w:t>
      </w:r>
    </w:p>
    <w:p w:rsidRPr="00741350" w:rsidR="00741350" w:rsidP="00741350" w:rsidRDefault="00741350" w14:paraId="5E9F9407" w14:textId="77777777">
      <w:pPr>
        <w:keepNext/>
        <w:keepLines/>
        <w:numPr>
          <w:ilvl w:val="0"/>
          <w:numId w:val="13"/>
        </w:numPr>
        <w:spacing w:after="120" w:line="240" w:lineRule="auto"/>
        <w:ind w:left="720" w:right="2160" w:hanging="720"/>
        <w:outlineLvl w:val="0"/>
        <w:rPr>
          <w:rFonts w:ascii="Arial" w:hAnsi="Arial" w:eastAsiaTheme="majorEastAsia" w:cstheme="majorBidi"/>
          <w:b/>
          <w:szCs w:val="32"/>
        </w:rPr>
      </w:pPr>
      <w:bookmarkStart w:name="_Toc133843855" w:id="12"/>
      <w:bookmarkStart w:name="_Toc207098836" w:id="13"/>
      <w:r w:rsidRPr="00741350">
        <w:rPr>
          <w:rFonts w:ascii="Arial" w:hAnsi="Arial" w:eastAsiaTheme="majorEastAsia" w:cstheme="majorBidi"/>
          <w:b/>
          <w:szCs w:val="32"/>
        </w:rPr>
        <w:t>Assignment of Proceeding</w:t>
      </w:r>
      <w:bookmarkEnd w:id="12"/>
      <w:bookmarkEnd w:id="13"/>
    </w:p>
    <w:p w:rsidRPr="00741350" w:rsidR="00741350" w:rsidP="00741350" w:rsidRDefault="00741350" w14:paraId="2AFEABCF" w14:textId="6D295AF8">
      <w:r w:rsidRPr="00741350">
        <w:t xml:space="preserve">Matthew Baker is the assigned Commissioner and Debbie Chiv is the assigned </w:t>
      </w:r>
      <w:r w:rsidR="00336986">
        <w:t>A</w:t>
      </w:r>
      <w:r w:rsidR="0002244D">
        <w:t xml:space="preserve">dministrative </w:t>
      </w:r>
      <w:r w:rsidR="00336986">
        <w:t>L</w:t>
      </w:r>
      <w:r w:rsidR="0002244D">
        <w:t xml:space="preserve">aw </w:t>
      </w:r>
      <w:r w:rsidR="00336986">
        <w:t>J</w:t>
      </w:r>
      <w:r w:rsidR="0002244D">
        <w:t>udge</w:t>
      </w:r>
      <w:r w:rsidRPr="00741350">
        <w:t xml:space="preserve"> in this proceeding.</w:t>
      </w:r>
    </w:p>
    <w:p w:rsidRPr="00741350" w:rsidR="00741350" w:rsidP="00741350" w:rsidRDefault="00741350" w14:paraId="0711E0D2" w14:textId="77777777">
      <w:pPr>
        <w:keepNext/>
        <w:keepLines/>
        <w:spacing w:after="120" w:line="240" w:lineRule="auto"/>
        <w:ind w:firstLine="0"/>
        <w:outlineLvl w:val="0"/>
        <w:rPr>
          <w:rFonts w:ascii="Arial" w:hAnsi="Arial" w:cs="Arial"/>
          <w:b/>
          <w:szCs w:val="26"/>
        </w:rPr>
      </w:pPr>
      <w:bookmarkStart w:name="_Toc133843856" w:id="14"/>
      <w:bookmarkStart w:name="_Toc207098837" w:id="15"/>
      <w:r w:rsidRPr="00741350">
        <w:rPr>
          <w:rFonts w:ascii="Arial" w:hAnsi="Arial" w:cs="Arial"/>
          <w:b/>
          <w:szCs w:val="26"/>
        </w:rPr>
        <w:t>Findings of Fact</w:t>
      </w:r>
      <w:bookmarkEnd w:id="14"/>
      <w:bookmarkEnd w:id="15"/>
    </w:p>
    <w:p w:rsidRPr="00741350" w:rsidR="00741350" w:rsidP="00741350" w:rsidRDefault="00741350" w14:paraId="53EA89BE" w14:textId="77777777">
      <w:pPr>
        <w:numPr>
          <w:ilvl w:val="0"/>
          <w:numId w:val="5"/>
        </w:numPr>
      </w:pPr>
      <w:r w:rsidRPr="00741350">
        <w:t xml:space="preserve">As the Commission has addressed the issues scoped in this proceeding, it is appropriate and efficient to close this rulemaking at this time.  </w:t>
      </w:r>
    </w:p>
    <w:p w:rsidRPr="00741350" w:rsidR="00741350" w:rsidP="00741350" w:rsidRDefault="00741350" w14:paraId="67B3135D" w14:textId="77777777">
      <w:pPr>
        <w:keepNext/>
        <w:keepLines/>
        <w:spacing w:after="120" w:line="240" w:lineRule="auto"/>
        <w:ind w:firstLine="0"/>
        <w:outlineLvl w:val="0"/>
        <w:rPr>
          <w:rFonts w:ascii="Arial" w:hAnsi="Arial" w:cs="Arial"/>
          <w:b/>
          <w:szCs w:val="26"/>
        </w:rPr>
      </w:pPr>
      <w:bookmarkStart w:name="_Toc8123726" w:id="16"/>
      <w:bookmarkStart w:name="_Toc125016618" w:id="17"/>
      <w:r w:rsidRPr="00741350">
        <w:rPr>
          <w:rFonts w:ascii="Arial" w:hAnsi="Arial" w:cs="Arial"/>
          <w:b/>
          <w:szCs w:val="26"/>
        </w:rPr>
        <w:t>Conclusions of Law</w:t>
      </w:r>
      <w:bookmarkEnd w:id="16"/>
      <w:bookmarkEnd w:id="17"/>
    </w:p>
    <w:p w:rsidRPr="00741350" w:rsidR="00741350" w:rsidP="00741350" w:rsidRDefault="00741350" w14:paraId="5BFAD2B7" w14:textId="77777777">
      <w:pPr>
        <w:numPr>
          <w:ilvl w:val="0"/>
          <w:numId w:val="28"/>
        </w:numPr>
      </w:pPr>
      <w:r w:rsidRPr="00741350">
        <w:t>All rulings made by the ALJ and assigned Commissioner in this proceeding are affirmed.  All motions not ruled on are deemed denied.</w:t>
      </w:r>
    </w:p>
    <w:p w:rsidRPr="00741350" w:rsidR="00741350" w:rsidP="00741350" w:rsidRDefault="00741350" w14:paraId="4072A0F4" w14:textId="77777777">
      <w:pPr>
        <w:numPr>
          <w:ilvl w:val="0"/>
          <w:numId w:val="28"/>
        </w:numPr>
      </w:pPr>
      <w:r w:rsidRPr="00741350">
        <w:t xml:space="preserve">Rulemaking 19-02-012 should be closed.  </w:t>
      </w:r>
    </w:p>
    <w:p w:rsidRPr="00741350" w:rsidR="00741350" w:rsidP="00741350" w:rsidRDefault="00741350" w14:paraId="08958EC1" w14:textId="77777777">
      <w:pPr>
        <w:keepNext/>
        <w:keepLines/>
        <w:spacing w:after="120" w:line="240" w:lineRule="auto"/>
        <w:ind w:firstLine="0"/>
        <w:jc w:val="center"/>
        <w:outlineLvl w:val="0"/>
        <w:rPr>
          <w:b/>
        </w:rPr>
      </w:pPr>
      <w:bookmarkStart w:name="_Toc125016619" w:id="18"/>
      <w:r w:rsidRPr="00741350">
        <w:rPr>
          <w:rFonts w:ascii="Arial" w:hAnsi="Arial" w:cs="Arial"/>
          <w:b/>
          <w:szCs w:val="26"/>
        </w:rPr>
        <w:t>O R D E R</w:t>
      </w:r>
      <w:bookmarkEnd w:id="18"/>
    </w:p>
    <w:p w:rsidRPr="00741350" w:rsidR="00741350" w:rsidP="00741350" w:rsidRDefault="00741350" w14:paraId="6C923AFB" w14:textId="77777777">
      <w:pPr>
        <w:keepNext/>
      </w:pPr>
      <w:r w:rsidRPr="00741350">
        <w:rPr>
          <w:b/>
          <w:bCs/>
        </w:rPr>
        <w:t>IT IS ORDERED</w:t>
      </w:r>
      <w:r w:rsidRPr="00741350">
        <w:t xml:space="preserve"> that:</w:t>
      </w:r>
    </w:p>
    <w:p w:rsidRPr="00741350" w:rsidR="00741350" w:rsidP="00741350" w:rsidRDefault="00741350" w14:paraId="40EDAA37" w14:textId="77777777">
      <w:pPr>
        <w:numPr>
          <w:ilvl w:val="0"/>
          <w:numId w:val="29"/>
        </w:numPr>
      </w:pPr>
      <w:r w:rsidRPr="00741350">
        <w:t>Rulemaking 19-02-012 is closed.</w:t>
      </w:r>
    </w:p>
    <w:p w:rsidRPr="00741350" w:rsidR="00741350" w:rsidP="00741350" w:rsidRDefault="00741350" w14:paraId="78A7E3B5" w14:textId="77777777">
      <w:r w:rsidRPr="00741350">
        <w:t>This order is effective today.</w:t>
      </w:r>
    </w:p>
    <w:p w:rsidR="009D6322" w:rsidP="00741350" w:rsidRDefault="009D6322" w14:paraId="30A72BF6" w14:textId="77777777"/>
    <w:p w:rsidR="009D6322" w:rsidP="00741350" w:rsidRDefault="009D6322" w14:paraId="0EE0F15A" w14:textId="77777777"/>
    <w:p w:rsidR="009D6322" w:rsidP="00741350" w:rsidRDefault="009D6322" w14:paraId="69E188E2" w14:textId="77777777"/>
    <w:p w:rsidR="009D6322" w:rsidP="00741350" w:rsidRDefault="009D6322" w14:paraId="077B7EF5" w14:textId="77777777"/>
    <w:p w:rsidRPr="00741350" w:rsidR="00741350" w:rsidP="00741350" w:rsidRDefault="00741350" w14:paraId="5BD78DE3" w14:textId="0C4D2B1C">
      <w:r w:rsidRPr="00741350">
        <w:lastRenderedPageBreak/>
        <w:t xml:space="preserve">Dated </w:t>
      </w:r>
      <w:r w:rsidR="009D6322">
        <w:t>January 15, 2026</w:t>
      </w:r>
      <w:r w:rsidRPr="00741350">
        <w:t>, at San Francisco, California.</w:t>
      </w:r>
    </w:p>
    <w:p w:rsidR="00741350" w:rsidP="009D6322" w:rsidRDefault="00741350" w14:paraId="776B3679" w14:textId="77777777">
      <w:pPr>
        <w:spacing w:line="240" w:lineRule="auto"/>
        <w:ind w:firstLine="5580"/>
      </w:pPr>
    </w:p>
    <w:p w:rsidRPr="009D6322" w:rsidR="009D6322" w:rsidP="009D6322" w:rsidRDefault="009D6322" w14:paraId="74799087" w14:textId="77777777">
      <w:pPr>
        <w:spacing w:line="240" w:lineRule="auto"/>
        <w:ind w:firstLine="5580"/>
      </w:pPr>
    </w:p>
    <w:p w:rsidRPr="009D6322" w:rsidR="009D6322" w:rsidP="009D6322" w:rsidRDefault="009D6322" w14:paraId="76AA707E" w14:textId="77777777">
      <w:pPr>
        <w:spacing w:line="240" w:lineRule="auto"/>
        <w:ind w:firstLine="5580"/>
      </w:pPr>
      <w:r w:rsidRPr="009D6322">
        <w:t>ALICE REYNOLDS</w:t>
      </w:r>
    </w:p>
    <w:p w:rsidRPr="009D6322" w:rsidR="009D6322" w:rsidP="009D6322" w:rsidRDefault="009D6322" w14:paraId="03AA8FE2" w14:textId="78423F14">
      <w:pPr>
        <w:spacing w:line="240" w:lineRule="auto"/>
        <w:ind w:firstLine="5580"/>
      </w:pPr>
      <w:r w:rsidRPr="009D6322">
        <w:t xml:space="preserve">             President</w:t>
      </w:r>
    </w:p>
    <w:p w:rsidRPr="009D6322" w:rsidR="009D6322" w:rsidP="009D6322" w:rsidRDefault="009D6322" w14:paraId="415E7930" w14:textId="77777777">
      <w:pPr>
        <w:spacing w:line="240" w:lineRule="auto"/>
        <w:ind w:firstLine="5580"/>
      </w:pPr>
      <w:r w:rsidRPr="009D6322">
        <w:t>DARCIE L. HOUCK</w:t>
      </w:r>
    </w:p>
    <w:p w:rsidRPr="009D6322" w:rsidR="009D6322" w:rsidP="009D6322" w:rsidRDefault="009D6322" w14:paraId="605C0718" w14:textId="77777777">
      <w:pPr>
        <w:spacing w:line="240" w:lineRule="auto"/>
        <w:ind w:firstLine="5580"/>
      </w:pPr>
      <w:r w:rsidRPr="009D6322">
        <w:t>JOHN REYNOLDS</w:t>
      </w:r>
    </w:p>
    <w:p w:rsidRPr="009D6322" w:rsidR="009D6322" w:rsidP="009D6322" w:rsidRDefault="009D6322" w14:paraId="458909B2" w14:textId="77777777">
      <w:pPr>
        <w:spacing w:line="240" w:lineRule="auto"/>
        <w:ind w:firstLine="5580"/>
      </w:pPr>
      <w:r w:rsidRPr="009D6322">
        <w:t>KAREN DOUGLAS</w:t>
      </w:r>
    </w:p>
    <w:p w:rsidRPr="009D6322" w:rsidR="009D6322" w:rsidP="009D6322" w:rsidRDefault="009D6322" w14:paraId="3545D3AC" w14:textId="77777777">
      <w:pPr>
        <w:spacing w:line="240" w:lineRule="auto"/>
        <w:ind w:firstLine="5580"/>
      </w:pPr>
      <w:r w:rsidRPr="009D6322">
        <w:t>MATTHEW BAKER</w:t>
      </w:r>
    </w:p>
    <w:p w:rsidRPr="009D6322" w:rsidR="009D6322" w:rsidP="009D6322" w:rsidRDefault="009D6322" w14:paraId="52D63770" w14:textId="77777777">
      <w:pPr>
        <w:spacing w:line="240" w:lineRule="auto"/>
        <w:ind w:firstLine="5580"/>
      </w:pPr>
      <w:r w:rsidRPr="009D6322">
        <w:t xml:space="preserve">            Commissioners</w:t>
      </w:r>
    </w:p>
    <w:p w:rsidRPr="00741350" w:rsidR="009D6322" w:rsidP="009D6322" w:rsidRDefault="009D6322" w14:paraId="7BA75B58" w14:textId="77777777">
      <w:pPr>
        <w:spacing w:line="240" w:lineRule="auto"/>
        <w:ind w:firstLine="5580"/>
      </w:pPr>
    </w:p>
    <w:sectPr w:rsidRPr="00741350" w:rsidR="009D6322" w:rsidSect="006F6525">
      <w:headerReference w:type="default" r:id="rId12"/>
      <w:footerReference w:type="default" r:id="rId13"/>
      <w:type w:val="continuous"/>
      <w:pgSz w:w="12240" w:h="15840"/>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4A377" w14:textId="77777777" w:rsidR="00805E27" w:rsidRDefault="00805E27" w:rsidP="0098138E">
      <w:pPr>
        <w:spacing w:line="240" w:lineRule="auto"/>
      </w:pPr>
      <w:r>
        <w:separator/>
      </w:r>
    </w:p>
  </w:endnote>
  <w:endnote w:type="continuationSeparator" w:id="0">
    <w:p w14:paraId="5B76AB8F" w14:textId="77777777" w:rsidR="00805E27" w:rsidRDefault="00805E27"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CB5" w14:textId="7CF1D1DC" w:rsidR="008A6471" w:rsidRDefault="00B60938" w:rsidP="006F6525">
    <w:pPr>
      <w:tabs>
        <w:tab w:val="center" w:pos="4680"/>
      </w:tabs>
      <w:ind w:firstLine="0"/>
    </w:pPr>
    <w:r w:rsidRPr="00B60938">
      <w:rPr>
        <w:rFonts w:cs="Arial"/>
        <w:sz w:val="16"/>
        <w:szCs w:val="16"/>
      </w:rPr>
      <w:t>594503158</w:t>
    </w:r>
    <w:r w:rsidR="008A6471">
      <w:rPr>
        <w:rFonts w:ascii="Arial" w:hAnsi="Arial" w:cs="Arial"/>
        <w:sz w:val="16"/>
        <w:szCs w:val="16"/>
      </w:rPr>
      <w:tab/>
    </w:r>
    <w:r w:rsidR="008A6471">
      <w:fldChar w:fldCharType="begin"/>
    </w:r>
    <w:r w:rsidR="008A6471">
      <w:instrText xml:space="preserve"> PAGE  \* ArabicDash  \* MERGEFORMAT </w:instrText>
    </w:r>
    <w:r w:rsidR="008A6471">
      <w:fldChar w:fldCharType="separate"/>
    </w:r>
    <w:r w:rsidR="008A6471">
      <w:rPr>
        <w:noProof/>
      </w:rPr>
      <w:t>- 2 -</w:t>
    </w:r>
    <w:r w:rsidR="008A647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781E" w14:textId="77777777" w:rsidR="008A6471" w:rsidRDefault="008A6471" w:rsidP="006F6525">
    <w:pPr>
      <w:tabs>
        <w:tab w:val="center" w:pos="4680"/>
      </w:tabs>
      <w:ind w:firstLine="0"/>
      <w:jc w:val="center"/>
    </w:pPr>
    <w:r>
      <w:fldChar w:fldCharType="begin"/>
    </w:r>
    <w:r>
      <w:instrText xml:space="preserve"> PAGE  \* ArabicDash  \* MERGEFORMAT </w:instrText>
    </w:r>
    <w:r>
      <w:fldChar w:fldCharType="separate"/>
    </w:r>
    <w:r>
      <w:rPr>
        <w:noProof/>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EE17" w14:textId="77777777" w:rsidR="00805E27" w:rsidRDefault="00805E27" w:rsidP="00DF58E7">
      <w:pPr>
        <w:spacing w:line="240" w:lineRule="auto"/>
        <w:ind w:firstLine="0"/>
      </w:pPr>
      <w:r>
        <w:separator/>
      </w:r>
    </w:p>
  </w:footnote>
  <w:footnote w:type="continuationSeparator" w:id="0">
    <w:p w14:paraId="05751DD0" w14:textId="77777777" w:rsidR="00805E27" w:rsidRDefault="00805E27" w:rsidP="00DF58E7">
      <w:pPr>
        <w:spacing w:line="240" w:lineRule="auto"/>
        <w:ind w:firstLine="0"/>
      </w:pPr>
      <w:r>
        <w:continuationSeparator/>
      </w:r>
    </w:p>
  </w:footnote>
  <w:footnote w:type="continuationNotice" w:id="1">
    <w:p w14:paraId="5F72396F" w14:textId="77777777" w:rsidR="00805E27" w:rsidRPr="00DF58E7" w:rsidRDefault="00805E27"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6715A735" w14:textId="56B0F29F" w:rsidR="00741350" w:rsidRDefault="00741350" w:rsidP="00741350">
      <w:pPr>
        <w:pStyle w:val="FootnoteText"/>
        <w:ind w:left="288" w:hanging="288"/>
        <w:rPr>
          <w:szCs w:val="22"/>
        </w:rPr>
      </w:pPr>
      <w:r>
        <w:rPr>
          <w:rStyle w:val="FootnoteReference"/>
          <w:szCs w:val="22"/>
        </w:rPr>
        <w:footnoteRef/>
      </w:r>
      <w:r>
        <w:rPr>
          <w:szCs w:val="22"/>
        </w:rPr>
        <w:t xml:space="preserve"> SB 1376, Pub. Util. Code </w:t>
      </w:r>
      <w:r>
        <w:rPr>
          <w:rFonts w:cs="Calibri"/>
          <w:szCs w:val="22"/>
        </w:rPr>
        <w:t>§ </w:t>
      </w:r>
      <w:r>
        <w:rPr>
          <w:szCs w:val="22"/>
        </w:rPr>
        <w:t xml:space="preserve">5440.5.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B30D" w14:textId="5CCA9399" w:rsidR="008A6471" w:rsidRDefault="00741350" w:rsidP="00C20388">
    <w:pPr>
      <w:pStyle w:val="Header"/>
      <w:tabs>
        <w:tab w:val="clear" w:pos="4680"/>
      </w:tabs>
      <w:ind w:firstLine="0"/>
      <w:rPr>
        <w:b/>
      </w:rPr>
    </w:pPr>
    <w:r>
      <w:t>R.19-02-</w:t>
    </w:r>
    <w:proofErr w:type="gramStart"/>
    <w:r>
      <w:t>012  COM</w:t>
    </w:r>
    <w:proofErr w:type="gramEnd"/>
    <w:r>
      <w:t>/MBK/cg7</w:t>
    </w:r>
    <w:r w:rsidR="007D4DC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9C3900"/>
    <w:multiLevelType w:val="hybridMultilevel"/>
    <w:tmpl w:val="03E0F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ECB8CCE8"/>
    <w:numStyleLink w:val="Headings"/>
  </w:abstractNum>
  <w:abstractNum w:abstractNumId="6" w15:restartNumberingAfterBreak="0">
    <w:nsid w:val="1E2242C9"/>
    <w:multiLevelType w:val="multilevel"/>
    <w:tmpl w:val="ECB8CCE8"/>
    <w:numStyleLink w:val="Headings"/>
  </w:abstractNum>
  <w:abstractNum w:abstractNumId="7" w15:restartNumberingAfterBreak="0">
    <w:nsid w:val="21FB58FE"/>
    <w:multiLevelType w:val="multilevel"/>
    <w:tmpl w:val="ECB8CCE8"/>
    <w:numStyleLink w:val="Headings"/>
  </w:abstractNum>
  <w:abstractNum w:abstractNumId="8" w15:restartNumberingAfterBreak="0">
    <w:nsid w:val="243663A0"/>
    <w:multiLevelType w:val="multilevel"/>
    <w:tmpl w:val="ECB8CCE8"/>
    <w:numStyleLink w:val="Headings"/>
  </w:abstractNum>
  <w:abstractNum w:abstractNumId="9" w15:restartNumberingAfterBreak="0">
    <w:nsid w:val="2B8124D7"/>
    <w:multiLevelType w:val="multilevel"/>
    <w:tmpl w:val="ECB8CCE8"/>
    <w:numStyleLink w:val="Headings"/>
  </w:abstractNum>
  <w:abstractNum w:abstractNumId="10" w15:restartNumberingAfterBreak="0">
    <w:nsid w:val="331F6D42"/>
    <w:multiLevelType w:val="multilevel"/>
    <w:tmpl w:val="ECB8CCE8"/>
    <w:styleLink w:val="Headings"/>
    <w:lvl w:ilvl="0">
      <w:start w:val="1"/>
      <w:numFmt w:val="decimal"/>
      <w:pStyle w:val="Heading1"/>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720"/>
        </w:tabs>
        <w:ind w:left="1008" w:hanging="648"/>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440"/>
        </w:tabs>
        <w:ind w:left="1584" w:hanging="864"/>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160"/>
        </w:tabs>
        <w:ind w:left="2160" w:hanging="1080"/>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736" w:hanging="1296"/>
      </w:pPr>
      <w:rPr>
        <w:rFonts w:ascii="Arial" w:hAnsi="Arial" w:hint="default"/>
        <w:b/>
        <w:i w:val="0"/>
        <w:sz w:val="26"/>
      </w:rPr>
    </w:lvl>
    <w:lvl w:ilvl="5">
      <w:start w:val="1"/>
      <w:numFmt w:val="decimal"/>
      <w:pStyle w:val="Heading6"/>
      <w:lvlText w:val="%1.%2.%3.%4.%5.%6."/>
      <w:lvlJc w:val="left"/>
      <w:pPr>
        <w:tabs>
          <w:tab w:val="num" w:pos="3600"/>
        </w:tabs>
        <w:ind w:left="3312" w:hanging="1512"/>
      </w:pPr>
      <w:rPr>
        <w:rFonts w:ascii="Arial" w:hAnsi="Arial" w:hint="default"/>
        <w:b/>
        <w:i w:val="0"/>
        <w:sz w:val="26"/>
      </w:rPr>
    </w:lvl>
    <w:lvl w:ilvl="6">
      <w:start w:val="1"/>
      <w:numFmt w:val="decimal"/>
      <w:lvlText w:val="%1.%2.%3.%4.%5.%6.%7."/>
      <w:lvlJc w:val="left"/>
      <w:pPr>
        <w:tabs>
          <w:tab w:val="num" w:pos="4320"/>
        </w:tabs>
        <w:ind w:left="5760" w:hanging="1440"/>
      </w:pPr>
      <w:rPr>
        <w:rFonts w:ascii="Arial" w:hAnsi="Arial" w:hint="default"/>
        <w:b/>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33434591"/>
    <w:multiLevelType w:val="hybridMultilevel"/>
    <w:tmpl w:val="F5C2CAD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6316CBD"/>
    <w:multiLevelType w:val="hybridMultilevel"/>
    <w:tmpl w:val="C79AD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D042D7"/>
    <w:multiLevelType w:val="multilevel"/>
    <w:tmpl w:val="18F4A5AC"/>
    <w:numStyleLink w:val="FoFCoLOP"/>
  </w:abstractNum>
  <w:abstractNum w:abstractNumId="14" w15:restartNumberingAfterBreak="0">
    <w:nsid w:val="5A9E2171"/>
    <w:multiLevelType w:val="multilevel"/>
    <w:tmpl w:val="BD4C7B80"/>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792"/>
        </w:tabs>
        <w:ind w:left="144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144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1A25780"/>
    <w:multiLevelType w:val="multilevel"/>
    <w:tmpl w:val="3C526EDE"/>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6" w15:restartNumberingAfterBreak="0">
    <w:nsid w:val="61E6047E"/>
    <w:multiLevelType w:val="hybridMultilevel"/>
    <w:tmpl w:val="3FB200E6"/>
    <w:lvl w:ilvl="0" w:tplc="04090001">
      <w:start w:val="1"/>
      <w:numFmt w:val="bullet"/>
      <w:lvlText w:val=""/>
      <w:lvlJc w:val="left"/>
      <w:pPr>
        <w:ind w:left="1080" w:hanging="360"/>
      </w:pPr>
      <w:rPr>
        <w:rFonts w:ascii="Symbol" w:hAnsi="Symbol" w:hint="default"/>
      </w:rPr>
    </w:lvl>
    <w:lvl w:ilvl="1" w:tplc="B10A59EE">
      <w:start w:val="18"/>
      <w:numFmt w:val="bullet"/>
      <w:lvlText w:val="•"/>
      <w:lvlJc w:val="left"/>
      <w:pPr>
        <w:ind w:left="1800" w:hanging="360"/>
      </w:pPr>
      <w:rPr>
        <w:rFonts w:ascii="Book Antiqua" w:eastAsiaTheme="minorHAnsi" w:hAnsi="Book Antiqua"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7A05C6"/>
    <w:multiLevelType w:val="hybridMultilevel"/>
    <w:tmpl w:val="7DE07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5572B5"/>
    <w:multiLevelType w:val="hybridMultilevel"/>
    <w:tmpl w:val="C2782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9A0AFE"/>
    <w:multiLevelType w:val="multilevel"/>
    <w:tmpl w:val="18F4A5AC"/>
    <w:numStyleLink w:val="FoFCoLOP"/>
  </w:abstractNum>
  <w:num w:numId="1" w16cid:durableId="4598081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5377645">
    <w:abstractNumId w:val="2"/>
  </w:num>
  <w:num w:numId="3" w16cid:durableId="1484128263">
    <w:abstractNumId w:val="13"/>
  </w:num>
  <w:num w:numId="4" w16cid:durableId="1357393214">
    <w:abstractNumId w:val="3"/>
  </w:num>
  <w:num w:numId="5" w16cid:durableId="399912630">
    <w:abstractNumId w:val="20"/>
  </w:num>
  <w:num w:numId="6" w16cid:durableId="467866362">
    <w:abstractNumId w:val="10"/>
  </w:num>
  <w:num w:numId="7" w16cid:durableId="618026241">
    <w:abstractNumId w:val="6"/>
  </w:num>
  <w:num w:numId="8" w16cid:durableId="2071877768">
    <w:abstractNumId w:val="19"/>
  </w:num>
  <w:num w:numId="9" w16cid:durableId="2029600841">
    <w:abstractNumId w:val="0"/>
  </w:num>
  <w:num w:numId="10" w16cid:durableId="656081804">
    <w:abstractNumId w:val="10"/>
  </w:num>
  <w:num w:numId="11" w16cid:durableId="1940211800">
    <w:abstractNumId w:val="14"/>
  </w:num>
  <w:num w:numId="12" w16cid:durableId="707335632">
    <w:abstractNumId w:val="15"/>
  </w:num>
  <w:num w:numId="13" w16cid:durableId="466121817">
    <w:abstractNumId w:val="5"/>
  </w:num>
  <w:num w:numId="14" w16cid:durableId="1541747037">
    <w:abstractNumId w:val="7"/>
  </w:num>
  <w:num w:numId="15" w16cid:durableId="922108039">
    <w:abstractNumId w:val="4"/>
  </w:num>
  <w:num w:numId="16" w16cid:durableId="1406495489">
    <w:abstractNumId w:val="8"/>
  </w:num>
  <w:num w:numId="17" w16cid:durableId="999886384">
    <w:abstractNumId w:val="9"/>
  </w:num>
  <w:num w:numId="18" w16cid:durableId="1798615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2980143">
    <w:abstractNumId w:val="1"/>
  </w:num>
  <w:num w:numId="20" w16cid:durableId="54665709">
    <w:abstractNumId w:val="16"/>
  </w:num>
  <w:num w:numId="21" w16cid:durableId="1133981185">
    <w:abstractNumId w:val="18"/>
  </w:num>
  <w:num w:numId="22" w16cid:durableId="378435295">
    <w:abstractNumId w:val="12"/>
  </w:num>
  <w:num w:numId="23" w16cid:durableId="1900942736">
    <w:abstractNumId w:val="11"/>
  </w:num>
  <w:num w:numId="24" w16cid:durableId="128980678">
    <w:abstractNumId w:val="17"/>
  </w:num>
  <w:num w:numId="25" w16cid:durableId="767847317">
    <w:abstractNumId w:val="10"/>
    <w:lvlOverride w:ilvl="0">
      <w:lvl w:ilvl="0">
        <w:start w:val="1"/>
        <w:numFmt w:val="decimal"/>
        <w:pStyle w:val="Heading1"/>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720"/>
          </w:tabs>
          <w:ind w:left="1008" w:hanging="648"/>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440"/>
          </w:tabs>
          <w:ind w:left="1584" w:hanging="864"/>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160"/>
          </w:tabs>
          <w:ind w:left="2160" w:hanging="1080"/>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736" w:hanging="1296"/>
        </w:pPr>
        <w:rPr>
          <w:rFonts w:ascii="Arial" w:hAnsi="Arial" w:hint="default"/>
          <w:b/>
          <w:i w:val="0"/>
          <w:sz w:val="26"/>
        </w:rPr>
      </w:lvl>
    </w:lvlOverride>
    <w:lvlOverride w:ilvl="5">
      <w:lvl w:ilvl="5">
        <w:start w:val="1"/>
        <w:numFmt w:val="decimal"/>
        <w:pStyle w:val="Heading6"/>
        <w:lvlText w:val="%1.%2.%3.%4.%5.%6."/>
        <w:lvlJc w:val="left"/>
        <w:pPr>
          <w:tabs>
            <w:tab w:val="num" w:pos="3600"/>
          </w:tabs>
          <w:ind w:left="3312" w:hanging="1512"/>
        </w:pPr>
        <w:rPr>
          <w:rFonts w:ascii="Arial" w:hAnsi="Arial" w:hint="default"/>
          <w:b/>
          <w:i w:val="0"/>
          <w:sz w:val="26"/>
        </w:rPr>
      </w:lvl>
    </w:lvlOverride>
    <w:lvlOverride w:ilvl="6">
      <w:lvl w:ilvl="6">
        <w:start w:val="1"/>
        <w:numFmt w:val="decimal"/>
        <w:lvlText w:val="%1.%2.%3.%4.%5.%6.%7."/>
        <w:lvlJc w:val="left"/>
        <w:pPr>
          <w:tabs>
            <w:tab w:val="num" w:pos="4320"/>
          </w:tabs>
          <w:ind w:left="5760" w:hanging="1440"/>
        </w:pPr>
        <w:rPr>
          <w:rFonts w:ascii="Arial" w:hAnsi="Arial" w:hint="default"/>
          <w:b/>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26" w16cid:durableId="1397774894">
    <w:abstractNumId w:val="10"/>
    <w:lvlOverride w:ilvl="0">
      <w:lvl w:ilvl="0">
        <w:start w:val="1"/>
        <w:numFmt w:val="decimal"/>
        <w:pStyle w:val="Heading1"/>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720"/>
          </w:tabs>
          <w:ind w:left="1008" w:hanging="648"/>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440"/>
          </w:tabs>
          <w:ind w:left="1584" w:hanging="864"/>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160"/>
          </w:tabs>
          <w:ind w:left="2160" w:hanging="1080"/>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736" w:hanging="1296"/>
        </w:pPr>
        <w:rPr>
          <w:rFonts w:ascii="Arial" w:hAnsi="Arial" w:hint="default"/>
          <w:b/>
          <w:i w:val="0"/>
          <w:sz w:val="26"/>
        </w:rPr>
      </w:lvl>
    </w:lvlOverride>
    <w:lvlOverride w:ilvl="5">
      <w:lvl w:ilvl="5">
        <w:start w:val="1"/>
        <w:numFmt w:val="decimal"/>
        <w:pStyle w:val="Heading6"/>
        <w:lvlText w:val="%1.%2.%3.%4.%5.%6."/>
        <w:lvlJc w:val="left"/>
        <w:pPr>
          <w:tabs>
            <w:tab w:val="num" w:pos="3600"/>
          </w:tabs>
          <w:ind w:left="3312" w:hanging="1512"/>
        </w:pPr>
        <w:rPr>
          <w:rFonts w:ascii="Arial" w:hAnsi="Arial" w:hint="default"/>
          <w:b/>
          <w:i w:val="0"/>
          <w:sz w:val="26"/>
        </w:rPr>
      </w:lvl>
    </w:lvlOverride>
    <w:lvlOverride w:ilvl="6">
      <w:lvl w:ilvl="6">
        <w:start w:val="1"/>
        <w:numFmt w:val="decimal"/>
        <w:lvlText w:val="%1.%2.%3.%4.%5.%6.%7."/>
        <w:lvlJc w:val="left"/>
        <w:pPr>
          <w:tabs>
            <w:tab w:val="num" w:pos="4320"/>
          </w:tabs>
          <w:ind w:left="5760" w:hanging="1440"/>
        </w:pPr>
        <w:rPr>
          <w:rFonts w:ascii="Arial" w:hAnsi="Arial" w:hint="default"/>
          <w:b/>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27" w16cid:durableId="21257324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03951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28311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84"/>
    <w:rsid w:val="00000F6A"/>
    <w:rsid w:val="00011BF3"/>
    <w:rsid w:val="0002244D"/>
    <w:rsid w:val="000309FC"/>
    <w:rsid w:val="000345DB"/>
    <w:rsid w:val="00040AA8"/>
    <w:rsid w:val="00050E7C"/>
    <w:rsid w:val="000559C4"/>
    <w:rsid w:val="00060417"/>
    <w:rsid w:val="00064794"/>
    <w:rsid w:val="0007115A"/>
    <w:rsid w:val="0008562B"/>
    <w:rsid w:val="00090E71"/>
    <w:rsid w:val="00093B2A"/>
    <w:rsid w:val="00094CAD"/>
    <w:rsid w:val="00095EA0"/>
    <w:rsid w:val="000973C8"/>
    <w:rsid w:val="000A2AA9"/>
    <w:rsid w:val="000A31BA"/>
    <w:rsid w:val="000A56F2"/>
    <w:rsid w:val="000A6E05"/>
    <w:rsid w:val="000B12FA"/>
    <w:rsid w:val="000C08BF"/>
    <w:rsid w:val="000C1146"/>
    <w:rsid w:val="000C362B"/>
    <w:rsid w:val="000C3B9A"/>
    <w:rsid w:val="000C6A89"/>
    <w:rsid w:val="000D25A8"/>
    <w:rsid w:val="000E0ECD"/>
    <w:rsid w:val="000E4C53"/>
    <w:rsid w:val="000E5746"/>
    <w:rsid w:val="000F1A95"/>
    <w:rsid w:val="000F6668"/>
    <w:rsid w:val="00100778"/>
    <w:rsid w:val="001049B2"/>
    <w:rsid w:val="00114CE8"/>
    <w:rsid w:val="00121089"/>
    <w:rsid w:val="00122C36"/>
    <w:rsid w:val="00122CC4"/>
    <w:rsid w:val="00160798"/>
    <w:rsid w:val="001705E2"/>
    <w:rsid w:val="001857C3"/>
    <w:rsid w:val="00185FCB"/>
    <w:rsid w:val="001873A6"/>
    <w:rsid w:val="00194321"/>
    <w:rsid w:val="001A1CBD"/>
    <w:rsid w:val="001A747A"/>
    <w:rsid w:val="001C363F"/>
    <w:rsid w:val="001C5AFE"/>
    <w:rsid w:val="001D08E4"/>
    <w:rsid w:val="001E2A62"/>
    <w:rsid w:val="001F2819"/>
    <w:rsid w:val="001F5A19"/>
    <w:rsid w:val="00200EBE"/>
    <w:rsid w:val="00201FF1"/>
    <w:rsid w:val="002043EC"/>
    <w:rsid w:val="0021395C"/>
    <w:rsid w:val="00216541"/>
    <w:rsid w:val="00221E44"/>
    <w:rsid w:val="002350C1"/>
    <w:rsid w:val="00242B84"/>
    <w:rsid w:val="00243DC0"/>
    <w:rsid w:val="00247477"/>
    <w:rsid w:val="002503DD"/>
    <w:rsid w:val="0026669D"/>
    <w:rsid w:val="002679F1"/>
    <w:rsid w:val="00270440"/>
    <w:rsid w:val="00275310"/>
    <w:rsid w:val="0028689B"/>
    <w:rsid w:val="00293DEE"/>
    <w:rsid w:val="00295EE5"/>
    <w:rsid w:val="002A0B5D"/>
    <w:rsid w:val="002A240F"/>
    <w:rsid w:val="002B122C"/>
    <w:rsid w:val="002C14D4"/>
    <w:rsid w:val="002C3673"/>
    <w:rsid w:val="002C7FE9"/>
    <w:rsid w:val="002D482E"/>
    <w:rsid w:val="002D4EFD"/>
    <w:rsid w:val="002E3B85"/>
    <w:rsid w:val="002F0011"/>
    <w:rsid w:val="002F6C3D"/>
    <w:rsid w:val="0030270E"/>
    <w:rsid w:val="0030553B"/>
    <w:rsid w:val="00312D2E"/>
    <w:rsid w:val="00316071"/>
    <w:rsid w:val="003226DB"/>
    <w:rsid w:val="00326E99"/>
    <w:rsid w:val="00335A72"/>
    <w:rsid w:val="00336986"/>
    <w:rsid w:val="00343E5C"/>
    <w:rsid w:val="0034554A"/>
    <w:rsid w:val="0035770B"/>
    <w:rsid w:val="0036017B"/>
    <w:rsid w:val="00362755"/>
    <w:rsid w:val="00373B93"/>
    <w:rsid w:val="003800BC"/>
    <w:rsid w:val="003834C9"/>
    <w:rsid w:val="003928B4"/>
    <w:rsid w:val="003A38F0"/>
    <w:rsid w:val="003C641E"/>
    <w:rsid w:val="003D2D6F"/>
    <w:rsid w:val="003E47B7"/>
    <w:rsid w:val="003F4329"/>
    <w:rsid w:val="003F5A7D"/>
    <w:rsid w:val="00407B6E"/>
    <w:rsid w:val="00410CC5"/>
    <w:rsid w:val="00411B64"/>
    <w:rsid w:val="00412534"/>
    <w:rsid w:val="00412C83"/>
    <w:rsid w:val="00426014"/>
    <w:rsid w:val="00435E71"/>
    <w:rsid w:val="00456E6F"/>
    <w:rsid w:val="00460B7D"/>
    <w:rsid w:val="00463C09"/>
    <w:rsid w:val="00467986"/>
    <w:rsid w:val="0047622C"/>
    <w:rsid w:val="00480CB0"/>
    <w:rsid w:val="00483FA8"/>
    <w:rsid w:val="00494346"/>
    <w:rsid w:val="004957B6"/>
    <w:rsid w:val="004A5165"/>
    <w:rsid w:val="004A67D6"/>
    <w:rsid w:val="004A7392"/>
    <w:rsid w:val="004B34EA"/>
    <w:rsid w:val="004B5494"/>
    <w:rsid w:val="004C7D3A"/>
    <w:rsid w:val="004D5105"/>
    <w:rsid w:val="004E080C"/>
    <w:rsid w:val="004E0A09"/>
    <w:rsid w:val="004F1F85"/>
    <w:rsid w:val="005018A8"/>
    <w:rsid w:val="00505A39"/>
    <w:rsid w:val="005240BF"/>
    <w:rsid w:val="00535B71"/>
    <w:rsid w:val="005434CC"/>
    <w:rsid w:val="005547CB"/>
    <w:rsid w:val="0056575E"/>
    <w:rsid w:val="00585390"/>
    <w:rsid w:val="00591B23"/>
    <w:rsid w:val="005939A5"/>
    <w:rsid w:val="005A148C"/>
    <w:rsid w:val="005A545D"/>
    <w:rsid w:val="005A61ED"/>
    <w:rsid w:val="005C323E"/>
    <w:rsid w:val="005C59FA"/>
    <w:rsid w:val="005F5784"/>
    <w:rsid w:val="00604E5C"/>
    <w:rsid w:val="00611AF6"/>
    <w:rsid w:val="00624500"/>
    <w:rsid w:val="00632207"/>
    <w:rsid w:val="0063491C"/>
    <w:rsid w:val="0063643D"/>
    <w:rsid w:val="00671CFE"/>
    <w:rsid w:val="006A1065"/>
    <w:rsid w:val="006A28A5"/>
    <w:rsid w:val="006A7F4E"/>
    <w:rsid w:val="006B0354"/>
    <w:rsid w:val="006B6F2E"/>
    <w:rsid w:val="006B7150"/>
    <w:rsid w:val="006C0A87"/>
    <w:rsid w:val="006C7CCB"/>
    <w:rsid w:val="006D0EBC"/>
    <w:rsid w:val="006D35C0"/>
    <w:rsid w:val="006D520E"/>
    <w:rsid w:val="006E5E28"/>
    <w:rsid w:val="006E6574"/>
    <w:rsid w:val="006E71A7"/>
    <w:rsid w:val="006F6525"/>
    <w:rsid w:val="006F6F42"/>
    <w:rsid w:val="007061B3"/>
    <w:rsid w:val="007076D6"/>
    <w:rsid w:val="00714CF2"/>
    <w:rsid w:val="007156B9"/>
    <w:rsid w:val="00720817"/>
    <w:rsid w:val="00722850"/>
    <w:rsid w:val="00727F20"/>
    <w:rsid w:val="0073353F"/>
    <w:rsid w:val="00733DB2"/>
    <w:rsid w:val="00733F0C"/>
    <w:rsid w:val="00741350"/>
    <w:rsid w:val="00742390"/>
    <w:rsid w:val="00742E45"/>
    <w:rsid w:val="007430A7"/>
    <w:rsid w:val="007447AF"/>
    <w:rsid w:val="00750816"/>
    <w:rsid w:val="007524FD"/>
    <w:rsid w:val="00754F45"/>
    <w:rsid w:val="007613DD"/>
    <w:rsid w:val="007657C1"/>
    <w:rsid w:val="00782510"/>
    <w:rsid w:val="00797A70"/>
    <w:rsid w:val="007A406D"/>
    <w:rsid w:val="007A62B0"/>
    <w:rsid w:val="007A733C"/>
    <w:rsid w:val="007C0FD6"/>
    <w:rsid w:val="007C5A0C"/>
    <w:rsid w:val="007C73C3"/>
    <w:rsid w:val="007D4DCF"/>
    <w:rsid w:val="007E0FEE"/>
    <w:rsid w:val="007E486E"/>
    <w:rsid w:val="007F2017"/>
    <w:rsid w:val="007F42FA"/>
    <w:rsid w:val="00805E27"/>
    <w:rsid w:val="00810059"/>
    <w:rsid w:val="00824DBF"/>
    <w:rsid w:val="008339BB"/>
    <w:rsid w:val="00836FEB"/>
    <w:rsid w:val="00844D74"/>
    <w:rsid w:val="00857527"/>
    <w:rsid w:val="0086419A"/>
    <w:rsid w:val="0087023B"/>
    <w:rsid w:val="00892C96"/>
    <w:rsid w:val="008A03B7"/>
    <w:rsid w:val="008A179F"/>
    <w:rsid w:val="008A6471"/>
    <w:rsid w:val="008A6EEA"/>
    <w:rsid w:val="008B0864"/>
    <w:rsid w:val="008B6788"/>
    <w:rsid w:val="008B78E5"/>
    <w:rsid w:val="008C071A"/>
    <w:rsid w:val="008C2E7D"/>
    <w:rsid w:val="008C4E7D"/>
    <w:rsid w:val="008C5852"/>
    <w:rsid w:val="008C7413"/>
    <w:rsid w:val="008C7C5E"/>
    <w:rsid w:val="008D16B7"/>
    <w:rsid w:val="008D6D99"/>
    <w:rsid w:val="008E6249"/>
    <w:rsid w:val="008E65E2"/>
    <w:rsid w:val="008E6AE6"/>
    <w:rsid w:val="008F00EF"/>
    <w:rsid w:val="008F0116"/>
    <w:rsid w:val="008F093C"/>
    <w:rsid w:val="008F143D"/>
    <w:rsid w:val="009101A1"/>
    <w:rsid w:val="00932865"/>
    <w:rsid w:val="00942D0B"/>
    <w:rsid w:val="00947BC6"/>
    <w:rsid w:val="00953228"/>
    <w:rsid w:val="009570AF"/>
    <w:rsid w:val="009619FB"/>
    <w:rsid w:val="00966B93"/>
    <w:rsid w:val="00973863"/>
    <w:rsid w:val="00975FA0"/>
    <w:rsid w:val="0097706E"/>
    <w:rsid w:val="00977396"/>
    <w:rsid w:val="00980F7E"/>
    <w:rsid w:val="0098138E"/>
    <w:rsid w:val="0098655A"/>
    <w:rsid w:val="009B6C3E"/>
    <w:rsid w:val="009C1170"/>
    <w:rsid w:val="009D0514"/>
    <w:rsid w:val="009D38AE"/>
    <w:rsid w:val="009D6322"/>
    <w:rsid w:val="009E3123"/>
    <w:rsid w:val="009E48D1"/>
    <w:rsid w:val="009E4DA2"/>
    <w:rsid w:val="009E7C7F"/>
    <w:rsid w:val="009E7FA4"/>
    <w:rsid w:val="009F3589"/>
    <w:rsid w:val="009F6309"/>
    <w:rsid w:val="00A119A1"/>
    <w:rsid w:val="00A1600D"/>
    <w:rsid w:val="00A17CE0"/>
    <w:rsid w:val="00A32945"/>
    <w:rsid w:val="00A42306"/>
    <w:rsid w:val="00A5392E"/>
    <w:rsid w:val="00A55ACD"/>
    <w:rsid w:val="00A612F8"/>
    <w:rsid w:val="00A66606"/>
    <w:rsid w:val="00A675B7"/>
    <w:rsid w:val="00A7656E"/>
    <w:rsid w:val="00A809F2"/>
    <w:rsid w:val="00A95E04"/>
    <w:rsid w:val="00A97A24"/>
    <w:rsid w:val="00AB0C44"/>
    <w:rsid w:val="00AC0B3F"/>
    <w:rsid w:val="00AD18C0"/>
    <w:rsid w:val="00AE05BD"/>
    <w:rsid w:val="00AF5E10"/>
    <w:rsid w:val="00B01322"/>
    <w:rsid w:val="00B01F7E"/>
    <w:rsid w:val="00B05515"/>
    <w:rsid w:val="00B075C8"/>
    <w:rsid w:val="00B11A43"/>
    <w:rsid w:val="00B237B4"/>
    <w:rsid w:val="00B242A9"/>
    <w:rsid w:val="00B3087D"/>
    <w:rsid w:val="00B34794"/>
    <w:rsid w:val="00B5579D"/>
    <w:rsid w:val="00B60421"/>
    <w:rsid w:val="00B60938"/>
    <w:rsid w:val="00B81090"/>
    <w:rsid w:val="00B82ACD"/>
    <w:rsid w:val="00BB0243"/>
    <w:rsid w:val="00BB1DA8"/>
    <w:rsid w:val="00BB4EB3"/>
    <w:rsid w:val="00BD7527"/>
    <w:rsid w:val="00BE4DBF"/>
    <w:rsid w:val="00BF0448"/>
    <w:rsid w:val="00BF0475"/>
    <w:rsid w:val="00C03C53"/>
    <w:rsid w:val="00C10B5F"/>
    <w:rsid w:val="00C1577D"/>
    <w:rsid w:val="00C20388"/>
    <w:rsid w:val="00C20649"/>
    <w:rsid w:val="00C44297"/>
    <w:rsid w:val="00C44C46"/>
    <w:rsid w:val="00C4618C"/>
    <w:rsid w:val="00C56C00"/>
    <w:rsid w:val="00C75094"/>
    <w:rsid w:val="00C75D8E"/>
    <w:rsid w:val="00C913A1"/>
    <w:rsid w:val="00CA04C4"/>
    <w:rsid w:val="00CA1ECF"/>
    <w:rsid w:val="00CA5474"/>
    <w:rsid w:val="00CC06C2"/>
    <w:rsid w:val="00CC6A99"/>
    <w:rsid w:val="00CD0AA8"/>
    <w:rsid w:val="00CD4FBA"/>
    <w:rsid w:val="00CD681C"/>
    <w:rsid w:val="00CF2B37"/>
    <w:rsid w:val="00CF5BA4"/>
    <w:rsid w:val="00CF798A"/>
    <w:rsid w:val="00CF7D92"/>
    <w:rsid w:val="00D00AA3"/>
    <w:rsid w:val="00D07F73"/>
    <w:rsid w:val="00D13A85"/>
    <w:rsid w:val="00D2041C"/>
    <w:rsid w:val="00D2273D"/>
    <w:rsid w:val="00D25ADE"/>
    <w:rsid w:val="00D3125B"/>
    <w:rsid w:val="00D43297"/>
    <w:rsid w:val="00D44DB6"/>
    <w:rsid w:val="00D50119"/>
    <w:rsid w:val="00D66617"/>
    <w:rsid w:val="00D750FB"/>
    <w:rsid w:val="00D82A43"/>
    <w:rsid w:val="00DA326E"/>
    <w:rsid w:val="00DA6645"/>
    <w:rsid w:val="00DA7B5D"/>
    <w:rsid w:val="00DC7BEE"/>
    <w:rsid w:val="00DD3990"/>
    <w:rsid w:val="00DD7BC1"/>
    <w:rsid w:val="00DE76D9"/>
    <w:rsid w:val="00DE77C7"/>
    <w:rsid w:val="00DF58E7"/>
    <w:rsid w:val="00DF5F83"/>
    <w:rsid w:val="00E067F4"/>
    <w:rsid w:val="00E069D9"/>
    <w:rsid w:val="00E07AA6"/>
    <w:rsid w:val="00E11876"/>
    <w:rsid w:val="00E118A0"/>
    <w:rsid w:val="00E22391"/>
    <w:rsid w:val="00E23CBB"/>
    <w:rsid w:val="00E35AA9"/>
    <w:rsid w:val="00E37B59"/>
    <w:rsid w:val="00E420E0"/>
    <w:rsid w:val="00E430CB"/>
    <w:rsid w:val="00E501A5"/>
    <w:rsid w:val="00E66BDE"/>
    <w:rsid w:val="00E67FED"/>
    <w:rsid w:val="00E70A7E"/>
    <w:rsid w:val="00E8607D"/>
    <w:rsid w:val="00E94B61"/>
    <w:rsid w:val="00EA36C6"/>
    <w:rsid w:val="00EA476C"/>
    <w:rsid w:val="00EA562C"/>
    <w:rsid w:val="00EA729A"/>
    <w:rsid w:val="00EB24CA"/>
    <w:rsid w:val="00EB7F15"/>
    <w:rsid w:val="00EC06D4"/>
    <w:rsid w:val="00ED0FAC"/>
    <w:rsid w:val="00ED2298"/>
    <w:rsid w:val="00ED5725"/>
    <w:rsid w:val="00ED7031"/>
    <w:rsid w:val="00EE3060"/>
    <w:rsid w:val="00EE4315"/>
    <w:rsid w:val="00EF1E9E"/>
    <w:rsid w:val="00EF5BE4"/>
    <w:rsid w:val="00F12E95"/>
    <w:rsid w:val="00F25C85"/>
    <w:rsid w:val="00F26ED3"/>
    <w:rsid w:val="00F30900"/>
    <w:rsid w:val="00F4028A"/>
    <w:rsid w:val="00F40D2A"/>
    <w:rsid w:val="00F53B12"/>
    <w:rsid w:val="00F54CD6"/>
    <w:rsid w:val="00F62947"/>
    <w:rsid w:val="00F62B7A"/>
    <w:rsid w:val="00F6397D"/>
    <w:rsid w:val="00F64463"/>
    <w:rsid w:val="00F7293E"/>
    <w:rsid w:val="00F76650"/>
    <w:rsid w:val="00F9187B"/>
    <w:rsid w:val="00F92385"/>
    <w:rsid w:val="00FA023F"/>
    <w:rsid w:val="00FA1B4F"/>
    <w:rsid w:val="00FA3063"/>
    <w:rsid w:val="00FC0174"/>
    <w:rsid w:val="00FC439C"/>
    <w:rsid w:val="00FC47F9"/>
    <w:rsid w:val="00FD6F9D"/>
    <w:rsid w:val="00FE5580"/>
    <w:rsid w:val="00FE7724"/>
    <w:rsid w:val="00FF110C"/>
    <w:rsid w:val="00FF3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79969"/>
  <w15:chartTrackingRefBased/>
  <w15:docId w15:val="{1B9B49D6-6F44-413F-B6EF-36657995663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6F2"/>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947BC6"/>
    <w:pPr>
      <w:numPr>
        <w:numId w:val="10"/>
      </w:numPr>
    </w:pPr>
    <w:rPr>
      <w:rFonts w:eastAsiaTheme="majorEastAsia" w:cstheme="majorBidi"/>
      <w:szCs w:val="32"/>
    </w:rPr>
  </w:style>
  <w:style w:type="paragraph" w:styleId="Heading2">
    <w:name w:val="heading 2"/>
    <w:basedOn w:val="Dummy"/>
    <w:next w:val="Standard"/>
    <w:link w:val="Heading2Char"/>
    <w:uiPriority w:val="4"/>
    <w:qFormat/>
    <w:rsid w:val="00947BC6"/>
    <w:pPr>
      <w:numPr>
        <w:ilvl w:val="1"/>
        <w:numId w:val="10"/>
      </w:numPr>
      <w:outlineLvl w:val="1"/>
    </w:pPr>
  </w:style>
  <w:style w:type="paragraph" w:styleId="Heading3">
    <w:name w:val="heading 3"/>
    <w:basedOn w:val="Dummy"/>
    <w:next w:val="Standard"/>
    <w:link w:val="Heading3Char"/>
    <w:uiPriority w:val="4"/>
    <w:qFormat/>
    <w:rsid w:val="00947BC6"/>
    <w:pPr>
      <w:numPr>
        <w:ilvl w:val="2"/>
        <w:numId w:val="10"/>
      </w:numPr>
      <w:outlineLvl w:val="2"/>
    </w:pPr>
    <w:rPr>
      <w:rFonts w:eastAsiaTheme="majorEastAsia" w:cstheme="majorBidi"/>
      <w:szCs w:val="24"/>
    </w:rPr>
  </w:style>
  <w:style w:type="paragraph" w:styleId="Heading4">
    <w:name w:val="heading 4"/>
    <w:basedOn w:val="Dummy"/>
    <w:next w:val="Standard"/>
    <w:link w:val="Heading4Char"/>
    <w:uiPriority w:val="4"/>
    <w:rsid w:val="00947BC6"/>
    <w:pPr>
      <w:numPr>
        <w:ilvl w:val="3"/>
        <w:numId w:val="10"/>
      </w:numPr>
      <w:outlineLvl w:val="3"/>
    </w:pPr>
    <w:rPr>
      <w:rFonts w:eastAsiaTheme="majorEastAsia" w:cstheme="majorBidi"/>
      <w:iCs/>
    </w:rPr>
  </w:style>
  <w:style w:type="paragraph" w:styleId="Heading5">
    <w:name w:val="heading 5"/>
    <w:basedOn w:val="Dummy"/>
    <w:next w:val="Standard"/>
    <w:link w:val="Heading5Char"/>
    <w:uiPriority w:val="4"/>
    <w:rsid w:val="00947BC6"/>
    <w:pPr>
      <w:numPr>
        <w:ilvl w:val="4"/>
        <w:numId w:val="10"/>
      </w:numPr>
      <w:outlineLvl w:val="4"/>
    </w:pPr>
    <w:rPr>
      <w:rFonts w:eastAsiaTheme="majorEastAsia" w:cstheme="majorBidi"/>
    </w:rPr>
  </w:style>
  <w:style w:type="paragraph" w:styleId="Heading6">
    <w:name w:val="heading 6"/>
    <w:basedOn w:val="Dummy"/>
    <w:next w:val="Standard"/>
    <w:link w:val="Heading6Char"/>
    <w:uiPriority w:val="4"/>
    <w:rsid w:val="00947BC6"/>
    <w:pPr>
      <w:numPr>
        <w:ilvl w:val="5"/>
        <w:numId w:val="10"/>
      </w:numPr>
      <w:spacing w:before="4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36017B"/>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ED5725"/>
    <w:rPr>
      <w:rFonts w:ascii="Arial" w:hAnsi="Arial" w:cs="Arial"/>
      <w:b/>
      <w:sz w:val="26"/>
      <w:szCs w:val="26"/>
    </w:rPr>
  </w:style>
  <w:style w:type="character" w:customStyle="1" w:styleId="Heading3Char">
    <w:name w:val="Heading 3 Char"/>
    <w:basedOn w:val="DefaultParagraphFont"/>
    <w:link w:val="Heading3"/>
    <w:uiPriority w:val="4"/>
    <w:rsid w:val="00722850"/>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7A406D"/>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8A179F"/>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rsid w:val="0098138E"/>
    <w:pPr>
      <w:tabs>
        <w:tab w:val="center" w:pos="4680"/>
        <w:tab w:val="right" w:pos="9360"/>
      </w:tabs>
      <w:spacing w:line="240" w:lineRule="auto"/>
    </w:pPr>
  </w:style>
  <w:style w:type="character" w:customStyle="1" w:styleId="HeaderChar">
    <w:name w:val="Header Char"/>
    <w:basedOn w:val="DefaultParagraphFont"/>
    <w:link w:val="Header"/>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1E2A62"/>
    <w:pPr>
      <w:spacing w:line="240" w:lineRule="auto"/>
      <w:ind w:firstLine="0"/>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947BC6"/>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947BC6"/>
    <w:pPr>
      <w:numPr>
        <w:ilvl w:val="7"/>
        <w:numId w:val="10"/>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0A56F2"/>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947BC6"/>
    <w:pPr>
      <w:contextualSpacing/>
    </w:pPr>
    <w:rPr>
      <w:sz w:val="22"/>
    </w:rPr>
  </w:style>
  <w:style w:type="paragraph" w:customStyle="1" w:styleId="ListNum">
    <w:name w:val="List Num"/>
    <w:basedOn w:val="Normal"/>
    <w:uiPriority w:val="4"/>
    <w:rsid w:val="006B0354"/>
    <w:pPr>
      <w:tabs>
        <w:tab w:val="num" w:pos="1080"/>
      </w:tabs>
      <w:spacing w:after="120" w:line="240" w:lineRule="auto"/>
      <w:ind w:left="1080" w:right="1440" w:hanging="360"/>
    </w:pPr>
    <w:rPr>
      <w:szCs w:val="26"/>
    </w:rPr>
  </w:style>
  <w:style w:type="paragraph" w:styleId="ListParagraph">
    <w:name w:val="List Paragraph"/>
    <w:basedOn w:val="Normal"/>
    <w:uiPriority w:val="34"/>
    <w:rsid w:val="00611AF6"/>
    <w:pPr>
      <w:ind w:left="720"/>
      <w:contextualSpacing/>
    </w:pPr>
  </w:style>
  <w:style w:type="character" w:styleId="CommentReference">
    <w:name w:val="annotation reference"/>
    <w:basedOn w:val="DefaultParagraphFont"/>
    <w:uiPriority w:val="99"/>
    <w:semiHidden/>
    <w:unhideWhenUsed/>
    <w:rsid w:val="00FA023F"/>
    <w:rPr>
      <w:sz w:val="16"/>
      <w:szCs w:val="16"/>
    </w:rPr>
  </w:style>
  <w:style w:type="paragraph" w:styleId="CommentText">
    <w:name w:val="annotation text"/>
    <w:basedOn w:val="Normal"/>
    <w:link w:val="CommentTextChar"/>
    <w:uiPriority w:val="99"/>
    <w:unhideWhenUsed/>
    <w:rsid w:val="00FA023F"/>
    <w:pPr>
      <w:spacing w:line="240" w:lineRule="auto"/>
    </w:pPr>
    <w:rPr>
      <w:sz w:val="20"/>
      <w:szCs w:val="20"/>
    </w:rPr>
  </w:style>
  <w:style w:type="character" w:customStyle="1" w:styleId="CommentTextChar">
    <w:name w:val="Comment Text Char"/>
    <w:basedOn w:val="DefaultParagraphFont"/>
    <w:link w:val="CommentText"/>
    <w:uiPriority w:val="99"/>
    <w:rsid w:val="00FA023F"/>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FA023F"/>
    <w:rPr>
      <w:b/>
      <w:bCs/>
    </w:rPr>
  </w:style>
  <w:style w:type="character" w:customStyle="1" w:styleId="CommentSubjectChar">
    <w:name w:val="Comment Subject Char"/>
    <w:basedOn w:val="CommentTextChar"/>
    <w:link w:val="CommentSubject"/>
    <w:uiPriority w:val="99"/>
    <w:semiHidden/>
    <w:rsid w:val="00FA023F"/>
    <w:rPr>
      <w:rFonts w:ascii="Book Antiqua" w:hAnsi="Book Antiqua"/>
      <w:b/>
      <w:bCs/>
      <w:sz w:val="20"/>
      <w:szCs w:val="20"/>
    </w:rPr>
  </w:style>
  <w:style w:type="paragraph" w:styleId="Revision">
    <w:name w:val="Revision"/>
    <w:hidden/>
    <w:uiPriority w:val="99"/>
    <w:semiHidden/>
    <w:rsid w:val="00FA023F"/>
    <w:pPr>
      <w:spacing w:after="0" w:line="240" w:lineRule="auto"/>
    </w:pPr>
    <w:rPr>
      <w:rFonts w:ascii="Book Antiqua" w:hAnsi="Book Antiqua"/>
      <w:sz w:val="26"/>
    </w:rPr>
  </w:style>
  <w:style w:type="paragraph" w:styleId="Caption">
    <w:name w:val="caption"/>
    <w:basedOn w:val="Normal"/>
    <w:next w:val="Normal"/>
    <w:uiPriority w:val="35"/>
    <w:unhideWhenUsed/>
    <w:qFormat/>
    <w:rsid w:val="00E67FED"/>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E67FED"/>
    <w:rPr>
      <w:color w:val="605E5C"/>
      <w:shd w:val="clear" w:color="auto" w:fill="E1DFDD"/>
    </w:rPr>
  </w:style>
  <w:style w:type="numbering" w:customStyle="1" w:styleId="Headings1">
    <w:name w:val="Headings1"/>
    <w:uiPriority w:val="99"/>
    <w:rsid w:val="00741350"/>
  </w:style>
  <w:style w:type="paragraph" w:styleId="BodyText">
    <w:name w:val="Body Text"/>
    <w:basedOn w:val="Normal"/>
    <w:link w:val="BodyTextChar"/>
    <w:rsid w:val="00CF2B37"/>
    <w:pPr>
      <w:spacing w:line="240" w:lineRule="auto"/>
      <w:ind w:firstLine="0"/>
    </w:pPr>
    <w:rPr>
      <w:rFonts w:ascii="Palatino" w:eastAsia="Times New Roman" w:hAnsi="Palatino" w:cs="Times New Roman"/>
      <w:sz w:val="28"/>
      <w:szCs w:val="20"/>
    </w:rPr>
  </w:style>
  <w:style w:type="character" w:customStyle="1" w:styleId="BodyTextChar">
    <w:name w:val="Body Text Char"/>
    <w:basedOn w:val="DefaultParagraphFont"/>
    <w:link w:val="BodyText"/>
    <w:rsid w:val="00CF2B37"/>
    <w:rPr>
      <w:rFonts w:ascii="Palatino" w:eastAsia="Times New Roman" w:hAnsi="Palatino"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4cfdaa-3f84-4543-8006-7aafcb05bc28">
      <Terms xmlns="http://schemas.microsoft.com/office/infopath/2007/PartnerControls"/>
    </lcf76f155ced4ddcb4097134ff3c332f>
    <TaxCatchAll xmlns="3c51fd4b-b0a8-4cee-8b97-77eacc5af0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7D49496411704C98823D97BD8A3AEF" ma:contentTypeVersion="16" ma:contentTypeDescription="Create a new document." ma:contentTypeScope="" ma:versionID="f152d5d2f9d6bab36b71bff33a02dbee">
  <xsd:schema xmlns:xsd="http://www.w3.org/2001/XMLSchema" xmlns:xs="http://www.w3.org/2001/XMLSchema" xmlns:p="http://schemas.microsoft.com/office/2006/metadata/properties" xmlns:ns2="a24cfdaa-3f84-4543-8006-7aafcb05bc28" xmlns:ns3="3c51fd4b-b0a8-4cee-8b97-77eacc5af0f7" targetNamespace="http://schemas.microsoft.com/office/2006/metadata/properties" ma:root="true" ma:fieldsID="50740eb18709d7c7b73c238ff3a27609" ns2:_="" ns3:_="">
    <xsd:import namespace="a24cfdaa-3f84-4543-8006-7aafcb05bc28"/>
    <xsd:import namespace="3c51fd4b-b0a8-4cee-8b97-77eacc5af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cfdaa-3f84-4543-8006-7aafcb05b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1fd4b-b0a8-4cee-8b97-77eacc5af0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13bba-19fc-4463-aea9-079b48bf6d0f}" ma:internalName="TaxCatchAll" ma:showField="CatchAllData" ma:web="3c51fd4b-b0a8-4cee-8b97-77eacc5af0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CBBCE-158D-4857-853E-36EB8ED9E76E}">
  <ds:schemaRefs>
    <ds:schemaRef ds:uri="http://schemas.microsoft.com/office/2006/metadata/properties"/>
    <ds:schemaRef ds:uri="http://schemas.microsoft.com/office/infopath/2007/PartnerControls"/>
    <ds:schemaRef ds:uri="a24cfdaa-3f84-4543-8006-7aafcb05bc28"/>
    <ds:schemaRef ds:uri="3c51fd4b-b0a8-4cee-8b97-77eacc5af0f7"/>
  </ds:schemaRefs>
</ds:datastoreItem>
</file>

<file path=customXml/itemProps2.xml><?xml version="1.0" encoding="utf-8"?>
<ds:datastoreItem xmlns:ds="http://schemas.openxmlformats.org/officeDocument/2006/customXml" ds:itemID="{A27C0FA6-150E-438D-996E-7D822744BC4F}">
  <ds:schemaRefs>
    <ds:schemaRef ds:uri="http://schemas.microsoft.com/sharepoint/v3/contenttype/forms"/>
  </ds:schemaRefs>
</ds:datastoreItem>
</file>

<file path=customXml/itemProps3.xml><?xml version="1.0" encoding="utf-8"?>
<ds:datastoreItem xmlns:ds="http://schemas.openxmlformats.org/officeDocument/2006/customXml" ds:itemID="{BE62091D-F3F4-427A-8E5C-464FF0D0A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cfdaa-3f84-4543-8006-7aafcb05bc28"/>
    <ds:schemaRef ds:uri="3c51fd4b-b0a8-4cee-8b97-77eacc5a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0F7DA7-EDDC-43CC-9107-6D676357888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ap:Pages>
  <ap:Words>820</ap:Words>
  <ap:Characters>4676</ap:Characters>
  <ap:Application>Microsoft Office Word</ap:Application>
  <ap:DocSecurity>0</ap:DocSecurity>
  <ap:Lines>38</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5486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2019-06-27T19:57:00Z</cp:lastPrinted>
  <dcterms:created xsi:type="dcterms:W3CDTF">2026-01-16T09:03:24Z</dcterms:created>
  <dcterms:modified xsi:type="dcterms:W3CDTF">2026-01-16T09:03:24Z</dcterms:modified>
</cp:coreProperties>
</file>