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72C0831E">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1F58AE">
        <w:rPr>
          <w:b/>
          <w:bCs/>
          <w:szCs w:val="24"/>
        </w:rPr>
        <w:tab/>
      </w:r>
      <w:r>
        <w:rPr>
          <w:szCs w:val="24"/>
        </w:rPr>
        <w:tab/>
      </w:r>
      <w:r>
        <w:rPr>
          <w:szCs w:val="24"/>
        </w:rPr>
        <w:tab/>
        <w:t xml:space="preserve">         </w:t>
      </w:r>
      <w:r w:rsidR="00B807CA">
        <w:rPr>
          <w:szCs w:val="24"/>
        </w:rPr>
        <w:tab/>
      </w:r>
      <w:r w:rsidR="002B3C5A">
        <w:rPr>
          <w:szCs w:val="24"/>
        </w:rPr>
        <w:t xml:space="preserve">         </w:t>
      </w:r>
      <w:r>
        <w:rPr>
          <w:b/>
          <w:szCs w:val="24"/>
        </w:rPr>
        <w:t>PRESS RELEASE</w:t>
      </w:r>
    </w:p>
    <w:p w:rsidRPr="000372AB" w:rsidR="000964E3" w:rsidP="000964E3" w:rsidRDefault="000964E3" w14:paraId="728853A2" w14:textId="0A517771">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2B3C5A">
        <w:rPr>
          <w:color w:val="FF0000"/>
          <w:szCs w:val="24"/>
        </w:rPr>
        <w:t xml:space="preserve">    </w:t>
      </w:r>
      <w:r w:rsidRPr="00C33199" w:rsidR="00C644FC">
        <w:rPr>
          <w:szCs w:val="24"/>
        </w:rPr>
        <w:t>Docket #:</w:t>
      </w:r>
      <w:bookmarkEnd w:id="1"/>
      <w:r w:rsidRPr="00C33199" w:rsidR="00C33199">
        <w:rPr>
          <w:szCs w:val="24"/>
        </w:rPr>
        <w:t xml:space="preserve"> </w:t>
      </w:r>
      <w:r w:rsidR="00A44FEE">
        <w:rPr>
          <w:szCs w:val="24"/>
        </w:rPr>
        <w:t>A</w:t>
      </w:r>
      <w:r w:rsidR="002B3C5A">
        <w:rPr>
          <w:szCs w:val="24"/>
        </w:rPr>
        <w:t>.</w:t>
      </w:r>
      <w:r w:rsidRPr="00A44FEE" w:rsidR="00A44FEE">
        <w:rPr>
          <w:szCs w:val="24"/>
        </w:rPr>
        <w:t>24-10-006</w:t>
      </w:r>
    </w:p>
    <w:p w:rsidRPr="009C47C3" w:rsidR="000964E3" w:rsidP="009C47C3" w:rsidRDefault="000964E3" w14:paraId="72FD6044" w14:textId="77777777">
      <w:pPr>
        <w:pStyle w:val="ReleaseHead"/>
        <w:rPr>
          <w:b/>
          <w:bCs/>
          <w:i w:val="0"/>
          <w:iCs w:val="0"/>
          <w:sz w:val="28"/>
          <w:szCs w:val="28"/>
        </w:rPr>
      </w:pPr>
    </w:p>
    <w:p w:rsidRPr="009C47C3" w:rsidR="009C47C3" w:rsidP="009C47C3" w:rsidRDefault="003A6FB5" w14:paraId="7A9F8522" w14:textId="3226C6A8">
      <w:pPr>
        <w:pStyle w:val="ReleaseHead"/>
        <w:rPr>
          <w:b/>
          <w:bCs/>
          <w:i w:val="0"/>
          <w:iCs w:val="0"/>
          <w:sz w:val="28"/>
          <w:szCs w:val="28"/>
        </w:rPr>
      </w:pPr>
      <w:r w:rsidRPr="003A6FB5">
        <w:rPr>
          <w:b/>
          <w:bCs/>
          <w:i w:val="0"/>
          <w:iCs w:val="0"/>
          <w:sz w:val="28"/>
          <w:szCs w:val="28"/>
        </w:rPr>
        <w:t xml:space="preserve">CPUC Approves Verizon–Frontier </w:t>
      </w:r>
      <w:r w:rsidR="005640E2">
        <w:rPr>
          <w:b/>
          <w:bCs/>
          <w:i w:val="0"/>
          <w:iCs w:val="0"/>
          <w:sz w:val="28"/>
          <w:szCs w:val="28"/>
        </w:rPr>
        <w:t xml:space="preserve">Acquisition </w:t>
      </w:r>
      <w:r w:rsidRPr="003A6FB5">
        <w:rPr>
          <w:b/>
          <w:bCs/>
          <w:i w:val="0"/>
          <w:iCs w:val="0"/>
          <w:sz w:val="28"/>
          <w:szCs w:val="28"/>
        </w:rPr>
        <w:t>with</w:t>
      </w:r>
      <w:r w:rsidR="005640E2">
        <w:rPr>
          <w:b/>
          <w:bCs/>
          <w:i w:val="0"/>
          <w:iCs w:val="0"/>
          <w:sz w:val="28"/>
          <w:szCs w:val="28"/>
        </w:rPr>
        <w:br/>
      </w:r>
      <w:r w:rsidRPr="003A6FB5">
        <w:rPr>
          <w:b/>
          <w:bCs/>
          <w:i w:val="0"/>
          <w:iCs w:val="0"/>
          <w:sz w:val="28"/>
          <w:szCs w:val="28"/>
        </w:rPr>
        <w:t>Strong Consumer Protections and Oversight</w:t>
      </w:r>
    </w:p>
    <w:p w:rsidR="003A6FB5" w:rsidP="003A6FB5" w:rsidRDefault="348D47A1" w14:paraId="64B66F05" w14:textId="6508F291">
      <w:pPr>
        <w:pStyle w:val="NormalWeb"/>
      </w:pPr>
      <w:r>
        <w:t xml:space="preserve">SAN FRANCISCO, </w:t>
      </w:r>
      <w:r w:rsidR="003A6FB5">
        <w:t>Jan</w:t>
      </w:r>
      <w:r w:rsidR="00BB4A8E">
        <w:t>.</w:t>
      </w:r>
      <w:r w:rsidR="003A6FB5">
        <w:t xml:space="preserve"> </w:t>
      </w:r>
      <w:r w:rsidR="00377BCB">
        <w:t>15</w:t>
      </w:r>
      <w:r>
        <w:t>, 202</w:t>
      </w:r>
      <w:r w:rsidR="003A6FB5">
        <w:t>6</w:t>
      </w:r>
      <w:r>
        <w:t xml:space="preserve"> – </w:t>
      </w:r>
      <w:r w:rsidR="003A6FB5">
        <w:t>The California Public Utilities Commission (CPUC) today approved the transfer of control of Frontier Communications’ California operations to Verizon Communications Inc., subject to enforceable conditions, ongoing monitoring, and consumer protections.</w:t>
      </w:r>
    </w:p>
    <w:p w:rsidR="003A6FB5" w:rsidP="003A6FB5" w:rsidRDefault="003A6FB5" w14:paraId="0C2FCA57" w14:textId="36849EEF">
      <w:pPr>
        <w:pStyle w:val="NormalWeb"/>
      </w:pPr>
      <w:r>
        <w:t>The decision authorizes Verizon to acquire Frontier Communications and its California subsidiaries while requiring safeguards designed to protect customers, preserve service quality, and advance the public interest. The approval follows extensive public participation, testimony from multiple parties, and negotiated settlement agreements with consumer advocates and labor organizations.</w:t>
      </w:r>
    </w:p>
    <w:p w:rsidRPr="003A6FB5" w:rsidR="003A6FB5" w:rsidP="00624F7C" w:rsidRDefault="008D4497" w14:paraId="4035BD5A" w14:textId="455F65B9">
      <w:pPr>
        <w:pStyle w:val="NormalWeb"/>
        <w:spacing w:before="0" w:beforeAutospacing="0" w:after="0" w:afterAutospacing="0"/>
      </w:pPr>
      <w:r>
        <w:t>The decision</w:t>
      </w:r>
      <w:r w:rsidRPr="003A6FB5" w:rsidR="003A6FB5">
        <w:t xml:space="preserve"> includes requirements intended to:</w:t>
      </w:r>
    </w:p>
    <w:p w:rsidR="003A6FB5" w:rsidP="00624F7C" w:rsidRDefault="3CA11D83" w14:paraId="6F5D876C" w14:textId="47464A7F">
      <w:pPr>
        <w:pStyle w:val="NormalWeb"/>
        <w:numPr>
          <w:ilvl w:val="0"/>
          <w:numId w:val="8"/>
        </w:numPr>
        <w:spacing w:before="0" w:beforeAutospacing="0" w:after="0" w:afterAutospacing="0"/>
      </w:pPr>
      <w:r>
        <w:t xml:space="preserve">Expand </w:t>
      </w:r>
      <w:r w:rsidR="003A6FB5">
        <w:t xml:space="preserve">affordable voice and broadband options, including protections for low-income customers and </w:t>
      </w:r>
      <w:hyperlink r:id="rId13">
        <w:r w:rsidRPr="641ED5DE" w:rsidR="00BB4A8E">
          <w:rPr>
            <w:rStyle w:val="Hyperlink"/>
          </w:rPr>
          <w:t xml:space="preserve">California </w:t>
        </w:r>
        <w:r w:rsidRPr="641ED5DE" w:rsidR="003A6FB5">
          <w:rPr>
            <w:rStyle w:val="Hyperlink"/>
          </w:rPr>
          <w:t>LifeLine</w:t>
        </w:r>
      </w:hyperlink>
      <w:r w:rsidR="003A6FB5">
        <w:t xml:space="preserve"> participants</w:t>
      </w:r>
      <w:r w:rsidR="00BB4A8E">
        <w:t>.</w:t>
      </w:r>
    </w:p>
    <w:p w:rsidRPr="003A6FB5" w:rsidR="003A6FB5" w:rsidP="003A6FB5" w:rsidRDefault="003A6FB5" w14:paraId="155E95A4" w14:textId="1B616D63">
      <w:pPr>
        <w:pStyle w:val="NormalWeb"/>
        <w:numPr>
          <w:ilvl w:val="0"/>
          <w:numId w:val="8"/>
        </w:numPr>
      </w:pPr>
      <w:r>
        <w:t>Support continued broadband investment and network reliability, particularly in communities currently served by Frontier</w:t>
      </w:r>
      <w:r w:rsidR="00BB4A8E">
        <w:t>.</w:t>
      </w:r>
    </w:p>
    <w:p w:rsidR="04D75D50" w:rsidP="641ED5DE" w:rsidRDefault="04D75D50" w14:paraId="7932EB25" w14:textId="61C70D14">
      <w:pPr>
        <w:pStyle w:val="NormalWeb"/>
        <w:numPr>
          <w:ilvl w:val="0"/>
          <w:numId w:val="8"/>
        </w:numPr>
      </w:pPr>
      <w:r>
        <w:t xml:space="preserve">Establish </w:t>
      </w:r>
      <w:r w:rsidR="00253915">
        <w:t>comprehensive</w:t>
      </w:r>
      <w:r>
        <w:t xml:space="preserve"> tribal engagement requirements.</w:t>
      </w:r>
    </w:p>
    <w:p w:rsidR="04D75D50" w:rsidP="641ED5DE" w:rsidRDefault="04D75D50" w14:paraId="0A863F20" w14:textId="6DC18B54">
      <w:pPr>
        <w:pStyle w:val="NormalWeb"/>
        <w:numPr>
          <w:ilvl w:val="0"/>
          <w:numId w:val="8"/>
        </w:numPr>
      </w:pPr>
      <w:r>
        <w:t>Further California’s public policy goals of diverse supply chains and workforces</w:t>
      </w:r>
      <w:r w:rsidR="7A2623DC">
        <w:t>, including a $10 million partnership with the California State University system</w:t>
      </w:r>
      <w:r>
        <w:t>.</w:t>
      </w:r>
    </w:p>
    <w:p w:rsidR="1EA368E1" w:rsidP="641ED5DE" w:rsidRDefault="1EA368E1" w14:paraId="5FF5B2A0" w14:textId="7DFA34CA">
      <w:pPr>
        <w:pStyle w:val="NormalWeb"/>
        <w:numPr>
          <w:ilvl w:val="0"/>
          <w:numId w:val="8"/>
        </w:numPr>
      </w:pPr>
      <w:r>
        <w:t xml:space="preserve">Protect </w:t>
      </w:r>
      <w:r w:rsidR="28BFAFB1">
        <w:t xml:space="preserve">rural and </w:t>
      </w:r>
      <w:r>
        <w:t>copper customers through enforceable performance standards</w:t>
      </w:r>
      <w:r w:rsidR="7A809C2F">
        <w:t>, resilience requirements,</w:t>
      </w:r>
      <w:r>
        <w:t xml:space="preserve"> and oversight</w:t>
      </w:r>
      <w:r w:rsidR="00802E93">
        <w:t>.</w:t>
      </w:r>
    </w:p>
    <w:p w:rsidRPr="003A6FB5" w:rsidR="003A6FB5" w:rsidP="003A6FB5" w:rsidRDefault="003A6FB5" w14:paraId="4844DD4A" w14:textId="03AE359E">
      <w:pPr>
        <w:pStyle w:val="NormalWeb"/>
        <w:numPr>
          <w:ilvl w:val="0"/>
          <w:numId w:val="8"/>
        </w:numPr>
      </w:pPr>
      <w:r w:rsidRPr="003A6FB5">
        <w:t>Maintain strong enforcement and monitoring, including reporting requirements and compliance mechanisms</w:t>
      </w:r>
      <w:r w:rsidR="00BB4A8E">
        <w:t>.</w:t>
      </w:r>
    </w:p>
    <w:p w:rsidRPr="003A6FB5" w:rsidR="009C6C1D" w:rsidP="003A6FB5" w:rsidRDefault="003A6FB5" w14:paraId="23F5ADB1" w14:textId="422FFD4B">
      <w:pPr>
        <w:pStyle w:val="NormalWeb"/>
      </w:pPr>
      <w:r>
        <w:lastRenderedPageBreak/>
        <w:t xml:space="preserve">The decision also adopts multiple settlement agreements that include additional commitments related to affordability, service quality, </w:t>
      </w:r>
      <w:r w:rsidR="41D04A88">
        <w:t xml:space="preserve">labor </w:t>
      </w:r>
      <w:r>
        <w:t>protections, infrastructure deployment</w:t>
      </w:r>
      <w:r w:rsidR="478D63C0">
        <w:t>, and $500 million in spending with California small businesses</w:t>
      </w:r>
      <w:r>
        <w:t>.</w:t>
      </w:r>
    </w:p>
    <w:p w:rsidR="2A107322" w:rsidP="641ED5DE" w:rsidRDefault="00802E93" w14:paraId="1AC5B75C" w14:textId="5C9E9A59">
      <w:pPr>
        <w:pStyle w:val="NormalWeb"/>
      </w:pPr>
      <w:r>
        <w:t xml:space="preserve">CPUC </w:t>
      </w:r>
      <w:r w:rsidR="2A107322">
        <w:t xml:space="preserve">Commissioner </w:t>
      </w:r>
      <w:r>
        <w:t xml:space="preserve">John </w:t>
      </w:r>
      <w:r w:rsidR="2A107322">
        <w:t>Reynolds, the Assigned Commissioner on the proceeding, said</w:t>
      </w:r>
      <w:r>
        <w:t>,</w:t>
      </w:r>
      <w:r w:rsidR="2A107322">
        <w:t xml:space="preserve"> “</w:t>
      </w:r>
      <w:r w:rsidR="058A61F5">
        <w:t>California isn’t just approving a merger</w:t>
      </w:r>
      <w:r>
        <w:t xml:space="preserve">, </w:t>
      </w:r>
      <w:r w:rsidR="058A61F5">
        <w:t>we</w:t>
      </w:r>
      <w:r>
        <w:t>’</w:t>
      </w:r>
      <w:r w:rsidR="058A61F5">
        <w:t xml:space="preserve">re securing real commitments that will connect communities, lower costs for families who need it most, and </w:t>
      </w:r>
      <w:r w:rsidR="73FD9B6B">
        <w:t xml:space="preserve">strengthen </w:t>
      </w:r>
      <w:r w:rsidR="00FA6586">
        <w:t>workforce</w:t>
      </w:r>
      <w:r w:rsidR="73FD9B6B">
        <w:t xml:space="preserve"> and supplier diversity protections</w:t>
      </w:r>
      <w:r w:rsidR="058A61F5">
        <w:t>.</w:t>
      </w:r>
      <w:r w:rsidR="6BD202F6">
        <w:t xml:space="preserve"> With robust conditions and independent oversight, we’re ensuring these commitments translate into real improvements for California families and </w:t>
      </w:r>
      <w:r w:rsidR="264FD07E">
        <w:t>standing up for California values to support our diverse communities</w:t>
      </w:r>
      <w:r w:rsidR="6BD202F6">
        <w:t>.</w:t>
      </w:r>
      <w:r w:rsidR="31098BF2">
        <w:t>”</w:t>
      </w:r>
      <w:r w:rsidR="058A61F5">
        <w:t xml:space="preserve"> </w:t>
      </w:r>
    </w:p>
    <w:p w:rsidRPr="00BB4A8E" w:rsidR="003A6FB5" w:rsidP="003A6FB5" w:rsidRDefault="003A6FB5" w14:paraId="287C2B37" w14:textId="06DDAB6A">
      <w:pPr>
        <w:pStyle w:val="NormalWeb"/>
        <w:rPr>
          <w:b/>
          <w:bCs/>
        </w:rPr>
      </w:pPr>
      <w:r w:rsidRPr="003A6FB5">
        <w:rPr>
          <w:b/>
          <w:bCs/>
        </w:rPr>
        <w:t>Extensive Public Review</w:t>
      </w:r>
      <w:r w:rsidR="00BB4A8E">
        <w:rPr>
          <w:b/>
          <w:bCs/>
        </w:rPr>
        <w:br/>
      </w:r>
      <w:r w:rsidRPr="003A6FB5">
        <w:t>The C</w:t>
      </w:r>
      <w:r w:rsidR="00BB4A8E">
        <w:t>PUC</w:t>
      </w:r>
      <w:r w:rsidRPr="003A6FB5">
        <w:t xml:space="preserve">’s review included </w:t>
      </w:r>
      <w:r w:rsidR="00BB4A8E">
        <w:t>Public Forums</w:t>
      </w:r>
      <w:r w:rsidRPr="003A6FB5">
        <w:t xml:space="preserve"> held across California, written public comments, and testimony from consumer advocates, labor representatives, and other stakeholders. The conditions adopted by the </w:t>
      </w:r>
      <w:r w:rsidR="00BB4A8E">
        <w:t>CPUC</w:t>
      </w:r>
      <w:r w:rsidRPr="003A6FB5">
        <w:t xml:space="preserve"> reflect issues raised during this public process and are designed to ensure that customers are </w:t>
      </w:r>
      <w:r w:rsidR="00BB4A8E">
        <w:t>not harmed as</w:t>
      </w:r>
      <w:r w:rsidRPr="003A6FB5">
        <w:t xml:space="preserve"> a result of the transaction.</w:t>
      </w:r>
    </w:p>
    <w:p w:rsidRPr="00BB4A8E" w:rsidR="003A6FB5" w:rsidP="003A6FB5" w:rsidRDefault="003A6FB5" w14:paraId="18B6BEED" w14:textId="34BC89C5">
      <w:pPr>
        <w:pStyle w:val="NormalWeb"/>
        <w:rPr>
          <w:b/>
          <w:bCs/>
        </w:rPr>
      </w:pPr>
      <w:r w:rsidRPr="003A6FB5">
        <w:rPr>
          <w:b/>
          <w:bCs/>
        </w:rPr>
        <w:t>Next Steps</w:t>
      </w:r>
      <w:r w:rsidR="00BB4A8E">
        <w:rPr>
          <w:b/>
          <w:bCs/>
        </w:rPr>
        <w:br/>
      </w:r>
      <w:r w:rsidRPr="003A6FB5">
        <w:t xml:space="preserve">Verizon must comply with all conditions </w:t>
      </w:r>
      <w:r w:rsidR="00BB4A8E">
        <w:t>required</w:t>
      </w:r>
      <w:r w:rsidRPr="003A6FB5">
        <w:t xml:space="preserve"> by the </w:t>
      </w:r>
      <w:r w:rsidR="00BB4A8E">
        <w:t>CPUC</w:t>
      </w:r>
      <w:r w:rsidRPr="003A6FB5">
        <w:t>. CPUC staff will monitor implementation and enforce the decision as necessary to protect California customers and ensure commitments are met.</w:t>
      </w:r>
    </w:p>
    <w:p w:rsidR="000372AB" w:rsidP="00872530" w:rsidRDefault="000372AB" w14:paraId="3E2A3BC9" w14:textId="097A3B91">
      <w:pPr>
        <w:pStyle w:val="NormalWeb"/>
        <w:spacing w:before="0" w:beforeAutospacing="0" w:after="0" w:afterAutospacing="0"/>
        <w:rPr>
          <w:b/>
          <w:bCs/>
        </w:rPr>
      </w:pPr>
      <w:r w:rsidRPr="002A1FEF">
        <w:rPr>
          <w:b/>
          <w:bCs/>
        </w:rPr>
        <w:t>More Information</w:t>
      </w:r>
    </w:p>
    <w:p w:rsidR="009C6C1D" w:rsidP="00A44FEE" w:rsidRDefault="008B1830" w14:paraId="7C7B38C6" w14:textId="735F00C7">
      <w:pPr>
        <w:pStyle w:val="NormalWeb"/>
        <w:numPr>
          <w:ilvl w:val="0"/>
          <w:numId w:val="3"/>
        </w:numPr>
        <w:spacing w:before="0" w:beforeAutospacing="0" w:after="0" w:afterAutospacing="0"/>
      </w:pPr>
      <w:hyperlink w:history="1" r:id="rId14">
        <w:r w:rsidRPr="00A44FEE">
          <w:rPr>
            <w:rStyle w:val="Hyperlink"/>
          </w:rPr>
          <w:t>Proposal Approved</w:t>
        </w:r>
      </w:hyperlink>
    </w:p>
    <w:p w:rsidR="00BB4A8E" w:rsidP="00A44FEE" w:rsidRDefault="00BB4A8E" w14:paraId="31F9F647" w14:textId="417BCF84">
      <w:pPr>
        <w:pStyle w:val="NormalWeb"/>
        <w:numPr>
          <w:ilvl w:val="0"/>
          <w:numId w:val="3"/>
        </w:numPr>
        <w:spacing w:before="0" w:beforeAutospacing="0" w:after="0" w:afterAutospacing="0"/>
      </w:pPr>
      <w:hyperlink w:history="1" r:id="rId15">
        <w:r w:rsidRPr="00BB4A8E">
          <w:rPr>
            <w:rStyle w:val="Hyperlink"/>
          </w:rPr>
          <w:t>Docket Card</w:t>
        </w:r>
      </w:hyperlink>
    </w:p>
    <w:p w:rsidR="00BE0F70" w:rsidP="009422DC" w:rsidRDefault="000964E3" w14:paraId="71D346CC" w14:textId="782579D9">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16">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C9AB" w14:textId="77777777" w:rsidR="009F0EEB" w:rsidRDefault="009F0EEB">
      <w:pPr>
        <w:spacing w:line="240" w:lineRule="auto"/>
      </w:pPr>
      <w:r>
        <w:separator/>
      </w:r>
    </w:p>
    <w:p w14:paraId="6D066854" w14:textId="77777777" w:rsidR="009F0EEB" w:rsidRDefault="009F0EEB"/>
  </w:endnote>
  <w:endnote w:type="continuationSeparator" w:id="0">
    <w:p w14:paraId="2C22EF0B" w14:textId="77777777" w:rsidR="009F0EEB" w:rsidRDefault="009F0EEB">
      <w:pPr>
        <w:spacing w:line="240" w:lineRule="auto"/>
      </w:pPr>
      <w:r>
        <w:continuationSeparator/>
      </w:r>
    </w:p>
    <w:p w14:paraId="5339492B" w14:textId="77777777" w:rsidR="009F0EEB" w:rsidRDefault="009F0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8E9660C">
            <v:rect id="Rectangle 8" style="position:absolute;margin-left:288.65pt;margin-top:13.6pt;width:12.6pt;height:12.95pt;z-index:251658245;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4DBAD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57ECA1C">
            <v:rect id="Rectangle 7" style="position:absolute;margin-left:273.65pt;margin-top:13.65pt;width:12.6pt;height:13pt;z-index:251658244;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095E7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AE11CBB">
            <v:rect id="Rectangle 6" style="position:absolute;margin-left:258.65pt;margin-top:13.65pt;width:12.6pt;height:13pt;z-index:251658243;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0DFA1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EBAE036">
            <v:rect id="Rectangle 5" style="position:absolute;margin-left:243.7pt;margin-top:13.65pt;width:12.6pt;height:13pt;z-index:25165824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33426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009724">
            <v:rect id="Rectangle 4" style="position:absolute;margin-left:228.65pt;margin-top:13.75pt;width:12.6pt;height:1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133D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E309" w14:textId="77777777" w:rsidR="009F0EEB" w:rsidRDefault="009F0EEB">
      <w:pPr>
        <w:spacing w:line="240" w:lineRule="auto"/>
      </w:pPr>
      <w:r>
        <w:separator/>
      </w:r>
    </w:p>
    <w:p w14:paraId="6DFBD47A" w14:textId="77777777" w:rsidR="009F0EEB" w:rsidRDefault="009F0EEB"/>
  </w:footnote>
  <w:footnote w:type="continuationSeparator" w:id="0">
    <w:p w14:paraId="0C7701EA" w14:textId="77777777" w:rsidR="009F0EEB" w:rsidRDefault="009F0EEB">
      <w:pPr>
        <w:spacing w:line="240" w:lineRule="auto"/>
      </w:pPr>
      <w:r>
        <w:continuationSeparator/>
      </w:r>
    </w:p>
    <w:p w14:paraId="4C911798" w14:textId="77777777" w:rsidR="009F0EEB" w:rsidRDefault="009F0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C253A"/>
    <w:multiLevelType w:val="hybridMultilevel"/>
    <w:tmpl w:val="C4E2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50B53"/>
    <w:multiLevelType w:val="hybridMultilevel"/>
    <w:tmpl w:val="41A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1"/>
  </w:num>
  <w:num w:numId="2" w16cid:durableId="1083062485">
    <w:abstractNumId w:val="0"/>
  </w:num>
  <w:num w:numId="3" w16cid:durableId="130027463">
    <w:abstractNumId w:val="7"/>
  </w:num>
  <w:num w:numId="4" w16cid:durableId="1324746911">
    <w:abstractNumId w:val="5"/>
  </w:num>
  <w:num w:numId="5" w16cid:durableId="1740515815">
    <w:abstractNumId w:val="4"/>
  </w:num>
  <w:num w:numId="6" w16cid:durableId="1261837000">
    <w:abstractNumId w:val="2"/>
  </w:num>
  <w:num w:numId="7" w16cid:durableId="1652707854">
    <w:abstractNumId w:val="3"/>
  </w:num>
  <w:num w:numId="8" w16cid:durableId="695807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27F62"/>
    <w:rsid w:val="00032DF2"/>
    <w:rsid w:val="000338D4"/>
    <w:rsid w:val="00034C07"/>
    <w:rsid w:val="000372AB"/>
    <w:rsid w:val="000511DF"/>
    <w:rsid w:val="000527AF"/>
    <w:rsid w:val="00064C9B"/>
    <w:rsid w:val="00065488"/>
    <w:rsid w:val="00066CB0"/>
    <w:rsid w:val="000671F7"/>
    <w:rsid w:val="00067BC8"/>
    <w:rsid w:val="000964E3"/>
    <w:rsid w:val="000A17C9"/>
    <w:rsid w:val="000A6282"/>
    <w:rsid w:val="000B0061"/>
    <w:rsid w:val="000B035D"/>
    <w:rsid w:val="000B3734"/>
    <w:rsid w:val="000B3D43"/>
    <w:rsid w:val="000B5979"/>
    <w:rsid w:val="000B7BD1"/>
    <w:rsid w:val="000D695E"/>
    <w:rsid w:val="000E0857"/>
    <w:rsid w:val="001103D7"/>
    <w:rsid w:val="001121D2"/>
    <w:rsid w:val="00140CFB"/>
    <w:rsid w:val="00166728"/>
    <w:rsid w:val="001716A3"/>
    <w:rsid w:val="001A3AE3"/>
    <w:rsid w:val="001D2C18"/>
    <w:rsid w:val="001D355F"/>
    <w:rsid w:val="001E434A"/>
    <w:rsid w:val="001E44E0"/>
    <w:rsid w:val="001F58AE"/>
    <w:rsid w:val="00200D54"/>
    <w:rsid w:val="00211BF7"/>
    <w:rsid w:val="002171EF"/>
    <w:rsid w:val="0021765D"/>
    <w:rsid w:val="002316F2"/>
    <w:rsid w:val="00253915"/>
    <w:rsid w:val="002557D4"/>
    <w:rsid w:val="00260757"/>
    <w:rsid w:val="00260E9E"/>
    <w:rsid w:val="00265714"/>
    <w:rsid w:val="002931FB"/>
    <w:rsid w:val="00295F0B"/>
    <w:rsid w:val="002A1FEF"/>
    <w:rsid w:val="002A209F"/>
    <w:rsid w:val="002B3C5A"/>
    <w:rsid w:val="002C649D"/>
    <w:rsid w:val="002C7075"/>
    <w:rsid w:val="002D1E41"/>
    <w:rsid w:val="002E08B7"/>
    <w:rsid w:val="002E3C91"/>
    <w:rsid w:val="002F7D6C"/>
    <w:rsid w:val="003055DE"/>
    <w:rsid w:val="00305629"/>
    <w:rsid w:val="00310B9B"/>
    <w:rsid w:val="00313D21"/>
    <w:rsid w:val="00314343"/>
    <w:rsid w:val="003164F0"/>
    <w:rsid w:val="003402D8"/>
    <w:rsid w:val="003546B1"/>
    <w:rsid w:val="0036065E"/>
    <w:rsid w:val="00362D44"/>
    <w:rsid w:val="003666E8"/>
    <w:rsid w:val="00377BCB"/>
    <w:rsid w:val="003A6FB5"/>
    <w:rsid w:val="003A7882"/>
    <w:rsid w:val="003B1208"/>
    <w:rsid w:val="003B32A6"/>
    <w:rsid w:val="003D5ECD"/>
    <w:rsid w:val="003E1DAF"/>
    <w:rsid w:val="003E2832"/>
    <w:rsid w:val="003E2DF6"/>
    <w:rsid w:val="003E6BAB"/>
    <w:rsid w:val="003F07C4"/>
    <w:rsid w:val="00412D3E"/>
    <w:rsid w:val="00427583"/>
    <w:rsid w:val="004327DC"/>
    <w:rsid w:val="00465E73"/>
    <w:rsid w:val="004718FF"/>
    <w:rsid w:val="0048184C"/>
    <w:rsid w:val="004A6C2D"/>
    <w:rsid w:val="004A77EE"/>
    <w:rsid w:val="00503C35"/>
    <w:rsid w:val="00510C78"/>
    <w:rsid w:val="00510E1D"/>
    <w:rsid w:val="005119F2"/>
    <w:rsid w:val="00514201"/>
    <w:rsid w:val="00516C98"/>
    <w:rsid w:val="00517157"/>
    <w:rsid w:val="00520CC7"/>
    <w:rsid w:val="00546BD0"/>
    <w:rsid w:val="005640E2"/>
    <w:rsid w:val="00565E23"/>
    <w:rsid w:val="005A12F2"/>
    <w:rsid w:val="005A4882"/>
    <w:rsid w:val="005B53C9"/>
    <w:rsid w:val="005C025C"/>
    <w:rsid w:val="005C4F9F"/>
    <w:rsid w:val="005D2640"/>
    <w:rsid w:val="005E3ECB"/>
    <w:rsid w:val="005E5942"/>
    <w:rsid w:val="005E657A"/>
    <w:rsid w:val="00605487"/>
    <w:rsid w:val="00607A33"/>
    <w:rsid w:val="00624F7C"/>
    <w:rsid w:val="00636239"/>
    <w:rsid w:val="00637220"/>
    <w:rsid w:val="00654243"/>
    <w:rsid w:val="006624D7"/>
    <w:rsid w:val="00662A7E"/>
    <w:rsid w:val="006762EA"/>
    <w:rsid w:val="006809B6"/>
    <w:rsid w:val="00681F83"/>
    <w:rsid w:val="00684FF5"/>
    <w:rsid w:val="006905CA"/>
    <w:rsid w:val="00693F98"/>
    <w:rsid w:val="006A645D"/>
    <w:rsid w:val="006B4BF5"/>
    <w:rsid w:val="006C256F"/>
    <w:rsid w:val="006C29FE"/>
    <w:rsid w:val="006E484B"/>
    <w:rsid w:val="006E525A"/>
    <w:rsid w:val="006E65E3"/>
    <w:rsid w:val="00726E07"/>
    <w:rsid w:val="00727998"/>
    <w:rsid w:val="00754FE0"/>
    <w:rsid w:val="00773D0D"/>
    <w:rsid w:val="007748F0"/>
    <w:rsid w:val="007A3960"/>
    <w:rsid w:val="007B3B9B"/>
    <w:rsid w:val="007B7FB7"/>
    <w:rsid w:val="007E1B99"/>
    <w:rsid w:val="00802E93"/>
    <w:rsid w:val="00805756"/>
    <w:rsid w:val="008079F6"/>
    <w:rsid w:val="00825427"/>
    <w:rsid w:val="00825BF6"/>
    <w:rsid w:val="008678B1"/>
    <w:rsid w:val="00872530"/>
    <w:rsid w:val="00877625"/>
    <w:rsid w:val="00881D75"/>
    <w:rsid w:val="00882D9F"/>
    <w:rsid w:val="008A0FA8"/>
    <w:rsid w:val="008B1830"/>
    <w:rsid w:val="008B3D3C"/>
    <w:rsid w:val="008B796C"/>
    <w:rsid w:val="008C38F6"/>
    <w:rsid w:val="008D247E"/>
    <w:rsid w:val="008D4497"/>
    <w:rsid w:val="008E25C0"/>
    <w:rsid w:val="008F1159"/>
    <w:rsid w:val="008F553B"/>
    <w:rsid w:val="00900D0D"/>
    <w:rsid w:val="00916768"/>
    <w:rsid w:val="009422DC"/>
    <w:rsid w:val="009456D3"/>
    <w:rsid w:val="00952356"/>
    <w:rsid w:val="0095374D"/>
    <w:rsid w:val="00963365"/>
    <w:rsid w:val="00973CB7"/>
    <w:rsid w:val="00982B42"/>
    <w:rsid w:val="009915DC"/>
    <w:rsid w:val="009A094A"/>
    <w:rsid w:val="009A2082"/>
    <w:rsid w:val="009C47C3"/>
    <w:rsid w:val="009C6C1D"/>
    <w:rsid w:val="009E4971"/>
    <w:rsid w:val="009E4EBA"/>
    <w:rsid w:val="009F0EEB"/>
    <w:rsid w:val="00A21E9A"/>
    <w:rsid w:val="00A3512C"/>
    <w:rsid w:val="00A36204"/>
    <w:rsid w:val="00A4490A"/>
    <w:rsid w:val="00A44FEE"/>
    <w:rsid w:val="00A87FF5"/>
    <w:rsid w:val="00AA186B"/>
    <w:rsid w:val="00AA2945"/>
    <w:rsid w:val="00AB48E3"/>
    <w:rsid w:val="00AB5C38"/>
    <w:rsid w:val="00AE2C34"/>
    <w:rsid w:val="00B0491A"/>
    <w:rsid w:val="00B072CF"/>
    <w:rsid w:val="00B12683"/>
    <w:rsid w:val="00B2336C"/>
    <w:rsid w:val="00B46AF6"/>
    <w:rsid w:val="00B61D69"/>
    <w:rsid w:val="00B73B45"/>
    <w:rsid w:val="00B774FA"/>
    <w:rsid w:val="00B807CA"/>
    <w:rsid w:val="00B82F89"/>
    <w:rsid w:val="00B948C7"/>
    <w:rsid w:val="00B960ED"/>
    <w:rsid w:val="00B97CD7"/>
    <w:rsid w:val="00BA2810"/>
    <w:rsid w:val="00BA3F99"/>
    <w:rsid w:val="00BA63D7"/>
    <w:rsid w:val="00BA7935"/>
    <w:rsid w:val="00BA7C1C"/>
    <w:rsid w:val="00BB30D3"/>
    <w:rsid w:val="00BB4A8E"/>
    <w:rsid w:val="00BC54BE"/>
    <w:rsid w:val="00BE0F70"/>
    <w:rsid w:val="00BE10C4"/>
    <w:rsid w:val="00C01FD1"/>
    <w:rsid w:val="00C145F8"/>
    <w:rsid w:val="00C33199"/>
    <w:rsid w:val="00C644FC"/>
    <w:rsid w:val="00C877C9"/>
    <w:rsid w:val="00CD3AA8"/>
    <w:rsid w:val="00CE4FFC"/>
    <w:rsid w:val="00CE71A1"/>
    <w:rsid w:val="00CF2404"/>
    <w:rsid w:val="00D00FD1"/>
    <w:rsid w:val="00D13DF3"/>
    <w:rsid w:val="00D427B0"/>
    <w:rsid w:val="00D42CD4"/>
    <w:rsid w:val="00D70F7B"/>
    <w:rsid w:val="00D81466"/>
    <w:rsid w:val="00D820A1"/>
    <w:rsid w:val="00D861FF"/>
    <w:rsid w:val="00D879A8"/>
    <w:rsid w:val="00D92AD2"/>
    <w:rsid w:val="00D96B56"/>
    <w:rsid w:val="00DA1186"/>
    <w:rsid w:val="00DA1B3D"/>
    <w:rsid w:val="00DB6396"/>
    <w:rsid w:val="00DE7181"/>
    <w:rsid w:val="00E07B5E"/>
    <w:rsid w:val="00E10C42"/>
    <w:rsid w:val="00E26C03"/>
    <w:rsid w:val="00E34047"/>
    <w:rsid w:val="00E46C3D"/>
    <w:rsid w:val="00E53723"/>
    <w:rsid w:val="00E96318"/>
    <w:rsid w:val="00EC6158"/>
    <w:rsid w:val="00ED2011"/>
    <w:rsid w:val="00ED4643"/>
    <w:rsid w:val="00ED4CAE"/>
    <w:rsid w:val="00EE06DC"/>
    <w:rsid w:val="00EF0B74"/>
    <w:rsid w:val="00F0113C"/>
    <w:rsid w:val="00F06E27"/>
    <w:rsid w:val="00F132D9"/>
    <w:rsid w:val="00F5016A"/>
    <w:rsid w:val="00F50CA0"/>
    <w:rsid w:val="00F51D8E"/>
    <w:rsid w:val="00F5295D"/>
    <w:rsid w:val="00F663E3"/>
    <w:rsid w:val="00F703B4"/>
    <w:rsid w:val="00F713B1"/>
    <w:rsid w:val="00F90ED9"/>
    <w:rsid w:val="00FA6586"/>
    <w:rsid w:val="00FD0A4E"/>
    <w:rsid w:val="00FD3A07"/>
    <w:rsid w:val="00FE272C"/>
    <w:rsid w:val="00FF2710"/>
    <w:rsid w:val="010D9642"/>
    <w:rsid w:val="025B17E2"/>
    <w:rsid w:val="0372A4E7"/>
    <w:rsid w:val="0383495F"/>
    <w:rsid w:val="046AB379"/>
    <w:rsid w:val="04D75D50"/>
    <w:rsid w:val="050E7CDB"/>
    <w:rsid w:val="051DA533"/>
    <w:rsid w:val="058A61F5"/>
    <w:rsid w:val="085443F1"/>
    <w:rsid w:val="096207D9"/>
    <w:rsid w:val="0BC1DD40"/>
    <w:rsid w:val="0EDE8105"/>
    <w:rsid w:val="1141D01B"/>
    <w:rsid w:val="119D59B3"/>
    <w:rsid w:val="11EB409F"/>
    <w:rsid w:val="123F5468"/>
    <w:rsid w:val="12E44CFD"/>
    <w:rsid w:val="16760F4A"/>
    <w:rsid w:val="17A87C11"/>
    <w:rsid w:val="17FB29DA"/>
    <w:rsid w:val="19D3C5BB"/>
    <w:rsid w:val="1E099C65"/>
    <w:rsid w:val="1EA368E1"/>
    <w:rsid w:val="1F599C54"/>
    <w:rsid w:val="1F8A18CC"/>
    <w:rsid w:val="1FFFC79F"/>
    <w:rsid w:val="2246EFE8"/>
    <w:rsid w:val="22E1549C"/>
    <w:rsid w:val="234C5C84"/>
    <w:rsid w:val="23992478"/>
    <w:rsid w:val="2510728A"/>
    <w:rsid w:val="25468C57"/>
    <w:rsid w:val="25CA7246"/>
    <w:rsid w:val="264FD07E"/>
    <w:rsid w:val="26DB818B"/>
    <w:rsid w:val="28BFAFB1"/>
    <w:rsid w:val="2A107322"/>
    <w:rsid w:val="2B1D2CB4"/>
    <w:rsid w:val="31098BF2"/>
    <w:rsid w:val="32C1DCB0"/>
    <w:rsid w:val="348D47A1"/>
    <w:rsid w:val="384A1677"/>
    <w:rsid w:val="3908BADE"/>
    <w:rsid w:val="3CA11D83"/>
    <w:rsid w:val="3CE2FB45"/>
    <w:rsid w:val="3DAFAF20"/>
    <w:rsid w:val="40BAF57F"/>
    <w:rsid w:val="40E2DD64"/>
    <w:rsid w:val="40E729C4"/>
    <w:rsid w:val="418932B6"/>
    <w:rsid w:val="41D04A88"/>
    <w:rsid w:val="44C90BF0"/>
    <w:rsid w:val="474270EF"/>
    <w:rsid w:val="478D63C0"/>
    <w:rsid w:val="47C6B083"/>
    <w:rsid w:val="49054D45"/>
    <w:rsid w:val="4A1A4A7B"/>
    <w:rsid w:val="4A9C172B"/>
    <w:rsid w:val="4B9D697E"/>
    <w:rsid w:val="4C547966"/>
    <w:rsid w:val="4C7F21FE"/>
    <w:rsid w:val="4D1C5CAE"/>
    <w:rsid w:val="4F5C04B7"/>
    <w:rsid w:val="4F7D1176"/>
    <w:rsid w:val="50ED4ACE"/>
    <w:rsid w:val="50FEC27F"/>
    <w:rsid w:val="513B7E34"/>
    <w:rsid w:val="548C7144"/>
    <w:rsid w:val="557CD28D"/>
    <w:rsid w:val="55EABD13"/>
    <w:rsid w:val="584BDAAB"/>
    <w:rsid w:val="5BA6300E"/>
    <w:rsid w:val="5CE3FA09"/>
    <w:rsid w:val="5E4B291B"/>
    <w:rsid w:val="63234312"/>
    <w:rsid w:val="641ED5DE"/>
    <w:rsid w:val="6648F241"/>
    <w:rsid w:val="664C75C7"/>
    <w:rsid w:val="67BE759D"/>
    <w:rsid w:val="67E863A7"/>
    <w:rsid w:val="68410CB5"/>
    <w:rsid w:val="693E2695"/>
    <w:rsid w:val="6A00989A"/>
    <w:rsid w:val="6BD202F6"/>
    <w:rsid w:val="700CEA08"/>
    <w:rsid w:val="723F196B"/>
    <w:rsid w:val="73FD9B6B"/>
    <w:rsid w:val="7425A41F"/>
    <w:rsid w:val="7462EF68"/>
    <w:rsid w:val="75C4741D"/>
    <w:rsid w:val="75F8921F"/>
    <w:rsid w:val="76F2BFC8"/>
    <w:rsid w:val="77810676"/>
    <w:rsid w:val="785B2C5E"/>
    <w:rsid w:val="7A2623DC"/>
    <w:rsid w:val="7A809C2F"/>
    <w:rsid w:val="7C22DAB6"/>
    <w:rsid w:val="7D79D116"/>
    <w:rsid w:val="7E653024"/>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1CF00453-099B-4913-82A6-29F3B97C49C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ifornialifeline.com/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puc.c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s.cpuc.ca.gov/apex/f?p=401:56::::RP,57,RIR:P5_PROCEEDING_SELECT:A241000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cpuc.ca.gov/SearchRes.aspx?docformat=ALL&amp;docid=595063475"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2.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3.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566</ap:Words>
  <ap:Characters>3231</ap:Characters>
  <ap:Application>Microsoft Office Word</ap:Application>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3790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2026-01-15T13:20:41Z</dcterms:created>
  <dcterms:modified xsi:type="dcterms:W3CDTF">2026-01-15T13:20:41Z</dcterms:modified>
</cp:coreProperties>
</file>